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ascii="Arial" w:hAnsi="Arial" w:cs="Arial"/>
          <w:b/>
          <w:sz w:val="36"/>
          <w:szCs w:val="36"/>
        </w:rPr>
      </w:pPr>
    </w:p>
    <w:p>
      <w:pPr>
        <w:spacing w:line="720" w:lineRule="auto"/>
        <w:jc w:val="center"/>
        <w:rPr>
          <w:rFonts w:ascii="Arial" w:hAnsi="Arial" w:cs="Arial"/>
          <w:b/>
          <w:sz w:val="36"/>
          <w:szCs w:val="36"/>
        </w:rPr>
      </w:pPr>
    </w:p>
    <w:p>
      <w:pPr>
        <w:spacing w:line="720" w:lineRule="auto"/>
        <w:jc w:val="center"/>
        <w:rPr>
          <w:rFonts w:ascii="Arial" w:hAnsi="Arial" w:cs="Arial"/>
          <w:b/>
          <w:sz w:val="36"/>
          <w:szCs w:val="36"/>
        </w:rPr>
      </w:pPr>
    </w:p>
    <w:p>
      <w:pPr>
        <w:spacing w:line="720" w:lineRule="auto"/>
        <w:jc w:val="center"/>
        <w:rPr>
          <w:rFonts w:ascii="Arial" w:hAnsi="Arial" w:cs="Arial"/>
          <w:b/>
          <w:sz w:val="36"/>
          <w:szCs w:val="36"/>
        </w:rPr>
      </w:pPr>
    </w:p>
    <w:p>
      <w:pPr>
        <w:spacing w:line="600" w:lineRule="exact"/>
        <w:jc w:val="center"/>
        <w:rPr>
          <w:b/>
          <w:bCs/>
          <w:kern w:val="0"/>
          <w:sz w:val="36"/>
          <w:szCs w:val="44"/>
        </w:rPr>
      </w:pPr>
      <w:r>
        <w:rPr>
          <w:rFonts w:hint="eastAsia"/>
          <w:b/>
          <w:bCs/>
          <w:kern w:val="0"/>
          <w:sz w:val="36"/>
          <w:szCs w:val="44"/>
        </w:rPr>
        <w:t>湖南汨罗循环经济园区配套公共基础设施项目</w:t>
      </w:r>
    </w:p>
    <w:p>
      <w:pPr>
        <w:spacing w:line="720" w:lineRule="auto"/>
        <w:jc w:val="center"/>
        <w:rPr>
          <w:rFonts w:ascii="Arial" w:hAnsi="Arial" w:cs="Arial"/>
          <w:b/>
          <w:sz w:val="36"/>
          <w:szCs w:val="36"/>
        </w:rPr>
      </w:pPr>
      <w:r>
        <w:rPr>
          <w:b/>
          <w:bCs/>
          <w:kern w:val="0"/>
          <w:sz w:val="36"/>
          <w:szCs w:val="36"/>
        </w:rPr>
        <w:t>政府专项债券项目</w:t>
      </w:r>
      <w:r>
        <w:rPr>
          <w:rFonts w:ascii="Arial" w:hAnsi="Arial" w:cs="Arial"/>
          <w:b/>
          <w:sz w:val="36"/>
          <w:szCs w:val="36"/>
        </w:rPr>
        <w:drawing>
          <wp:anchor distT="0" distB="0" distL="114300" distR="114300" simplePos="0" relativeHeight="251659264" behindDoc="1" locked="0" layoutInCell="1" allowOverlap="1">
            <wp:simplePos x="0" y="0"/>
            <wp:positionH relativeFrom="column">
              <wp:posOffset>-151765</wp:posOffset>
            </wp:positionH>
            <wp:positionV relativeFrom="paragraph">
              <wp:posOffset>575310</wp:posOffset>
            </wp:positionV>
            <wp:extent cx="5715000" cy="95250"/>
            <wp:effectExtent l="0" t="0" r="0" b="0"/>
            <wp:wrapNone/>
            <wp:docPr id="1" name="图片 29" descr="BD146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BD14677_"/>
                    <pic:cNvPicPr>
                      <a:picLocks noChangeAspect="1"/>
                    </pic:cNvPicPr>
                  </pic:nvPicPr>
                  <pic:blipFill>
                    <a:blip r:embed="rId11" cstate="print"/>
                    <a:stretch>
                      <a:fillRect/>
                    </a:stretch>
                  </pic:blipFill>
                  <pic:spPr>
                    <a:xfrm>
                      <a:off x="0" y="0"/>
                      <a:ext cx="5715000" cy="95250"/>
                    </a:xfrm>
                    <a:prstGeom prst="rect">
                      <a:avLst/>
                    </a:prstGeom>
                    <a:noFill/>
                    <a:ln w="9525">
                      <a:noFill/>
                    </a:ln>
                  </pic:spPr>
                </pic:pic>
              </a:graphicData>
            </a:graphic>
          </wp:anchor>
        </w:drawing>
      </w:r>
    </w:p>
    <w:p>
      <w:pPr>
        <w:spacing w:line="600" w:lineRule="exact"/>
        <w:jc w:val="center"/>
        <w:rPr>
          <w:b/>
          <w:bCs/>
          <w:kern w:val="0"/>
          <w:sz w:val="36"/>
          <w:szCs w:val="36"/>
        </w:rPr>
      </w:pPr>
      <w:r>
        <w:rPr>
          <w:b/>
          <w:bCs/>
          <w:kern w:val="0"/>
          <w:sz w:val="36"/>
          <w:szCs w:val="36"/>
        </w:rPr>
        <w:t>资金绩效评价报告</w:t>
      </w:r>
    </w:p>
    <w:p>
      <w:pPr>
        <w:rPr>
          <w:rFonts w:ascii="Arial" w:hAnsi="Arial" w:cs="Arial"/>
          <w:sz w:val="28"/>
          <w:szCs w:val="28"/>
          <w:u w:val="single"/>
        </w:rPr>
      </w:pPr>
      <w:bookmarkStart w:id="25" w:name="_GoBack"/>
      <w:bookmarkEnd w:id="25"/>
    </w:p>
    <w:p>
      <w:pPr>
        <w:rPr>
          <w:rFonts w:ascii="Arial" w:hAnsi="Arial" w:cs="Arial"/>
          <w:sz w:val="28"/>
          <w:szCs w:val="28"/>
          <w:u w:val="single"/>
        </w:rPr>
      </w:pPr>
    </w:p>
    <w:p>
      <w:pPr>
        <w:rPr>
          <w:rFonts w:ascii="Arial" w:hAnsi="Arial" w:cs="Arial"/>
          <w:sz w:val="28"/>
          <w:szCs w:val="28"/>
          <w:u w:val="single"/>
        </w:rPr>
      </w:pPr>
    </w:p>
    <w:p>
      <w:pPr>
        <w:rPr>
          <w:rFonts w:ascii="Arial" w:hAnsi="Arial" w:cs="Arial"/>
          <w:sz w:val="28"/>
          <w:szCs w:val="28"/>
          <w:u w:val="single"/>
        </w:rPr>
      </w:pPr>
    </w:p>
    <w:p>
      <w:pPr>
        <w:rPr>
          <w:rFonts w:ascii="Arial" w:hAnsi="Arial" w:cs="Arial"/>
          <w:sz w:val="28"/>
          <w:szCs w:val="28"/>
          <w:u w:val="single"/>
        </w:rPr>
      </w:pPr>
    </w:p>
    <w:p>
      <w:pPr>
        <w:rPr>
          <w:rFonts w:ascii="Arial" w:hAnsi="Arial" w:cs="Arial"/>
          <w:sz w:val="28"/>
          <w:szCs w:val="28"/>
          <w:u w:val="single"/>
        </w:rPr>
      </w:pPr>
    </w:p>
    <w:p>
      <w:pPr>
        <w:rPr>
          <w:rFonts w:ascii="Arial" w:hAnsi="Arial" w:cs="Arial"/>
          <w:sz w:val="28"/>
          <w:szCs w:val="28"/>
          <w:u w:val="single"/>
        </w:rPr>
      </w:pPr>
    </w:p>
    <w:p>
      <w:pPr>
        <w:rPr>
          <w:rFonts w:ascii="Arial" w:hAnsi="Arial" w:cs="Arial"/>
          <w:sz w:val="28"/>
          <w:szCs w:val="28"/>
          <w:u w:val="single"/>
        </w:rPr>
      </w:pPr>
    </w:p>
    <w:p>
      <w:pPr>
        <w:rPr>
          <w:rFonts w:ascii="Arial" w:hAnsi="Arial" w:cs="Arial"/>
          <w:sz w:val="28"/>
          <w:szCs w:val="28"/>
          <w:u w:val="single"/>
        </w:rPr>
      </w:pPr>
    </w:p>
    <w:p>
      <w:pPr>
        <w:jc w:val="center"/>
        <w:rPr>
          <w:rFonts w:ascii="Arial" w:hAnsi="Arial" w:cs="Arial"/>
          <w:b/>
          <w:sz w:val="28"/>
          <w:szCs w:val="28"/>
        </w:rPr>
      </w:pPr>
      <w:r>
        <w:rPr>
          <w:rFonts w:ascii="Arial" w:hAnsi="Arial" w:cs="Arial"/>
          <w:b/>
          <w:sz w:val="28"/>
          <w:szCs w:val="28"/>
        </w:rPr>
        <w:t>中证天通会计师事务所</w:t>
      </w:r>
      <w:r>
        <w:rPr>
          <w:rFonts w:hint="eastAsia" w:ascii="Arial" w:hAnsi="Arial" w:cs="Arial"/>
          <w:b/>
          <w:sz w:val="28"/>
          <w:szCs w:val="28"/>
        </w:rPr>
        <w:t>（</w:t>
      </w:r>
      <w:r>
        <w:rPr>
          <w:rFonts w:ascii="Arial" w:hAnsi="Arial" w:cs="Arial"/>
          <w:b/>
          <w:sz w:val="28"/>
          <w:szCs w:val="28"/>
        </w:rPr>
        <w:t>特殊普通合伙）湖南分所</w:t>
      </w:r>
    </w:p>
    <w:p>
      <w:pPr>
        <w:spacing w:line="360" w:lineRule="auto"/>
        <w:jc w:val="center"/>
        <w:rPr>
          <w:rFonts w:ascii="Arial" w:hAnsi="Arial" w:cs="Arial"/>
          <w:b/>
          <w:snapToGrid w:val="0"/>
          <w:sz w:val="32"/>
          <w:szCs w:val="32"/>
        </w:rPr>
      </w:pPr>
      <w:r>
        <w:rPr>
          <w:rFonts w:ascii="Arial" w:hAnsi="Arial" w:cs="Arial"/>
          <w:b/>
          <w:snapToGrid w:val="0"/>
          <w:sz w:val="32"/>
          <w:szCs w:val="32"/>
        </w:rPr>
        <w:t>二</w:t>
      </w:r>
      <w:r>
        <w:rPr>
          <w:rFonts w:hint="eastAsia" w:ascii="Arial" w:hAnsi="Arial" w:cs="Arial"/>
          <w:bCs/>
          <w:snapToGrid w:val="0"/>
          <w:sz w:val="32"/>
          <w:szCs w:val="32"/>
        </w:rPr>
        <w:t>0</w:t>
      </w:r>
      <w:r>
        <w:rPr>
          <w:rFonts w:ascii="Arial" w:hAnsi="Arial" w:cs="Arial"/>
          <w:b/>
          <w:snapToGrid w:val="0"/>
          <w:sz w:val="32"/>
          <w:szCs w:val="32"/>
        </w:rPr>
        <w:t>二一年十</w:t>
      </w:r>
      <w:r>
        <w:rPr>
          <w:rFonts w:hint="eastAsia" w:ascii="Arial" w:hAnsi="Arial" w:cs="Arial"/>
          <w:b/>
          <w:snapToGrid w:val="0"/>
          <w:sz w:val="32"/>
          <w:szCs w:val="32"/>
        </w:rPr>
        <w:t>二</w:t>
      </w:r>
      <w:r>
        <w:rPr>
          <w:rFonts w:ascii="Arial" w:hAnsi="Arial" w:cs="Arial"/>
          <w:b/>
          <w:snapToGrid w:val="0"/>
          <w:sz w:val="32"/>
          <w:szCs w:val="32"/>
        </w:rPr>
        <w:t>月</w:t>
      </w:r>
      <w:r>
        <w:rPr>
          <w:rFonts w:hint="eastAsia" w:ascii="Arial" w:hAnsi="Arial" w:cs="Arial"/>
          <w:b/>
          <w:snapToGrid w:val="0"/>
          <w:sz w:val="32"/>
          <w:szCs w:val="32"/>
        </w:rPr>
        <w:t>一</w:t>
      </w:r>
      <w:r>
        <w:rPr>
          <w:rFonts w:ascii="Arial" w:hAnsi="Arial" w:cs="Arial"/>
          <w:b/>
          <w:snapToGrid w:val="0"/>
          <w:sz w:val="32"/>
          <w:szCs w:val="32"/>
        </w:rPr>
        <w:t>十</w:t>
      </w:r>
      <w:r>
        <w:rPr>
          <w:rFonts w:hint="eastAsia" w:ascii="Arial" w:hAnsi="Arial" w:cs="Arial"/>
          <w:b/>
          <w:snapToGrid w:val="0"/>
          <w:sz w:val="32"/>
          <w:szCs w:val="32"/>
        </w:rPr>
        <w:t>七</w:t>
      </w:r>
      <w:r>
        <w:rPr>
          <w:rFonts w:ascii="Arial" w:hAnsi="Arial" w:cs="Arial"/>
          <w:b/>
          <w:snapToGrid w:val="0"/>
          <w:sz w:val="32"/>
          <w:szCs w:val="32"/>
        </w:rPr>
        <w:t>日</w:t>
      </w:r>
    </w:p>
    <w:p>
      <w:pPr>
        <w:keepNext/>
        <w:keepLines/>
        <w:widowControl/>
        <w:tabs>
          <w:tab w:val="left" w:pos="407"/>
        </w:tabs>
        <w:spacing w:line="360" w:lineRule="auto"/>
        <w:jc w:val="center"/>
        <w:rPr>
          <w:rFonts w:ascii="Arial" w:hAnsi="Arial" w:cs="Arial"/>
          <w:b/>
          <w:bCs/>
          <w:kern w:val="0"/>
          <w:sz w:val="28"/>
          <w:szCs w:val="28"/>
        </w:rPr>
        <w:sectPr>
          <w:headerReference r:id="rId4" w:type="first"/>
          <w:headerReference r:id="rId3" w:type="default"/>
          <w:footerReference r:id="rId5" w:type="default"/>
          <w:pgSz w:w="11906" w:h="16838"/>
          <w:pgMar w:top="1361" w:right="1361" w:bottom="1134" w:left="1701" w:header="851" w:footer="851" w:gutter="0"/>
          <w:pgNumType w:start="1"/>
          <w:cols w:space="720" w:num="1"/>
          <w:titlePg/>
          <w:docGrid w:type="lines" w:linePitch="312" w:charSpace="0"/>
        </w:sectPr>
      </w:pPr>
    </w:p>
    <w:sdt>
      <w:sdtPr>
        <w:rPr>
          <w:rFonts w:ascii="宋体" w:hAnsi="宋体"/>
          <w:b/>
          <w:bCs/>
          <w:sz w:val="28"/>
          <w:szCs w:val="36"/>
        </w:rPr>
        <w:id w:val="147469468"/>
        <w15:color w:val="DBDBDB"/>
        <w:docPartObj>
          <w:docPartGallery w:val="Table of Contents"/>
          <w:docPartUnique/>
        </w:docPartObj>
      </w:sdtPr>
      <w:sdtEndPr>
        <w:rPr>
          <w:rFonts w:ascii="宋体" w:hAnsi="宋体"/>
          <w:b/>
          <w:bCs/>
          <w:sz w:val="28"/>
          <w:szCs w:val="36"/>
        </w:rPr>
      </w:sdtEndPr>
      <w:sdtContent>
        <w:p>
          <w:pPr>
            <w:jc w:val="center"/>
            <w:rPr>
              <w:b/>
              <w:bCs/>
              <w:sz w:val="28"/>
              <w:szCs w:val="36"/>
            </w:rPr>
          </w:pPr>
          <w:r>
            <w:rPr>
              <w:rFonts w:ascii="宋体" w:hAnsi="宋体"/>
              <w:b/>
              <w:bCs/>
              <w:sz w:val="28"/>
              <w:szCs w:val="36"/>
            </w:rPr>
            <w:t>目录</w:t>
          </w:r>
        </w:p>
        <w:p>
          <w:pPr>
            <w:pStyle w:val="9"/>
            <w:tabs>
              <w:tab w:val="right" w:leader="dot" w:pos="8306"/>
            </w:tabs>
            <w:spacing w:line="360" w:lineRule="auto"/>
          </w:pPr>
          <w:r>
            <w:fldChar w:fldCharType="begin"/>
          </w:r>
          <w:r>
            <w:instrText xml:space="preserve">TOC \o "1-2" \h \u </w:instrText>
          </w:r>
          <w:r>
            <w:fldChar w:fldCharType="separate"/>
          </w:r>
          <w:r>
            <w:fldChar w:fldCharType="begin"/>
          </w:r>
          <w:r>
            <w:instrText xml:space="preserve"> HYPERLINK \l "_Toc18735" </w:instrText>
          </w:r>
          <w:r>
            <w:fldChar w:fldCharType="separate"/>
          </w:r>
          <w:r>
            <w:rPr>
              <w:rFonts w:hint="eastAsia"/>
            </w:rPr>
            <w:t>一、项目政府专项债券资金基本情况</w:t>
          </w:r>
          <w:r>
            <w:tab/>
          </w:r>
          <w:r>
            <w:fldChar w:fldCharType="begin"/>
          </w:r>
          <w:r>
            <w:instrText xml:space="preserve"> PAGEREF _Toc18735 \h </w:instrText>
          </w:r>
          <w:r>
            <w:fldChar w:fldCharType="separate"/>
          </w:r>
          <w:r>
            <w:t>1</w:t>
          </w:r>
          <w:r>
            <w:fldChar w:fldCharType="end"/>
          </w:r>
          <w:r>
            <w:fldChar w:fldCharType="end"/>
          </w:r>
        </w:p>
        <w:p>
          <w:pPr>
            <w:pStyle w:val="10"/>
            <w:tabs>
              <w:tab w:val="right" w:leader="dot" w:pos="8306"/>
            </w:tabs>
            <w:spacing w:line="360" w:lineRule="auto"/>
          </w:pPr>
          <w:r>
            <w:fldChar w:fldCharType="begin"/>
          </w:r>
          <w:r>
            <w:instrText xml:space="preserve"> HYPERLINK \l "_Toc17940" </w:instrText>
          </w:r>
          <w:r>
            <w:fldChar w:fldCharType="separate"/>
          </w:r>
          <w:r>
            <w:rPr>
              <w:rFonts w:hint="eastAsia"/>
            </w:rPr>
            <w:t>（一）资金情况</w:t>
          </w:r>
          <w:r>
            <w:tab/>
          </w:r>
          <w:r>
            <w:fldChar w:fldCharType="begin"/>
          </w:r>
          <w:r>
            <w:instrText xml:space="preserve"> PAGEREF _Toc17940 \h </w:instrText>
          </w:r>
          <w:r>
            <w:fldChar w:fldCharType="separate"/>
          </w:r>
          <w:r>
            <w:t>1</w:t>
          </w:r>
          <w:r>
            <w:fldChar w:fldCharType="end"/>
          </w:r>
          <w:r>
            <w:fldChar w:fldCharType="end"/>
          </w:r>
        </w:p>
        <w:p>
          <w:pPr>
            <w:pStyle w:val="10"/>
            <w:tabs>
              <w:tab w:val="right" w:leader="dot" w:pos="8306"/>
            </w:tabs>
            <w:spacing w:line="360" w:lineRule="auto"/>
          </w:pPr>
          <w:r>
            <w:fldChar w:fldCharType="begin"/>
          </w:r>
          <w:r>
            <w:instrText xml:space="preserve"> HYPERLINK \l "_Toc7128" </w:instrText>
          </w:r>
          <w:r>
            <w:fldChar w:fldCharType="separate"/>
          </w:r>
          <w:r>
            <w:rPr>
              <w:rFonts w:hint="eastAsia"/>
            </w:rPr>
            <w:t>（二）项目情况</w:t>
          </w:r>
          <w:r>
            <w:tab/>
          </w:r>
          <w:r>
            <w:fldChar w:fldCharType="begin"/>
          </w:r>
          <w:r>
            <w:instrText xml:space="preserve"> PAGEREF _Toc7128 \h </w:instrText>
          </w:r>
          <w:r>
            <w:fldChar w:fldCharType="separate"/>
          </w:r>
          <w:r>
            <w:t>2</w:t>
          </w:r>
          <w:r>
            <w:fldChar w:fldCharType="end"/>
          </w:r>
          <w:r>
            <w:fldChar w:fldCharType="end"/>
          </w:r>
        </w:p>
        <w:p>
          <w:pPr>
            <w:pStyle w:val="9"/>
            <w:tabs>
              <w:tab w:val="right" w:leader="dot" w:pos="8306"/>
            </w:tabs>
            <w:spacing w:line="360" w:lineRule="auto"/>
          </w:pPr>
          <w:r>
            <w:fldChar w:fldCharType="begin"/>
          </w:r>
          <w:r>
            <w:instrText xml:space="preserve"> HYPERLINK \l "_Toc4002" </w:instrText>
          </w:r>
          <w:r>
            <w:fldChar w:fldCharType="separate"/>
          </w:r>
          <w:r>
            <w:rPr>
              <w:rFonts w:hint="eastAsia"/>
            </w:rPr>
            <w:t xml:space="preserve">二、 </w:t>
          </w:r>
          <w:r>
            <w:t>绩效评价工作情况</w:t>
          </w:r>
          <w:r>
            <w:tab/>
          </w:r>
          <w:r>
            <w:fldChar w:fldCharType="begin"/>
          </w:r>
          <w:r>
            <w:instrText xml:space="preserve"> PAGEREF _Toc4002 \h </w:instrText>
          </w:r>
          <w:r>
            <w:fldChar w:fldCharType="separate"/>
          </w:r>
          <w:r>
            <w:t>2</w:t>
          </w:r>
          <w:r>
            <w:fldChar w:fldCharType="end"/>
          </w:r>
          <w:r>
            <w:fldChar w:fldCharType="end"/>
          </w:r>
        </w:p>
        <w:p>
          <w:pPr>
            <w:pStyle w:val="10"/>
            <w:tabs>
              <w:tab w:val="right" w:leader="dot" w:pos="8306"/>
            </w:tabs>
            <w:spacing w:line="360" w:lineRule="auto"/>
          </w:pPr>
          <w:r>
            <w:fldChar w:fldCharType="begin"/>
          </w:r>
          <w:r>
            <w:instrText xml:space="preserve"> HYPERLINK \l "_Toc1463" </w:instrText>
          </w:r>
          <w:r>
            <w:fldChar w:fldCharType="separate"/>
          </w:r>
          <w:r>
            <w:rPr>
              <w:rFonts w:hint="eastAsia" w:cs="仿宋_GB2312"/>
            </w:rPr>
            <w:t>（一）绩效评价目的</w:t>
          </w:r>
          <w:r>
            <w:tab/>
          </w:r>
          <w:r>
            <w:fldChar w:fldCharType="begin"/>
          </w:r>
          <w:r>
            <w:instrText xml:space="preserve"> PAGEREF _Toc1463 \h </w:instrText>
          </w:r>
          <w:r>
            <w:fldChar w:fldCharType="separate"/>
          </w:r>
          <w:r>
            <w:t>2</w:t>
          </w:r>
          <w:r>
            <w:fldChar w:fldCharType="end"/>
          </w:r>
          <w:r>
            <w:fldChar w:fldCharType="end"/>
          </w:r>
        </w:p>
        <w:p>
          <w:pPr>
            <w:pStyle w:val="10"/>
            <w:tabs>
              <w:tab w:val="right" w:leader="dot" w:pos="8306"/>
            </w:tabs>
            <w:spacing w:line="360" w:lineRule="auto"/>
          </w:pPr>
          <w:r>
            <w:fldChar w:fldCharType="begin"/>
          </w:r>
          <w:r>
            <w:instrText xml:space="preserve"> HYPERLINK \l "_Toc23823" </w:instrText>
          </w:r>
          <w:r>
            <w:fldChar w:fldCharType="separate"/>
          </w:r>
          <w:r>
            <w:rPr>
              <w:rFonts w:hint="eastAsia" w:cs="仿宋_GB2312"/>
            </w:rPr>
            <w:t>（二）绩效评价框架</w:t>
          </w:r>
          <w:r>
            <w:tab/>
          </w:r>
          <w:r>
            <w:fldChar w:fldCharType="begin"/>
          </w:r>
          <w:r>
            <w:instrText xml:space="preserve"> PAGEREF _Toc23823 \h </w:instrText>
          </w:r>
          <w:r>
            <w:fldChar w:fldCharType="separate"/>
          </w:r>
          <w:r>
            <w:t>3</w:t>
          </w:r>
          <w:r>
            <w:fldChar w:fldCharType="end"/>
          </w:r>
          <w:r>
            <w:fldChar w:fldCharType="end"/>
          </w:r>
        </w:p>
        <w:p>
          <w:pPr>
            <w:pStyle w:val="10"/>
            <w:tabs>
              <w:tab w:val="right" w:leader="dot" w:pos="8306"/>
            </w:tabs>
            <w:spacing w:line="360" w:lineRule="auto"/>
          </w:pPr>
          <w:r>
            <w:fldChar w:fldCharType="begin"/>
          </w:r>
          <w:r>
            <w:instrText xml:space="preserve"> HYPERLINK \l "_Toc24686" </w:instrText>
          </w:r>
          <w:r>
            <w:fldChar w:fldCharType="separate"/>
          </w:r>
          <w:r>
            <w:rPr>
              <w:rFonts w:cs="仿宋_GB2312"/>
            </w:rPr>
            <w:t xml:space="preserve">（三） </w:t>
          </w:r>
          <w:r>
            <w:rPr>
              <w:rFonts w:hint="eastAsia" w:cs="仿宋_GB2312"/>
            </w:rPr>
            <w:t>证据收集方法</w:t>
          </w:r>
          <w:r>
            <w:tab/>
          </w:r>
          <w:r>
            <w:fldChar w:fldCharType="begin"/>
          </w:r>
          <w:r>
            <w:instrText xml:space="preserve"> PAGEREF _Toc24686 \h </w:instrText>
          </w:r>
          <w:r>
            <w:fldChar w:fldCharType="separate"/>
          </w:r>
          <w:r>
            <w:t>5</w:t>
          </w:r>
          <w:r>
            <w:fldChar w:fldCharType="end"/>
          </w:r>
          <w:r>
            <w:fldChar w:fldCharType="end"/>
          </w:r>
        </w:p>
        <w:p>
          <w:pPr>
            <w:pStyle w:val="10"/>
            <w:tabs>
              <w:tab w:val="right" w:leader="dot" w:pos="8306"/>
            </w:tabs>
            <w:spacing w:line="360" w:lineRule="auto"/>
          </w:pPr>
          <w:r>
            <w:fldChar w:fldCharType="begin"/>
          </w:r>
          <w:r>
            <w:instrText xml:space="preserve"> HYPERLINK \l "_Toc22408" </w:instrText>
          </w:r>
          <w:r>
            <w:fldChar w:fldCharType="separate"/>
          </w:r>
          <w:r>
            <w:rPr>
              <w:rFonts w:cs="仿宋_GB2312"/>
            </w:rPr>
            <w:t xml:space="preserve">（四） </w:t>
          </w:r>
          <w:r>
            <w:rPr>
              <w:rFonts w:hint="eastAsia" w:cs="仿宋_GB2312"/>
            </w:rPr>
            <w:t>绩效评价工作过程</w:t>
          </w:r>
          <w:r>
            <w:tab/>
          </w:r>
          <w:r>
            <w:fldChar w:fldCharType="begin"/>
          </w:r>
          <w:r>
            <w:instrText xml:space="preserve"> PAGEREF _Toc22408 \h </w:instrText>
          </w:r>
          <w:r>
            <w:fldChar w:fldCharType="separate"/>
          </w:r>
          <w:r>
            <w:t>6</w:t>
          </w:r>
          <w:r>
            <w:fldChar w:fldCharType="end"/>
          </w:r>
          <w:r>
            <w:fldChar w:fldCharType="end"/>
          </w:r>
        </w:p>
        <w:p>
          <w:pPr>
            <w:pStyle w:val="9"/>
            <w:tabs>
              <w:tab w:val="right" w:leader="dot" w:pos="8306"/>
            </w:tabs>
            <w:spacing w:line="360" w:lineRule="auto"/>
          </w:pPr>
          <w:r>
            <w:fldChar w:fldCharType="begin"/>
          </w:r>
          <w:r>
            <w:instrText xml:space="preserve"> HYPERLINK \l "_Toc22087" </w:instrText>
          </w:r>
          <w:r>
            <w:fldChar w:fldCharType="separate"/>
          </w:r>
          <w:r>
            <w:t>三、资金主要绩效</w:t>
          </w:r>
          <w:r>
            <w:tab/>
          </w:r>
          <w:r>
            <w:fldChar w:fldCharType="begin"/>
          </w:r>
          <w:r>
            <w:instrText xml:space="preserve"> PAGEREF _Toc22087 \h </w:instrText>
          </w:r>
          <w:r>
            <w:fldChar w:fldCharType="separate"/>
          </w:r>
          <w:r>
            <w:t>6</w:t>
          </w:r>
          <w:r>
            <w:fldChar w:fldCharType="end"/>
          </w:r>
          <w:r>
            <w:fldChar w:fldCharType="end"/>
          </w:r>
        </w:p>
        <w:p>
          <w:pPr>
            <w:pStyle w:val="9"/>
            <w:tabs>
              <w:tab w:val="right" w:leader="dot" w:pos="8306"/>
            </w:tabs>
            <w:spacing w:line="360" w:lineRule="auto"/>
          </w:pPr>
          <w:r>
            <w:fldChar w:fldCharType="begin"/>
          </w:r>
          <w:r>
            <w:instrText xml:space="preserve"> HYPERLINK \l "_Toc14035" </w:instrText>
          </w:r>
          <w:r>
            <w:fldChar w:fldCharType="separate"/>
          </w:r>
          <w:r>
            <w:rPr>
              <w:rFonts w:hint="eastAsia"/>
            </w:rPr>
            <w:t>四、</w:t>
          </w:r>
          <w:r>
            <w:t>评价结论及其指标简要分析</w:t>
          </w:r>
          <w:r>
            <w:tab/>
          </w:r>
          <w:r>
            <w:fldChar w:fldCharType="begin"/>
          </w:r>
          <w:r>
            <w:instrText xml:space="preserve"> PAGEREF _Toc14035 \h </w:instrText>
          </w:r>
          <w:r>
            <w:fldChar w:fldCharType="separate"/>
          </w:r>
          <w:r>
            <w:t>7</w:t>
          </w:r>
          <w:r>
            <w:fldChar w:fldCharType="end"/>
          </w:r>
          <w:r>
            <w:fldChar w:fldCharType="end"/>
          </w:r>
        </w:p>
        <w:p>
          <w:pPr>
            <w:pStyle w:val="10"/>
            <w:tabs>
              <w:tab w:val="right" w:leader="dot" w:pos="8306"/>
            </w:tabs>
            <w:spacing w:line="360" w:lineRule="auto"/>
          </w:pPr>
          <w:r>
            <w:fldChar w:fldCharType="begin"/>
          </w:r>
          <w:r>
            <w:instrText xml:space="preserve"> HYPERLINK \l "_Toc9225" </w:instrText>
          </w:r>
          <w:r>
            <w:fldChar w:fldCharType="separate"/>
          </w:r>
          <w:r>
            <w:rPr>
              <w:rFonts w:hint="eastAsia"/>
            </w:rPr>
            <w:t>（一）评价结论</w:t>
          </w:r>
          <w:r>
            <w:tab/>
          </w:r>
          <w:r>
            <w:fldChar w:fldCharType="begin"/>
          </w:r>
          <w:r>
            <w:instrText xml:space="preserve"> PAGEREF _Toc9225 \h </w:instrText>
          </w:r>
          <w:r>
            <w:fldChar w:fldCharType="separate"/>
          </w:r>
          <w:r>
            <w:t>7</w:t>
          </w:r>
          <w:r>
            <w:fldChar w:fldCharType="end"/>
          </w:r>
          <w:r>
            <w:fldChar w:fldCharType="end"/>
          </w:r>
        </w:p>
        <w:p>
          <w:pPr>
            <w:pStyle w:val="10"/>
            <w:tabs>
              <w:tab w:val="right" w:leader="dot" w:pos="8306"/>
            </w:tabs>
            <w:spacing w:line="360" w:lineRule="auto"/>
          </w:pPr>
          <w:r>
            <w:fldChar w:fldCharType="begin"/>
          </w:r>
          <w:r>
            <w:instrText xml:space="preserve"> HYPERLINK \l "_Toc75" </w:instrText>
          </w:r>
          <w:r>
            <w:fldChar w:fldCharType="separate"/>
          </w:r>
          <w:r>
            <w:rPr>
              <w:rFonts w:hint="eastAsia"/>
            </w:rPr>
            <w:t xml:space="preserve">（二） </w:t>
          </w:r>
          <w:r>
            <w:t>指标简要分析</w:t>
          </w:r>
          <w:r>
            <w:tab/>
          </w:r>
          <w:r>
            <w:fldChar w:fldCharType="begin"/>
          </w:r>
          <w:r>
            <w:instrText xml:space="preserve"> PAGEREF _Toc75 \h </w:instrText>
          </w:r>
          <w:r>
            <w:fldChar w:fldCharType="separate"/>
          </w:r>
          <w:r>
            <w:t>7</w:t>
          </w:r>
          <w:r>
            <w:fldChar w:fldCharType="end"/>
          </w:r>
          <w:r>
            <w:fldChar w:fldCharType="end"/>
          </w:r>
        </w:p>
        <w:p>
          <w:pPr>
            <w:pStyle w:val="9"/>
            <w:tabs>
              <w:tab w:val="right" w:leader="dot" w:pos="8306"/>
            </w:tabs>
            <w:spacing w:line="360" w:lineRule="auto"/>
          </w:pPr>
          <w:r>
            <w:fldChar w:fldCharType="begin"/>
          </w:r>
          <w:r>
            <w:instrText xml:space="preserve"> HYPERLINK \l "_Toc20105" </w:instrText>
          </w:r>
          <w:r>
            <w:fldChar w:fldCharType="separate"/>
          </w:r>
          <w:r>
            <w:rPr>
              <w:rFonts w:hint="eastAsia" w:cs="仿宋_GB2312"/>
              <w:kern w:val="0"/>
            </w:rPr>
            <w:t>五、绩效评价发现的主要问题</w:t>
          </w:r>
          <w:r>
            <w:tab/>
          </w:r>
          <w:r>
            <w:fldChar w:fldCharType="begin"/>
          </w:r>
          <w:r>
            <w:instrText xml:space="preserve"> PAGEREF _Toc20105 \h </w:instrText>
          </w:r>
          <w:r>
            <w:fldChar w:fldCharType="separate"/>
          </w:r>
          <w:r>
            <w:t>10</w:t>
          </w:r>
          <w:r>
            <w:fldChar w:fldCharType="end"/>
          </w:r>
          <w:r>
            <w:fldChar w:fldCharType="end"/>
          </w:r>
        </w:p>
        <w:p>
          <w:pPr>
            <w:pStyle w:val="10"/>
            <w:tabs>
              <w:tab w:val="right" w:leader="dot" w:pos="8306"/>
            </w:tabs>
            <w:spacing w:line="360" w:lineRule="auto"/>
          </w:pPr>
          <w:r>
            <w:fldChar w:fldCharType="begin"/>
          </w:r>
          <w:r>
            <w:instrText xml:space="preserve"> HYPERLINK \l "_Toc3762" </w:instrText>
          </w:r>
          <w:r>
            <w:fldChar w:fldCharType="separate"/>
          </w:r>
          <w:r>
            <w:rPr>
              <w:rFonts w:hint="eastAsia" w:cs="仿宋_GB2312"/>
              <w:kern w:val="0"/>
            </w:rPr>
            <w:t>（一）未设立专账进行项目核算</w:t>
          </w:r>
          <w:r>
            <w:tab/>
          </w:r>
          <w:r>
            <w:fldChar w:fldCharType="begin"/>
          </w:r>
          <w:r>
            <w:instrText xml:space="preserve"> PAGEREF _Toc3762 \h </w:instrText>
          </w:r>
          <w:r>
            <w:fldChar w:fldCharType="separate"/>
          </w:r>
          <w:r>
            <w:t>10</w:t>
          </w:r>
          <w:r>
            <w:fldChar w:fldCharType="end"/>
          </w:r>
          <w:r>
            <w:fldChar w:fldCharType="end"/>
          </w:r>
        </w:p>
        <w:p>
          <w:pPr>
            <w:pStyle w:val="10"/>
            <w:tabs>
              <w:tab w:val="right" w:leader="dot" w:pos="8306"/>
            </w:tabs>
            <w:spacing w:line="360" w:lineRule="auto"/>
          </w:pPr>
          <w:r>
            <w:fldChar w:fldCharType="begin"/>
          </w:r>
          <w:r>
            <w:instrText xml:space="preserve"> HYPERLINK \l "_Toc4540" </w:instrText>
          </w:r>
          <w:r>
            <w:fldChar w:fldCharType="separate"/>
          </w:r>
          <w:r>
            <w:rPr>
              <w:rFonts w:hint="eastAsia" w:cs="仿宋_GB2312"/>
              <w:kern w:val="0"/>
            </w:rPr>
            <w:t>（二）生态效益指标无法衡量</w:t>
          </w:r>
          <w:r>
            <w:tab/>
          </w:r>
          <w:r>
            <w:fldChar w:fldCharType="begin"/>
          </w:r>
          <w:r>
            <w:instrText xml:space="preserve"> PAGEREF _Toc4540 \h </w:instrText>
          </w:r>
          <w:r>
            <w:fldChar w:fldCharType="separate"/>
          </w:r>
          <w:r>
            <w:t>10</w:t>
          </w:r>
          <w:r>
            <w:fldChar w:fldCharType="end"/>
          </w:r>
          <w:r>
            <w:fldChar w:fldCharType="end"/>
          </w:r>
        </w:p>
        <w:p>
          <w:pPr>
            <w:pStyle w:val="10"/>
            <w:tabs>
              <w:tab w:val="right" w:leader="dot" w:pos="8306"/>
            </w:tabs>
            <w:spacing w:line="360" w:lineRule="auto"/>
          </w:pPr>
          <w:r>
            <w:fldChar w:fldCharType="begin"/>
          </w:r>
          <w:r>
            <w:instrText xml:space="preserve"> HYPERLINK \l "_Toc12669" </w:instrText>
          </w:r>
          <w:r>
            <w:fldChar w:fldCharType="separate"/>
          </w:r>
          <w:r>
            <w:rPr>
              <w:rFonts w:hint="eastAsia" w:cs="仿宋_GB2312"/>
              <w:kern w:val="0"/>
            </w:rPr>
            <w:t>（三）项目进度未达计划</w:t>
          </w:r>
          <w:r>
            <w:tab/>
          </w:r>
          <w:r>
            <w:fldChar w:fldCharType="begin"/>
          </w:r>
          <w:r>
            <w:instrText xml:space="preserve"> PAGEREF _Toc12669 \h </w:instrText>
          </w:r>
          <w:r>
            <w:fldChar w:fldCharType="separate"/>
          </w:r>
          <w:r>
            <w:t>10</w:t>
          </w:r>
          <w:r>
            <w:fldChar w:fldCharType="end"/>
          </w:r>
          <w:r>
            <w:fldChar w:fldCharType="end"/>
          </w:r>
        </w:p>
        <w:p>
          <w:pPr>
            <w:pStyle w:val="10"/>
            <w:tabs>
              <w:tab w:val="right" w:leader="dot" w:pos="8306"/>
            </w:tabs>
            <w:spacing w:line="360" w:lineRule="auto"/>
          </w:pPr>
          <w:r>
            <w:fldChar w:fldCharType="begin"/>
          </w:r>
          <w:r>
            <w:instrText xml:space="preserve"> HYPERLINK \l "_Toc15696" </w:instrText>
          </w:r>
          <w:r>
            <w:fldChar w:fldCharType="separate"/>
          </w:r>
          <w:r>
            <w:rPr>
              <w:rFonts w:hint="eastAsia" w:cs="仿宋_GB2312"/>
              <w:kern w:val="0"/>
            </w:rPr>
            <w:t>（四）已出租厂房租金未达预期</w:t>
          </w:r>
          <w:r>
            <w:tab/>
          </w:r>
          <w:r>
            <w:fldChar w:fldCharType="begin"/>
          </w:r>
          <w:r>
            <w:instrText xml:space="preserve"> PAGEREF _Toc15696 \h </w:instrText>
          </w:r>
          <w:r>
            <w:fldChar w:fldCharType="separate"/>
          </w:r>
          <w:r>
            <w:t>10</w:t>
          </w:r>
          <w:r>
            <w:fldChar w:fldCharType="end"/>
          </w:r>
          <w:r>
            <w:fldChar w:fldCharType="end"/>
          </w:r>
        </w:p>
        <w:p>
          <w:pPr>
            <w:pStyle w:val="10"/>
            <w:tabs>
              <w:tab w:val="right" w:leader="dot" w:pos="8306"/>
            </w:tabs>
            <w:spacing w:line="360" w:lineRule="auto"/>
          </w:pPr>
          <w:r>
            <w:fldChar w:fldCharType="begin"/>
          </w:r>
          <w:r>
            <w:instrText xml:space="preserve"> HYPERLINK \l "_Toc26499" </w:instrText>
          </w:r>
          <w:r>
            <w:fldChar w:fldCharType="separate"/>
          </w:r>
          <w:r>
            <w:rPr>
              <w:rFonts w:hint="eastAsia" w:cs="仿宋_GB2312"/>
              <w:kern w:val="0"/>
            </w:rPr>
            <w:t>（五）项目融资成本较高</w:t>
          </w:r>
          <w:r>
            <w:tab/>
          </w:r>
          <w:r>
            <w:fldChar w:fldCharType="begin"/>
          </w:r>
          <w:r>
            <w:instrText xml:space="preserve"> PAGEREF _Toc26499 \h </w:instrText>
          </w:r>
          <w:r>
            <w:fldChar w:fldCharType="separate"/>
          </w:r>
          <w:r>
            <w:t>11</w:t>
          </w:r>
          <w:r>
            <w:fldChar w:fldCharType="end"/>
          </w:r>
          <w:r>
            <w:fldChar w:fldCharType="end"/>
          </w:r>
        </w:p>
        <w:p>
          <w:pPr>
            <w:pStyle w:val="9"/>
            <w:tabs>
              <w:tab w:val="right" w:leader="dot" w:pos="8306"/>
            </w:tabs>
            <w:spacing w:line="360" w:lineRule="auto"/>
          </w:pPr>
          <w:r>
            <w:fldChar w:fldCharType="begin"/>
          </w:r>
          <w:r>
            <w:instrText xml:space="preserve"> HYPERLINK \l "_Toc4887" </w:instrText>
          </w:r>
          <w:r>
            <w:fldChar w:fldCharType="separate"/>
          </w:r>
          <w:r>
            <w:rPr>
              <w:rFonts w:hint="eastAsia" w:cs="仿宋_GB2312"/>
              <w:kern w:val="0"/>
            </w:rPr>
            <w:t>六、有关建议措施</w:t>
          </w:r>
          <w:r>
            <w:tab/>
          </w:r>
          <w:r>
            <w:fldChar w:fldCharType="begin"/>
          </w:r>
          <w:r>
            <w:instrText xml:space="preserve"> PAGEREF _Toc4887 \h </w:instrText>
          </w:r>
          <w:r>
            <w:fldChar w:fldCharType="separate"/>
          </w:r>
          <w:r>
            <w:t>11</w:t>
          </w:r>
          <w:r>
            <w:fldChar w:fldCharType="end"/>
          </w:r>
          <w:r>
            <w:fldChar w:fldCharType="end"/>
          </w:r>
        </w:p>
        <w:p>
          <w:pPr>
            <w:pStyle w:val="9"/>
            <w:tabs>
              <w:tab w:val="right" w:leader="dot" w:pos="8306"/>
            </w:tabs>
            <w:spacing w:line="360" w:lineRule="auto"/>
          </w:pPr>
          <w:r>
            <w:fldChar w:fldCharType="begin"/>
          </w:r>
          <w:r>
            <w:instrText xml:space="preserve"> HYPERLINK \l "_Toc6207" </w:instrText>
          </w:r>
          <w:r>
            <w:fldChar w:fldCharType="separate"/>
          </w:r>
          <w:r>
            <w:rPr>
              <w:rFonts w:hint="eastAsia" w:cs="仿宋_GB2312"/>
              <w:kern w:val="0"/>
            </w:rPr>
            <w:t>七、绩效评价报告说明</w:t>
          </w:r>
          <w:r>
            <w:tab/>
          </w:r>
          <w:r>
            <w:fldChar w:fldCharType="begin"/>
          </w:r>
          <w:r>
            <w:instrText xml:space="preserve"> PAGEREF _Toc6207 \h </w:instrText>
          </w:r>
          <w:r>
            <w:fldChar w:fldCharType="separate"/>
          </w:r>
          <w:r>
            <w:t>12</w:t>
          </w:r>
          <w:r>
            <w:fldChar w:fldCharType="end"/>
          </w:r>
          <w:r>
            <w:fldChar w:fldCharType="end"/>
          </w:r>
        </w:p>
        <w:p>
          <w:pPr>
            <w:spacing w:line="360" w:lineRule="auto"/>
          </w:pPr>
          <w:r>
            <w:fldChar w:fldCharType="end"/>
          </w:r>
        </w:p>
      </w:sdtContent>
    </w:sdt>
    <w:p>
      <w:pPr>
        <w:rPr>
          <w:b/>
          <w:bCs/>
          <w:kern w:val="0"/>
          <w:sz w:val="36"/>
          <w:szCs w:val="44"/>
        </w:rPr>
        <w:sectPr>
          <w:headerReference r:id="rId6" w:type="default"/>
          <w:footerReference r:id="rId7" w:type="default"/>
          <w:pgSz w:w="11906" w:h="16838"/>
          <w:pgMar w:top="1440" w:right="1800" w:bottom="1440" w:left="1800" w:header="851" w:footer="992" w:gutter="0"/>
          <w:pgNumType w:start="1"/>
          <w:cols w:space="425" w:num="1"/>
          <w:docGrid w:type="lines" w:linePitch="312" w:charSpace="0"/>
        </w:sectPr>
      </w:pPr>
    </w:p>
    <w:p>
      <w:pPr>
        <w:jc w:val="center"/>
        <w:rPr>
          <w:b/>
          <w:bCs/>
          <w:kern w:val="0"/>
          <w:sz w:val="44"/>
          <w:szCs w:val="44"/>
        </w:rPr>
      </w:pPr>
      <w:bookmarkStart w:id="0" w:name="_Hlk90581016"/>
      <w:r>
        <w:rPr>
          <w:rFonts w:hint="eastAsia"/>
          <w:b/>
          <w:bCs/>
          <w:kern w:val="0"/>
          <w:sz w:val="44"/>
          <w:szCs w:val="44"/>
        </w:rPr>
        <w:t>湖南汨罗循环经济园区配套公共基础设施项目</w:t>
      </w:r>
      <w:r>
        <w:rPr>
          <w:b/>
          <w:bCs/>
          <w:kern w:val="0"/>
          <w:sz w:val="44"/>
          <w:szCs w:val="44"/>
        </w:rPr>
        <w:t>政府专项债券</w:t>
      </w:r>
      <w:r>
        <w:rPr>
          <w:rFonts w:hint="eastAsia"/>
          <w:b/>
          <w:bCs/>
          <w:kern w:val="0"/>
          <w:sz w:val="44"/>
          <w:szCs w:val="44"/>
        </w:rPr>
        <w:t>资金</w:t>
      </w:r>
    </w:p>
    <w:p>
      <w:pPr>
        <w:spacing w:line="600" w:lineRule="exact"/>
        <w:jc w:val="center"/>
        <w:rPr>
          <w:b/>
          <w:bCs/>
          <w:kern w:val="0"/>
          <w:sz w:val="44"/>
          <w:szCs w:val="44"/>
        </w:rPr>
      </w:pPr>
      <w:r>
        <w:rPr>
          <w:b/>
          <w:bCs/>
          <w:kern w:val="0"/>
          <w:sz w:val="44"/>
          <w:szCs w:val="44"/>
        </w:rPr>
        <w:t>绩效评价</w:t>
      </w:r>
      <w:bookmarkEnd w:id="0"/>
      <w:r>
        <w:rPr>
          <w:b/>
          <w:bCs/>
          <w:kern w:val="0"/>
          <w:sz w:val="44"/>
          <w:szCs w:val="44"/>
        </w:rPr>
        <w:t>报告</w:t>
      </w:r>
    </w:p>
    <w:p>
      <w:pPr>
        <w:pStyle w:val="2"/>
      </w:pPr>
    </w:p>
    <w:p>
      <w:pPr>
        <w:spacing w:line="5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为加强政府专项债券资金管理，强化支出责任，提高资金使用效益，建立科学、合理的政府专项债券绩效评价体系，根据</w:t>
      </w:r>
      <w:r>
        <w:rPr>
          <w:rFonts w:hint="eastAsia" w:ascii="仿宋_GB2312" w:hAnsi="仿宋_GB2312" w:eastAsia="仿宋_GB2312" w:cs="仿宋_GB2312"/>
          <w:sz w:val="28"/>
          <w:szCs w:val="28"/>
        </w:rPr>
        <w:t>《湖南省财政厅关于开展2018-2020年度市县政府专项债券项目资金绩效评价的通知》</w:t>
      </w:r>
      <w:r>
        <w:rPr>
          <w:rFonts w:hint="eastAsia" w:ascii="仿宋_GB2312" w:eastAsia="仿宋_GB2312"/>
          <w:color w:val="000000"/>
          <w:sz w:val="28"/>
          <w:szCs w:val="28"/>
        </w:rPr>
        <w:t>文件精神，中证天通会计师事务所（特殊普通合伙）湖南分所受汨罗市财政局的委托，承担湖南汨罗循环经济园区配套公共基础设施项目政府专项债券资金绩效评价工作。本次评价我们根据绩效目标，采用定量分析和定性分析相结合的方法，从决策、过程、产出及效率等方面对湖南汨罗循环经济园区配套公共基础设施项目政府专项债券资金的绩效情况进行客观、公正的评价。</w:t>
      </w:r>
    </w:p>
    <w:p>
      <w:pPr>
        <w:adjustRightInd w:val="0"/>
        <w:snapToGrid w:val="0"/>
        <w:spacing w:before="156" w:beforeLines="50" w:line="360" w:lineRule="auto"/>
        <w:ind w:firstLine="643" w:firstLineChars="200"/>
        <w:outlineLvl w:val="0"/>
        <w:rPr>
          <w:rFonts w:ascii="黑体" w:hAnsi="黑体" w:eastAsia="黑体"/>
          <w:b/>
          <w:bCs/>
          <w:sz w:val="32"/>
          <w:szCs w:val="32"/>
        </w:rPr>
      </w:pPr>
      <w:bookmarkStart w:id="1" w:name="_Toc18735"/>
      <w:r>
        <w:rPr>
          <w:rFonts w:hint="eastAsia" w:ascii="黑体" w:hAnsi="黑体" w:eastAsia="黑体"/>
          <w:b/>
          <w:bCs/>
          <w:sz w:val="32"/>
          <w:szCs w:val="32"/>
        </w:rPr>
        <w:t>一、项目政府专项债券资金基本情况</w:t>
      </w:r>
      <w:bookmarkEnd w:id="1"/>
    </w:p>
    <w:p>
      <w:pPr>
        <w:adjustRightInd w:val="0"/>
        <w:snapToGrid w:val="0"/>
        <w:spacing w:line="360" w:lineRule="auto"/>
        <w:ind w:firstLine="640" w:firstLineChars="200"/>
        <w:outlineLvl w:val="1"/>
        <w:rPr>
          <w:rFonts w:eastAsia="仿宋_GB2312"/>
          <w:sz w:val="32"/>
          <w:szCs w:val="32"/>
        </w:rPr>
      </w:pPr>
      <w:bookmarkStart w:id="2" w:name="_Toc17940"/>
      <w:r>
        <w:rPr>
          <w:rFonts w:eastAsia="仿宋_GB2312"/>
          <w:sz w:val="32"/>
          <w:szCs w:val="32"/>
        </w:rPr>
        <w:t>（一）资金情况</w:t>
      </w:r>
      <w:bookmarkEnd w:id="2"/>
    </w:p>
    <w:p>
      <w:pPr>
        <w:adjustRightInd w:val="0"/>
        <w:snapToGrid w:val="0"/>
        <w:spacing w:line="360" w:lineRule="auto"/>
        <w:ind w:firstLine="560" w:firstLineChars="200"/>
        <w:outlineLvl w:val="2"/>
        <w:rPr>
          <w:rFonts w:eastAsia="仿宋_GB2312"/>
          <w:sz w:val="28"/>
          <w:szCs w:val="28"/>
        </w:rPr>
      </w:pPr>
      <w:r>
        <w:rPr>
          <w:rFonts w:eastAsia="仿宋_GB2312"/>
          <w:sz w:val="28"/>
          <w:szCs w:val="28"/>
        </w:rPr>
        <w:t>1、资金到位情况</w:t>
      </w:r>
    </w:p>
    <w:p>
      <w:pPr>
        <w:spacing w:line="360" w:lineRule="auto"/>
        <w:ind w:firstLine="560" w:firstLineChars="200"/>
        <w:rPr>
          <w:rFonts w:eastAsia="仿宋_GB2312"/>
          <w:sz w:val="28"/>
          <w:szCs w:val="28"/>
        </w:rPr>
      </w:pPr>
      <w:r>
        <w:rPr>
          <w:rFonts w:eastAsia="仿宋_GB2312"/>
          <w:sz w:val="28"/>
          <w:szCs w:val="28"/>
        </w:rPr>
        <w:t>2020年，湖南汨罗循环经济园区配套公共基础设施项目（原名：湖南汨罗循环经济产业园区标准化厂房（三期）工程建设项目）（以下简称“本项目”）申请发行政府专项债券22,900.00万元，截至2021年10月31日，已到位22,900.00万元，资金到位率100.00%。</w:t>
      </w:r>
    </w:p>
    <w:p>
      <w:pPr>
        <w:spacing w:line="360" w:lineRule="auto"/>
        <w:ind w:firstLine="560" w:firstLineChars="200"/>
        <w:rPr>
          <w:rFonts w:eastAsia="仿宋_GB2312"/>
          <w:sz w:val="28"/>
          <w:szCs w:val="28"/>
        </w:rPr>
      </w:pPr>
      <w:r>
        <w:rPr>
          <w:rFonts w:eastAsia="仿宋_GB2312"/>
          <w:sz w:val="28"/>
          <w:szCs w:val="28"/>
        </w:rPr>
        <w:t>2、资金使用情况</w:t>
      </w:r>
    </w:p>
    <w:p>
      <w:pPr>
        <w:spacing w:line="360" w:lineRule="auto"/>
        <w:ind w:firstLine="560" w:firstLineChars="200"/>
        <w:rPr>
          <w:rFonts w:eastAsia="仿宋_GB2312"/>
          <w:sz w:val="28"/>
          <w:szCs w:val="28"/>
        </w:rPr>
      </w:pPr>
      <w:r>
        <w:rPr>
          <w:rFonts w:eastAsia="仿宋_GB2312"/>
          <w:sz w:val="28"/>
          <w:szCs w:val="28"/>
        </w:rPr>
        <w:t>项目资金主要用于工程建设、其他费用、预备费及建设期利息等，其中建筑工程已花费15,304.99万元、设备及安装费4,817.74万元，工程建设其他费用4,467.85万元，共花费资金24,590.58万元，资金缺口由业主单位自筹资金支付，债券资金使用率100%。</w:t>
      </w:r>
      <w:r>
        <w:rPr>
          <w:rFonts w:eastAsia="仿宋_GB2312"/>
          <w:sz w:val="28"/>
          <w:szCs w:val="28"/>
        </w:rPr>
        <w:tab/>
      </w:r>
    </w:p>
    <w:p>
      <w:pPr>
        <w:spacing w:line="360" w:lineRule="auto"/>
        <w:ind w:firstLine="640" w:firstLineChars="200"/>
        <w:outlineLvl w:val="1"/>
        <w:rPr>
          <w:rFonts w:eastAsia="仿宋_GB2312"/>
          <w:sz w:val="32"/>
          <w:szCs w:val="32"/>
        </w:rPr>
      </w:pPr>
      <w:bookmarkStart w:id="3" w:name="_Toc7128"/>
      <w:r>
        <w:rPr>
          <w:rFonts w:eastAsia="仿宋_GB2312"/>
          <w:sz w:val="32"/>
          <w:szCs w:val="32"/>
        </w:rPr>
        <w:t>（二）项目情况</w:t>
      </w:r>
      <w:bookmarkEnd w:id="3"/>
    </w:p>
    <w:p>
      <w:pPr>
        <w:adjustRightInd w:val="0"/>
        <w:snapToGrid w:val="0"/>
        <w:spacing w:line="360" w:lineRule="auto"/>
        <w:ind w:firstLine="560" w:firstLineChars="200"/>
        <w:outlineLvl w:val="2"/>
        <w:rPr>
          <w:rFonts w:eastAsia="仿宋_GB2312"/>
          <w:sz w:val="28"/>
          <w:szCs w:val="28"/>
        </w:rPr>
      </w:pPr>
      <w:r>
        <w:rPr>
          <w:rFonts w:eastAsia="仿宋_GB2312"/>
          <w:sz w:val="28"/>
          <w:szCs w:val="28"/>
        </w:rPr>
        <w:t>1、项目实施情况</w:t>
      </w:r>
    </w:p>
    <w:p>
      <w:pPr>
        <w:spacing w:line="360" w:lineRule="auto"/>
        <w:ind w:firstLine="560" w:firstLineChars="200"/>
        <w:rPr>
          <w:rFonts w:eastAsia="仿宋_GB2312"/>
          <w:sz w:val="28"/>
          <w:szCs w:val="28"/>
        </w:rPr>
      </w:pPr>
      <w:r>
        <w:rPr>
          <w:rFonts w:eastAsia="仿宋_GB2312"/>
          <w:sz w:val="28"/>
          <w:szCs w:val="28"/>
        </w:rPr>
        <w:t>本项目主体工程计划建成建筑面积207,133.5</w:t>
      </w:r>
      <w:r>
        <w:rPr>
          <w:rFonts w:eastAsia="Segoe UI Symbol"/>
          <w:sz w:val="28"/>
          <w:szCs w:val="28"/>
        </w:rPr>
        <w:t>㎡</w:t>
      </w:r>
      <w:r>
        <w:rPr>
          <w:rFonts w:eastAsia="仿宋_GB2312"/>
          <w:sz w:val="28"/>
          <w:szCs w:val="28"/>
        </w:rPr>
        <w:t>，2020年经汨罗市住房和城乡建设局及汨罗市发展和改革局批复，同意调整总建筑面积为215,167.60</w:t>
      </w:r>
      <w:r>
        <w:rPr>
          <w:rFonts w:eastAsia="Segoe UI Symbol"/>
          <w:sz w:val="28"/>
          <w:szCs w:val="28"/>
        </w:rPr>
        <w:t>㎡</w:t>
      </w:r>
      <w:r>
        <w:rPr>
          <w:rFonts w:eastAsia="仿宋_GB2312"/>
          <w:sz w:val="28"/>
          <w:szCs w:val="28"/>
        </w:rPr>
        <w:t xml:space="preserve">，建设进度为75.09%，已建成建筑面积161,570.55 </w:t>
      </w:r>
      <w:r>
        <w:rPr>
          <w:rFonts w:eastAsia="Segoe UI Symbol"/>
          <w:sz w:val="28"/>
          <w:szCs w:val="28"/>
        </w:rPr>
        <w:t>㎡</w:t>
      </w:r>
      <w:r>
        <w:rPr>
          <w:rFonts w:eastAsia="仿宋_GB2312"/>
          <w:sz w:val="28"/>
          <w:szCs w:val="28"/>
        </w:rPr>
        <w:t>，尚未完成部分53,597.05</w:t>
      </w:r>
      <w:r>
        <w:rPr>
          <w:rFonts w:eastAsia="Segoe UI Symbol"/>
          <w:sz w:val="28"/>
          <w:szCs w:val="28"/>
        </w:rPr>
        <w:t>㎡</w:t>
      </w:r>
      <w:r>
        <w:rPr>
          <w:rFonts w:eastAsia="仿宋_GB2312"/>
          <w:sz w:val="28"/>
          <w:szCs w:val="28"/>
        </w:rPr>
        <w:t>。</w:t>
      </w:r>
    </w:p>
    <w:p>
      <w:pPr>
        <w:tabs>
          <w:tab w:val="left" w:pos="3660"/>
        </w:tabs>
        <w:spacing w:line="360" w:lineRule="auto"/>
        <w:ind w:firstLine="560" w:firstLineChars="200"/>
        <w:rPr>
          <w:rFonts w:eastAsia="仿宋_GB2312"/>
          <w:sz w:val="28"/>
          <w:szCs w:val="28"/>
        </w:rPr>
      </w:pPr>
      <w:r>
        <w:rPr>
          <w:rFonts w:eastAsia="仿宋_GB2312"/>
          <w:sz w:val="28"/>
          <w:szCs w:val="28"/>
        </w:rPr>
        <w:t>2、项目管理情况</w:t>
      </w:r>
      <w:r>
        <w:rPr>
          <w:rFonts w:eastAsia="仿宋_GB2312"/>
          <w:sz w:val="28"/>
          <w:szCs w:val="28"/>
        </w:rPr>
        <w:tab/>
      </w:r>
    </w:p>
    <w:p>
      <w:pPr>
        <w:spacing w:line="360" w:lineRule="auto"/>
        <w:ind w:firstLine="560" w:firstLineChars="200"/>
        <w:rPr>
          <w:rFonts w:eastAsia="仿宋_GB2312"/>
          <w:color w:val="000000"/>
          <w:sz w:val="28"/>
          <w:szCs w:val="28"/>
        </w:rPr>
      </w:pPr>
      <w:r>
        <w:rPr>
          <w:rFonts w:eastAsia="仿宋_GB2312"/>
          <w:sz w:val="28"/>
          <w:szCs w:val="28"/>
        </w:rPr>
        <w:t>本项目由湖南汨之源实业集团有限公司成立项目建设小组，由公司主管领导任组长，确保项目高质量、高标准按进度计划安排的工期完成。具体负责征地手续的办理和园区规划、设计、报批与实施及项目的组织、协调等工作。为加强对项目的管理、有序推进项目的实施，项目实施单位制定了《湖南汨之源实业集团有限公司工程建设流程》、《湖南汨之源实业集团有限公司安全生产管理制度》等文件，针对项目施工准备、建设实施阶段、竣工验收等严格按照管理方案进行管理，项目管理采用项目法人制、招投标制、建设监理制、合同管理制。招标活动遵循公开、公平、公正和诚实可信的原则，施工单位资质严格审查，选择具有等级的单位组织施工,在施工安装前对产品质量进行检验。</w:t>
      </w:r>
    </w:p>
    <w:p>
      <w:pPr>
        <w:numPr>
          <w:ilvl w:val="0"/>
          <w:numId w:val="1"/>
        </w:numPr>
        <w:spacing w:before="156" w:beforeLines="50" w:line="360" w:lineRule="auto"/>
        <w:ind w:firstLine="640" w:firstLineChars="200"/>
        <w:outlineLvl w:val="0"/>
        <w:rPr>
          <w:rFonts w:ascii="黑体" w:hAnsi="黑体" w:eastAsia="黑体"/>
          <w:sz w:val="32"/>
          <w:szCs w:val="32"/>
        </w:rPr>
      </w:pPr>
      <w:bookmarkStart w:id="4" w:name="_Toc4002"/>
      <w:r>
        <w:rPr>
          <w:rFonts w:ascii="黑体" w:hAnsi="黑体" w:eastAsia="黑体"/>
          <w:sz w:val="32"/>
          <w:szCs w:val="32"/>
        </w:rPr>
        <w:t>绩效评价工作情况</w:t>
      </w:r>
      <w:bookmarkEnd w:id="4"/>
      <w:bookmarkStart w:id="5" w:name="_Toc32749"/>
    </w:p>
    <w:p>
      <w:pPr>
        <w:spacing w:before="156" w:beforeLines="50" w:line="360" w:lineRule="auto"/>
        <w:ind w:firstLine="640" w:firstLineChars="200"/>
        <w:outlineLvl w:val="1"/>
        <w:rPr>
          <w:rFonts w:eastAsia="仿宋_GB2312"/>
          <w:sz w:val="32"/>
          <w:szCs w:val="32"/>
        </w:rPr>
      </w:pPr>
      <w:bookmarkStart w:id="6" w:name="_Toc1463"/>
      <w:r>
        <w:rPr>
          <w:rStyle w:val="14"/>
          <w:rFonts w:ascii="Times New Roman" w:hAnsi="Times New Roman" w:eastAsia="仿宋_GB2312"/>
          <w:b w:val="0"/>
          <w:szCs w:val="32"/>
        </w:rPr>
        <w:t>（一）绩效评价目的</w:t>
      </w:r>
      <w:bookmarkEnd w:id="5"/>
      <w:bookmarkEnd w:id="6"/>
    </w:p>
    <w:p>
      <w:pPr>
        <w:pStyle w:val="11"/>
        <w:widowControl/>
        <w:spacing w:line="360" w:lineRule="auto"/>
        <w:ind w:firstLine="560" w:firstLineChars="200"/>
        <w:rPr>
          <w:rFonts w:eastAsia="仿宋_GB2312"/>
          <w:sz w:val="28"/>
          <w:szCs w:val="28"/>
        </w:rPr>
      </w:pPr>
      <w:r>
        <w:rPr>
          <w:rFonts w:eastAsia="仿宋_GB2312"/>
          <w:sz w:val="28"/>
          <w:szCs w:val="28"/>
        </w:rPr>
        <w:t>本次绩效评价的目的是贯彻落实中央关于全面实施预算绩效管理的决策部署，加强政府专项债券项目资金管理，提高专项债券资金使用效益，有效防范政府债务风险。</w:t>
      </w:r>
    </w:p>
    <w:p>
      <w:pPr>
        <w:pStyle w:val="11"/>
        <w:widowControl/>
        <w:spacing w:line="360" w:lineRule="auto"/>
        <w:ind w:firstLine="640" w:firstLineChars="200"/>
        <w:outlineLvl w:val="1"/>
        <w:rPr>
          <w:rStyle w:val="14"/>
          <w:rFonts w:ascii="Times New Roman" w:hAnsi="Times New Roman" w:eastAsia="仿宋_GB2312"/>
          <w:b w:val="0"/>
          <w:szCs w:val="32"/>
        </w:rPr>
      </w:pPr>
      <w:bookmarkStart w:id="7" w:name="_Toc23823"/>
      <w:bookmarkStart w:id="8" w:name="_Toc18317"/>
      <w:r>
        <w:rPr>
          <w:rStyle w:val="14"/>
          <w:rFonts w:ascii="Times New Roman" w:hAnsi="Times New Roman" w:eastAsia="仿宋_GB2312"/>
          <w:b w:val="0"/>
          <w:szCs w:val="32"/>
        </w:rPr>
        <w:t>（二）绩效评价框架</w:t>
      </w:r>
      <w:bookmarkEnd w:id="7"/>
    </w:p>
    <w:bookmarkEnd w:id="8"/>
    <w:p>
      <w:pPr>
        <w:pStyle w:val="11"/>
        <w:widowControl/>
        <w:spacing w:line="360" w:lineRule="auto"/>
        <w:ind w:firstLine="560" w:firstLineChars="200"/>
        <w:rPr>
          <w:rFonts w:eastAsia="仿宋_GB2312"/>
          <w:sz w:val="28"/>
          <w:szCs w:val="28"/>
        </w:rPr>
      </w:pPr>
      <w:r>
        <w:rPr>
          <w:rFonts w:eastAsia="仿宋_GB2312"/>
          <w:sz w:val="28"/>
          <w:szCs w:val="28"/>
        </w:rPr>
        <w:t>1、绩效评价原则：公开、公平、公正和综合分析原则。</w:t>
      </w:r>
    </w:p>
    <w:p>
      <w:pPr>
        <w:pStyle w:val="11"/>
        <w:widowControl/>
        <w:spacing w:line="360" w:lineRule="auto"/>
        <w:ind w:firstLine="560" w:firstLineChars="200"/>
        <w:rPr>
          <w:rFonts w:eastAsia="仿宋_GB2312"/>
          <w:sz w:val="28"/>
          <w:szCs w:val="28"/>
        </w:rPr>
      </w:pPr>
      <w:r>
        <w:rPr>
          <w:rFonts w:eastAsia="仿宋_GB2312"/>
          <w:sz w:val="28"/>
          <w:szCs w:val="28"/>
        </w:rPr>
        <w:t>2、评价指标体系：依据政府专项债券项目资金绩效评价共性指标，根据该项目实际情况和具体实施的过程及结果效应，制定符合该项目相应的个性指标，最终完善评价指标体系。具体各级指标设计要求为：</w:t>
      </w:r>
    </w:p>
    <w:p>
      <w:pPr>
        <w:pStyle w:val="11"/>
        <w:widowControl/>
        <w:spacing w:line="360" w:lineRule="auto"/>
        <w:ind w:firstLine="560" w:firstLineChars="200"/>
        <w:rPr>
          <w:rFonts w:eastAsia="仿宋_GB2312"/>
          <w:sz w:val="28"/>
          <w:szCs w:val="28"/>
        </w:rPr>
      </w:pPr>
      <w:r>
        <w:rPr>
          <w:rFonts w:eastAsia="仿宋_GB2312"/>
          <w:sz w:val="28"/>
          <w:szCs w:val="28"/>
        </w:rPr>
        <w:t>（1）一级指标的设计</w:t>
      </w:r>
    </w:p>
    <w:p>
      <w:pPr>
        <w:pStyle w:val="11"/>
        <w:widowControl/>
        <w:spacing w:line="360" w:lineRule="auto"/>
        <w:ind w:firstLine="560" w:firstLineChars="200"/>
        <w:rPr>
          <w:rFonts w:eastAsia="仿宋_GB2312"/>
          <w:sz w:val="28"/>
          <w:szCs w:val="28"/>
        </w:rPr>
      </w:pPr>
      <w:r>
        <w:rPr>
          <w:rFonts w:eastAsia="仿宋_GB2312"/>
          <w:sz w:val="28"/>
          <w:szCs w:val="28"/>
        </w:rPr>
        <w:t>一级指标亦称指标维度。维度是对评价对象类型、问题的区分，规定了评价的基本面向，通过维度区分，可使评价层面条理化，评价具有可比性，依据该项目的特点，我们从该项目的决策、过程、产出和效益4个维度进行构建，设计了4个一级指标。</w:t>
      </w:r>
    </w:p>
    <w:p>
      <w:pPr>
        <w:pStyle w:val="11"/>
        <w:widowControl/>
        <w:numPr>
          <w:ilvl w:val="0"/>
          <w:numId w:val="2"/>
        </w:numPr>
        <w:spacing w:line="360" w:lineRule="auto"/>
        <w:ind w:firstLine="560" w:firstLineChars="200"/>
        <w:rPr>
          <w:rFonts w:eastAsia="仿宋_GB2312"/>
          <w:sz w:val="28"/>
          <w:szCs w:val="28"/>
        </w:rPr>
      </w:pPr>
      <w:r>
        <w:rPr>
          <w:rFonts w:eastAsia="仿宋_GB2312"/>
          <w:sz w:val="28"/>
          <w:szCs w:val="28"/>
        </w:rPr>
        <w:t>二级指标的设计</w:t>
      </w:r>
    </w:p>
    <w:p>
      <w:pPr>
        <w:pStyle w:val="11"/>
        <w:widowControl/>
        <w:spacing w:line="360" w:lineRule="auto"/>
        <w:ind w:firstLine="560" w:firstLineChars="200"/>
        <w:rPr>
          <w:rFonts w:eastAsia="仿宋_GB2312"/>
          <w:sz w:val="28"/>
          <w:szCs w:val="28"/>
        </w:rPr>
      </w:pPr>
      <w:r>
        <w:rPr>
          <w:rFonts w:eastAsia="仿宋_GB2312"/>
          <w:sz w:val="28"/>
          <w:szCs w:val="28"/>
        </w:rPr>
        <w:t>二级指标系基本指标，也是指标内容、中间段指标，是评价手段的体现，作为维度的载体和外在表现，需要根据项目的种类、特点相关度和隶属性进行编制。我们根据4个一级指标设计了12个二级指标。</w:t>
      </w:r>
    </w:p>
    <w:p>
      <w:pPr>
        <w:pStyle w:val="11"/>
        <w:widowControl/>
        <w:numPr>
          <w:ilvl w:val="0"/>
          <w:numId w:val="2"/>
        </w:numPr>
        <w:spacing w:line="360" w:lineRule="auto"/>
        <w:ind w:firstLine="560" w:firstLineChars="200"/>
        <w:rPr>
          <w:rFonts w:eastAsia="仿宋_GB2312"/>
          <w:sz w:val="28"/>
          <w:szCs w:val="28"/>
        </w:rPr>
      </w:pPr>
      <w:r>
        <w:rPr>
          <w:rFonts w:eastAsia="仿宋_GB2312"/>
          <w:sz w:val="28"/>
          <w:szCs w:val="28"/>
        </w:rPr>
        <w:t>三级指标的设计</w:t>
      </w:r>
    </w:p>
    <w:p>
      <w:pPr>
        <w:pStyle w:val="11"/>
        <w:widowControl/>
        <w:spacing w:line="360" w:lineRule="auto"/>
        <w:ind w:firstLine="560" w:firstLineChars="200"/>
        <w:rPr>
          <w:rFonts w:eastAsia="仿宋_GB2312"/>
          <w:sz w:val="28"/>
          <w:szCs w:val="28"/>
        </w:rPr>
      </w:pPr>
      <w:r>
        <w:rPr>
          <w:rFonts w:eastAsia="仿宋_GB2312"/>
          <w:sz w:val="28"/>
          <w:szCs w:val="28"/>
        </w:rPr>
        <w:t>三级指标系指标要素，即具体指标，是评价内容的实质性和具体表现，需进行量化考量，我们从12个基本二级指标的相关性设计了29个三级指标。评价指标体系见评分表。</w:t>
      </w:r>
    </w:p>
    <w:p>
      <w:pPr>
        <w:pStyle w:val="11"/>
        <w:widowControl/>
        <w:spacing w:line="360" w:lineRule="auto"/>
        <w:ind w:firstLine="560" w:firstLineChars="200"/>
        <w:rPr>
          <w:rFonts w:eastAsia="仿宋_GB2312"/>
          <w:sz w:val="28"/>
          <w:szCs w:val="28"/>
        </w:rPr>
      </w:pPr>
      <w:r>
        <w:rPr>
          <w:rFonts w:eastAsia="仿宋_GB2312"/>
          <w:sz w:val="28"/>
          <w:szCs w:val="28"/>
        </w:rPr>
        <w:t>3、评价标准：绩效评价标准是衡量政府专项债券绩效目标完成程度的尺度。具体包括：计划标准、行业标准、历史标准。</w:t>
      </w:r>
    </w:p>
    <w:p>
      <w:pPr>
        <w:pStyle w:val="11"/>
        <w:widowControl/>
        <w:spacing w:line="360" w:lineRule="auto"/>
        <w:ind w:firstLine="560" w:firstLineChars="200"/>
        <w:rPr>
          <w:rFonts w:eastAsia="仿宋_GB2312"/>
          <w:sz w:val="28"/>
          <w:szCs w:val="28"/>
        </w:rPr>
      </w:pPr>
      <w:r>
        <w:rPr>
          <w:rFonts w:eastAsia="仿宋_GB2312"/>
          <w:sz w:val="28"/>
          <w:szCs w:val="28"/>
        </w:rPr>
        <w:t>4、评价方法：绩效评价主要采用成本效益分析法、比较法、因素分析法、公众评判法等。</w:t>
      </w:r>
    </w:p>
    <w:p>
      <w:pPr>
        <w:pStyle w:val="11"/>
        <w:widowControl/>
        <w:spacing w:line="360" w:lineRule="auto"/>
        <w:ind w:firstLine="560" w:firstLineChars="200"/>
        <w:rPr>
          <w:rFonts w:eastAsia="仿宋_GB2312"/>
          <w:sz w:val="28"/>
          <w:szCs w:val="28"/>
        </w:rPr>
      </w:pPr>
      <w:r>
        <w:rPr>
          <w:rFonts w:eastAsia="仿宋_GB2312"/>
          <w:sz w:val="28"/>
          <w:szCs w:val="28"/>
        </w:rPr>
        <w:t>5、评价依据：</w:t>
      </w:r>
    </w:p>
    <w:p>
      <w:pPr>
        <w:pStyle w:val="11"/>
        <w:widowControl/>
        <w:spacing w:line="360" w:lineRule="auto"/>
        <w:ind w:firstLine="560" w:firstLineChars="200"/>
        <w:rPr>
          <w:rFonts w:eastAsia="仿宋_GB2312"/>
          <w:sz w:val="28"/>
          <w:szCs w:val="28"/>
        </w:rPr>
      </w:pPr>
      <w:r>
        <w:rPr>
          <w:rFonts w:eastAsia="仿宋_GB2312"/>
          <w:sz w:val="28"/>
          <w:szCs w:val="28"/>
        </w:rPr>
        <w:t>（1）预算绩效管理相关文件。主要包括《中共中央国务院关于全面实施预算绩效管理的意见》（中发〔2018〕34号）、财政部《项目支出绩效评价管理办法》（财预〔2020〕10号）、《中共湖南省委办公厅 湖南省人民政府办公厅关于全面实施预算绩效管理的实施意见》（湘办发〔2019〕10号）、《湖南省人民政府办公厅关于进一步规范财政管理硬化预算约束的通知》（湘政办发〔2020〕12号）、《湖南省预算支出绩效评价管理办法的通知》（湘财绩〔2020〕7号）等相关文件规定；</w:t>
      </w:r>
    </w:p>
    <w:p>
      <w:pPr>
        <w:pStyle w:val="11"/>
        <w:widowControl/>
        <w:spacing w:line="360" w:lineRule="auto"/>
        <w:ind w:firstLine="560" w:firstLineChars="200"/>
        <w:rPr>
          <w:rFonts w:eastAsia="仿宋_GB2312"/>
          <w:sz w:val="28"/>
          <w:szCs w:val="28"/>
        </w:rPr>
      </w:pPr>
      <w:r>
        <w:rPr>
          <w:rFonts w:eastAsia="仿宋_GB2312"/>
          <w:sz w:val="28"/>
          <w:szCs w:val="28"/>
        </w:rPr>
        <w:t>（2）政府专项债券资金管理相关文件。主要包括《中共中央办公厅 国务院办公厅印发关于做好地方政府专项债券发行及项目配套融资工作的通知》（厅字〔2019〕33号）、《国务院关于加强地方政府性债务管理的意见》（国发〔2014〕43号）、《地方政府专项债务预算管理办法》（财预〔2016〕155号）、《地方政府专项债券项目资金绩效管理办法》（财预〔2021〕61号）、《中共湖南省委 湖南省人民政府关于严控政府性债务增长切实防范债务风险的若干意见》（湘发〔2018〕5号）、《湖南省政府债务项目绩效管理暂行办法》（湘财绩〔2020〕12号）、等文件，以及其他相关政府债务资金管理文件和法律法规等；</w:t>
      </w:r>
    </w:p>
    <w:p>
      <w:pPr>
        <w:pStyle w:val="11"/>
        <w:widowControl/>
        <w:spacing w:line="360" w:lineRule="auto"/>
        <w:ind w:firstLine="560" w:firstLineChars="200"/>
        <w:rPr>
          <w:rFonts w:eastAsia="仿宋_GB2312"/>
          <w:sz w:val="28"/>
          <w:szCs w:val="28"/>
        </w:rPr>
      </w:pPr>
      <w:r>
        <w:rPr>
          <w:rFonts w:eastAsia="仿宋_GB2312"/>
          <w:sz w:val="28"/>
          <w:szCs w:val="28"/>
        </w:rPr>
        <w:t>（3）单位自查材料。项目单位按照绩效评价工作要求编制的项目自评报告和基础数据表以及其他相关佐证资料等；</w:t>
      </w:r>
    </w:p>
    <w:p>
      <w:pPr>
        <w:pStyle w:val="11"/>
        <w:widowControl/>
        <w:spacing w:line="360" w:lineRule="auto"/>
        <w:ind w:firstLine="560" w:firstLineChars="200"/>
        <w:rPr>
          <w:rFonts w:eastAsia="仿宋_GB2312"/>
          <w:sz w:val="28"/>
          <w:szCs w:val="28"/>
        </w:rPr>
      </w:pPr>
      <w:r>
        <w:rPr>
          <w:rFonts w:eastAsia="仿宋_GB2312"/>
          <w:sz w:val="28"/>
          <w:szCs w:val="28"/>
        </w:rPr>
        <w:t xml:space="preserve">（4）其他涉及资金及项目的相关依据。主要包括政府专项债券项目申报资料等。 </w:t>
      </w:r>
    </w:p>
    <w:p>
      <w:pPr>
        <w:pStyle w:val="11"/>
        <w:widowControl/>
        <w:numPr>
          <w:ilvl w:val="0"/>
          <w:numId w:val="3"/>
        </w:numPr>
        <w:spacing w:line="360" w:lineRule="auto"/>
        <w:ind w:firstLine="640" w:firstLineChars="200"/>
        <w:outlineLvl w:val="1"/>
        <w:rPr>
          <w:rStyle w:val="14"/>
          <w:rFonts w:ascii="Times New Roman" w:hAnsi="Times New Roman" w:eastAsia="仿宋_GB2312"/>
          <w:b w:val="0"/>
          <w:szCs w:val="32"/>
        </w:rPr>
      </w:pPr>
      <w:bookmarkStart w:id="9" w:name="_Toc24686"/>
      <w:bookmarkStart w:id="10" w:name="_Toc10885"/>
      <w:r>
        <w:rPr>
          <w:rStyle w:val="14"/>
          <w:rFonts w:ascii="Times New Roman" w:hAnsi="Times New Roman" w:eastAsia="仿宋_GB2312"/>
          <w:b w:val="0"/>
          <w:szCs w:val="32"/>
        </w:rPr>
        <w:t>证据收集方法</w:t>
      </w:r>
      <w:bookmarkEnd w:id="9"/>
    </w:p>
    <w:bookmarkEnd w:id="10"/>
    <w:p>
      <w:pPr>
        <w:pStyle w:val="11"/>
        <w:widowControl/>
        <w:spacing w:line="360" w:lineRule="auto"/>
        <w:ind w:firstLine="560" w:firstLineChars="200"/>
        <w:rPr>
          <w:rFonts w:eastAsia="仿宋_GB2312"/>
          <w:sz w:val="28"/>
          <w:szCs w:val="28"/>
        </w:rPr>
      </w:pPr>
      <w:r>
        <w:rPr>
          <w:rFonts w:eastAsia="仿宋_GB2312"/>
          <w:sz w:val="28"/>
          <w:szCs w:val="28"/>
        </w:rPr>
        <w:t>本次评价采用了案卷研究、资料收集与数据填报、实地勘察、访谈、问卷调查等证据收集方法。</w:t>
      </w:r>
    </w:p>
    <w:p>
      <w:pPr>
        <w:pStyle w:val="11"/>
        <w:widowControl/>
        <w:numPr>
          <w:ilvl w:val="0"/>
          <w:numId w:val="4"/>
        </w:numPr>
        <w:spacing w:line="360" w:lineRule="auto"/>
        <w:ind w:firstLine="560" w:firstLineChars="200"/>
        <w:rPr>
          <w:rFonts w:eastAsia="仿宋_GB2312"/>
          <w:sz w:val="28"/>
          <w:szCs w:val="28"/>
        </w:rPr>
      </w:pPr>
      <w:r>
        <w:rPr>
          <w:rFonts w:eastAsia="仿宋_GB2312"/>
          <w:sz w:val="28"/>
          <w:szCs w:val="28"/>
        </w:rPr>
        <w:t>案卷研究。从现有的与资金使用单位、被评价对象有关的项目文件、地方发展政策和规划、各种相关资料等文档资料中寻找、分析、对比数据。</w:t>
      </w:r>
    </w:p>
    <w:p>
      <w:pPr>
        <w:pStyle w:val="11"/>
        <w:widowControl/>
        <w:numPr>
          <w:ilvl w:val="0"/>
          <w:numId w:val="4"/>
        </w:numPr>
        <w:spacing w:line="360" w:lineRule="auto"/>
        <w:ind w:firstLine="560" w:firstLineChars="200"/>
        <w:rPr>
          <w:rFonts w:eastAsia="仿宋_GB2312"/>
          <w:sz w:val="28"/>
          <w:szCs w:val="28"/>
        </w:rPr>
      </w:pPr>
      <w:r>
        <w:rPr>
          <w:rFonts w:eastAsia="仿宋_GB2312"/>
          <w:sz w:val="28"/>
          <w:szCs w:val="28"/>
        </w:rPr>
        <w:t>资料收集与数据填报。向资料使用单位收集与被评价对象有关的文件、会计账簿等资料。</w:t>
      </w:r>
    </w:p>
    <w:p>
      <w:pPr>
        <w:pStyle w:val="11"/>
        <w:widowControl/>
        <w:numPr>
          <w:ilvl w:val="0"/>
          <w:numId w:val="4"/>
        </w:numPr>
        <w:spacing w:line="360" w:lineRule="auto"/>
        <w:ind w:firstLine="560" w:firstLineChars="200"/>
        <w:rPr>
          <w:rFonts w:eastAsia="仿宋_GB2312"/>
          <w:sz w:val="28"/>
          <w:szCs w:val="28"/>
        </w:rPr>
      </w:pPr>
      <w:r>
        <w:rPr>
          <w:rFonts w:eastAsia="仿宋_GB2312"/>
          <w:sz w:val="28"/>
          <w:szCs w:val="28"/>
        </w:rPr>
        <w:t>实地勘察。深入被评价单位，通过询问、核对、检查等方法进行调查，获取绩效评价工作需要的基础资料。</w:t>
      </w:r>
    </w:p>
    <w:p>
      <w:pPr>
        <w:pStyle w:val="11"/>
        <w:widowControl/>
        <w:numPr>
          <w:ilvl w:val="0"/>
          <w:numId w:val="4"/>
        </w:numPr>
        <w:spacing w:line="360" w:lineRule="auto"/>
        <w:ind w:firstLine="560" w:firstLineChars="200"/>
        <w:rPr>
          <w:rFonts w:eastAsia="仿宋_GB2312"/>
          <w:sz w:val="28"/>
          <w:szCs w:val="28"/>
        </w:rPr>
      </w:pPr>
      <w:r>
        <w:rPr>
          <w:rFonts w:eastAsia="仿宋_GB2312"/>
          <w:sz w:val="28"/>
          <w:szCs w:val="28"/>
        </w:rPr>
        <w:t>访谈。根据访谈目标，确定访谈对象，了解被评价单位对评价对象的目标设定及完成程度，管理制度建立健全及落实情况，资金支出执行情况，财务管理状况，项目产生的效益等情况。</w:t>
      </w:r>
    </w:p>
    <w:p>
      <w:pPr>
        <w:pStyle w:val="11"/>
        <w:widowControl/>
        <w:numPr>
          <w:ilvl w:val="0"/>
          <w:numId w:val="4"/>
        </w:numPr>
        <w:spacing w:line="360" w:lineRule="auto"/>
        <w:ind w:firstLine="560" w:firstLineChars="200"/>
        <w:rPr>
          <w:rFonts w:eastAsia="仿宋_GB2312"/>
          <w:sz w:val="28"/>
          <w:szCs w:val="28"/>
        </w:rPr>
      </w:pPr>
      <w:r>
        <w:rPr>
          <w:rFonts w:eastAsia="仿宋_GB2312"/>
          <w:sz w:val="28"/>
          <w:szCs w:val="28"/>
        </w:rPr>
        <w:t xml:space="preserve">问卷调查。通过对服务对象进行问卷调查，了解相关情况，设计问卷调查分值、问题的数量、样本数量和方式方法。           </w:t>
      </w:r>
    </w:p>
    <w:p>
      <w:pPr>
        <w:pStyle w:val="11"/>
        <w:widowControl/>
        <w:numPr>
          <w:ilvl w:val="0"/>
          <w:numId w:val="3"/>
        </w:numPr>
        <w:spacing w:line="360" w:lineRule="auto"/>
        <w:ind w:firstLine="640" w:firstLineChars="200"/>
        <w:outlineLvl w:val="1"/>
        <w:rPr>
          <w:rStyle w:val="14"/>
          <w:rFonts w:ascii="Times New Roman" w:hAnsi="Times New Roman" w:eastAsia="仿宋_GB2312"/>
          <w:b w:val="0"/>
          <w:szCs w:val="32"/>
        </w:rPr>
      </w:pPr>
      <w:bookmarkStart w:id="11" w:name="_Toc22408"/>
      <w:bookmarkStart w:id="12" w:name="_Toc24007"/>
      <w:r>
        <w:rPr>
          <w:rStyle w:val="14"/>
          <w:rFonts w:ascii="Times New Roman" w:hAnsi="Times New Roman" w:eastAsia="仿宋_GB2312"/>
          <w:b w:val="0"/>
          <w:szCs w:val="32"/>
        </w:rPr>
        <w:t>绩效评价工作过程</w:t>
      </w:r>
      <w:bookmarkEnd w:id="11"/>
    </w:p>
    <w:bookmarkEnd w:id="12"/>
    <w:p>
      <w:pPr>
        <w:spacing w:line="360" w:lineRule="auto"/>
        <w:ind w:firstLine="560" w:firstLineChars="200"/>
        <w:jc w:val="left"/>
        <w:rPr>
          <w:rFonts w:eastAsia="仿宋_GB2312"/>
          <w:sz w:val="28"/>
          <w:szCs w:val="28"/>
        </w:rPr>
      </w:pPr>
      <w:r>
        <w:rPr>
          <w:rFonts w:eastAsia="仿宋_GB2312"/>
          <w:sz w:val="28"/>
          <w:szCs w:val="28"/>
        </w:rPr>
        <w:t>1、成立绩效评价工作小组。接受委托后，我所由专业人员制定评价实施方案，组织专业人员对湖南汨罗循环经济园区配套公共基础设施项目政府专项债券项目资金开展了绩效评价工作。</w:t>
      </w:r>
    </w:p>
    <w:p>
      <w:pPr>
        <w:pStyle w:val="11"/>
        <w:widowControl/>
        <w:spacing w:line="360" w:lineRule="auto"/>
        <w:ind w:firstLine="560" w:firstLineChars="200"/>
        <w:rPr>
          <w:rFonts w:eastAsia="仿宋_GB2312"/>
          <w:sz w:val="28"/>
          <w:szCs w:val="28"/>
        </w:rPr>
      </w:pPr>
      <w:r>
        <w:rPr>
          <w:rFonts w:eastAsia="仿宋_GB2312"/>
          <w:sz w:val="28"/>
          <w:szCs w:val="28"/>
        </w:rPr>
        <w:t>2、开展绩效评价。针对该项目的实际情况，我们进行了认真的复核审查，根据相关资料进行了汇总分析，按照制定的《湖南汨罗循环经济园区配套公共基础设施项目政府专项债券资金绩效评价指标表》（附件），进行了打分和绩效评价。</w:t>
      </w:r>
    </w:p>
    <w:p>
      <w:pPr>
        <w:spacing w:before="156" w:beforeLines="50" w:after="156" w:afterLines="50" w:line="360" w:lineRule="auto"/>
        <w:ind w:firstLine="640" w:firstLineChars="200"/>
        <w:outlineLvl w:val="0"/>
        <w:rPr>
          <w:rFonts w:ascii="黑体" w:hAnsi="黑体" w:eastAsia="黑体"/>
          <w:sz w:val="32"/>
          <w:szCs w:val="32"/>
        </w:rPr>
      </w:pPr>
      <w:bookmarkStart w:id="13" w:name="_Toc22087"/>
      <w:r>
        <w:rPr>
          <w:rFonts w:ascii="黑体" w:hAnsi="黑体" w:eastAsia="黑体"/>
          <w:sz w:val="32"/>
          <w:szCs w:val="32"/>
        </w:rPr>
        <w:t>三、资金主要绩效</w:t>
      </w:r>
      <w:bookmarkEnd w:id="13"/>
    </w:p>
    <w:p>
      <w:pPr>
        <w:spacing w:line="360" w:lineRule="auto"/>
        <w:ind w:firstLine="560" w:firstLineChars="200"/>
        <w:rPr>
          <w:rFonts w:eastAsia="仿宋_GB2312"/>
          <w:kern w:val="0"/>
          <w:sz w:val="28"/>
          <w:szCs w:val="28"/>
        </w:rPr>
      </w:pPr>
      <w:r>
        <w:rPr>
          <w:rFonts w:eastAsia="仿宋_GB2312"/>
          <w:kern w:val="0"/>
          <w:sz w:val="28"/>
          <w:szCs w:val="28"/>
        </w:rPr>
        <w:t>1、项目计划建成总建筑面积</w:t>
      </w:r>
      <w:r>
        <w:rPr>
          <w:rFonts w:eastAsia="仿宋_GB2312"/>
          <w:sz w:val="28"/>
          <w:szCs w:val="28"/>
        </w:rPr>
        <w:t>215,167.60</w:t>
      </w:r>
      <w:r>
        <w:rPr>
          <w:rFonts w:eastAsia="Segoe UI Symbol"/>
          <w:kern w:val="0"/>
          <w:sz w:val="28"/>
          <w:szCs w:val="28"/>
        </w:rPr>
        <w:t>㎡</w:t>
      </w:r>
      <w:r>
        <w:rPr>
          <w:rFonts w:eastAsia="仿宋_GB2312"/>
          <w:kern w:val="0"/>
          <w:sz w:val="28"/>
          <w:szCs w:val="28"/>
        </w:rPr>
        <w:t>，其中新增标准化厂房面积168,313.06</w:t>
      </w:r>
      <w:r>
        <w:rPr>
          <w:rFonts w:eastAsia="Segoe UI Symbol"/>
          <w:kern w:val="0"/>
          <w:sz w:val="28"/>
          <w:szCs w:val="28"/>
        </w:rPr>
        <w:t>㎡</w:t>
      </w:r>
      <w:r>
        <w:rPr>
          <w:rFonts w:eastAsia="仿宋_GB2312"/>
          <w:kern w:val="0"/>
          <w:sz w:val="28"/>
          <w:szCs w:val="28"/>
        </w:rPr>
        <w:t>。截至2021年12月16日，建成总建筑面积161,570.55</w:t>
      </w:r>
      <w:r>
        <w:rPr>
          <w:rFonts w:eastAsia="Segoe UI Symbol"/>
          <w:kern w:val="0"/>
          <w:sz w:val="28"/>
          <w:szCs w:val="28"/>
        </w:rPr>
        <w:t>㎡</w:t>
      </w:r>
      <w:r>
        <w:rPr>
          <w:rFonts w:eastAsia="仿宋_GB2312"/>
          <w:kern w:val="0"/>
          <w:sz w:val="28"/>
          <w:szCs w:val="28"/>
        </w:rPr>
        <w:t>，其中新增标准化厂房面积133,990.51</w:t>
      </w:r>
      <w:r>
        <w:rPr>
          <w:rFonts w:eastAsia="Segoe UI Symbol"/>
          <w:kern w:val="0"/>
          <w:sz w:val="28"/>
          <w:szCs w:val="28"/>
        </w:rPr>
        <w:t>㎡</w:t>
      </w:r>
      <w:r>
        <w:rPr>
          <w:rFonts w:eastAsia="仿宋_GB2312"/>
          <w:kern w:val="0"/>
          <w:sz w:val="28"/>
          <w:szCs w:val="28"/>
        </w:rPr>
        <w:t>。</w:t>
      </w:r>
    </w:p>
    <w:p>
      <w:pPr>
        <w:spacing w:line="360" w:lineRule="auto"/>
        <w:ind w:firstLine="560" w:firstLineChars="200"/>
        <w:rPr>
          <w:rFonts w:eastAsia="仿宋_GB2312"/>
          <w:kern w:val="0"/>
          <w:sz w:val="28"/>
          <w:szCs w:val="28"/>
        </w:rPr>
      </w:pPr>
      <w:r>
        <w:rPr>
          <w:rFonts w:eastAsia="仿宋_GB2312"/>
          <w:kern w:val="0"/>
          <w:sz w:val="28"/>
          <w:szCs w:val="28"/>
        </w:rPr>
        <w:t>2、项目建成工程合格率达到100.00%，债券资金使用合规率达到100.00%。在债券期内按规定及时、规范的披露信息；及时、足额的还本付息。</w:t>
      </w:r>
    </w:p>
    <w:p>
      <w:pPr>
        <w:spacing w:line="360" w:lineRule="auto"/>
        <w:ind w:firstLine="560" w:firstLineChars="200"/>
        <w:rPr>
          <w:rFonts w:eastAsia="仿宋_GB2312"/>
          <w:kern w:val="0"/>
          <w:sz w:val="28"/>
          <w:szCs w:val="28"/>
        </w:rPr>
      </w:pPr>
      <w:r>
        <w:rPr>
          <w:rFonts w:eastAsia="仿宋_GB2312"/>
          <w:kern w:val="0"/>
          <w:sz w:val="28"/>
          <w:szCs w:val="28"/>
        </w:rPr>
        <w:t>3、2020年4月起，对部分建成的厂房进行出租，合计应收租金5,910,600.00元，根据合同及疫情减免4,658,960.00元，实际应收1,251,640.00元。</w:t>
      </w:r>
    </w:p>
    <w:p>
      <w:pPr>
        <w:spacing w:line="360" w:lineRule="auto"/>
        <w:ind w:firstLine="560" w:firstLineChars="200"/>
        <w:rPr>
          <w:rFonts w:eastAsia="仿宋_GB2312"/>
          <w:kern w:val="0"/>
          <w:sz w:val="28"/>
          <w:szCs w:val="28"/>
        </w:rPr>
      </w:pPr>
      <w:r>
        <w:rPr>
          <w:rFonts w:eastAsia="仿宋_GB2312"/>
          <w:kern w:val="0"/>
          <w:sz w:val="28"/>
          <w:szCs w:val="28"/>
        </w:rPr>
        <w:t>4、项目目前新增就业人数2人，带动关联产业就业人数大于100人。</w:t>
      </w:r>
    </w:p>
    <w:p>
      <w:pPr>
        <w:spacing w:line="360" w:lineRule="auto"/>
        <w:ind w:firstLine="560" w:firstLineChars="200"/>
        <w:rPr>
          <w:rFonts w:eastAsia="仿宋_GB2312"/>
          <w:kern w:val="0"/>
          <w:sz w:val="28"/>
          <w:szCs w:val="28"/>
        </w:rPr>
      </w:pPr>
      <w:r>
        <w:rPr>
          <w:rFonts w:eastAsia="仿宋_GB2312"/>
          <w:kern w:val="0"/>
          <w:sz w:val="28"/>
          <w:szCs w:val="28"/>
        </w:rPr>
        <w:t>5、在园区内实施垃圾分类，减少环境污染；实施集约化生产，增强节能减排；可持续性的带动周边各类关联产业健康快速发展。</w:t>
      </w:r>
    </w:p>
    <w:p>
      <w:pPr>
        <w:spacing w:line="360" w:lineRule="auto"/>
        <w:ind w:firstLine="560" w:firstLineChars="200"/>
        <w:rPr>
          <w:rFonts w:eastAsia="仿宋_GB2312"/>
          <w:kern w:val="0"/>
          <w:sz w:val="28"/>
          <w:szCs w:val="28"/>
        </w:rPr>
      </w:pPr>
      <w:r>
        <w:rPr>
          <w:rFonts w:eastAsia="仿宋_GB2312"/>
          <w:kern w:val="0"/>
          <w:sz w:val="28"/>
          <w:szCs w:val="28"/>
        </w:rPr>
        <w:t>6、本项目的建设推动了汨罗循环经济产业园快速发展，同时带动周边建材市场的发展，为农民再就业创造条件；为各建筑施工企业、工程机械供应商、建筑材料企业等相关群体带来新的商业机会，对推动汨罗市及岳阳市经济快速发展起重要作用，符合汨罗市城市发展总体规划及产业发展规划。</w:t>
      </w:r>
    </w:p>
    <w:p>
      <w:pPr>
        <w:spacing w:before="156" w:beforeLines="50" w:after="156" w:afterLines="50" w:line="360" w:lineRule="auto"/>
        <w:ind w:firstLine="640" w:firstLineChars="200"/>
        <w:outlineLvl w:val="0"/>
        <w:rPr>
          <w:rFonts w:ascii="黑体" w:hAnsi="黑体" w:eastAsia="黑体"/>
          <w:sz w:val="32"/>
          <w:szCs w:val="32"/>
        </w:rPr>
      </w:pPr>
      <w:bookmarkStart w:id="14" w:name="_Toc14035"/>
      <w:r>
        <w:rPr>
          <w:rFonts w:ascii="黑体" w:hAnsi="黑体" w:eastAsia="黑体"/>
          <w:sz w:val="32"/>
          <w:szCs w:val="32"/>
        </w:rPr>
        <w:t>四、评价结论及其指标简要分析</w:t>
      </w:r>
      <w:bookmarkEnd w:id="14"/>
    </w:p>
    <w:p>
      <w:pPr>
        <w:spacing w:line="360" w:lineRule="auto"/>
        <w:ind w:firstLine="640" w:firstLineChars="200"/>
        <w:outlineLvl w:val="1"/>
        <w:rPr>
          <w:rFonts w:eastAsia="仿宋_GB2312"/>
          <w:sz w:val="32"/>
          <w:szCs w:val="32"/>
        </w:rPr>
      </w:pPr>
      <w:bookmarkStart w:id="15" w:name="_Toc9225"/>
      <w:r>
        <w:rPr>
          <w:rFonts w:eastAsia="仿宋_GB2312"/>
          <w:sz w:val="32"/>
          <w:szCs w:val="32"/>
        </w:rPr>
        <w:t>（一）评价结论</w:t>
      </w:r>
      <w:bookmarkEnd w:id="15"/>
    </w:p>
    <w:p>
      <w:pPr>
        <w:spacing w:line="360" w:lineRule="auto"/>
        <w:ind w:firstLine="560" w:firstLineChars="200"/>
        <w:rPr>
          <w:rFonts w:eastAsia="仿宋_GB2312"/>
          <w:sz w:val="28"/>
          <w:szCs w:val="28"/>
        </w:rPr>
      </w:pPr>
      <w:r>
        <w:rPr>
          <w:rFonts w:eastAsia="仿宋_GB2312"/>
          <w:kern w:val="0"/>
          <w:sz w:val="28"/>
          <w:szCs w:val="28"/>
        </w:rPr>
        <w:t>湖南汨罗循环经济园区配套公共基础设施项目政府专项债券</w:t>
      </w:r>
      <w:r>
        <w:rPr>
          <w:rFonts w:eastAsia="仿宋_GB2312"/>
          <w:sz w:val="28"/>
          <w:szCs w:val="28"/>
        </w:rPr>
        <w:t>工作配套较为完善，债券资金下拨及时，资金管理较为规范，项目管理基本到位，有效发挥了资金的使用效率，但因本项目总体施工进度滞后于计划进度，资产完成率较低，导致项目建设成本、运营成本节约率以及未来可实现收益无法准确计量。故综合考评得分81分，其中：</w:t>
      </w:r>
    </w:p>
    <w:p>
      <w:pPr>
        <w:spacing w:line="360" w:lineRule="auto"/>
        <w:ind w:firstLine="560" w:firstLineChars="200"/>
        <w:rPr>
          <w:rFonts w:eastAsia="仿宋_GB2312"/>
          <w:sz w:val="28"/>
          <w:szCs w:val="28"/>
        </w:rPr>
      </w:pPr>
      <w:r>
        <w:rPr>
          <w:rFonts w:eastAsia="仿宋_GB2312"/>
          <w:sz w:val="28"/>
          <w:szCs w:val="28"/>
        </w:rPr>
        <w:t>项目决策总分20分，得分18.5分，扣1.5分；项目过程总分50分，得分46分，扣4分；项目产出总分 20分，得分 8.5分，扣11.5分；项目效益总分10 分，得分8分，扣2分。</w:t>
      </w:r>
    </w:p>
    <w:p>
      <w:pPr>
        <w:spacing w:line="360" w:lineRule="auto"/>
        <w:ind w:firstLine="560" w:firstLineChars="200"/>
        <w:rPr>
          <w:rFonts w:eastAsia="仿宋_GB2312"/>
          <w:sz w:val="28"/>
          <w:szCs w:val="28"/>
        </w:rPr>
      </w:pPr>
      <w:r>
        <w:rPr>
          <w:rFonts w:eastAsia="仿宋_GB2312"/>
          <w:sz w:val="28"/>
          <w:szCs w:val="28"/>
        </w:rPr>
        <w:t>具体见《湖南汨罗循环经济园区配套公共基础设施项目政府专项债券资金绩效评价指标表》（附件）。</w:t>
      </w:r>
    </w:p>
    <w:p>
      <w:pPr>
        <w:numPr>
          <w:ilvl w:val="0"/>
          <w:numId w:val="5"/>
        </w:numPr>
        <w:spacing w:line="360" w:lineRule="auto"/>
        <w:ind w:firstLine="640" w:firstLineChars="200"/>
        <w:outlineLvl w:val="1"/>
        <w:rPr>
          <w:rFonts w:eastAsia="仿宋_GB2312"/>
          <w:sz w:val="32"/>
          <w:szCs w:val="32"/>
        </w:rPr>
      </w:pPr>
      <w:bookmarkStart w:id="16" w:name="_Toc75"/>
      <w:r>
        <w:rPr>
          <w:rFonts w:eastAsia="仿宋_GB2312"/>
          <w:sz w:val="32"/>
          <w:szCs w:val="32"/>
        </w:rPr>
        <w:t>指标简要分析</w:t>
      </w:r>
      <w:bookmarkEnd w:id="16"/>
    </w:p>
    <w:p>
      <w:pPr>
        <w:spacing w:line="360" w:lineRule="auto"/>
        <w:ind w:firstLine="560" w:firstLineChars="200"/>
        <w:rPr>
          <w:rFonts w:eastAsia="仿宋_GB2312"/>
          <w:kern w:val="0"/>
          <w:sz w:val="28"/>
          <w:szCs w:val="28"/>
        </w:rPr>
      </w:pPr>
      <w:r>
        <w:rPr>
          <w:rFonts w:eastAsia="仿宋_GB2312"/>
          <w:kern w:val="0"/>
          <w:sz w:val="28"/>
          <w:szCs w:val="28"/>
        </w:rPr>
        <w:t>1、项目立项复核符合法律法规、相关政策，已按规定完成勘察、设计、用地、环评、开工许可等程序，项目审批文件、手续符合要求，事前已编制可行性研究报告，并于2017年10月20日获得汨罗市发展和改革局的批复。本项目未编制《专项债券项目实施方案》，但根据当时申报要求编制了《专项债券项目预期收益与融资平衡方案》，故项目决策过程指标总分10分，获得9.5分。</w:t>
      </w:r>
    </w:p>
    <w:p>
      <w:pPr>
        <w:spacing w:line="360" w:lineRule="auto"/>
        <w:ind w:firstLine="560" w:firstLineChars="200"/>
        <w:rPr>
          <w:rFonts w:eastAsia="仿宋_GB2312"/>
          <w:kern w:val="0"/>
          <w:sz w:val="28"/>
          <w:szCs w:val="28"/>
        </w:rPr>
      </w:pPr>
      <w:r>
        <w:rPr>
          <w:rFonts w:eastAsia="仿宋_GB2312"/>
          <w:kern w:val="0"/>
          <w:sz w:val="28"/>
          <w:szCs w:val="28"/>
        </w:rPr>
        <w:t>本项目属于具有一定收益的公益性项目，不属于专项债券项目负面清单的范围。项目绩效目标与实际工作相关、项目预期产出和效益符合正常的业绩水平、与预算资金大致匹配，绩效指标细化具体，除生态效益指标无法衡量外，其他指标均清晰、可衡量，故绩效目标总分6分，获得5分。本项目预测依据充分科学，预算编制较合理，故资金投入总分4分，获得4分。</w:t>
      </w:r>
    </w:p>
    <w:p>
      <w:pPr>
        <w:spacing w:line="360" w:lineRule="auto"/>
        <w:ind w:firstLine="560" w:firstLineChars="200"/>
        <w:rPr>
          <w:rFonts w:eastAsia="仿宋_GB2312"/>
          <w:kern w:val="0"/>
          <w:sz w:val="28"/>
          <w:szCs w:val="28"/>
        </w:rPr>
      </w:pPr>
      <w:r>
        <w:rPr>
          <w:rFonts w:eastAsia="仿宋_GB2312"/>
          <w:kern w:val="0"/>
          <w:sz w:val="28"/>
          <w:szCs w:val="28"/>
        </w:rPr>
        <w:t>综上，项目决策情况总分20分，本项目得分18.5分。</w:t>
      </w:r>
    </w:p>
    <w:p>
      <w:pPr>
        <w:spacing w:line="360" w:lineRule="auto"/>
        <w:ind w:firstLine="560" w:firstLineChars="200"/>
        <w:rPr>
          <w:rFonts w:eastAsia="仿宋_GB2312"/>
          <w:kern w:val="0"/>
          <w:sz w:val="28"/>
          <w:szCs w:val="28"/>
        </w:rPr>
      </w:pPr>
      <w:r>
        <w:rPr>
          <w:rFonts w:eastAsia="仿宋_GB2312"/>
          <w:kern w:val="0"/>
          <w:sz w:val="28"/>
          <w:szCs w:val="28"/>
        </w:rPr>
        <w:t>2、本项目专项债券资金已全部到位，债券资金支出率为100.00%，建设进度75.09%，资金支出与项目建设进度不匹配。本项目组织单位制定了财务管理办法，资金使用经过相应审批且符合相关规定，但未对项目进行专账核算。本项目按规定编制了项目还本付息计划，专项债券期限与项目建设运营期限匹配，无使用其他项目对应的项目收益错项偿还到期债券本息情况。故资金管理指标总分17分，本项目得分14分。</w:t>
      </w:r>
    </w:p>
    <w:p>
      <w:pPr>
        <w:spacing w:line="360" w:lineRule="auto"/>
        <w:ind w:firstLine="560" w:firstLineChars="200"/>
        <w:rPr>
          <w:rFonts w:eastAsia="仿宋_GB2312"/>
          <w:kern w:val="0"/>
          <w:sz w:val="28"/>
          <w:szCs w:val="28"/>
        </w:rPr>
      </w:pPr>
      <w:r>
        <w:rPr>
          <w:rFonts w:eastAsia="仿宋_GB2312"/>
          <w:kern w:val="0"/>
          <w:sz w:val="28"/>
          <w:szCs w:val="28"/>
        </w:rPr>
        <w:t>本项目建立了项目建设、运营、资产管理等环节的管理制度，且严格执行；编制项目实施计划，明确项目质量要求并严格监督质量；项目未进行调整；本项目招投标均严格按照相关文件要求进行并签订合同；但本项目目前尚未竣工结算，未进行资产备案及产权登记。故项目实施管理总分14分，本项目得分13分。</w:t>
      </w:r>
    </w:p>
    <w:p>
      <w:pPr>
        <w:spacing w:line="360" w:lineRule="auto"/>
        <w:ind w:firstLine="560" w:firstLineChars="200"/>
        <w:rPr>
          <w:rFonts w:eastAsia="仿宋_GB2312"/>
          <w:kern w:val="0"/>
          <w:sz w:val="28"/>
          <w:szCs w:val="28"/>
        </w:rPr>
      </w:pPr>
      <w:r>
        <w:rPr>
          <w:rFonts w:eastAsia="仿宋_GB2312"/>
          <w:kern w:val="0"/>
          <w:sz w:val="28"/>
          <w:szCs w:val="28"/>
        </w:rPr>
        <w:t>本项目债务风险控制及措施由债券发行单位统一监测、防范并应对；目前未发生重大风险事件；无以前审计或检查需要整改的问题；债务信息披露由债券发行统一进行。故风险控制指标总分19分，本项目得分19分。</w:t>
      </w:r>
    </w:p>
    <w:p>
      <w:pPr>
        <w:spacing w:line="360" w:lineRule="auto"/>
        <w:ind w:firstLine="560" w:firstLineChars="200"/>
        <w:rPr>
          <w:rFonts w:eastAsia="仿宋_GB2312"/>
          <w:kern w:val="0"/>
          <w:sz w:val="28"/>
          <w:szCs w:val="28"/>
        </w:rPr>
      </w:pPr>
      <w:r>
        <w:rPr>
          <w:rFonts w:eastAsia="仿宋_GB2312"/>
          <w:kern w:val="0"/>
          <w:sz w:val="28"/>
          <w:szCs w:val="28"/>
        </w:rPr>
        <w:t>综上，项目管理过程情况指标总分50分，本项目得分46分。</w:t>
      </w:r>
    </w:p>
    <w:p>
      <w:pPr>
        <w:spacing w:line="360" w:lineRule="auto"/>
        <w:ind w:firstLine="560" w:firstLineChars="200"/>
        <w:rPr>
          <w:rFonts w:eastAsia="仿宋_GB2312"/>
          <w:kern w:val="0"/>
          <w:sz w:val="28"/>
          <w:szCs w:val="28"/>
        </w:rPr>
      </w:pPr>
      <w:r>
        <w:rPr>
          <w:rFonts w:eastAsia="仿宋_GB2312"/>
          <w:kern w:val="0"/>
          <w:sz w:val="28"/>
          <w:szCs w:val="28"/>
        </w:rPr>
        <w:t>3、本项目已完工建筑面积</w:t>
      </w:r>
      <w:r>
        <w:rPr>
          <w:rFonts w:eastAsia="仿宋_GB2312"/>
          <w:sz w:val="28"/>
          <w:szCs w:val="28"/>
        </w:rPr>
        <w:t xml:space="preserve">161,570.55 </w:t>
      </w:r>
      <w:r>
        <w:rPr>
          <w:rFonts w:eastAsia="Segoe UI Symbol"/>
          <w:sz w:val="28"/>
          <w:szCs w:val="28"/>
        </w:rPr>
        <w:t>㎡</w:t>
      </w:r>
      <w:r>
        <w:rPr>
          <w:rFonts w:eastAsia="仿宋_GB2312"/>
          <w:kern w:val="0"/>
          <w:sz w:val="28"/>
          <w:szCs w:val="28"/>
        </w:rPr>
        <w:t>，资产形成率为75.09%，故项目产出数量指标总分6分，本项目得分2分。本项目根据设计施工，目前已建成建筑质量均已达标，故产出质量指标4分，获得4分。项目建设期为2017年1月至2021年10月，共计46个月。截至2021年12月，项目已历时48个月，尚未完工。根据项目进度计划表显示，项目预计2022年6月竣工结算，故完成及时性指标4分，获得2.5分。本项目目前尚未竣工结算亦未开始运营，具体建设成本及运营成本情况无法准确计算，故项目产出成本指标总分6分，本项目得分0分。</w:t>
      </w:r>
    </w:p>
    <w:p>
      <w:pPr>
        <w:spacing w:line="360" w:lineRule="auto"/>
        <w:ind w:firstLine="560" w:firstLineChars="200"/>
        <w:rPr>
          <w:rFonts w:eastAsia="仿宋_GB2312"/>
          <w:kern w:val="0"/>
          <w:sz w:val="28"/>
          <w:szCs w:val="28"/>
        </w:rPr>
      </w:pPr>
      <w:r>
        <w:rPr>
          <w:rFonts w:eastAsia="仿宋_GB2312"/>
          <w:kern w:val="0"/>
          <w:sz w:val="28"/>
          <w:szCs w:val="28"/>
        </w:rPr>
        <w:t>综上，项目产出指标总分20分，本项目得分8.5分。</w:t>
      </w:r>
    </w:p>
    <w:p>
      <w:pPr>
        <w:spacing w:line="360" w:lineRule="auto"/>
        <w:ind w:firstLine="560" w:firstLineChars="200"/>
        <w:rPr>
          <w:rFonts w:eastAsia="仿宋_GB2312"/>
          <w:kern w:val="0"/>
          <w:sz w:val="28"/>
          <w:szCs w:val="28"/>
        </w:rPr>
      </w:pPr>
      <w:r>
        <w:rPr>
          <w:rFonts w:eastAsia="仿宋_GB2312"/>
          <w:kern w:val="0"/>
          <w:sz w:val="28"/>
          <w:szCs w:val="28"/>
        </w:rPr>
        <w:t>4、由于项目尚未正式投入运营，但已有部分资产出租给企业，形成一定经济效益；并因此带动一定人员就业，产生一定社会效益；已吸引企业入驻，带动社会资本投资。项目设计支持国家区域发展战略，且社会公众对项目建设满意度为100.00%，故项目效益指标总分10分，获得8分。</w:t>
      </w:r>
    </w:p>
    <w:p>
      <w:pPr>
        <w:spacing w:line="360" w:lineRule="auto"/>
        <w:ind w:firstLine="560" w:firstLineChars="200"/>
        <w:rPr>
          <w:rFonts w:eastAsia="仿宋_GB2312"/>
          <w:kern w:val="0"/>
          <w:sz w:val="28"/>
          <w:szCs w:val="28"/>
        </w:rPr>
      </w:pPr>
      <w:r>
        <w:rPr>
          <w:rFonts w:eastAsia="仿宋_GB2312"/>
          <w:kern w:val="0"/>
          <w:sz w:val="28"/>
          <w:szCs w:val="28"/>
        </w:rPr>
        <w:t>根据以上各情况，项目资金绩效总分100分，获得81分。</w:t>
      </w:r>
    </w:p>
    <w:p>
      <w:pPr>
        <w:spacing w:line="360" w:lineRule="auto"/>
        <w:ind w:firstLine="425" w:firstLineChars="133"/>
        <w:outlineLvl w:val="0"/>
        <w:rPr>
          <w:rFonts w:ascii="黑体" w:hAnsi="黑体" w:eastAsia="黑体"/>
          <w:kern w:val="0"/>
          <w:sz w:val="32"/>
          <w:szCs w:val="32"/>
        </w:rPr>
      </w:pPr>
      <w:bookmarkStart w:id="17" w:name="_Toc20105"/>
      <w:r>
        <w:rPr>
          <w:rFonts w:ascii="黑体" w:hAnsi="黑体" w:eastAsia="黑体"/>
          <w:kern w:val="0"/>
          <w:sz w:val="32"/>
          <w:szCs w:val="32"/>
        </w:rPr>
        <w:t>五、绩效评价发现的主要问题</w:t>
      </w:r>
      <w:bookmarkEnd w:id="17"/>
    </w:p>
    <w:p>
      <w:pPr>
        <w:spacing w:line="360" w:lineRule="auto"/>
        <w:ind w:firstLine="640" w:firstLineChars="200"/>
        <w:outlineLvl w:val="1"/>
        <w:rPr>
          <w:rFonts w:eastAsia="仿宋_GB2312"/>
          <w:kern w:val="0"/>
          <w:sz w:val="32"/>
          <w:szCs w:val="32"/>
        </w:rPr>
      </w:pPr>
      <w:bookmarkStart w:id="18" w:name="_Toc3762"/>
      <w:r>
        <w:rPr>
          <w:rFonts w:eastAsia="仿宋_GB2312"/>
          <w:kern w:val="0"/>
          <w:sz w:val="32"/>
          <w:szCs w:val="32"/>
        </w:rPr>
        <w:t>（一）未设立专账进行项目核算</w:t>
      </w:r>
      <w:bookmarkEnd w:id="18"/>
    </w:p>
    <w:p>
      <w:pPr>
        <w:spacing w:line="360" w:lineRule="auto"/>
        <w:ind w:firstLine="560" w:firstLineChars="200"/>
        <w:rPr>
          <w:rFonts w:eastAsia="仿宋_GB2312"/>
          <w:kern w:val="0"/>
          <w:sz w:val="28"/>
          <w:szCs w:val="28"/>
        </w:rPr>
      </w:pPr>
      <w:r>
        <w:rPr>
          <w:rFonts w:eastAsia="仿宋_GB2312"/>
          <w:kern w:val="0"/>
          <w:sz w:val="28"/>
          <w:szCs w:val="28"/>
        </w:rPr>
        <w:t>本项目</w:t>
      </w:r>
      <w:r>
        <w:rPr>
          <w:rFonts w:eastAsia="仿宋_GB2312"/>
          <w:sz w:val="28"/>
          <w:szCs w:val="28"/>
        </w:rPr>
        <w:t>未根据专项债券资金“专户管理，专账核算”的要求，对项目资金设置专门科目进行核算，本项目支出与其他项目支出统一在“开发成本”科目中核算，辅助核算项目设置不合理，不能直观清晰反映专项债券资金的支出方向及评估其使用效果。</w:t>
      </w:r>
    </w:p>
    <w:p>
      <w:pPr>
        <w:spacing w:line="360" w:lineRule="auto"/>
        <w:ind w:firstLine="640" w:firstLineChars="200"/>
        <w:outlineLvl w:val="1"/>
        <w:rPr>
          <w:rFonts w:eastAsia="仿宋_GB2312"/>
          <w:kern w:val="0"/>
          <w:sz w:val="32"/>
          <w:szCs w:val="32"/>
        </w:rPr>
      </w:pPr>
      <w:bookmarkStart w:id="19" w:name="_Toc4540"/>
      <w:r>
        <w:rPr>
          <w:rFonts w:eastAsia="仿宋_GB2312"/>
          <w:kern w:val="0"/>
          <w:sz w:val="32"/>
          <w:szCs w:val="32"/>
        </w:rPr>
        <w:t>（二）生态效益指标无法衡量</w:t>
      </w:r>
      <w:bookmarkEnd w:id="19"/>
    </w:p>
    <w:p>
      <w:pPr>
        <w:spacing w:line="360" w:lineRule="auto"/>
        <w:ind w:firstLine="560" w:firstLineChars="200"/>
        <w:rPr>
          <w:rFonts w:eastAsia="仿宋_GB2312"/>
          <w:kern w:val="0"/>
          <w:sz w:val="28"/>
          <w:szCs w:val="28"/>
        </w:rPr>
      </w:pPr>
      <w:r>
        <w:rPr>
          <w:rFonts w:eastAsia="仿宋_GB2312"/>
          <w:kern w:val="0"/>
          <w:sz w:val="28"/>
          <w:szCs w:val="28"/>
        </w:rPr>
        <w:t>本项目生态效益指标为通过垃圾分类保护环境以及通过集约化减少能耗，未设置量化指标，导致生态效益绩效目标不够量化、细化、可衡量化，目标合理性不足。</w:t>
      </w:r>
    </w:p>
    <w:p>
      <w:pPr>
        <w:spacing w:line="360" w:lineRule="auto"/>
        <w:ind w:firstLine="640" w:firstLineChars="200"/>
        <w:outlineLvl w:val="1"/>
        <w:rPr>
          <w:rFonts w:eastAsia="仿宋_GB2312"/>
          <w:kern w:val="0"/>
          <w:sz w:val="32"/>
          <w:szCs w:val="32"/>
        </w:rPr>
      </w:pPr>
      <w:bookmarkStart w:id="20" w:name="_Toc12669"/>
      <w:r>
        <w:rPr>
          <w:rFonts w:eastAsia="仿宋_GB2312"/>
          <w:kern w:val="0"/>
          <w:sz w:val="32"/>
          <w:szCs w:val="32"/>
        </w:rPr>
        <w:t>（三）项目进度未达计划</w:t>
      </w:r>
      <w:bookmarkEnd w:id="20"/>
    </w:p>
    <w:p>
      <w:pPr>
        <w:spacing w:line="360" w:lineRule="auto"/>
        <w:ind w:firstLine="560" w:firstLineChars="200"/>
        <w:rPr>
          <w:rFonts w:eastAsia="仿宋_GB2312"/>
          <w:kern w:val="0"/>
          <w:sz w:val="28"/>
          <w:szCs w:val="28"/>
        </w:rPr>
      </w:pPr>
      <w:r>
        <w:rPr>
          <w:rFonts w:eastAsia="仿宋_GB2312"/>
          <w:kern w:val="0"/>
          <w:sz w:val="28"/>
          <w:szCs w:val="28"/>
        </w:rPr>
        <w:t>本项目计划完工时间为2021年10月，截至2021年12月16日本项目尚未完工，目前建设进度为75.09%。故而未能按计划形成相应数量国有资产，计划产出完成度较低，资金使用效率未达预期。目前有1——6栋厂房已达到可使用状态，未转入固定资产核算。</w:t>
      </w:r>
    </w:p>
    <w:p>
      <w:pPr>
        <w:spacing w:line="360" w:lineRule="auto"/>
        <w:ind w:left="420" w:leftChars="200"/>
        <w:outlineLvl w:val="1"/>
        <w:rPr>
          <w:rFonts w:eastAsia="仿宋_GB2312"/>
          <w:kern w:val="0"/>
          <w:sz w:val="32"/>
          <w:szCs w:val="32"/>
        </w:rPr>
      </w:pPr>
      <w:bookmarkStart w:id="21" w:name="_Toc15696"/>
      <w:r>
        <w:rPr>
          <w:rFonts w:eastAsia="仿宋_GB2312"/>
          <w:kern w:val="0"/>
          <w:sz w:val="32"/>
          <w:szCs w:val="32"/>
        </w:rPr>
        <w:t>（四）已出租厂房租金未达预期</w:t>
      </w:r>
      <w:bookmarkEnd w:id="21"/>
    </w:p>
    <w:p>
      <w:pPr>
        <w:spacing w:line="360" w:lineRule="auto"/>
        <w:ind w:firstLine="560" w:firstLineChars="200"/>
        <w:rPr>
          <w:rFonts w:eastAsia="仿宋_GB2312"/>
          <w:kern w:val="0"/>
          <w:sz w:val="28"/>
          <w:szCs w:val="28"/>
        </w:rPr>
      </w:pPr>
      <w:r>
        <w:rPr>
          <w:rFonts w:eastAsia="仿宋_GB2312"/>
          <w:kern w:val="0"/>
          <w:sz w:val="28"/>
          <w:szCs w:val="28"/>
        </w:rPr>
        <w:t>建设前预期厂房出租价格约为30-45元/</w:t>
      </w:r>
      <w:r>
        <w:rPr>
          <w:rFonts w:eastAsia="Segoe UI Symbol"/>
          <w:kern w:val="0"/>
          <w:sz w:val="28"/>
          <w:szCs w:val="28"/>
        </w:rPr>
        <w:t>㎡</w:t>
      </w:r>
      <w:r>
        <w:rPr>
          <w:rFonts w:eastAsia="仿宋_GB2312"/>
          <w:kern w:val="0"/>
          <w:sz w:val="28"/>
          <w:szCs w:val="28"/>
        </w:rPr>
        <w:t>·月，2020年起部分已完工厂房对外出租，实际出租价格为10元/</w:t>
      </w:r>
      <w:r>
        <w:rPr>
          <w:rFonts w:eastAsia="Segoe UI Symbol"/>
          <w:kern w:val="0"/>
          <w:sz w:val="28"/>
          <w:szCs w:val="28"/>
        </w:rPr>
        <w:t>㎡</w:t>
      </w:r>
      <w:r>
        <w:rPr>
          <w:rFonts w:eastAsia="仿宋_GB2312"/>
          <w:kern w:val="0"/>
          <w:sz w:val="28"/>
          <w:szCs w:val="28"/>
        </w:rPr>
        <w:t>·月，且因为疫情及政策原因对承租方减免力度较大。若出租价格在未来一直低于预期，可能会导致债务风险加大。此外，有部分租户在入驻后因各方原因撤离，导致部分厂房闲置，未能实现预期经济效益。</w:t>
      </w:r>
    </w:p>
    <w:p>
      <w:pPr>
        <w:spacing w:line="360" w:lineRule="auto"/>
        <w:ind w:firstLine="640" w:firstLineChars="200"/>
        <w:outlineLvl w:val="1"/>
        <w:rPr>
          <w:rFonts w:eastAsia="仿宋_GB2312"/>
          <w:kern w:val="0"/>
          <w:sz w:val="32"/>
          <w:szCs w:val="32"/>
        </w:rPr>
      </w:pPr>
      <w:bookmarkStart w:id="22" w:name="_Toc26499"/>
      <w:r>
        <w:rPr>
          <w:rFonts w:eastAsia="仿宋_GB2312"/>
          <w:kern w:val="0"/>
          <w:sz w:val="32"/>
          <w:szCs w:val="32"/>
        </w:rPr>
        <w:t>（五）项目融资成本较高</w:t>
      </w:r>
      <w:bookmarkEnd w:id="22"/>
    </w:p>
    <w:p>
      <w:pPr>
        <w:spacing w:line="360" w:lineRule="auto"/>
        <w:ind w:firstLine="560" w:firstLineChars="200"/>
        <w:rPr>
          <w:rFonts w:eastAsia="仿宋_GB2312"/>
          <w:kern w:val="0"/>
          <w:sz w:val="28"/>
          <w:szCs w:val="28"/>
        </w:rPr>
      </w:pPr>
      <w:r>
        <w:rPr>
          <w:rFonts w:eastAsia="仿宋_GB2312"/>
          <w:kern w:val="0"/>
          <w:sz w:val="28"/>
          <w:szCs w:val="28"/>
        </w:rPr>
        <w:t>本项目目前到位自筹资金均银行贷款，融资成本较高。且工期延长，导致融资成本进一步加大，项目建设成本与债务风险均有所上升，需引起项目建设单位与财政部门注意，及时调整资金结构，降低债务风险。</w:t>
      </w:r>
    </w:p>
    <w:p>
      <w:pPr>
        <w:spacing w:line="360" w:lineRule="auto"/>
        <w:ind w:left="420" w:leftChars="200"/>
        <w:outlineLvl w:val="0"/>
        <w:rPr>
          <w:rFonts w:ascii="黑体" w:hAnsi="黑体" w:eastAsia="黑体"/>
          <w:kern w:val="0"/>
          <w:sz w:val="32"/>
          <w:szCs w:val="32"/>
        </w:rPr>
      </w:pPr>
      <w:bookmarkStart w:id="23" w:name="_Toc4887"/>
      <w:r>
        <w:rPr>
          <w:rFonts w:ascii="黑体" w:hAnsi="黑体" w:eastAsia="黑体"/>
          <w:kern w:val="0"/>
          <w:sz w:val="32"/>
          <w:szCs w:val="32"/>
        </w:rPr>
        <w:t>六、有关建议措施</w:t>
      </w:r>
      <w:bookmarkEnd w:id="23"/>
    </w:p>
    <w:p>
      <w:pPr>
        <w:spacing w:line="360" w:lineRule="auto"/>
        <w:ind w:firstLine="560" w:firstLineChars="200"/>
        <w:rPr>
          <w:rFonts w:eastAsia="仿宋_GB2312"/>
          <w:kern w:val="0"/>
          <w:sz w:val="28"/>
          <w:szCs w:val="28"/>
        </w:rPr>
      </w:pPr>
      <w:r>
        <w:rPr>
          <w:rFonts w:eastAsia="仿宋_GB2312"/>
          <w:sz w:val="28"/>
          <w:szCs w:val="28"/>
        </w:rPr>
        <w:t>（一）加强财务基础工作，按照政府专项债券资金“专账核算”的要求合理设置会计科目，保证会计信息归集正确和真实完整。规范会计核算，使凭证信息能全面、完整反映相关经济活动。</w:t>
      </w:r>
    </w:p>
    <w:p>
      <w:pPr>
        <w:spacing w:line="360" w:lineRule="auto"/>
        <w:ind w:firstLine="560" w:firstLineChars="200"/>
        <w:rPr>
          <w:rFonts w:eastAsia="仿宋_GB2312"/>
          <w:kern w:val="0"/>
          <w:sz w:val="28"/>
          <w:szCs w:val="28"/>
        </w:rPr>
      </w:pPr>
      <w:r>
        <w:rPr>
          <w:rFonts w:eastAsia="仿宋_GB2312"/>
          <w:kern w:val="0"/>
          <w:sz w:val="28"/>
          <w:szCs w:val="28"/>
        </w:rPr>
        <w:t>（二）项目单位应进一步细化生态效益指标，建立可衡量指标，方便项目效益评价。提高绩效目标合理性。保证项目绩效目标明确，与现实需求相匹配，指标符合量化、细化、可衡量的要求，指标值科学合理。</w:t>
      </w:r>
    </w:p>
    <w:p>
      <w:pPr>
        <w:spacing w:line="360" w:lineRule="auto"/>
        <w:ind w:firstLine="560" w:firstLineChars="200"/>
        <w:rPr>
          <w:rFonts w:eastAsia="仿宋_GB2312"/>
          <w:kern w:val="0"/>
          <w:sz w:val="28"/>
          <w:szCs w:val="28"/>
        </w:rPr>
      </w:pPr>
      <w:r>
        <w:rPr>
          <w:rFonts w:eastAsia="仿宋_GB2312"/>
          <w:kern w:val="0"/>
          <w:sz w:val="28"/>
          <w:szCs w:val="28"/>
        </w:rPr>
        <w:t>（三）加强项目过程管理，抓好工程进度，提高工程质量，降低工程成本。确保项目高质量、高标准按进度计划安排的工期完成，确实已发生工期延误，应及时分析原因，积极组织协调各方解决问题，促进项目顺利进行。对已达到可使用状态的厂房等建筑物应及时转入固定资产，形成相应数量的国有资产。</w:t>
      </w:r>
    </w:p>
    <w:p>
      <w:pPr>
        <w:spacing w:line="360" w:lineRule="auto"/>
        <w:ind w:firstLine="560" w:firstLineChars="200"/>
        <w:rPr>
          <w:rFonts w:eastAsia="仿宋_GB2312"/>
          <w:kern w:val="0"/>
          <w:sz w:val="28"/>
          <w:szCs w:val="28"/>
        </w:rPr>
      </w:pPr>
      <w:r>
        <w:rPr>
          <w:rFonts w:eastAsia="仿宋_GB2312"/>
          <w:kern w:val="0"/>
          <w:sz w:val="28"/>
          <w:szCs w:val="28"/>
        </w:rPr>
        <w:t>（四）项目单位应加大招商引资力度扩大宣传范围，积极寻找承租方应提高已建成厂房的出租率。在政策优惠期满后，应尽快上调厂房租金，减小与预期收益的差距；同时努力降低运营成本，减小资金压力。此外，应规范企业入驻流程，在企业入驻时及时签订租赁协议，保障项目权益。</w:t>
      </w:r>
    </w:p>
    <w:p>
      <w:pPr>
        <w:spacing w:line="360" w:lineRule="auto"/>
        <w:ind w:firstLine="640" w:firstLineChars="200"/>
        <w:outlineLvl w:val="0"/>
        <w:rPr>
          <w:rFonts w:ascii="黑体" w:hAnsi="黑体" w:eastAsia="黑体"/>
          <w:kern w:val="0"/>
          <w:sz w:val="32"/>
          <w:szCs w:val="32"/>
        </w:rPr>
      </w:pPr>
      <w:bookmarkStart w:id="24" w:name="_Toc6207"/>
      <w:r>
        <w:rPr>
          <w:rFonts w:ascii="黑体" w:hAnsi="黑体" w:eastAsia="黑体"/>
          <w:kern w:val="0"/>
          <w:sz w:val="32"/>
          <w:szCs w:val="32"/>
        </w:rPr>
        <w:t>七、绩效评价报告说明</w:t>
      </w:r>
      <w:bookmarkEnd w:id="24"/>
    </w:p>
    <w:p>
      <w:pPr>
        <w:spacing w:line="360" w:lineRule="auto"/>
        <w:ind w:firstLine="560" w:firstLineChars="200"/>
        <w:rPr>
          <w:rFonts w:eastAsia="仿宋_GB2312"/>
          <w:kern w:val="0"/>
          <w:sz w:val="28"/>
          <w:szCs w:val="28"/>
        </w:rPr>
      </w:pPr>
      <w:r>
        <w:rPr>
          <w:rFonts w:eastAsia="仿宋_GB2312"/>
          <w:kern w:val="0"/>
          <w:sz w:val="28"/>
          <w:szCs w:val="28"/>
        </w:rPr>
        <w:t>1.本报告的评价截止日为2021年12月16日。</w:t>
      </w:r>
    </w:p>
    <w:p>
      <w:pPr>
        <w:spacing w:line="360" w:lineRule="auto"/>
        <w:ind w:firstLine="560" w:firstLineChars="200"/>
        <w:rPr>
          <w:rFonts w:eastAsia="仿宋_GB2312"/>
          <w:kern w:val="0"/>
          <w:sz w:val="28"/>
          <w:szCs w:val="28"/>
        </w:rPr>
      </w:pPr>
      <w:r>
        <w:rPr>
          <w:rFonts w:eastAsia="仿宋_GB2312"/>
          <w:kern w:val="0"/>
          <w:sz w:val="28"/>
          <w:szCs w:val="28"/>
        </w:rPr>
        <w:t>2.本报告数据仅根据湖南汨罗循环经济产业园区管理委员会、湖南汨之源实业集团有限公司提供的文件、资料、原始单证、报表、凭证数据及内容进行的绩效评价，绩效评价意见和观点是在现场评价时点的基础上出具的，不应视作包含绩效评价期间所有业务发生的保证。</w:t>
      </w:r>
    </w:p>
    <w:p>
      <w:pPr>
        <w:spacing w:line="360" w:lineRule="auto"/>
        <w:ind w:firstLine="560" w:firstLineChars="200"/>
        <w:rPr>
          <w:rFonts w:eastAsia="仿宋_GB2312"/>
          <w:kern w:val="0"/>
          <w:sz w:val="28"/>
          <w:szCs w:val="28"/>
        </w:rPr>
      </w:pPr>
      <w:r>
        <w:rPr>
          <w:rFonts w:eastAsia="仿宋_GB2312"/>
          <w:kern w:val="0"/>
          <w:sz w:val="28"/>
          <w:szCs w:val="28"/>
        </w:rPr>
        <w:t>3.本报告仅供作为湖南汨罗循环经济园区配套公共基础设施项目政府专项债券项目提供绩效评价依据，不能作为其他用途。因报告使用不当而造成的任何后果均与本报告注册会计师及事务所无关。</w:t>
      </w:r>
    </w:p>
    <w:p>
      <w:pPr>
        <w:spacing w:line="360" w:lineRule="auto"/>
        <w:ind w:firstLine="560" w:firstLineChars="200"/>
        <w:rPr>
          <w:rFonts w:eastAsia="仿宋_GB2312"/>
          <w:kern w:val="0"/>
          <w:sz w:val="28"/>
          <w:szCs w:val="28"/>
        </w:rPr>
      </w:pPr>
    </w:p>
    <w:p>
      <w:pPr>
        <w:widowControl/>
        <w:jc w:val="left"/>
        <w:rPr>
          <w:rFonts w:eastAsia="仿宋_GB2312"/>
          <w:kern w:val="0"/>
          <w:sz w:val="28"/>
          <w:szCs w:val="28"/>
        </w:rPr>
      </w:pPr>
      <w:r>
        <w:rPr>
          <w:rFonts w:eastAsia="仿宋_GB2312"/>
          <w:kern w:val="0"/>
          <w:sz w:val="28"/>
          <w:szCs w:val="28"/>
        </w:rPr>
        <w:br w:type="page"/>
      </w:r>
    </w:p>
    <w:p>
      <w:pPr>
        <w:spacing w:line="360" w:lineRule="auto"/>
        <w:ind w:firstLine="560" w:firstLineChars="200"/>
        <w:rPr>
          <w:rFonts w:eastAsia="仿宋_GB2312"/>
          <w:sz w:val="28"/>
          <w:szCs w:val="28"/>
        </w:rPr>
      </w:pPr>
      <w:r>
        <w:rPr>
          <w:rFonts w:eastAsia="仿宋_GB2312"/>
          <w:kern w:val="0"/>
          <w:sz w:val="28"/>
          <w:szCs w:val="28"/>
        </w:rPr>
        <w:t>附件：</w:t>
      </w:r>
      <w:r>
        <w:rPr>
          <w:rFonts w:eastAsia="仿宋_GB2312"/>
          <w:sz w:val="28"/>
          <w:szCs w:val="28"/>
        </w:rPr>
        <w:t>《湖南汨罗循环经济园区配套公共基础设施项目政府专项债券资金绩效评价指标表》</w:t>
      </w:r>
    </w:p>
    <w:p>
      <w:pPr>
        <w:spacing w:line="360" w:lineRule="auto"/>
        <w:ind w:firstLine="560" w:firstLineChars="200"/>
        <w:rPr>
          <w:rFonts w:eastAsia="仿宋_GB2312"/>
          <w:sz w:val="28"/>
          <w:szCs w:val="28"/>
        </w:rPr>
      </w:pPr>
    </w:p>
    <w:p>
      <w:pPr>
        <w:pStyle w:val="2"/>
      </w:pPr>
    </w:p>
    <w:p>
      <w:pPr>
        <w:spacing w:line="360" w:lineRule="auto"/>
        <w:ind w:firstLine="280" w:firstLineChars="100"/>
        <w:rPr>
          <w:rFonts w:eastAsia="仿宋_GB2312"/>
          <w:sz w:val="28"/>
          <w:szCs w:val="28"/>
        </w:rPr>
      </w:pPr>
      <w:r>
        <w:rPr>
          <w:rFonts w:eastAsia="仿宋_GB2312"/>
          <w:sz w:val="28"/>
          <w:szCs w:val="28"/>
        </w:rPr>
        <w:t>中证天通会计师事务所</w:t>
      </w:r>
      <w:r>
        <w:rPr>
          <w:rFonts w:eastAsia="仿宋_GB2312"/>
          <w:sz w:val="28"/>
          <w:szCs w:val="28"/>
        </w:rPr>
        <w:tab/>
      </w:r>
      <w:r>
        <w:rPr>
          <w:rFonts w:eastAsia="仿宋_GB2312"/>
          <w:sz w:val="28"/>
          <w:szCs w:val="28"/>
        </w:rPr>
        <w:t xml:space="preserve">            中国注册会计师：</w:t>
      </w:r>
    </w:p>
    <w:p>
      <w:pPr>
        <w:spacing w:line="360" w:lineRule="auto"/>
        <w:rPr>
          <w:rFonts w:eastAsia="仿宋_GB2312"/>
          <w:sz w:val="28"/>
          <w:szCs w:val="28"/>
        </w:rPr>
      </w:pPr>
      <w:r>
        <w:rPr>
          <w:rFonts w:eastAsia="仿宋_GB2312"/>
          <w:sz w:val="28"/>
          <w:szCs w:val="28"/>
        </w:rPr>
        <w:t>（特殊普通合伙）湖南分所</w:t>
      </w:r>
    </w:p>
    <w:p>
      <w:pPr>
        <w:spacing w:line="360" w:lineRule="auto"/>
        <w:ind w:firstLine="560" w:firstLineChars="200"/>
        <w:rPr>
          <w:rFonts w:eastAsia="仿宋_GB2312"/>
          <w:sz w:val="28"/>
          <w:szCs w:val="28"/>
        </w:rPr>
      </w:pPr>
      <w:r>
        <w:rPr>
          <w:rFonts w:eastAsia="仿宋_GB2312"/>
          <w:sz w:val="28"/>
          <w:szCs w:val="28"/>
        </w:rPr>
        <w:tab/>
      </w:r>
      <w:r>
        <w:rPr>
          <w:rFonts w:eastAsia="仿宋_GB2312"/>
          <w:sz w:val="28"/>
          <w:szCs w:val="28"/>
        </w:rPr>
        <w:t xml:space="preserve">                              中国注册会计师</w:t>
      </w:r>
      <w:r>
        <w:rPr>
          <w:rFonts w:hint="eastAsia" w:eastAsia="仿宋_GB2312"/>
          <w:sz w:val="28"/>
          <w:szCs w:val="28"/>
        </w:rPr>
        <w:t>：</w:t>
      </w:r>
    </w:p>
    <w:p>
      <w:pPr>
        <w:spacing w:line="360" w:lineRule="auto"/>
        <w:ind w:firstLine="560" w:firstLineChars="200"/>
        <w:rPr>
          <w:rFonts w:eastAsia="仿宋_GB2312"/>
          <w:sz w:val="28"/>
          <w:szCs w:val="28"/>
        </w:rPr>
      </w:pPr>
    </w:p>
    <w:p>
      <w:pPr>
        <w:spacing w:line="360" w:lineRule="auto"/>
        <w:ind w:firstLine="560" w:firstLineChars="200"/>
        <w:rPr>
          <w:rFonts w:eastAsia="仿宋_GB2312"/>
          <w:sz w:val="28"/>
          <w:szCs w:val="28"/>
        </w:rPr>
      </w:pPr>
      <w:r>
        <w:rPr>
          <w:rFonts w:eastAsia="仿宋_GB2312"/>
          <w:sz w:val="28"/>
          <w:szCs w:val="28"/>
        </w:rPr>
        <w:t>中 国 · 长沙</w:t>
      </w:r>
      <w:r>
        <w:rPr>
          <w:rFonts w:eastAsia="仿宋_GB2312"/>
          <w:sz w:val="28"/>
          <w:szCs w:val="28"/>
        </w:rPr>
        <w:tab/>
      </w:r>
      <w:r>
        <w:rPr>
          <w:rFonts w:eastAsia="仿宋_GB2312"/>
          <w:sz w:val="28"/>
          <w:szCs w:val="28"/>
        </w:rPr>
        <w:t xml:space="preserve">                 2021年12月17日</w:t>
      </w:r>
    </w:p>
    <w:p>
      <w:pPr>
        <w:spacing w:line="360" w:lineRule="auto"/>
        <w:ind w:firstLine="560" w:firstLineChars="200"/>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jc w:val="cente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p>
      <w:pPr>
        <w:rPr>
          <w:rFonts w:eastAsia="仿宋_GB2312"/>
          <w:sz w:val="28"/>
          <w:szCs w:val="28"/>
        </w:rPr>
      </w:pPr>
    </w:p>
    <w:sectPr>
      <w:headerReference r:id="rId8" w:type="default"/>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Segoe UI Symbol">
    <w:altName w:val="Symbol"/>
    <w:panose1 w:val="020B0502040204020203"/>
    <w:charset w:val="00"/>
    <w:family w:val="swiss"/>
    <w:pitch w:val="default"/>
    <w:sig w:usb0="00000000" w:usb1="00000000" w:usb2="00040000" w:usb3="00000000" w:csb0="00000001"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240" w:beforeLines="100" w:after="240" w:afterLines="100" w:line="240" w:lineRule="auto"/>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240" w:beforeLines="100" w:after="240" w:afterLines="100" w:line="240" w:lineRule="auto"/>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240" w:beforeLines="100" w:after="240" w:afterLines="100" w:line="240" w:lineRule="auto"/>
      <w:jc w:val="left"/>
      <w:rPr>
        <w:sz w:val="2"/>
        <w:szCs w:val="2"/>
      </w:rPr>
    </w:pPr>
    <w:r>
      <w:rPr>
        <w:sz w:val="2"/>
        <w:szCs w:val="2"/>
      </w:rPr>
      <mc:AlternateContent>
        <mc:Choice Requires="wps">
          <w:drawing>
            <wp:anchor distT="0" distB="0" distL="114300" distR="114300" simplePos="0" relativeHeight="251666432" behindDoc="0" locked="0" layoutInCell="1" allowOverlap="1">
              <wp:simplePos x="0" y="0"/>
              <wp:positionH relativeFrom="margin">
                <wp:posOffset>2181225</wp:posOffset>
              </wp:positionH>
              <wp:positionV relativeFrom="paragraph">
                <wp:posOffset>-3810</wp:posOffset>
              </wp:positionV>
              <wp:extent cx="1171575" cy="171450"/>
              <wp:effectExtent l="0" t="0" r="9525" b="0"/>
              <wp:wrapNone/>
              <wp:docPr id="7" name="文本框 7"/>
              <wp:cNvGraphicFramePr/>
              <a:graphic xmlns:a="http://schemas.openxmlformats.org/drawingml/2006/main">
                <a:graphicData uri="http://schemas.microsoft.com/office/word/2010/wordprocessingShape">
                  <wps:wsp>
                    <wps:cNvSpPr txBox="1"/>
                    <wps:spPr>
                      <a:xfrm>
                        <a:off x="0" y="0"/>
                        <a:ext cx="1171575" cy="171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13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71.75pt;margin-top:-0.3pt;height:13.5pt;width:92.25pt;mso-position-horizontal-relative:margin;z-index:251666432;mso-width-relative:page;mso-height-relative:page;" filled="f" stroked="f" coordsize="21600,21600" o:gfxdata="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I8DZNgAAAAIAQAADwAAAAAAAAABACAAAAAiAAAAZHJzL2Rvd25yZXYueG1sUEsB&#10;AhQAFAAAAAgAh07iQMaBuY8uAgAAVgQAAA4AAAAAAAAAAQAgAAAAJwEAAGRycy9lMm9Eb2MueG1s&#10;UEsFBgAAAAAGAAYAWQEAAMcFAAAAAA==&#10;">
              <v:fill on="f" focussize="0,0"/>
              <v:stroke on="f" weight="0.5pt"/>
              <v:imagedata o:title=""/>
              <o:lock v:ext="edit" aspectratio="f"/>
              <v:textbox inset="0mm,0mm,0mm,0mm">
                <w:txbxContent>
                  <w:p>
                    <w:pPr>
                      <w:pStyle w:val="7"/>
                    </w:pPr>
                    <w:r>
                      <w:t xml:space="preserve">第 </w:t>
                    </w:r>
                    <w:r>
                      <w:fldChar w:fldCharType="begin"/>
                    </w:r>
                    <w:r>
                      <w:instrText xml:space="preserve"> PAGE  \* MERGEFORMAT </w:instrText>
                    </w:r>
                    <w:r>
                      <w:fldChar w:fldCharType="separate"/>
                    </w:r>
                    <w:r>
                      <w:t>1</w:t>
                    </w:r>
                    <w:r>
                      <w:fldChar w:fldCharType="end"/>
                    </w:r>
                    <w:r>
                      <w:t xml:space="preserve"> 页 共 13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tabs>
        <w:tab w:val="left" w:pos="6298"/>
        <w:tab w:val="right" w:pos="8964"/>
      </w:tabs>
      <w:ind w:firstLine="540" w:firstLineChars="300"/>
      <w:jc w:val="both"/>
    </w:pPr>
    <w:r>
      <w:drawing>
        <wp:anchor distT="0" distB="0" distL="114300" distR="114300" simplePos="0" relativeHeight="251660288" behindDoc="1" locked="0" layoutInCell="1" allowOverlap="1">
          <wp:simplePos x="0" y="0"/>
          <wp:positionH relativeFrom="column">
            <wp:posOffset>6985</wp:posOffset>
          </wp:positionH>
          <wp:positionV relativeFrom="paragraph">
            <wp:posOffset>-41910</wp:posOffset>
          </wp:positionV>
          <wp:extent cx="350520" cy="205740"/>
          <wp:effectExtent l="0" t="0" r="11430" b="3810"/>
          <wp:wrapTight wrapText="bothSides">
            <wp:wrapPolygon>
              <wp:start x="0" y="0"/>
              <wp:lineTo x="0" y="19333"/>
              <wp:lineTo x="20622" y="19333"/>
              <wp:lineTo x="20622" y="0"/>
              <wp:lineTo x="0" y="0"/>
            </wp:wrapPolygon>
          </wp:wrapTight>
          <wp:docPr id="3" name="图片 6" descr="15066064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1506606468(1)"/>
                  <pic:cNvPicPr>
                    <a:picLocks noChangeAspect="1"/>
                  </pic:cNvPicPr>
                </pic:nvPicPr>
                <pic:blipFill>
                  <a:blip r:embed="rId1"/>
                  <a:stretch>
                    <a:fillRect/>
                  </a:stretch>
                </pic:blipFill>
                <pic:spPr>
                  <a:xfrm>
                    <a:off x="0" y="0"/>
                    <a:ext cx="350520" cy="205740"/>
                  </a:xfrm>
                  <a:prstGeom prst="rect">
                    <a:avLst/>
                  </a:prstGeom>
                  <a:noFill/>
                  <a:ln>
                    <a:noFill/>
                  </a:ln>
                </pic:spPr>
              </pic:pic>
            </a:graphicData>
          </a:graphic>
        </wp:anchor>
      </w:drawing>
    </w:r>
    <w:r>
      <w:rPr>
        <w:rFonts w:hint="eastAsia"/>
      </w:rPr>
      <w:t xml:space="preserve">中证天通                            </w:t>
    </w:r>
    <w:r>
      <w:t xml:space="preserve">   </w:t>
    </w:r>
    <w:r>
      <w:rPr>
        <w:rFonts w:hint="eastAsia"/>
      </w:rPr>
      <w:t xml:space="preserve">     </w:t>
    </w:r>
    <w:r>
      <w:t xml:space="preserve">  </w:t>
    </w:r>
    <w:r>
      <w:rPr>
        <w:rFonts w:hint="eastAsia"/>
      </w:rPr>
      <w:t>湖南汨罗循环经济园区配套公共基础设施项目</w:t>
    </w:r>
  </w:p>
  <w:p>
    <w:pPr>
      <w:pStyle w:val="8"/>
      <w:pBdr>
        <w:bottom w:val="single" w:color="auto" w:sz="4" w:space="1"/>
      </w:pBdr>
      <w:tabs>
        <w:tab w:val="left" w:pos="6298"/>
        <w:tab w:val="right" w:pos="8964"/>
      </w:tabs>
      <w:ind w:firstLine="2700" w:firstLineChars="1500"/>
      <w:jc w:val="right"/>
    </w:pPr>
    <w:r>
      <w:rPr>
        <w:rFonts w:hint="eastAsia"/>
      </w:rPr>
      <w:t>政府专项债券项目资金绩效评价报告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tabs>
        <w:tab w:val="left" w:pos="2082"/>
      </w:tabs>
      <w:jc w:val="left"/>
    </w:pPr>
    <w:r>
      <w:rPr>
        <w:rFonts w:hint="eastAsia"/>
      </w:rPr>
      <w:tab/>
    </w:r>
    <w:r>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1"/>
        <w:left w:val="none" w:color="auto" w:sz="0" w:space="4"/>
        <w:bottom w:val="none" w:color="auto" w:sz="0" w:space="1"/>
        <w:right w:val="none" w:color="auto" w:sz="0" w:space="4"/>
      </w:pBdr>
      <w:tabs>
        <w:tab w:val="left" w:pos="6298"/>
        <w:tab w:val="right" w:pos="8964"/>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tabs>
        <w:tab w:val="left" w:pos="6298"/>
        <w:tab w:val="right" w:pos="8964"/>
      </w:tabs>
      <w:ind w:firstLine="540" w:firstLineChars="300"/>
      <w:jc w:val="both"/>
    </w:pPr>
    <w:r>
      <w:drawing>
        <wp:anchor distT="0" distB="0" distL="114300" distR="114300" simplePos="0" relativeHeight="251661312" behindDoc="1" locked="0" layoutInCell="1" allowOverlap="1">
          <wp:simplePos x="0" y="0"/>
          <wp:positionH relativeFrom="column">
            <wp:posOffset>6985</wp:posOffset>
          </wp:positionH>
          <wp:positionV relativeFrom="paragraph">
            <wp:posOffset>-41910</wp:posOffset>
          </wp:positionV>
          <wp:extent cx="350520" cy="205740"/>
          <wp:effectExtent l="0" t="0" r="11430" b="3810"/>
          <wp:wrapTight wrapText="bothSides">
            <wp:wrapPolygon>
              <wp:start x="0" y="0"/>
              <wp:lineTo x="0" y="19333"/>
              <wp:lineTo x="20622" y="19333"/>
              <wp:lineTo x="20622" y="0"/>
              <wp:lineTo x="0" y="0"/>
            </wp:wrapPolygon>
          </wp:wrapTight>
          <wp:docPr id="4" name="图片 6" descr="15066064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1506606468(1)"/>
                  <pic:cNvPicPr>
                    <a:picLocks noChangeAspect="1"/>
                  </pic:cNvPicPr>
                </pic:nvPicPr>
                <pic:blipFill>
                  <a:blip r:embed="rId1"/>
                  <a:stretch>
                    <a:fillRect/>
                  </a:stretch>
                </pic:blipFill>
                <pic:spPr>
                  <a:xfrm>
                    <a:off x="0" y="0"/>
                    <a:ext cx="350520" cy="205740"/>
                  </a:xfrm>
                  <a:prstGeom prst="rect">
                    <a:avLst/>
                  </a:prstGeom>
                  <a:noFill/>
                  <a:ln>
                    <a:noFill/>
                  </a:ln>
                </pic:spPr>
              </pic:pic>
            </a:graphicData>
          </a:graphic>
        </wp:anchor>
      </w:drawing>
    </w:r>
    <w:r>
      <w:rPr>
        <w:rFonts w:hint="eastAsia"/>
      </w:rPr>
      <w:t xml:space="preserve">中证天通                            </w:t>
    </w:r>
    <w:r>
      <w:t xml:space="preserve">   </w:t>
    </w:r>
    <w:r>
      <w:rPr>
        <w:rFonts w:hint="eastAsia"/>
      </w:rPr>
      <w:t xml:space="preserve">     </w:t>
    </w:r>
    <w:r>
      <w:t xml:space="preserve">  </w:t>
    </w:r>
    <w:r>
      <w:rPr>
        <w:rFonts w:hint="eastAsia"/>
      </w:rPr>
      <w:t>湖南汨罗循环经济园区配套公共基础设施项目</w:t>
    </w:r>
  </w:p>
  <w:p>
    <w:pPr>
      <w:pStyle w:val="8"/>
      <w:pBdr>
        <w:bottom w:val="single" w:color="auto" w:sz="4" w:space="1"/>
      </w:pBdr>
      <w:tabs>
        <w:tab w:val="left" w:pos="6298"/>
        <w:tab w:val="right" w:pos="8964"/>
      </w:tabs>
      <w:ind w:firstLine="2700" w:firstLineChars="1500"/>
      <w:jc w:val="right"/>
    </w:pPr>
    <w:r>
      <w:rPr>
        <w:rFonts w:hint="eastAsia"/>
      </w:rPr>
      <w:t>政府专项债券项目资金绩效评价报告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6D9222"/>
    <w:multiLevelType w:val="singleLevel"/>
    <w:tmpl w:val="976D9222"/>
    <w:lvl w:ilvl="0" w:tentative="0">
      <w:start w:val="2"/>
      <w:numFmt w:val="decimal"/>
      <w:suff w:val="nothing"/>
      <w:lvlText w:val="（%1）"/>
      <w:lvlJc w:val="left"/>
    </w:lvl>
  </w:abstractNum>
  <w:abstractNum w:abstractNumId="1">
    <w:nsid w:val="FDEBF09B"/>
    <w:multiLevelType w:val="singleLevel"/>
    <w:tmpl w:val="FDEBF09B"/>
    <w:lvl w:ilvl="0" w:tentative="0">
      <w:start w:val="1"/>
      <w:numFmt w:val="decimal"/>
      <w:suff w:val="nothing"/>
      <w:lvlText w:val="%1、"/>
      <w:lvlJc w:val="left"/>
    </w:lvl>
  </w:abstractNum>
  <w:abstractNum w:abstractNumId="2">
    <w:nsid w:val="4BBB9E1B"/>
    <w:multiLevelType w:val="singleLevel"/>
    <w:tmpl w:val="4BBB9E1B"/>
    <w:lvl w:ilvl="0" w:tentative="0">
      <w:start w:val="2"/>
      <w:numFmt w:val="chineseCounting"/>
      <w:suff w:val="nothing"/>
      <w:lvlText w:val="%1、"/>
      <w:lvlJc w:val="left"/>
      <w:rPr>
        <w:rFonts w:hint="eastAsia"/>
      </w:rPr>
    </w:lvl>
  </w:abstractNum>
  <w:abstractNum w:abstractNumId="3">
    <w:nsid w:val="593CBBC9"/>
    <w:multiLevelType w:val="singleLevel"/>
    <w:tmpl w:val="593CBBC9"/>
    <w:lvl w:ilvl="0" w:tentative="0">
      <w:start w:val="3"/>
      <w:numFmt w:val="chineseCounting"/>
      <w:suff w:val="nothing"/>
      <w:lvlText w:val="（%1）"/>
      <w:lvlJc w:val="left"/>
    </w:lvl>
  </w:abstractNum>
  <w:abstractNum w:abstractNumId="4">
    <w:nsid w:val="5CA5A446"/>
    <w:multiLevelType w:val="singleLevel"/>
    <w:tmpl w:val="5CA5A446"/>
    <w:lvl w:ilvl="0" w:tentative="0">
      <w:start w:val="2"/>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D07A1"/>
    <w:rsid w:val="000A6D66"/>
    <w:rsid w:val="000C7026"/>
    <w:rsid w:val="0011204E"/>
    <w:rsid w:val="001B71A7"/>
    <w:rsid w:val="00217B05"/>
    <w:rsid w:val="00281110"/>
    <w:rsid w:val="002D66BE"/>
    <w:rsid w:val="00306E39"/>
    <w:rsid w:val="003128A8"/>
    <w:rsid w:val="0039004D"/>
    <w:rsid w:val="00406A94"/>
    <w:rsid w:val="005A4423"/>
    <w:rsid w:val="005F0978"/>
    <w:rsid w:val="00653758"/>
    <w:rsid w:val="006750B9"/>
    <w:rsid w:val="006D32A9"/>
    <w:rsid w:val="006F5918"/>
    <w:rsid w:val="006F76E7"/>
    <w:rsid w:val="0074609A"/>
    <w:rsid w:val="00750FAE"/>
    <w:rsid w:val="00817263"/>
    <w:rsid w:val="00855CDF"/>
    <w:rsid w:val="0094249F"/>
    <w:rsid w:val="009D5F1F"/>
    <w:rsid w:val="00A36FF5"/>
    <w:rsid w:val="00A46AB6"/>
    <w:rsid w:val="00B3528E"/>
    <w:rsid w:val="00C51642"/>
    <w:rsid w:val="00D429AD"/>
    <w:rsid w:val="00DE017A"/>
    <w:rsid w:val="00E178B8"/>
    <w:rsid w:val="00E206B2"/>
    <w:rsid w:val="00EA5C87"/>
    <w:rsid w:val="00EF79AD"/>
    <w:rsid w:val="00F55154"/>
    <w:rsid w:val="00FA006E"/>
    <w:rsid w:val="00FA65BB"/>
    <w:rsid w:val="0A051CF9"/>
    <w:rsid w:val="15113904"/>
    <w:rsid w:val="267B2E67"/>
    <w:rsid w:val="276F2CAA"/>
    <w:rsid w:val="27C955EF"/>
    <w:rsid w:val="29931B49"/>
    <w:rsid w:val="29E20940"/>
    <w:rsid w:val="2DB61884"/>
    <w:rsid w:val="346D07A1"/>
    <w:rsid w:val="3A083E05"/>
    <w:rsid w:val="3ADB7D8A"/>
    <w:rsid w:val="3B112AB2"/>
    <w:rsid w:val="3C8C3C68"/>
    <w:rsid w:val="5A62257D"/>
    <w:rsid w:val="69CA4825"/>
    <w:rsid w:val="6AC208F6"/>
    <w:rsid w:val="6D2A7C7D"/>
    <w:rsid w:val="6E386BAD"/>
    <w:rsid w:val="74511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rFonts w:eastAsia="仿宋_GB2312"/>
      <w:b/>
      <w:bCs/>
      <w:kern w:val="44"/>
      <w:sz w:val="30"/>
      <w:szCs w:val="44"/>
    </w:rPr>
  </w:style>
  <w:style w:type="paragraph" w:styleId="6">
    <w:name w:val="heading 2"/>
    <w:basedOn w:val="1"/>
    <w:next w:val="1"/>
    <w:link w:val="14"/>
    <w:qFormat/>
    <w:uiPriority w:val="0"/>
    <w:pPr>
      <w:keepNext/>
      <w:keepLines/>
      <w:spacing w:before="260" w:after="260" w:line="413" w:lineRule="auto"/>
      <w:outlineLvl w:val="1"/>
    </w:pPr>
    <w:rPr>
      <w:rFonts w:ascii="Arial" w:hAnsi="Arial" w:eastAsia="黑体"/>
      <w:b/>
      <w:kern w:val="0"/>
      <w:sz w:val="32"/>
      <w:szCs w:val="20"/>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unhideWhenUsed/>
    <w:qFormat/>
    <w:uiPriority w:val="99"/>
    <w:pPr>
      <w:tabs>
        <w:tab w:val="left" w:pos="630"/>
      </w:tabs>
      <w:ind w:firstLine="420" w:firstLineChars="200"/>
    </w:pPr>
  </w:style>
  <w:style w:type="paragraph" w:styleId="3">
    <w:name w:val="Body Text Indent"/>
    <w:basedOn w:val="1"/>
    <w:next w:val="4"/>
    <w:unhideWhenUsed/>
    <w:qFormat/>
    <w:uiPriority w:val="0"/>
    <w:pPr>
      <w:tabs>
        <w:tab w:val="left" w:pos="630"/>
      </w:tabs>
      <w:adjustRightInd w:val="0"/>
      <w:ind w:firstLine="630"/>
      <w:textAlignment w:val="baseline"/>
    </w:pPr>
    <w:rPr>
      <w:szCs w:val="21"/>
    </w:rPr>
  </w:style>
  <w:style w:type="paragraph" w:styleId="4">
    <w:name w:val="Body Text Indent 2"/>
    <w:basedOn w:val="1"/>
    <w:qFormat/>
    <w:uiPriority w:val="0"/>
    <w:pPr>
      <w:spacing w:after="120" w:line="480" w:lineRule="auto"/>
      <w:ind w:left="420" w:leftChars="200"/>
    </w:p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iPriority w:val="0"/>
  </w:style>
  <w:style w:type="paragraph" w:styleId="10">
    <w:name w:val="toc 2"/>
    <w:basedOn w:val="1"/>
    <w:next w:val="1"/>
    <w:uiPriority w:val="0"/>
    <w:pPr>
      <w:ind w:left="420" w:leftChars="200"/>
    </w:pPr>
  </w:style>
  <w:style w:type="paragraph" w:styleId="11">
    <w:name w:val="Normal (Web)"/>
    <w:basedOn w:val="1"/>
    <w:qFormat/>
    <w:uiPriority w:val="0"/>
    <w:pPr>
      <w:jc w:val="left"/>
    </w:pPr>
    <w:rPr>
      <w:kern w:val="0"/>
      <w:sz w:val="24"/>
    </w:rPr>
  </w:style>
  <w:style w:type="character" w:customStyle="1" w:styleId="14">
    <w:name w:val="标题 2 字符"/>
    <w:link w:val="6"/>
    <w:qFormat/>
    <w:uiPriority w:val="0"/>
    <w:rPr>
      <w:rFonts w:ascii="Arial" w:hAnsi="Arial" w:eastAsia="黑体"/>
      <w:b/>
      <w:kern w:val="0"/>
      <w:sz w:val="32"/>
      <w:szCs w:val="20"/>
    </w:rPr>
  </w:style>
  <w:style w:type="paragraph" w:styleId="15">
    <w:name w:val="List Paragraph"/>
    <w:basedOn w:val="1"/>
    <w:uiPriority w:val="99"/>
    <w:pPr>
      <w:ind w:firstLine="420" w:firstLineChars="200"/>
    </w:pPr>
  </w:style>
  <w:style w:type="paragraph" w:customStyle="1" w:styleId="16">
    <w:name w:val="WPSOffice手动目录 1"/>
    <w:uiPriority w:val="0"/>
    <w:rPr>
      <w:rFonts w:ascii="Times New Roman" w:hAnsi="Times New Roman" w:eastAsia="宋体" w:cs="Times New Roman"/>
      <w:lang w:val="en-US" w:eastAsia="zh-CN" w:bidi="ar-SA"/>
    </w:rPr>
  </w:style>
  <w:style w:type="paragraph" w:customStyle="1" w:styleId="17">
    <w:name w:val="WPSOffice手动目录 2"/>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1187</Words>
  <Characters>6772</Characters>
  <Lines>56</Lines>
  <Paragraphs>15</Paragraphs>
  <TotalTime>16</TotalTime>
  <ScaleCrop>false</ScaleCrop>
  <LinksUpToDate>false</LinksUpToDate>
  <CharactersWithSpaces>7944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2021-12-14T11:16:00Z</dcterms:created>
  <dc:creator>陆二三</dc:creator>
  <cp:lastModifiedBy>Administrator</cp:lastModifiedBy>
  <dcterms:modified xsi:type="dcterms:W3CDTF">2021-12-17T02:33:47Z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3A35BE1693094C87A72E406FE45B6901</vt:lpwstr>
  </property>
</Properties>
</file>