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b/>
          <w:sz w:val="32"/>
        </w:rPr>
      </w:pPr>
      <w:bookmarkStart w:id="0" w:name="_Toc383248397"/>
      <w:r>
        <w:rPr>
          <w:rFonts w:hint="eastAsia"/>
          <w:b/>
          <w:sz w:val="32"/>
        </w:rPr>
        <w:t>目</w:t>
      </w:r>
      <w:r>
        <w:rPr>
          <w:b/>
          <w:sz w:val="32"/>
        </w:rPr>
        <w:t xml:space="preserve">   </w:t>
      </w:r>
      <w:r>
        <w:rPr>
          <w:rFonts w:hint="eastAsia"/>
          <w:b/>
          <w:sz w:val="32"/>
        </w:rPr>
        <w:t>录</w:t>
      </w:r>
    </w:p>
    <w:p>
      <w:pPr>
        <w:pStyle w:val="41"/>
        <w:tabs>
          <w:tab w:val="right" w:leader="dot" w:pos="8957"/>
        </w:tabs>
      </w:pPr>
      <w:r>
        <w:rPr>
          <w:color w:val="FF0000"/>
          <w:highlight w:val="yellow"/>
        </w:rPr>
        <w:fldChar w:fldCharType="begin"/>
      </w:r>
      <w:r>
        <w:rPr>
          <w:color w:val="FF0000"/>
          <w:highlight w:val="yellow"/>
        </w:rPr>
        <w:instrText xml:space="preserve">TOC \o "1-2" \h \z \u</w:instrText>
      </w:r>
      <w:r>
        <w:rPr>
          <w:color w:val="FF0000"/>
          <w:highlight w:val="yellow"/>
        </w:rPr>
        <w:fldChar w:fldCharType="separate"/>
      </w:r>
      <w:r>
        <w:rPr>
          <w:color w:val="FF0000"/>
          <w:highlight w:val="yellow"/>
        </w:rPr>
        <w:fldChar w:fldCharType="begin"/>
      </w:r>
      <w:r>
        <w:rPr>
          <w:highlight w:val="yellow"/>
        </w:rPr>
        <w:instrText xml:space="preserve"> HYPERLINK \l _Toc29319 </w:instrText>
      </w:r>
      <w:r>
        <w:rPr>
          <w:highlight w:val="yellow"/>
        </w:rPr>
        <w:fldChar w:fldCharType="separate"/>
      </w:r>
      <w:r>
        <w:rPr>
          <w:rFonts w:cs="Times New Roman"/>
        </w:rPr>
        <w:t xml:space="preserve">1 </w:t>
      </w:r>
      <w:r>
        <w:rPr>
          <w:rFonts w:hint="eastAsia"/>
        </w:rPr>
        <w:t>前言</w:t>
      </w:r>
      <w:r>
        <w:tab/>
      </w:r>
      <w:r>
        <w:fldChar w:fldCharType="begin"/>
      </w:r>
      <w:r>
        <w:instrText xml:space="preserve"> PAGEREF _Toc29319 </w:instrText>
      </w:r>
      <w:r>
        <w:fldChar w:fldCharType="separate"/>
      </w:r>
      <w:r>
        <w:t>1</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_Toc23145 </w:instrText>
      </w:r>
      <w:r>
        <w:rPr>
          <w:highlight w:val="yellow"/>
        </w:rPr>
        <w:fldChar w:fldCharType="separate"/>
      </w:r>
      <w:r>
        <w:rPr>
          <w:rFonts w:cs="Times New Roman"/>
        </w:rPr>
        <w:t xml:space="preserve">1.1 </w:t>
      </w:r>
      <w:r>
        <w:rPr>
          <w:rFonts w:hint="eastAsia"/>
        </w:rPr>
        <w:t>项目由来</w:t>
      </w:r>
      <w:r>
        <w:tab/>
      </w:r>
      <w:r>
        <w:fldChar w:fldCharType="begin"/>
      </w:r>
      <w:r>
        <w:instrText xml:space="preserve"> PAGEREF _Toc23145 </w:instrText>
      </w:r>
      <w:r>
        <w:fldChar w:fldCharType="separate"/>
      </w:r>
      <w:r>
        <w:t>1</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_Toc27027 </w:instrText>
      </w:r>
      <w:r>
        <w:rPr>
          <w:highlight w:val="yellow"/>
        </w:rPr>
        <w:fldChar w:fldCharType="separate"/>
      </w:r>
      <w:r>
        <w:rPr>
          <w:rFonts w:cs="Times New Roman"/>
        </w:rPr>
        <w:t xml:space="preserve">1.2 </w:t>
      </w:r>
      <w:r>
        <w:rPr>
          <w:rFonts w:hint="eastAsia"/>
        </w:rPr>
        <w:t>本项目主要特点</w:t>
      </w:r>
      <w:r>
        <w:tab/>
      </w:r>
      <w:r>
        <w:fldChar w:fldCharType="begin"/>
      </w:r>
      <w:r>
        <w:instrText xml:space="preserve"> PAGEREF _Toc27027 </w:instrText>
      </w:r>
      <w:r>
        <w:fldChar w:fldCharType="separate"/>
      </w:r>
      <w:r>
        <w:t>3</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_Toc4819 </w:instrText>
      </w:r>
      <w:r>
        <w:rPr>
          <w:highlight w:val="yellow"/>
        </w:rPr>
        <w:fldChar w:fldCharType="separate"/>
      </w:r>
      <w:r>
        <w:rPr>
          <w:rFonts w:cs="Times New Roman"/>
        </w:rPr>
        <w:t xml:space="preserve">1.3 </w:t>
      </w:r>
      <w:r>
        <w:rPr>
          <w:rFonts w:hint="eastAsia"/>
        </w:rPr>
        <w:t>环境影响评价的工作过程</w:t>
      </w:r>
      <w:r>
        <w:tab/>
      </w:r>
      <w:r>
        <w:fldChar w:fldCharType="begin"/>
      </w:r>
      <w:r>
        <w:instrText xml:space="preserve"> PAGEREF _Toc4819 </w:instrText>
      </w:r>
      <w:r>
        <w:fldChar w:fldCharType="separate"/>
      </w:r>
      <w:r>
        <w:t>4</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_Toc20811 </w:instrText>
      </w:r>
      <w:r>
        <w:rPr>
          <w:highlight w:val="yellow"/>
        </w:rPr>
        <w:fldChar w:fldCharType="separate"/>
      </w:r>
      <w:r>
        <w:rPr>
          <w:rFonts w:cs="Times New Roman"/>
        </w:rPr>
        <w:t xml:space="preserve">1.4 </w:t>
      </w:r>
      <w:r>
        <w:rPr>
          <w:rFonts w:hint="eastAsia"/>
        </w:rPr>
        <w:t>关注的主要环境问题</w:t>
      </w:r>
      <w:r>
        <w:tab/>
      </w:r>
      <w:r>
        <w:fldChar w:fldCharType="begin"/>
      </w:r>
      <w:r>
        <w:instrText xml:space="preserve"> PAGEREF _Toc20811 </w:instrText>
      </w:r>
      <w:r>
        <w:fldChar w:fldCharType="separate"/>
      </w:r>
      <w:r>
        <w:t>5</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_Toc27623 </w:instrText>
      </w:r>
      <w:r>
        <w:rPr>
          <w:highlight w:val="yellow"/>
        </w:rPr>
        <w:fldChar w:fldCharType="separate"/>
      </w:r>
      <w:r>
        <w:rPr>
          <w:rFonts w:cs="Times New Roman"/>
        </w:rPr>
        <w:t xml:space="preserve">1.5 </w:t>
      </w:r>
      <w:r>
        <w:rPr>
          <w:rFonts w:hint="eastAsia"/>
        </w:rPr>
        <w:t>主要结论</w:t>
      </w:r>
      <w:r>
        <w:tab/>
      </w:r>
      <w:r>
        <w:fldChar w:fldCharType="begin"/>
      </w:r>
      <w:r>
        <w:instrText xml:space="preserve"> PAGEREF _Toc27623 </w:instrText>
      </w:r>
      <w:r>
        <w:fldChar w:fldCharType="separate"/>
      </w:r>
      <w:r>
        <w:t>6</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_Toc19447 </w:instrText>
      </w:r>
      <w:r>
        <w:rPr>
          <w:highlight w:val="yellow"/>
        </w:rPr>
        <w:fldChar w:fldCharType="separate"/>
      </w:r>
      <w:r>
        <w:rPr>
          <w:rFonts w:cs="Times New Roman"/>
        </w:rPr>
        <w:t xml:space="preserve">2 </w:t>
      </w:r>
      <w:r>
        <w:rPr>
          <w:rFonts w:hint="eastAsia"/>
        </w:rPr>
        <w:t>总论</w:t>
      </w:r>
      <w:r>
        <w:tab/>
      </w:r>
      <w:r>
        <w:fldChar w:fldCharType="begin"/>
      </w:r>
      <w:r>
        <w:instrText xml:space="preserve"> PAGEREF _Toc19447 </w:instrText>
      </w:r>
      <w:r>
        <w:fldChar w:fldCharType="separate"/>
      </w:r>
      <w:r>
        <w:t>7</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_Toc17993 </w:instrText>
      </w:r>
      <w:r>
        <w:rPr>
          <w:highlight w:val="yellow"/>
        </w:rPr>
        <w:fldChar w:fldCharType="separate"/>
      </w:r>
      <w:r>
        <w:rPr>
          <w:rFonts w:cs="Times New Roman"/>
        </w:rPr>
        <w:t xml:space="preserve">2.1 </w:t>
      </w:r>
      <w:r>
        <w:rPr>
          <w:rFonts w:hint="eastAsia"/>
        </w:rPr>
        <w:t>评价目的</w:t>
      </w:r>
      <w:r>
        <w:tab/>
      </w:r>
      <w:r>
        <w:fldChar w:fldCharType="begin"/>
      </w:r>
      <w:r>
        <w:instrText xml:space="preserve"> PAGEREF _Toc17993 </w:instrText>
      </w:r>
      <w:r>
        <w:fldChar w:fldCharType="separate"/>
      </w:r>
      <w:r>
        <w:t>7</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_Toc18752 </w:instrText>
      </w:r>
      <w:r>
        <w:rPr>
          <w:highlight w:val="yellow"/>
        </w:rPr>
        <w:fldChar w:fldCharType="separate"/>
      </w:r>
      <w:r>
        <w:rPr>
          <w:rFonts w:cs="Times New Roman"/>
        </w:rPr>
        <w:t xml:space="preserve">2.2 </w:t>
      </w:r>
      <w:r>
        <w:rPr>
          <w:rFonts w:hint="eastAsia"/>
        </w:rPr>
        <w:t>编制依据</w:t>
      </w:r>
      <w:r>
        <w:tab/>
      </w:r>
      <w:r>
        <w:fldChar w:fldCharType="begin"/>
      </w:r>
      <w:r>
        <w:instrText xml:space="preserve"> PAGEREF _Toc18752 </w:instrText>
      </w:r>
      <w:r>
        <w:fldChar w:fldCharType="separate"/>
      </w:r>
      <w:r>
        <w:t>7</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_Toc26185 </w:instrText>
      </w:r>
      <w:r>
        <w:rPr>
          <w:highlight w:val="yellow"/>
        </w:rPr>
        <w:fldChar w:fldCharType="separate"/>
      </w:r>
      <w:r>
        <w:rPr>
          <w:rFonts w:cs="Times New Roman"/>
        </w:rPr>
        <w:t xml:space="preserve">2.3 </w:t>
      </w:r>
      <w:r>
        <w:rPr>
          <w:rFonts w:hint="eastAsia"/>
        </w:rPr>
        <w:t>评价等级及范围</w:t>
      </w:r>
      <w:r>
        <w:tab/>
      </w:r>
      <w:r>
        <w:fldChar w:fldCharType="begin"/>
      </w:r>
      <w:r>
        <w:instrText xml:space="preserve"> PAGEREF _Toc26185 </w:instrText>
      </w:r>
      <w:r>
        <w:fldChar w:fldCharType="separate"/>
      </w:r>
      <w:r>
        <w:t>10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_Toc27220 </w:instrText>
      </w:r>
      <w:r>
        <w:rPr>
          <w:highlight w:val="yellow"/>
        </w:rPr>
        <w:fldChar w:fldCharType="separate"/>
      </w:r>
      <w:r>
        <w:rPr>
          <w:rFonts w:cs="Times New Roman"/>
        </w:rPr>
        <w:t xml:space="preserve">2.4 </w:t>
      </w:r>
      <w:r>
        <w:rPr>
          <w:rFonts w:hint="eastAsia"/>
        </w:rPr>
        <w:t>评价内容和评价因子</w:t>
      </w:r>
      <w:r>
        <w:tab/>
      </w:r>
      <w:r>
        <w:fldChar w:fldCharType="begin"/>
      </w:r>
      <w:r>
        <w:instrText xml:space="preserve"> PAGEREF _Toc27220 </w:instrText>
      </w:r>
      <w:r>
        <w:fldChar w:fldCharType="separate"/>
      </w:r>
      <w:r>
        <w:t>12</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_Toc9717 </w:instrText>
      </w:r>
      <w:r>
        <w:rPr>
          <w:highlight w:val="yellow"/>
        </w:rPr>
        <w:fldChar w:fldCharType="separate"/>
      </w:r>
      <w:r>
        <w:rPr>
          <w:rFonts w:cs="Times New Roman"/>
        </w:rPr>
        <w:t xml:space="preserve">2.5 </w:t>
      </w:r>
      <w:r>
        <w:rPr>
          <w:rFonts w:hint="eastAsia"/>
        </w:rPr>
        <w:t>评价执行标准</w:t>
      </w:r>
      <w:r>
        <w:tab/>
      </w:r>
      <w:r>
        <w:fldChar w:fldCharType="begin"/>
      </w:r>
      <w:r>
        <w:instrText xml:space="preserve"> PAGEREF _Toc9717 </w:instrText>
      </w:r>
      <w:r>
        <w:fldChar w:fldCharType="separate"/>
      </w:r>
      <w:r>
        <w:t>13</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_Toc20537 </w:instrText>
      </w:r>
      <w:r>
        <w:rPr>
          <w:highlight w:val="yellow"/>
        </w:rPr>
        <w:fldChar w:fldCharType="separate"/>
      </w:r>
      <w:r>
        <w:rPr>
          <w:rFonts w:cs="Times New Roman"/>
        </w:rPr>
        <w:t xml:space="preserve">2.6 </w:t>
      </w:r>
      <w:r>
        <w:rPr>
          <w:rFonts w:hint="eastAsia"/>
        </w:rPr>
        <w:t>环境保护目标</w:t>
      </w:r>
      <w:r>
        <w:tab/>
      </w:r>
      <w:r>
        <w:fldChar w:fldCharType="begin"/>
      </w:r>
      <w:r>
        <w:instrText xml:space="preserve"> PAGEREF _Toc20537 </w:instrText>
      </w:r>
      <w:r>
        <w:fldChar w:fldCharType="separate"/>
      </w:r>
      <w:r>
        <w:t>16</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_Toc23713 </w:instrText>
      </w:r>
      <w:r>
        <w:rPr>
          <w:highlight w:val="yellow"/>
        </w:rPr>
        <w:fldChar w:fldCharType="separate"/>
      </w:r>
      <w:r>
        <w:rPr>
          <w:rFonts w:cs="Times New Roman"/>
        </w:rPr>
        <w:t xml:space="preserve">2.7 </w:t>
      </w:r>
      <w:r>
        <w:rPr>
          <w:rFonts w:hint="eastAsia"/>
        </w:rPr>
        <w:t>评价时段和评价方法</w:t>
      </w:r>
      <w:r>
        <w:tab/>
      </w:r>
      <w:r>
        <w:fldChar w:fldCharType="begin"/>
      </w:r>
      <w:r>
        <w:instrText xml:space="preserve"> PAGEREF _Toc23713 </w:instrText>
      </w:r>
      <w:r>
        <w:fldChar w:fldCharType="separate"/>
      </w:r>
      <w:r>
        <w:t>22</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_Toc28090 </w:instrText>
      </w:r>
      <w:r>
        <w:rPr>
          <w:highlight w:val="yellow"/>
        </w:rPr>
        <w:fldChar w:fldCharType="separate"/>
      </w:r>
      <w:r>
        <w:rPr>
          <w:rFonts w:cs="Times New Roman"/>
        </w:rPr>
        <w:t xml:space="preserve">3 </w:t>
      </w:r>
      <w:r>
        <w:rPr>
          <w:rFonts w:hint="eastAsia"/>
        </w:rPr>
        <w:t>工程概况</w:t>
      </w:r>
      <w:r>
        <w:tab/>
      </w:r>
      <w:r>
        <w:fldChar w:fldCharType="begin"/>
      </w:r>
      <w:r>
        <w:instrText xml:space="preserve"> PAGEREF _Toc28090 </w:instrText>
      </w:r>
      <w:r>
        <w:fldChar w:fldCharType="separate"/>
      </w:r>
      <w:r>
        <w:t>23</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_Toc20399 </w:instrText>
      </w:r>
      <w:r>
        <w:rPr>
          <w:highlight w:val="yellow"/>
        </w:rPr>
        <w:fldChar w:fldCharType="separate"/>
      </w:r>
      <w:r>
        <w:rPr>
          <w:rFonts w:cs="Times New Roman"/>
        </w:rPr>
        <w:t xml:space="preserve">3.1 </w:t>
      </w:r>
      <w:r>
        <w:rPr>
          <w:rFonts w:hint="eastAsia"/>
        </w:rPr>
        <w:t>工程基本情况</w:t>
      </w:r>
      <w:r>
        <w:tab/>
      </w:r>
      <w:r>
        <w:fldChar w:fldCharType="begin"/>
      </w:r>
      <w:r>
        <w:instrText xml:space="preserve"> PAGEREF _Toc20399 </w:instrText>
      </w:r>
      <w:r>
        <w:fldChar w:fldCharType="separate"/>
      </w:r>
      <w:r>
        <w:t>23</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_Toc387 </w:instrText>
      </w:r>
      <w:r>
        <w:rPr>
          <w:highlight w:val="yellow"/>
        </w:rPr>
        <w:fldChar w:fldCharType="separate"/>
      </w:r>
      <w:r>
        <w:rPr>
          <w:rFonts w:cs="Times New Roman"/>
        </w:rPr>
        <w:t xml:space="preserve">3.2 </w:t>
      </w:r>
      <w:r>
        <w:rPr>
          <w:rFonts w:hint="eastAsia"/>
        </w:rPr>
        <w:t>拟建工程概况</w:t>
      </w:r>
      <w:r>
        <w:tab/>
      </w:r>
      <w:r>
        <w:fldChar w:fldCharType="begin"/>
      </w:r>
      <w:r>
        <w:instrText xml:space="preserve"> PAGEREF _Toc387 </w:instrText>
      </w:r>
      <w:r>
        <w:fldChar w:fldCharType="separate"/>
      </w:r>
      <w:r>
        <w:t>23</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_Toc24224 </w:instrText>
      </w:r>
      <w:r>
        <w:rPr>
          <w:highlight w:val="yellow"/>
        </w:rPr>
        <w:fldChar w:fldCharType="separate"/>
      </w:r>
      <w:r>
        <w:rPr>
          <w:rFonts w:cs="Times New Roman"/>
        </w:rPr>
        <w:t xml:space="preserve">3.3 </w:t>
      </w:r>
      <w:r>
        <w:rPr>
          <w:rFonts w:hint="eastAsia"/>
        </w:rPr>
        <w:t>交通量预测</w:t>
      </w:r>
      <w:r>
        <w:tab/>
      </w:r>
      <w:r>
        <w:fldChar w:fldCharType="begin"/>
      </w:r>
      <w:r>
        <w:instrText xml:space="preserve"> PAGEREF _Toc24224 </w:instrText>
      </w:r>
      <w:r>
        <w:fldChar w:fldCharType="separate"/>
      </w:r>
      <w:r>
        <w:t>27</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_Toc17007 </w:instrText>
      </w:r>
      <w:r>
        <w:rPr>
          <w:highlight w:val="yellow"/>
        </w:rPr>
        <w:fldChar w:fldCharType="separate"/>
      </w:r>
      <w:r>
        <w:rPr>
          <w:rFonts w:cs="Times New Roman"/>
        </w:rPr>
        <w:t xml:space="preserve">3.4 </w:t>
      </w:r>
      <w:r>
        <w:rPr>
          <w:rFonts w:hint="eastAsia"/>
        </w:rPr>
        <w:t>工程方案</w:t>
      </w:r>
      <w:r>
        <w:tab/>
      </w:r>
      <w:r>
        <w:fldChar w:fldCharType="begin"/>
      </w:r>
      <w:r>
        <w:instrText xml:space="preserve"> PAGEREF _Toc17007 </w:instrText>
      </w:r>
      <w:r>
        <w:fldChar w:fldCharType="separate"/>
      </w:r>
      <w:r>
        <w:t>28</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_Toc27834 </w:instrText>
      </w:r>
      <w:r>
        <w:rPr>
          <w:highlight w:val="yellow"/>
        </w:rPr>
        <w:fldChar w:fldCharType="separate"/>
      </w:r>
      <w:r>
        <w:rPr>
          <w:rFonts w:cs="Times New Roman"/>
        </w:rPr>
        <w:t xml:space="preserve">3.5 </w:t>
      </w:r>
      <w:r>
        <w:rPr>
          <w:rFonts w:hint="eastAsia"/>
        </w:rPr>
        <w:t>工程占地及拆迁情况</w:t>
      </w:r>
      <w:r>
        <w:tab/>
      </w:r>
      <w:r>
        <w:fldChar w:fldCharType="begin"/>
      </w:r>
      <w:r>
        <w:instrText xml:space="preserve"> PAGEREF _Toc27834 </w:instrText>
      </w:r>
      <w:r>
        <w:fldChar w:fldCharType="separate"/>
      </w:r>
      <w:r>
        <w:t>34</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_Toc22306 </w:instrText>
      </w:r>
      <w:r>
        <w:rPr>
          <w:highlight w:val="yellow"/>
        </w:rPr>
        <w:fldChar w:fldCharType="separate"/>
      </w:r>
      <w:r>
        <w:rPr>
          <w:rFonts w:cs="Times New Roman"/>
        </w:rPr>
        <w:t xml:space="preserve">3.6 </w:t>
      </w:r>
      <w:r>
        <w:rPr>
          <w:rFonts w:hint="eastAsia"/>
        </w:rPr>
        <w:t>工程土石方平衡</w:t>
      </w:r>
      <w:r>
        <w:tab/>
      </w:r>
      <w:r>
        <w:fldChar w:fldCharType="begin"/>
      </w:r>
      <w:r>
        <w:instrText xml:space="preserve"> PAGEREF _Toc22306 </w:instrText>
      </w:r>
      <w:r>
        <w:fldChar w:fldCharType="separate"/>
      </w:r>
      <w:r>
        <w:t>35</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_Toc23746 </w:instrText>
      </w:r>
      <w:r>
        <w:rPr>
          <w:highlight w:val="yellow"/>
        </w:rPr>
        <w:fldChar w:fldCharType="separate"/>
      </w:r>
      <w:r>
        <w:rPr>
          <w:rFonts w:cs="Times New Roman"/>
        </w:rPr>
        <w:t xml:space="preserve">3.7 </w:t>
      </w:r>
      <w:r>
        <w:rPr>
          <w:rFonts w:hint="eastAsia"/>
        </w:rPr>
        <w:t>工程施工方案</w:t>
      </w:r>
      <w:r>
        <w:tab/>
      </w:r>
      <w:r>
        <w:fldChar w:fldCharType="begin"/>
      </w:r>
      <w:r>
        <w:instrText xml:space="preserve"> PAGEREF _Toc23746 </w:instrText>
      </w:r>
      <w:r>
        <w:fldChar w:fldCharType="separate"/>
      </w:r>
      <w:r>
        <w:t>37</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_Toc15181 </w:instrText>
      </w:r>
      <w:r>
        <w:rPr>
          <w:highlight w:val="yellow"/>
        </w:rPr>
        <w:fldChar w:fldCharType="separate"/>
      </w:r>
      <w:r>
        <w:rPr>
          <w:rFonts w:cs="Times New Roman"/>
        </w:rPr>
        <w:t xml:space="preserve">3.8 </w:t>
      </w:r>
      <w:r>
        <w:rPr>
          <w:rFonts w:hint="eastAsia"/>
        </w:rPr>
        <w:t>施工布置</w:t>
      </w:r>
      <w:r>
        <w:tab/>
      </w:r>
      <w:r>
        <w:fldChar w:fldCharType="begin"/>
      </w:r>
      <w:r>
        <w:instrText xml:space="preserve"> PAGEREF _Toc15181 </w:instrText>
      </w:r>
      <w:r>
        <w:fldChar w:fldCharType="separate"/>
      </w:r>
      <w:r>
        <w:t>39</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_Toc22426 </w:instrText>
      </w:r>
      <w:r>
        <w:rPr>
          <w:highlight w:val="yellow"/>
        </w:rPr>
        <w:fldChar w:fldCharType="separate"/>
      </w:r>
      <w:r>
        <w:rPr>
          <w:rFonts w:cs="Times New Roman"/>
        </w:rPr>
        <w:t xml:space="preserve">4 </w:t>
      </w:r>
      <w:r>
        <w:rPr>
          <w:rFonts w:hint="eastAsia"/>
        </w:rPr>
        <w:t>工程分析</w:t>
      </w:r>
      <w:r>
        <w:tab/>
      </w:r>
      <w:r>
        <w:fldChar w:fldCharType="begin"/>
      </w:r>
      <w:r>
        <w:instrText xml:space="preserve"> PAGEREF _Toc22426 </w:instrText>
      </w:r>
      <w:r>
        <w:fldChar w:fldCharType="separate"/>
      </w:r>
      <w:r>
        <w:t>42</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_Toc2140 </w:instrText>
      </w:r>
      <w:r>
        <w:rPr>
          <w:highlight w:val="yellow"/>
        </w:rPr>
        <w:fldChar w:fldCharType="separate"/>
      </w:r>
      <w:r>
        <w:rPr>
          <w:rFonts w:cs="Times New Roman"/>
        </w:rPr>
        <w:t xml:space="preserve">4.1 </w:t>
      </w:r>
      <w:r>
        <w:rPr>
          <w:rFonts w:hint="eastAsia"/>
        </w:rPr>
        <w:t>项目建设的必要性</w:t>
      </w:r>
      <w:r>
        <w:tab/>
      </w:r>
      <w:r>
        <w:fldChar w:fldCharType="begin"/>
      </w:r>
      <w:r>
        <w:instrText xml:space="preserve"> PAGEREF _Toc2140 </w:instrText>
      </w:r>
      <w:r>
        <w:fldChar w:fldCharType="separate"/>
      </w:r>
      <w:r>
        <w:t>42</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_Toc7366 </w:instrText>
      </w:r>
      <w:r>
        <w:rPr>
          <w:highlight w:val="yellow"/>
        </w:rPr>
        <w:fldChar w:fldCharType="separate"/>
      </w:r>
      <w:r>
        <w:rPr>
          <w:rFonts w:cs="Times New Roman"/>
        </w:rPr>
        <w:t xml:space="preserve">4.2 </w:t>
      </w:r>
      <w:r>
        <w:rPr>
          <w:rFonts w:hint="eastAsia"/>
        </w:rPr>
        <w:t>工程环境影响因素分析</w:t>
      </w:r>
      <w:r>
        <w:tab/>
      </w:r>
      <w:r>
        <w:fldChar w:fldCharType="begin"/>
      </w:r>
      <w:r>
        <w:instrText xml:space="preserve"> PAGEREF _Toc7366 </w:instrText>
      </w:r>
      <w:r>
        <w:fldChar w:fldCharType="separate"/>
      </w:r>
      <w:r>
        <w:t>42</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_Toc1125 </w:instrText>
      </w:r>
      <w:r>
        <w:rPr>
          <w:highlight w:val="yellow"/>
        </w:rPr>
        <w:fldChar w:fldCharType="separate"/>
      </w:r>
      <w:r>
        <w:rPr>
          <w:rFonts w:cs="Times New Roman"/>
        </w:rPr>
        <w:t xml:space="preserve">4.3 </w:t>
      </w:r>
      <w:r>
        <w:rPr>
          <w:rFonts w:hint="eastAsia"/>
        </w:rPr>
        <w:t>评价因子筛选</w:t>
      </w:r>
      <w:r>
        <w:tab/>
      </w:r>
      <w:r>
        <w:fldChar w:fldCharType="begin"/>
      </w:r>
      <w:r>
        <w:instrText xml:space="preserve"> PAGEREF _Toc1125 </w:instrText>
      </w:r>
      <w:r>
        <w:fldChar w:fldCharType="separate"/>
      </w:r>
      <w:r>
        <w:t>45</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_Toc21541 </w:instrText>
      </w:r>
      <w:r>
        <w:rPr>
          <w:highlight w:val="yellow"/>
        </w:rPr>
        <w:fldChar w:fldCharType="separate"/>
      </w:r>
      <w:r>
        <w:rPr>
          <w:rFonts w:cs="Times New Roman"/>
        </w:rPr>
        <w:t xml:space="preserve">4.4 </w:t>
      </w:r>
      <w:r>
        <w:rPr>
          <w:rFonts w:hint="eastAsia"/>
        </w:rPr>
        <w:t>污染源强分析</w:t>
      </w:r>
      <w:r>
        <w:tab/>
      </w:r>
      <w:r>
        <w:fldChar w:fldCharType="begin"/>
      </w:r>
      <w:r>
        <w:instrText xml:space="preserve"> PAGEREF _Toc21541 </w:instrText>
      </w:r>
      <w:r>
        <w:fldChar w:fldCharType="separate"/>
      </w:r>
      <w:r>
        <w:t>45</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_Toc12668 </w:instrText>
      </w:r>
      <w:r>
        <w:rPr>
          <w:highlight w:val="yellow"/>
        </w:rPr>
        <w:fldChar w:fldCharType="separate"/>
      </w:r>
      <w:r>
        <w:rPr>
          <w:rFonts w:cs="Times New Roman"/>
        </w:rPr>
        <w:t xml:space="preserve">5 </w:t>
      </w:r>
      <w:r>
        <w:rPr>
          <w:rFonts w:hint="eastAsia"/>
        </w:rPr>
        <w:t>环境概况</w:t>
      </w:r>
      <w:r>
        <w:tab/>
      </w:r>
      <w:r>
        <w:fldChar w:fldCharType="begin"/>
      </w:r>
      <w:r>
        <w:instrText xml:space="preserve"> PAGEREF _Toc12668 </w:instrText>
      </w:r>
      <w:r>
        <w:fldChar w:fldCharType="separate"/>
      </w:r>
      <w:r>
        <w:t>53</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_Toc21089 </w:instrText>
      </w:r>
      <w:r>
        <w:rPr>
          <w:highlight w:val="yellow"/>
        </w:rPr>
        <w:fldChar w:fldCharType="separate"/>
      </w:r>
      <w:r>
        <w:rPr>
          <w:rFonts w:cs="Times New Roman"/>
        </w:rPr>
        <w:t xml:space="preserve">5.1 </w:t>
      </w:r>
      <w:r>
        <w:rPr>
          <w:rFonts w:hint="eastAsia"/>
        </w:rPr>
        <w:t>自然环境</w:t>
      </w:r>
      <w:r>
        <w:tab/>
      </w:r>
      <w:r>
        <w:fldChar w:fldCharType="begin"/>
      </w:r>
      <w:r>
        <w:instrText xml:space="preserve"> PAGEREF _Toc21089 </w:instrText>
      </w:r>
      <w:r>
        <w:fldChar w:fldCharType="separate"/>
      </w:r>
      <w:r>
        <w:t>53</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_Toc10472 </w:instrText>
      </w:r>
      <w:r>
        <w:rPr>
          <w:highlight w:val="yellow"/>
        </w:rPr>
        <w:fldChar w:fldCharType="separate"/>
      </w:r>
      <w:r>
        <w:rPr>
          <w:rFonts w:cs="Times New Roman"/>
        </w:rPr>
        <w:t xml:space="preserve">5.2 </w:t>
      </w:r>
      <w:r>
        <w:rPr>
          <w:rFonts w:hint="eastAsia"/>
        </w:rPr>
        <w:t>社会环境</w:t>
      </w:r>
      <w:r>
        <w:tab/>
      </w:r>
      <w:r>
        <w:fldChar w:fldCharType="begin"/>
      </w:r>
      <w:r>
        <w:instrText xml:space="preserve"> PAGEREF _Toc10472 </w:instrText>
      </w:r>
      <w:r>
        <w:fldChar w:fldCharType="separate"/>
      </w:r>
      <w:r>
        <w:t>57</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_Toc3549 </w:instrText>
      </w:r>
      <w:r>
        <w:rPr>
          <w:highlight w:val="yellow"/>
        </w:rPr>
        <w:fldChar w:fldCharType="separate"/>
      </w:r>
      <w:r>
        <w:rPr>
          <w:rFonts w:cs="Times New Roman"/>
        </w:rPr>
        <w:t xml:space="preserve">6 </w:t>
      </w:r>
      <w:r>
        <w:rPr>
          <w:rFonts w:hint="eastAsia"/>
        </w:rPr>
        <w:t>环境质量现状</w:t>
      </w:r>
      <w:r>
        <w:tab/>
      </w:r>
      <w:r>
        <w:fldChar w:fldCharType="begin"/>
      </w:r>
      <w:r>
        <w:instrText xml:space="preserve"> PAGEREF _Toc3549 </w:instrText>
      </w:r>
      <w:r>
        <w:fldChar w:fldCharType="separate"/>
      </w:r>
      <w:r>
        <w:t>60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_Toc10448 </w:instrText>
      </w:r>
      <w:r>
        <w:rPr>
          <w:highlight w:val="yellow"/>
        </w:rPr>
        <w:fldChar w:fldCharType="separate"/>
      </w:r>
      <w:r>
        <w:rPr>
          <w:rFonts w:cs="Times New Roman"/>
        </w:rPr>
        <w:t xml:space="preserve">6.1 </w:t>
      </w:r>
      <w:r>
        <w:rPr>
          <w:rFonts w:hint="eastAsia"/>
        </w:rPr>
        <w:t>大气环境现状评价</w:t>
      </w:r>
      <w:r>
        <w:tab/>
      </w:r>
      <w:r>
        <w:fldChar w:fldCharType="begin"/>
      </w:r>
      <w:r>
        <w:instrText xml:space="preserve"> PAGEREF _Toc10448 </w:instrText>
      </w:r>
      <w:r>
        <w:fldChar w:fldCharType="separate"/>
      </w:r>
      <w:r>
        <w:t>60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_Toc12339 </w:instrText>
      </w:r>
      <w:r>
        <w:rPr>
          <w:highlight w:val="yellow"/>
        </w:rPr>
        <w:fldChar w:fldCharType="separate"/>
      </w:r>
      <w:r>
        <w:rPr>
          <w:rFonts w:cs="Times New Roman"/>
        </w:rPr>
        <w:t xml:space="preserve">6.2 </w:t>
      </w:r>
      <w:r>
        <w:rPr>
          <w:rFonts w:hint="eastAsia"/>
        </w:rPr>
        <w:t>水环境现状监测与评价</w:t>
      </w:r>
      <w:r>
        <w:tab/>
      </w:r>
      <w:r>
        <w:fldChar w:fldCharType="begin"/>
      </w:r>
      <w:r>
        <w:instrText xml:space="preserve"> PAGEREF _Toc12339 </w:instrText>
      </w:r>
      <w:r>
        <w:fldChar w:fldCharType="separate"/>
      </w:r>
      <w:r>
        <w:t>61</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_Toc12360 </w:instrText>
      </w:r>
      <w:r>
        <w:rPr>
          <w:highlight w:val="yellow"/>
        </w:rPr>
        <w:fldChar w:fldCharType="separate"/>
      </w:r>
      <w:r>
        <w:rPr>
          <w:rFonts w:cs="Times New Roman"/>
        </w:rPr>
        <w:t xml:space="preserve">6.3 </w:t>
      </w:r>
      <w:r>
        <w:rPr>
          <w:rFonts w:hint="eastAsia"/>
        </w:rPr>
        <w:t>声环境现状监测与评价</w:t>
      </w:r>
      <w:r>
        <w:tab/>
      </w:r>
      <w:r>
        <w:fldChar w:fldCharType="begin"/>
      </w:r>
      <w:r>
        <w:instrText xml:space="preserve"> PAGEREF _Toc12360 </w:instrText>
      </w:r>
      <w:r>
        <w:fldChar w:fldCharType="separate"/>
      </w:r>
      <w:r>
        <w:t>62</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_Toc20605 </w:instrText>
      </w:r>
      <w:r>
        <w:rPr>
          <w:highlight w:val="yellow"/>
        </w:rPr>
        <w:fldChar w:fldCharType="separate"/>
      </w:r>
      <w:r>
        <w:rPr>
          <w:rFonts w:cs="Times New Roman"/>
        </w:rPr>
        <w:t xml:space="preserve">6.4 </w:t>
      </w:r>
      <w:r>
        <w:rPr>
          <w:rFonts w:hint="eastAsia"/>
        </w:rPr>
        <w:t>生态环境质量现状</w:t>
      </w:r>
      <w:r>
        <w:tab/>
      </w:r>
      <w:r>
        <w:fldChar w:fldCharType="begin"/>
      </w:r>
      <w:r>
        <w:instrText xml:space="preserve"> PAGEREF _Toc20605 </w:instrText>
      </w:r>
      <w:r>
        <w:fldChar w:fldCharType="separate"/>
      </w:r>
      <w:r>
        <w:t>63</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_Toc1274 </w:instrText>
      </w:r>
      <w:r>
        <w:rPr>
          <w:highlight w:val="yellow"/>
        </w:rPr>
        <w:fldChar w:fldCharType="separate"/>
      </w:r>
      <w:r>
        <w:rPr>
          <w:rFonts w:cs="Times New Roman"/>
        </w:rPr>
        <w:t xml:space="preserve">7 </w:t>
      </w:r>
      <w:r>
        <w:rPr>
          <w:rFonts w:hint="eastAsia"/>
        </w:rPr>
        <w:t>环境影响预测与评价</w:t>
      </w:r>
      <w:r>
        <w:tab/>
      </w:r>
      <w:r>
        <w:fldChar w:fldCharType="begin"/>
      </w:r>
      <w:r>
        <w:instrText xml:space="preserve"> PAGEREF _Toc1274 </w:instrText>
      </w:r>
      <w:r>
        <w:fldChar w:fldCharType="separate"/>
      </w:r>
      <w:r>
        <w:t>65</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_Toc5786 </w:instrText>
      </w:r>
      <w:r>
        <w:rPr>
          <w:highlight w:val="yellow"/>
        </w:rPr>
        <w:fldChar w:fldCharType="separate"/>
      </w:r>
      <w:r>
        <w:rPr>
          <w:rFonts w:cs="Times New Roman"/>
        </w:rPr>
        <w:t xml:space="preserve">7.1 </w:t>
      </w:r>
      <w:r>
        <w:rPr>
          <w:rFonts w:hint="eastAsia"/>
        </w:rPr>
        <w:t>声环境影响预测与评价</w:t>
      </w:r>
      <w:r>
        <w:tab/>
      </w:r>
      <w:r>
        <w:fldChar w:fldCharType="begin"/>
      </w:r>
      <w:r>
        <w:instrText xml:space="preserve"> PAGEREF _Toc5786 </w:instrText>
      </w:r>
      <w:r>
        <w:fldChar w:fldCharType="separate"/>
      </w:r>
      <w:r>
        <w:t>65</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_Toc11986 </w:instrText>
      </w:r>
      <w:r>
        <w:rPr>
          <w:highlight w:val="yellow"/>
        </w:rPr>
        <w:fldChar w:fldCharType="separate"/>
      </w:r>
      <w:r>
        <w:rPr>
          <w:rFonts w:cs="Times New Roman"/>
        </w:rPr>
        <w:t xml:space="preserve">7.2 </w:t>
      </w:r>
      <w:r>
        <w:rPr>
          <w:rFonts w:hint="eastAsia"/>
        </w:rPr>
        <w:t>大气环境影响评价</w:t>
      </w:r>
      <w:r>
        <w:tab/>
      </w:r>
      <w:r>
        <w:fldChar w:fldCharType="begin"/>
      </w:r>
      <w:r>
        <w:instrText xml:space="preserve"> PAGEREF _Toc11986 </w:instrText>
      </w:r>
      <w:r>
        <w:fldChar w:fldCharType="separate"/>
      </w:r>
      <w:r>
        <w:t>77</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_Toc6226 </w:instrText>
      </w:r>
      <w:r>
        <w:rPr>
          <w:highlight w:val="yellow"/>
        </w:rPr>
        <w:fldChar w:fldCharType="separate"/>
      </w:r>
      <w:r>
        <w:rPr>
          <w:rFonts w:cs="Times New Roman"/>
        </w:rPr>
        <w:t xml:space="preserve">7.3 </w:t>
      </w:r>
      <w:r>
        <w:rPr>
          <w:rFonts w:hint="eastAsia"/>
        </w:rPr>
        <w:t>水环境影响评价</w:t>
      </w:r>
      <w:r>
        <w:tab/>
      </w:r>
      <w:r>
        <w:fldChar w:fldCharType="begin"/>
      </w:r>
      <w:r>
        <w:instrText xml:space="preserve"> PAGEREF _Toc6226 </w:instrText>
      </w:r>
      <w:r>
        <w:fldChar w:fldCharType="separate"/>
      </w:r>
      <w:r>
        <w:t>80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_Toc14598 </w:instrText>
      </w:r>
      <w:r>
        <w:rPr>
          <w:highlight w:val="yellow"/>
        </w:rPr>
        <w:fldChar w:fldCharType="separate"/>
      </w:r>
      <w:r>
        <w:rPr>
          <w:rFonts w:cs="Times New Roman"/>
        </w:rPr>
        <w:t xml:space="preserve">7.4 </w:t>
      </w:r>
      <w:r>
        <w:rPr>
          <w:rFonts w:hint="eastAsia"/>
        </w:rPr>
        <w:t>固体废物环境影响分析</w:t>
      </w:r>
      <w:r>
        <w:tab/>
      </w:r>
      <w:r>
        <w:fldChar w:fldCharType="begin"/>
      </w:r>
      <w:r>
        <w:instrText xml:space="preserve"> PAGEREF _Toc14598 </w:instrText>
      </w:r>
      <w:r>
        <w:fldChar w:fldCharType="separate"/>
      </w:r>
      <w:r>
        <w:t>83</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_Toc9279 </w:instrText>
      </w:r>
      <w:r>
        <w:rPr>
          <w:highlight w:val="yellow"/>
        </w:rPr>
        <w:fldChar w:fldCharType="separate"/>
      </w:r>
      <w:r>
        <w:rPr>
          <w:rFonts w:cs="Times New Roman"/>
        </w:rPr>
        <w:t xml:space="preserve">7.5 </w:t>
      </w:r>
      <w:r>
        <w:rPr>
          <w:rFonts w:hint="eastAsia"/>
        </w:rPr>
        <w:t>生态环境影响评价</w:t>
      </w:r>
      <w:r>
        <w:tab/>
      </w:r>
      <w:r>
        <w:fldChar w:fldCharType="begin"/>
      </w:r>
      <w:r>
        <w:instrText xml:space="preserve"> PAGEREF _Toc9279 </w:instrText>
      </w:r>
      <w:r>
        <w:fldChar w:fldCharType="separate"/>
      </w:r>
      <w:r>
        <w:t>85</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_Toc3020 </w:instrText>
      </w:r>
      <w:r>
        <w:rPr>
          <w:highlight w:val="yellow"/>
        </w:rPr>
        <w:fldChar w:fldCharType="separate"/>
      </w:r>
      <w:r>
        <w:rPr>
          <w:rFonts w:cs="Times New Roman"/>
        </w:rPr>
        <w:t xml:space="preserve">7.6 </w:t>
      </w:r>
      <w:r>
        <w:rPr>
          <w:rFonts w:hint="eastAsia"/>
        </w:rPr>
        <w:t>社会环境影响评价</w:t>
      </w:r>
      <w:r>
        <w:tab/>
      </w:r>
      <w:r>
        <w:fldChar w:fldCharType="begin"/>
      </w:r>
      <w:r>
        <w:instrText xml:space="preserve"> PAGEREF _Toc3020 </w:instrText>
      </w:r>
      <w:r>
        <w:fldChar w:fldCharType="separate"/>
      </w:r>
      <w:r>
        <w:t>89</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_Toc26090 </w:instrText>
      </w:r>
      <w:r>
        <w:rPr>
          <w:highlight w:val="yellow"/>
        </w:rPr>
        <w:fldChar w:fldCharType="separate"/>
      </w:r>
      <w:r>
        <w:rPr>
          <w:rFonts w:cs="Times New Roman"/>
        </w:rPr>
        <w:t xml:space="preserve">8 </w:t>
      </w:r>
      <w:r>
        <w:rPr>
          <w:rFonts w:hint="eastAsia"/>
        </w:rPr>
        <w:t>环境可行性分析</w:t>
      </w:r>
      <w:r>
        <w:tab/>
      </w:r>
      <w:r>
        <w:fldChar w:fldCharType="begin"/>
      </w:r>
      <w:r>
        <w:instrText xml:space="preserve"> PAGEREF _Toc26090 </w:instrText>
      </w:r>
      <w:r>
        <w:fldChar w:fldCharType="separate"/>
      </w:r>
      <w:r>
        <w:t>96</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_Toc16365 </w:instrText>
      </w:r>
      <w:r>
        <w:rPr>
          <w:highlight w:val="yellow"/>
        </w:rPr>
        <w:fldChar w:fldCharType="separate"/>
      </w:r>
      <w:r>
        <w:rPr>
          <w:rFonts w:cs="Times New Roman"/>
        </w:rPr>
        <w:t xml:space="preserve">8.1 </w:t>
      </w:r>
      <w:r>
        <w:rPr>
          <w:rFonts w:hint="eastAsia"/>
        </w:rPr>
        <w:t>与相关规划的符合性分析</w:t>
      </w:r>
      <w:r>
        <w:tab/>
      </w:r>
      <w:r>
        <w:fldChar w:fldCharType="begin"/>
      </w:r>
      <w:r>
        <w:instrText xml:space="preserve"> PAGEREF _Toc16365 </w:instrText>
      </w:r>
      <w:r>
        <w:fldChar w:fldCharType="separate"/>
      </w:r>
      <w:r>
        <w:t>96</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_Toc26819 </w:instrText>
      </w:r>
      <w:r>
        <w:rPr>
          <w:highlight w:val="yellow"/>
        </w:rPr>
        <w:fldChar w:fldCharType="separate"/>
      </w:r>
      <w:r>
        <w:rPr>
          <w:rFonts w:cs="Times New Roman"/>
        </w:rPr>
        <w:t xml:space="preserve">8.2 </w:t>
      </w:r>
      <w:r>
        <w:rPr>
          <w:rFonts w:hint="eastAsia"/>
        </w:rPr>
        <w:t>选线方案合理性分析</w:t>
      </w:r>
      <w:r>
        <w:tab/>
      </w:r>
      <w:r>
        <w:fldChar w:fldCharType="begin"/>
      </w:r>
      <w:r>
        <w:instrText xml:space="preserve"> PAGEREF _Toc26819 </w:instrText>
      </w:r>
      <w:r>
        <w:fldChar w:fldCharType="separate"/>
      </w:r>
      <w:r>
        <w:t>97</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_Toc14805 </w:instrText>
      </w:r>
      <w:r>
        <w:rPr>
          <w:highlight w:val="yellow"/>
        </w:rPr>
        <w:fldChar w:fldCharType="separate"/>
      </w:r>
      <w:r>
        <w:rPr>
          <w:rFonts w:cs="Times New Roman"/>
        </w:rPr>
        <w:t xml:space="preserve">8.3 </w:t>
      </w:r>
      <w:r>
        <w:rPr>
          <w:rFonts w:hint="eastAsia"/>
        </w:rPr>
        <w:t>临时占地选址的合理性</w:t>
      </w:r>
      <w:r>
        <w:tab/>
      </w:r>
      <w:r>
        <w:fldChar w:fldCharType="begin"/>
      </w:r>
      <w:r>
        <w:instrText xml:space="preserve"> PAGEREF _Toc14805 </w:instrText>
      </w:r>
      <w:r>
        <w:fldChar w:fldCharType="separate"/>
      </w:r>
      <w:r>
        <w:t>100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_Toc21327 </w:instrText>
      </w:r>
      <w:r>
        <w:rPr>
          <w:highlight w:val="yellow"/>
        </w:rPr>
        <w:fldChar w:fldCharType="separate"/>
      </w:r>
      <w:r>
        <w:rPr>
          <w:rFonts w:cs="Times New Roman"/>
        </w:rPr>
        <w:t xml:space="preserve">8.4 </w:t>
      </w:r>
      <w:r>
        <w:rPr>
          <w:rFonts w:hint="eastAsia"/>
        </w:rPr>
        <w:t>环境制约因素分析</w:t>
      </w:r>
      <w:r>
        <w:tab/>
      </w:r>
      <w:r>
        <w:fldChar w:fldCharType="begin"/>
      </w:r>
      <w:r>
        <w:instrText xml:space="preserve"> PAGEREF _Toc21327 </w:instrText>
      </w:r>
      <w:r>
        <w:fldChar w:fldCharType="separate"/>
      </w:r>
      <w:r>
        <w:t>101</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_Toc21119 </w:instrText>
      </w:r>
      <w:r>
        <w:rPr>
          <w:highlight w:val="yellow"/>
        </w:rPr>
        <w:fldChar w:fldCharType="separate"/>
      </w:r>
      <w:r>
        <w:rPr>
          <w:rFonts w:cs="Times New Roman"/>
        </w:rPr>
        <w:t xml:space="preserve">9 </w:t>
      </w:r>
      <w:r>
        <w:rPr>
          <w:rFonts w:hint="eastAsia"/>
        </w:rPr>
        <w:t>水土保持方案</w:t>
      </w:r>
      <w:r>
        <w:tab/>
      </w:r>
      <w:r>
        <w:fldChar w:fldCharType="begin"/>
      </w:r>
      <w:r>
        <w:instrText xml:space="preserve"> PAGEREF _Toc21119 </w:instrText>
      </w:r>
      <w:r>
        <w:fldChar w:fldCharType="separate"/>
      </w:r>
      <w:r>
        <w:t>102</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_Toc23813 </w:instrText>
      </w:r>
      <w:r>
        <w:rPr>
          <w:highlight w:val="yellow"/>
        </w:rPr>
        <w:fldChar w:fldCharType="separate"/>
      </w:r>
      <w:r>
        <w:rPr>
          <w:rFonts w:cs="Times New Roman"/>
        </w:rPr>
        <w:t xml:space="preserve">9.1 </w:t>
      </w:r>
      <w:r>
        <w:rPr>
          <w:rFonts w:hint="eastAsia"/>
        </w:rPr>
        <w:t>工程区水土流失现状</w:t>
      </w:r>
      <w:r>
        <w:tab/>
      </w:r>
      <w:r>
        <w:fldChar w:fldCharType="begin"/>
      </w:r>
      <w:r>
        <w:instrText xml:space="preserve"> PAGEREF _Toc23813 </w:instrText>
      </w:r>
      <w:r>
        <w:fldChar w:fldCharType="separate"/>
      </w:r>
      <w:r>
        <w:t>102</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_Toc9313 </w:instrText>
      </w:r>
      <w:r>
        <w:rPr>
          <w:highlight w:val="yellow"/>
        </w:rPr>
        <w:fldChar w:fldCharType="separate"/>
      </w:r>
      <w:r>
        <w:rPr>
          <w:rFonts w:cs="Times New Roman"/>
        </w:rPr>
        <w:t xml:space="preserve">9.2 </w:t>
      </w:r>
      <w:r>
        <w:rPr>
          <w:rFonts w:hint="eastAsia"/>
        </w:rPr>
        <w:t>水土流失防治等级及目标</w:t>
      </w:r>
      <w:r>
        <w:tab/>
      </w:r>
      <w:r>
        <w:fldChar w:fldCharType="begin"/>
      </w:r>
      <w:r>
        <w:instrText xml:space="preserve"> PAGEREF _Toc9313 </w:instrText>
      </w:r>
      <w:r>
        <w:fldChar w:fldCharType="separate"/>
      </w:r>
      <w:r>
        <w:t>102</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_Toc23538 </w:instrText>
      </w:r>
      <w:r>
        <w:rPr>
          <w:highlight w:val="yellow"/>
        </w:rPr>
        <w:fldChar w:fldCharType="separate"/>
      </w:r>
      <w:r>
        <w:rPr>
          <w:rFonts w:cs="Times New Roman"/>
        </w:rPr>
        <w:t xml:space="preserve">9.3 </w:t>
      </w:r>
      <w:r>
        <w:rPr>
          <w:rFonts w:hint="eastAsia"/>
        </w:rPr>
        <w:t>主体工程水土保持分析评价结论</w:t>
      </w:r>
      <w:r>
        <w:tab/>
      </w:r>
      <w:r>
        <w:fldChar w:fldCharType="begin"/>
      </w:r>
      <w:r>
        <w:instrText xml:space="preserve"> PAGEREF _Toc23538 </w:instrText>
      </w:r>
      <w:r>
        <w:fldChar w:fldCharType="separate"/>
      </w:r>
      <w:r>
        <w:t>102</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_Toc1276 </w:instrText>
      </w:r>
      <w:r>
        <w:rPr>
          <w:highlight w:val="yellow"/>
        </w:rPr>
        <w:fldChar w:fldCharType="separate"/>
      </w:r>
      <w:r>
        <w:rPr>
          <w:rFonts w:cs="Times New Roman"/>
        </w:rPr>
        <w:t xml:space="preserve">9.4 </w:t>
      </w:r>
      <w:r>
        <w:rPr>
          <w:rFonts w:hint="eastAsia"/>
        </w:rPr>
        <w:t>水土流失防治责任范围及防治分区</w:t>
      </w:r>
      <w:r>
        <w:tab/>
      </w:r>
      <w:r>
        <w:fldChar w:fldCharType="begin"/>
      </w:r>
      <w:r>
        <w:instrText xml:space="preserve"> PAGEREF _Toc1276 </w:instrText>
      </w:r>
      <w:r>
        <w:fldChar w:fldCharType="separate"/>
      </w:r>
      <w:r>
        <w:t>102</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_Toc28824 </w:instrText>
      </w:r>
      <w:r>
        <w:rPr>
          <w:highlight w:val="yellow"/>
        </w:rPr>
        <w:fldChar w:fldCharType="separate"/>
      </w:r>
      <w:r>
        <w:rPr>
          <w:rFonts w:cs="Times New Roman"/>
        </w:rPr>
        <w:t xml:space="preserve">9.5 </w:t>
      </w:r>
      <w:r>
        <w:rPr>
          <w:rFonts w:hint="eastAsia"/>
        </w:rPr>
        <w:t>水土流失预测结果</w:t>
      </w:r>
      <w:r>
        <w:tab/>
      </w:r>
      <w:r>
        <w:fldChar w:fldCharType="begin"/>
      </w:r>
      <w:r>
        <w:instrText xml:space="preserve"> PAGEREF _Toc28824 </w:instrText>
      </w:r>
      <w:r>
        <w:fldChar w:fldCharType="separate"/>
      </w:r>
      <w:r>
        <w:t>103</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_Toc14279 </w:instrText>
      </w:r>
      <w:r>
        <w:rPr>
          <w:highlight w:val="yellow"/>
        </w:rPr>
        <w:fldChar w:fldCharType="separate"/>
      </w:r>
      <w:r>
        <w:rPr>
          <w:rFonts w:cs="Times New Roman"/>
        </w:rPr>
        <w:t xml:space="preserve">9.6 </w:t>
      </w:r>
      <w:r>
        <w:rPr>
          <w:rFonts w:hint="eastAsia"/>
        </w:rPr>
        <w:t>水土保持措施布总体布局及防治措施</w:t>
      </w:r>
      <w:r>
        <w:tab/>
      </w:r>
      <w:r>
        <w:fldChar w:fldCharType="begin"/>
      </w:r>
      <w:r>
        <w:instrText xml:space="preserve"> PAGEREF _Toc14279 </w:instrText>
      </w:r>
      <w:r>
        <w:fldChar w:fldCharType="separate"/>
      </w:r>
      <w:r>
        <w:t>103</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_Toc18851 </w:instrText>
      </w:r>
      <w:r>
        <w:rPr>
          <w:highlight w:val="yellow"/>
        </w:rPr>
        <w:fldChar w:fldCharType="separate"/>
      </w:r>
      <w:r>
        <w:rPr>
          <w:rFonts w:cs="Times New Roman"/>
        </w:rPr>
        <w:t xml:space="preserve">9.7 </w:t>
      </w:r>
      <w:r>
        <w:rPr>
          <w:rFonts w:hint="eastAsia"/>
        </w:rPr>
        <w:t>水土保持监测</w:t>
      </w:r>
      <w:r>
        <w:tab/>
      </w:r>
      <w:r>
        <w:fldChar w:fldCharType="begin"/>
      </w:r>
      <w:r>
        <w:instrText xml:space="preserve"> PAGEREF _Toc18851 </w:instrText>
      </w:r>
      <w:r>
        <w:fldChar w:fldCharType="separate"/>
      </w:r>
      <w:r>
        <w:t>106</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_Toc3461 </w:instrText>
      </w:r>
      <w:r>
        <w:rPr>
          <w:highlight w:val="yellow"/>
        </w:rPr>
        <w:fldChar w:fldCharType="separate"/>
      </w:r>
      <w:r>
        <w:rPr>
          <w:rFonts w:cs="Times New Roman"/>
        </w:rPr>
        <w:t xml:space="preserve">9.8 </w:t>
      </w:r>
      <w:r>
        <w:rPr>
          <w:rFonts w:hint="eastAsia"/>
        </w:rPr>
        <w:t>水土保持投资估算及效益分析</w:t>
      </w:r>
      <w:r>
        <w:tab/>
      </w:r>
      <w:r>
        <w:fldChar w:fldCharType="begin"/>
      </w:r>
      <w:r>
        <w:instrText xml:space="preserve"> PAGEREF _Toc3461 </w:instrText>
      </w:r>
      <w:r>
        <w:fldChar w:fldCharType="separate"/>
      </w:r>
      <w:r>
        <w:t>106</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_Toc1642 </w:instrText>
      </w:r>
      <w:r>
        <w:rPr>
          <w:highlight w:val="yellow"/>
        </w:rPr>
        <w:fldChar w:fldCharType="separate"/>
      </w:r>
      <w:r>
        <w:rPr>
          <w:rFonts w:cs="Times New Roman"/>
        </w:rPr>
        <w:t xml:space="preserve">9.9 </w:t>
      </w:r>
      <w:r>
        <w:rPr>
          <w:rFonts w:hint="eastAsia"/>
        </w:rPr>
        <w:t>综合结论</w:t>
      </w:r>
      <w:r>
        <w:tab/>
      </w:r>
      <w:r>
        <w:fldChar w:fldCharType="begin"/>
      </w:r>
      <w:r>
        <w:instrText xml:space="preserve"> PAGEREF _Toc1642 </w:instrText>
      </w:r>
      <w:r>
        <w:fldChar w:fldCharType="separate"/>
      </w:r>
      <w:r>
        <w:t>106</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_Toc31567 </w:instrText>
      </w:r>
      <w:r>
        <w:rPr>
          <w:highlight w:val="yellow"/>
        </w:rPr>
        <w:fldChar w:fldCharType="separate"/>
      </w:r>
      <w:r>
        <w:rPr>
          <w:rFonts w:cs="Times New Roman"/>
        </w:rPr>
        <w:t xml:space="preserve">10 </w:t>
      </w:r>
      <w:r>
        <w:rPr>
          <w:rFonts w:hint="eastAsia"/>
        </w:rPr>
        <w:t>环境保护措施</w:t>
      </w:r>
      <w:r>
        <w:tab/>
      </w:r>
      <w:r>
        <w:fldChar w:fldCharType="begin"/>
      </w:r>
      <w:r>
        <w:instrText xml:space="preserve"> PAGEREF _Toc31567 </w:instrText>
      </w:r>
      <w:r>
        <w:fldChar w:fldCharType="separate"/>
      </w:r>
      <w:r>
        <w:t>107</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_Toc13909 </w:instrText>
      </w:r>
      <w:r>
        <w:rPr>
          <w:highlight w:val="yellow"/>
        </w:rPr>
        <w:fldChar w:fldCharType="separate"/>
      </w:r>
      <w:r>
        <w:rPr>
          <w:rFonts w:cs="Times New Roman"/>
        </w:rPr>
        <w:t xml:space="preserve">10.1 </w:t>
      </w:r>
      <w:r>
        <w:rPr>
          <w:rFonts w:hint="eastAsia"/>
        </w:rPr>
        <w:t>设计期环保对策措施</w:t>
      </w:r>
      <w:r>
        <w:tab/>
      </w:r>
      <w:r>
        <w:fldChar w:fldCharType="begin"/>
      </w:r>
      <w:r>
        <w:instrText xml:space="preserve"> PAGEREF _Toc13909 </w:instrText>
      </w:r>
      <w:r>
        <w:fldChar w:fldCharType="separate"/>
      </w:r>
      <w:r>
        <w:t>107</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_Toc20177 </w:instrText>
      </w:r>
      <w:r>
        <w:rPr>
          <w:highlight w:val="yellow"/>
        </w:rPr>
        <w:fldChar w:fldCharType="separate"/>
      </w:r>
      <w:r>
        <w:rPr>
          <w:rFonts w:cs="Times New Roman"/>
        </w:rPr>
        <w:t xml:space="preserve">10.2 </w:t>
      </w:r>
      <w:r>
        <w:rPr>
          <w:rFonts w:hint="eastAsia"/>
        </w:rPr>
        <w:t>施工期环境保护措施及建议</w:t>
      </w:r>
      <w:r>
        <w:tab/>
      </w:r>
      <w:r>
        <w:fldChar w:fldCharType="begin"/>
      </w:r>
      <w:r>
        <w:instrText xml:space="preserve"> PAGEREF _Toc20177 </w:instrText>
      </w:r>
      <w:r>
        <w:fldChar w:fldCharType="separate"/>
      </w:r>
      <w:r>
        <w:t>110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_Toc9379 </w:instrText>
      </w:r>
      <w:r>
        <w:rPr>
          <w:highlight w:val="yellow"/>
        </w:rPr>
        <w:fldChar w:fldCharType="separate"/>
      </w:r>
      <w:r>
        <w:rPr>
          <w:rFonts w:cs="Times New Roman"/>
        </w:rPr>
        <w:t xml:space="preserve">10.3 </w:t>
      </w:r>
      <w:r>
        <w:rPr>
          <w:rFonts w:hint="eastAsia"/>
        </w:rPr>
        <w:t>营运期环境保护措施及建议</w:t>
      </w:r>
      <w:r>
        <w:tab/>
      </w:r>
      <w:r>
        <w:fldChar w:fldCharType="begin"/>
      </w:r>
      <w:r>
        <w:instrText xml:space="preserve"> PAGEREF _Toc9379 </w:instrText>
      </w:r>
      <w:r>
        <w:fldChar w:fldCharType="separate"/>
      </w:r>
      <w:r>
        <w:t>120</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_Toc4492 </w:instrText>
      </w:r>
      <w:r>
        <w:rPr>
          <w:highlight w:val="yellow"/>
        </w:rPr>
        <w:fldChar w:fldCharType="separate"/>
      </w:r>
      <w:r>
        <w:rPr>
          <w:rFonts w:cs="Times New Roman"/>
        </w:rPr>
        <w:t xml:space="preserve">11 </w:t>
      </w:r>
      <w:r>
        <w:rPr>
          <w:rFonts w:hint="eastAsia"/>
        </w:rPr>
        <w:t>环境风险影响评价</w:t>
      </w:r>
      <w:r>
        <w:tab/>
      </w:r>
      <w:r>
        <w:fldChar w:fldCharType="begin"/>
      </w:r>
      <w:r>
        <w:instrText xml:space="preserve"> PAGEREF _Toc4492 </w:instrText>
      </w:r>
      <w:r>
        <w:fldChar w:fldCharType="separate"/>
      </w:r>
      <w:r>
        <w:t>124</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_Toc23330 </w:instrText>
      </w:r>
      <w:r>
        <w:rPr>
          <w:highlight w:val="yellow"/>
        </w:rPr>
        <w:fldChar w:fldCharType="separate"/>
      </w:r>
      <w:r>
        <w:rPr>
          <w:rFonts w:cs="Times New Roman"/>
        </w:rPr>
        <w:t xml:space="preserve">11.1 </w:t>
      </w:r>
      <w:r>
        <w:rPr>
          <w:rFonts w:hint="eastAsia"/>
        </w:rPr>
        <w:t>评价目的</w:t>
      </w:r>
      <w:r>
        <w:tab/>
      </w:r>
      <w:r>
        <w:fldChar w:fldCharType="begin"/>
      </w:r>
      <w:r>
        <w:instrText xml:space="preserve"> PAGEREF _Toc23330 </w:instrText>
      </w:r>
      <w:r>
        <w:fldChar w:fldCharType="separate"/>
      </w:r>
      <w:r>
        <w:t>124</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_Toc31521 </w:instrText>
      </w:r>
      <w:r>
        <w:rPr>
          <w:highlight w:val="yellow"/>
        </w:rPr>
        <w:fldChar w:fldCharType="separate"/>
      </w:r>
      <w:r>
        <w:rPr>
          <w:rFonts w:cs="Times New Roman"/>
        </w:rPr>
        <w:t xml:space="preserve">11.2 </w:t>
      </w:r>
      <w:r>
        <w:rPr>
          <w:rFonts w:hint="eastAsia"/>
        </w:rPr>
        <w:t>风险识别</w:t>
      </w:r>
      <w:r>
        <w:tab/>
      </w:r>
      <w:r>
        <w:fldChar w:fldCharType="begin"/>
      </w:r>
      <w:r>
        <w:instrText xml:space="preserve"> PAGEREF _Toc31521 </w:instrText>
      </w:r>
      <w:r>
        <w:fldChar w:fldCharType="separate"/>
      </w:r>
      <w:r>
        <w:t>124</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_Toc23504 </w:instrText>
      </w:r>
      <w:r>
        <w:rPr>
          <w:highlight w:val="yellow"/>
        </w:rPr>
        <w:fldChar w:fldCharType="separate"/>
      </w:r>
      <w:r>
        <w:rPr>
          <w:rFonts w:cs="Times New Roman"/>
        </w:rPr>
        <w:t xml:space="preserve">11.3 </w:t>
      </w:r>
      <w:r>
        <w:rPr>
          <w:rFonts w:hint="eastAsia"/>
        </w:rPr>
        <w:t>施工期的生态风险分析及防护措施</w:t>
      </w:r>
      <w:r>
        <w:tab/>
      </w:r>
      <w:r>
        <w:fldChar w:fldCharType="begin"/>
      </w:r>
      <w:r>
        <w:instrText xml:space="preserve"> PAGEREF _Toc23504 </w:instrText>
      </w:r>
      <w:r>
        <w:fldChar w:fldCharType="separate"/>
      </w:r>
      <w:r>
        <w:t>124</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_Toc4844 </w:instrText>
      </w:r>
      <w:r>
        <w:rPr>
          <w:highlight w:val="yellow"/>
        </w:rPr>
        <w:fldChar w:fldCharType="separate"/>
      </w:r>
      <w:r>
        <w:rPr>
          <w:rFonts w:cs="Times New Roman"/>
        </w:rPr>
        <w:t xml:space="preserve">11.4 </w:t>
      </w:r>
      <w:r>
        <w:rPr>
          <w:rFonts w:hint="eastAsia"/>
        </w:rPr>
        <w:t>运营期的环境风险分析及防护措施</w:t>
      </w:r>
      <w:r>
        <w:tab/>
      </w:r>
      <w:r>
        <w:fldChar w:fldCharType="begin"/>
      </w:r>
      <w:r>
        <w:instrText xml:space="preserve"> PAGEREF _Toc4844 </w:instrText>
      </w:r>
      <w:r>
        <w:fldChar w:fldCharType="separate"/>
      </w:r>
      <w:r>
        <w:t>125</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_Toc20623 </w:instrText>
      </w:r>
      <w:r>
        <w:rPr>
          <w:highlight w:val="yellow"/>
        </w:rPr>
        <w:fldChar w:fldCharType="separate"/>
      </w:r>
      <w:r>
        <w:rPr>
          <w:rFonts w:cs="Times New Roman"/>
        </w:rPr>
        <w:t xml:space="preserve">12 </w:t>
      </w:r>
      <w:r>
        <w:rPr>
          <w:rFonts w:hint="eastAsia"/>
        </w:rPr>
        <w:t>环境保护管理及监测计划</w:t>
      </w:r>
      <w:r>
        <w:tab/>
      </w:r>
      <w:r>
        <w:fldChar w:fldCharType="begin"/>
      </w:r>
      <w:r>
        <w:instrText xml:space="preserve"> PAGEREF _Toc20623 </w:instrText>
      </w:r>
      <w:r>
        <w:fldChar w:fldCharType="separate"/>
      </w:r>
      <w:r>
        <w:t>130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_Toc25462 </w:instrText>
      </w:r>
      <w:r>
        <w:rPr>
          <w:highlight w:val="yellow"/>
        </w:rPr>
        <w:fldChar w:fldCharType="separate"/>
      </w:r>
      <w:r>
        <w:rPr>
          <w:rFonts w:cs="Times New Roman"/>
        </w:rPr>
        <w:t xml:space="preserve">12.1 </w:t>
      </w:r>
      <w:r>
        <w:rPr>
          <w:rFonts w:hint="eastAsia"/>
        </w:rPr>
        <w:t>环境保护管理计划</w:t>
      </w:r>
      <w:r>
        <w:tab/>
      </w:r>
      <w:r>
        <w:fldChar w:fldCharType="begin"/>
      </w:r>
      <w:r>
        <w:instrText xml:space="preserve"> PAGEREF _Toc25462 </w:instrText>
      </w:r>
      <w:r>
        <w:fldChar w:fldCharType="separate"/>
      </w:r>
      <w:r>
        <w:t>130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_Toc10561 </w:instrText>
      </w:r>
      <w:r>
        <w:rPr>
          <w:highlight w:val="yellow"/>
        </w:rPr>
        <w:fldChar w:fldCharType="separate"/>
      </w:r>
      <w:r>
        <w:rPr>
          <w:rFonts w:cs="Times New Roman"/>
        </w:rPr>
        <w:t xml:space="preserve">12.2 </w:t>
      </w:r>
      <w:r>
        <w:rPr>
          <w:rFonts w:hint="eastAsia"/>
        </w:rPr>
        <w:t>环境监测计划和要求</w:t>
      </w:r>
      <w:r>
        <w:tab/>
      </w:r>
      <w:r>
        <w:fldChar w:fldCharType="begin"/>
      </w:r>
      <w:r>
        <w:instrText xml:space="preserve"> PAGEREF _Toc10561 </w:instrText>
      </w:r>
      <w:r>
        <w:fldChar w:fldCharType="separate"/>
      </w:r>
      <w:r>
        <w:t>132</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_Toc30349 </w:instrText>
      </w:r>
      <w:r>
        <w:rPr>
          <w:highlight w:val="yellow"/>
        </w:rPr>
        <w:fldChar w:fldCharType="separate"/>
      </w:r>
      <w:r>
        <w:rPr>
          <w:rFonts w:cs="Times New Roman"/>
        </w:rPr>
        <w:t xml:space="preserve">12.3 </w:t>
      </w:r>
      <w:r>
        <w:rPr>
          <w:rFonts w:hint="eastAsia"/>
        </w:rPr>
        <w:t>工程环境监理计划</w:t>
      </w:r>
      <w:r>
        <w:tab/>
      </w:r>
      <w:r>
        <w:fldChar w:fldCharType="begin"/>
      </w:r>
      <w:r>
        <w:instrText xml:space="preserve"> PAGEREF _Toc30349 </w:instrText>
      </w:r>
      <w:r>
        <w:fldChar w:fldCharType="separate"/>
      </w:r>
      <w:r>
        <w:t>133</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_Toc9232 </w:instrText>
      </w:r>
      <w:r>
        <w:rPr>
          <w:highlight w:val="yellow"/>
        </w:rPr>
        <w:fldChar w:fldCharType="separate"/>
      </w:r>
      <w:r>
        <w:rPr>
          <w:rFonts w:cs="Times New Roman"/>
        </w:rPr>
        <w:t xml:space="preserve">12.4 </w:t>
      </w:r>
      <w:r>
        <w:rPr>
          <w:rFonts w:hint="eastAsia"/>
        </w:rPr>
        <w:t>工程竣工环保验收</w:t>
      </w:r>
      <w:r>
        <w:tab/>
      </w:r>
      <w:r>
        <w:fldChar w:fldCharType="begin"/>
      </w:r>
      <w:r>
        <w:instrText xml:space="preserve"> PAGEREF _Toc9232 </w:instrText>
      </w:r>
      <w:r>
        <w:fldChar w:fldCharType="separate"/>
      </w:r>
      <w:r>
        <w:t>136</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_Toc18177 </w:instrText>
      </w:r>
      <w:r>
        <w:rPr>
          <w:highlight w:val="yellow"/>
        </w:rPr>
        <w:fldChar w:fldCharType="separate"/>
      </w:r>
      <w:r>
        <w:rPr>
          <w:rFonts w:cs="Times New Roman"/>
        </w:rPr>
        <w:t xml:space="preserve">13 </w:t>
      </w:r>
      <w:r>
        <w:rPr>
          <w:rFonts w:hint="eastAsia"/>
        </w:rPr>
        <w:t>环境经济损益分析</w:t>
      </w:r>
      <w:r>
        <w:tab/>
      </w:r>
      <w:r>
        <w:fldChar w:fldCharType="begin"/>
      </w:r>
      <w:r>
        <w:instrText xml:space="preserve"> PAGEREF _Toc18177 </w:instrText>
      </w:r>
      <w:r>
        <w:fldChar w:fldCharType="separate"/>
      </w:r>
      <w:r>
        <w:t>139</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_Toc22703 </w:instrText>
      </w:r>
      <w:r>
        <w:rPr>
          <w:highlight w:val="yellow"/>
        </w:rPr>
        <w:fldChar w:fldCharType="separate"/>
      </w:r>
      <w:r>
        <w:rPr>
          <w:rFonts w:cs="Times New Roman"/>
        </w:rPr>
        <w:t xml:space="preserve">13.1 </w:t>
      </w:r>
      <w:r>
        <w:rPr>
          <w:rFonts w:hint="eastAsia"/>
        </w:rPr>
        <w:t>社会环境经济损益分析</w:t>
      </w:r>
      <w:r>
        <w:tab/>
      </w:r>
      <w:r>
        <w:fldChar w:fldCharType="begin"/>
      </w:r>
      <w:r>
        <w:instrText xml:space="preserve"> PAGEREF _Toc22703 </w:instrText>
      </w:r>
      <w:r>
        <w:fldChar w:fldCharType="separate"/>
      </w:r>
      <w:r>
        <w:t>139</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_Toc32082 </w:instrText>
      </w:r>
      <w:r>
        <w:rPr>
          <w:highlight w:val="yellow"/>
        </w:rPr>
        <w:fldChar w:fldCharType="separate"/>
      </w:r>
      <w:r>
        <w:rPr>
          <w:rFonts w:cs="Times New Roman"/>
        </w:rPr>
        <w:t xml:space="preserve">13.2 </w:t>
      </w:r>
      <w:r>
        <w:rPr>
          <w:rFonts w:hint="eastAsia"/>
        </w:rPr>
        <w:t>生态效益经济损失分析</w:t>
      </w:r>
      <w:r>
        <w:tab/>
      </w:r>
      <w:r>
        <w:fldChar w:fldCharType="begin"/>
      </w:r>
      <w:r>
        <w:instrText xml:space="preserve"> PAGEREF _Toc32082 </w:instrText>
      </w:r>
      <w:r>
        <w:fldChar w:fldCharType="separate"/>
      </w:r>
      <w:r>
        <w:t>139</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_Toc26319 </w:instrText>
      </w:r>
      <w:r>
        <w:rPr>
          <w:highlight w:val="yellow"/>
        </w:rPr>
        <w:fldChar w:fldCharType="separate"/>
      </w:r>
      <w:r>
        <w:rPr>
          <w:rFonts w:cs="Times New Roman"/>
        </w:rPr>
        <w:t xml:space="preserve">13.3 </w:t>
      </w:r>
      <w:r>
        <w:rPr>
          <w:rFonts w:hint="eastAsia"/>
        </w:rPr>
        <w:t>社会影响损益分析</w:t>
      </w:r>
      <w:r>
        <w:tab/>
      </w:r>
      <w:r>
        <w:fldChar w:fldCharType="begin"/>
      </w:r>
      <w:r>
        <w:instrText xml:space="preserve"> PAGEREF _Toc26319 </w:instrText>
      </w:r>
      <w:r>
        <w:fldChar w:fldCharType="separate"/>
      </w:r>
      <w:r>
        <w:t>140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_Toc14043 </w:instrText>
      </w:r>
      <w:r>
        <w:rPr>
          <w:highlight w:val="yellow"/>
        </w:rPr>
        <w:fldChar w:fldCharType="separate"/>
      </w:r>
      <w:r>
        <w:rPr>
          <w:rFonts w:cs="Times New Roman"/>
        </w:rPr>
        <w:t xml:space="preserve">13.4 </w:t>
      </w:r>
      <w:r>
        <w:rPr>
          <w:rFonts w:hint="eastAsia"/>
        </w:rPr>
        <w:t>环境影响损益分析</w:t>
      </w:r>
      <w:r>
        <w:tab/>
      </w:r>
      <w:r>
        <w:fldChar w:fldCharType="begin"/>
      </w:r>
      <w:r>
        <w:instrText xml:space="preserve"> PAGEREF _Toc14043 </w:instrText>
      </w:r>
      <w:r>
        <w:fldChar w:fldCharType="separate"/>
      </w:r>
      <w:r>
        <w:t>140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_Toc10531 </w:instrText>
      </w:r>
      <w:r>
        <w:rPr>
          <w:highlight w:val="yellow"/>
        </w:rPr>
        <w:fldChar w:fldCharType="separate"/>
      </w:r>
      <w:r>
        <w:rPr>
          <w:rFonts w:cs="Times New Roman"/>
        </w:rPr>
        <w:t xml:space="preserve">13.5 </w:t>
      </w:r>
      <w:r>
        <w:rPr>
          <w:rFonts w:hint="eastAsia"/>
        </w:rPr>
        <w:t>环境工程投资估算及其效益分析</w:t>
      </w:r>
      <w:r>
        <w:tab/>
      </w:r>
      <w:r>
        <w:fldChar w:fldCharType="begin"/>
      </w:r>
      <w:r>
        <w:instrText xml:space="preserve"> PAGEREF _Toc10531 </w:instrText>
      </w:r>
      <w:r>
        <w:fldChar w:fldCharType="separate"/>
      </w:r>
      <w:r>
        <w:t>141</w:t>
      </w:r>
      <w:r>
        <w:fldChar w:fldCharType="end"/>
      </w:r>
      <w:r>
        <w:rPr>
          <w:color w:val="FF0000"/>
          <w:highlight w:val="yellow"/>
        </w:rPr>
        <w:fldChar w:fldCharType="end"/>
      </w:r>
    </w:p>
    <w:p>
      <w:pPr>
        <w:pStyle w:val="41"/>
        <w:tabs>
          <w:tab w:val="right" w:leader="dot" w:pos="8957"/>
        </w:tabs>
      </w:pPr>
      <w:r>
        <w:rPr>
          <w:color w:val="FF0000"/>
          <w:highlight w:val="yellow"/>
        </w:rPr>
        <w:fldChar w:fldCharType="begin"/>
      </w:r>
      <w:r>
        <w:rPr>
          <w:highlight w:val="yellow"/>
        </w:rPr>
        <w:instrText xml:space="preserve"> HYPERLINK \l _Toc21303 </w:instrText>
      </w:r>
      <w:r>
        <w:rPr>
          <w:highlight w:val="yellow"/>
        </w:rPr>
        <w:fldChar w:fldCharType="separate"/>
      </w:r>
      <w:r>
        <w:rPr>
          <w:rFonts w:cs="Times New Roman"/>
        </w:rPr>
        <w:t xml:space="preserve">14 </w:t>
      </w:r>
      <w:r>
        <w:rPr>
          <w:rFonts w:hint="eastAsia"/>
        </w:rPr>
        <w:t>评价结论与建议</w:t>
      </w:r>
      <w:r>
        <w:tab/>
      </w:r>
      <w:r>
        <w:fldChar w:fldCharType="begin"/>
      </w:r>
      <w:r>
        <w:instrText xml:space="preserve"> PAGEREF _Toc21303 </w:instrText>
      </w:r>
      <w:r>
        <w:fldChar w:fldCharType="separate"/>
      </w:r>
      <w:r>
        <w:t>144</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_Toc6569 </w:instrText>
      </w:r>
      <w:r>
        <w:rPr>
          <w:highlight w:val="yellow"/>
        </w:rPr>
        <w:fldChar w:fldCharType="separate"/>
      </w:r>
      <w:r>
        <w:rPr>
          <w:rFonts w:cs="Times New Roman"/>
        </w:rPr>
        <w:t xml:space="preserve">14.1 </w:t>
      </w:r>
      <w:r>
        <w:rPr>
          <w:rFonts w:hint="eastAsia"/>
        </w:rPr>
        <w:t>工程概况</w:t>
      </w:r>
      <w:r>
        <w:tab/>
      </w:r>
      <w:r>
        <w:fldChar w:fldCharType="begin"/>
      </w:r>
      <w:r>
        <w:instrText xml:space="preserve"> PAGEREF _Toc6569 </w:instrText>
      </w:r>
      <w:r>
        <w:fldChar w:fldCharType="separate"/>
      </w:r>
      <w:r>
        <w:t>144</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_Toc25078 </w:instrText>
      </w:r>
      <w:r>
        <w:rPr>
          <w:highlight w:val="yellow"/>
        </w:rPr>
        <w:fldChar w:fldCharType="separate"/>
      </w:r>
      <w:r>
        <w:rPr>
          <w:rFonts w:cs="Times New Roman"/>
        </w:rPr>
        <w:t xml:space="preserve">14.2 </w:t>
      </w:r>
      <w:r>
        <w:rPr>
          <w:rFonts w:hint="eastAsia"/>
        </w:rPr>
        <w:t>环境保护目标</w:t>
      </w:r>
      <w:r>
        <w:tab/>
      </w:r>
      <w:r>
        <w:fldChar w:fldCharType="begin"/>
      </w:r>
      <w:r>
        <w:instrText xml:space="preserve"> PAGEREF _Toc25078 </w:instrText>
      </w:r>
      <w:r>
        <w:fldChar w:fldCharType="separate"/>
      </w:r>
      <w:r>
        <w:t>144</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_Toc14610 </w:instrText>
      </w:r>
      <w:r>
        <w:rPr>
          <w:highlight w:val="yellow"/>
        </w:rPr>
        <w:fldChar w:fldCharType="separate"/>
      </w:r>
      <w:r>
        <w:rPr>
          <w:rFonts w:cs="Times New Roman"/>
        </w:rPr>
        <w:t xml:space="preserve">14.3 </w:t>
      </w:r>
      <w:r>
        <w:rPr>
          <w:rFonts w:hint="eastAsia"/>
        </w:rPr>
        <w:t>环境现状评价结论</w:t>
      </w:r>
      <w:r>
        <w:tab/>
      </w:r>
      <w:r>
        <w:fldChar w:fldCharType="begin"/>
      </w:r>
      <w:r>
        <w:instrText xml:space="preserve"> PAGEREF _Toc14610 </w:instrText>
      </w:r>
      <w:r>
        <w:fldChar w:fldCharType="separate"/>
      </w:r>
      <w:r>
        <w:t>145</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_Toc23265 </w:instrText>
      </w:r>
      <w:r>
        <w:rPr>
          <w:highlight w:val="yellow"/>
        </w:rPr>
        <w:fldChar w:fldCharType="separate"/>
      </w:r>
      <w:r>
        <w:rPr>
          <w:rFonts w:cs="Times New Roman"/>
        </w:rPr>
        <w:t xml:space="preserve">14.4 </w:t>
      </w:r>
      <w:r>
        <w:rPr>
          <w:rFonts w:hint="eastAsia"/>
        </w:rPr>
        <w:t>环境影响评价结论</w:t>
      </w:r>
      <w:r>
        <w:tab/>
      </w:r>
      <w:r>
        <w:fldChar w:fldCharType="begin"/>
      </w:r>
      <w:r>
        <w:instrText xml:space="preserve"> PAGEREF _Toc23265 </w:instrText>
      </w:r>
      <w:r>
        <w:fldChar w:fldCharType="separate"/>
      </w:r>
      <w:r>
        <w:t>146</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_Toc6777 </w:instrText>
      </w:r>
      <w:r>
        <w:rPr>
          <w:highlight w:val="yellow"/>
        </w:rPr>
        <w:fldChar w:fldCharType="separate"/>
      </w:r>
      <w:r>
        <w:rPr>
          <w:rFonts w:cs="Times New Roman"/>
        </w:rPr>
        <w:t xml:space="preserve">14.5 </w:t>
      </w:r>
      <w:r>
        <w:rPr>
          <w:rFonts w:hint="eastAsia"/>
        </w:rPr>
        <w:t>工程选线的环境可行性</w:t>
      </w:r>
      <w:r>
        <w:tab/>
      </w:r>
      <w:r>
        <w:fldChar w:fldCharType="begin"/>
      </w:r>
      <w:r>
        <w:instrText xml:space="preserve"> PAGEREF _Toc6777 </w:instrText>
      </w:r>
      <w:r>
        <w:fldChar w:fldCharType="separate"/>
      </w:r>
      <w:r>
        <w:t>149</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_Toc23892 </w:instrText>
      </w:r>
      <w:r>
        <w:rPr>
          <w:highlight w:val="yellow"/>
        </w:rPr>
        <w:fldChar w:fldCharType="separate"/>
      </w:r>
      <w:r>
        <w:rPr>
          <w:rFonts w:cs="Times New Roman"/>
        </w:rPr>
        <w:t xml:space="preserve">14.6 </w:t>
      </w:r>
      <w:r>
        <w:rPr>
          <w:rFonts w:hint="eastAsia"/>
        </w:rPr>
        <w:t>环境制约因素</w:t>
      </w:r>
      <w:r>
        <w:tab/>
      </w:r>
      <w:r>
        <w:fldChar w:fldCharType="begin"/>
      </w:r>
      <w:r>
        <w:instrText xml:space="preserve"> PAGEREF _Toc23892 </w:instrText>
      </w:r>
      <w:r>
        <w:fldChar w:fldCharType="separate"/>
      </w:r>
      <w:r>
        <w:t>150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_Toc32205 </w:instrText>
      </w:r>
      <w:r>
        <w:rPr>
          <w:highlight w:val="yellow"/>
        </w:rPr>
        <w:fldChar w:fldCharType="separate"/>
      </w:r>
      <w:r>
        <w:rPr>
          <w:rFonts w:cs="Times New Roman"/>
        </w:rPr>
        <w:t xml:space="preserve">14.7 </w:t>
      </w:r>
      <w:r>
        <w:rPr>
          <w:rFonts w:hint="eastAsia"/>
        </w:rPr>
        <w:t>综合结论</w:t>
      </w:r>
      <w:r>
        <w:tab/>
      </w:r>
      <w:r>
        <w:fldChar w:fldCharType="begin"/>
      </w:r>
      <w:r>
        <w:instrText xml:space="preserve"> PAGEREF _Toc32205 </w:instrText>
      </w:r>
      <w:r>
        <w:fldChar w:fldCharType="separate"/>
      </w:r>
      <w:r>
        <w:t>150</w:t>
      </w:r>
      <w:r>
        <w:fldChar w:fldCharType="end"/>
      </w:r>
      <w:r>
        <w:rPr>
          <w:color w:val="FF0000"/>
          <w:highlight w:val="yellow"/>
        </w:rPr>
        <w:fldChar w:fldCharType="end"/>
      </w:r>
    </w:p>
    <w:p>
      <w:pPr>
        <w:pStyle w:val="49"/>
        <w:tabs>
          <w:tab w:val="right" w:leader="dot" w:pos="8957"/>
        </w:tabs>
      </w:pPr>
      <w:r>
        <w:rPr>
          <w:color w:val="FF0000"/>
          <w:highlight w:val="yellow"/>
        </w:rPr>
        <w:fldChar w:fldCharType="begin"/>
      </w:r>
      <w:r>
        <w:rPr>
          <w:highlight w:val="yellow"/>
        </w:rPr>
        <w:instrText xml:space="preserve"> HYPERLINK \l _Toc22394 </w:instrText>
      </w:r>
      <w:r>
        <w:rPr>
          <w:highlight w:val="yellow"/>
        </w:rPr>
        <w:fldChar w:fldCharType="separate"/>
      </w:r>
      <w:r>
        <w:rPr>
          <w:rFonts w:cs="Times New Roman"/>
        </w:rPr>
        <w:t xml:space="preserve">14.8 </w:t>
      </w:r>
      <w:r>
        <w:rPr>
          <w:rFonts w:hint="eastAsia"/>
        </w:rPr>
        <w:t>建议</w:t>
      </w:r>
      <w:r>
        <w:tab/>
      </w:r>
      <w:r>
        <w:fldChar w:fldCharType="begin"/>
      </w:r>
      <w:r>
        <w:instrText xml:space="preserve"> PAGEREF _Toc22394 </w:instrText>
      </w:r>
      <w:r>
        <w:fldChar w:fldCharType="separate"/>
      </w:r>
      <w:r>
        <w:t>150</w:t>
      </w:r>
      <w:r>
        <w:fldChar w:fldCharType="end"/>
      </w:r>
      <w:r>
        <w:rPr>
          <w:color w:val="FF0000"/>
          <w:highlight w:val="yellow"/>
        </w:rPr>
        <w:fldChar w:fldCharType="end"/>
      </w:r>
    </w:p>
    <w:p>
      <w:pPr>
        <w:pStyle w:val="18"/>
        <w:rPr>
          <w:color w:val="FF0000"/>
        </w:rPr>
      </w:pPr>
      <w:r>
        <w:rPr>
          <w:color w:val="FF0000"/>
          <w:highlight w:val="yellow"/>
        </w:rPr>
        <w:fldChar w:fldCharType="end"/>
      </w:r>
    </w:p>
    <w:p>
      <w:pPr>
        <w:pStyle w:val="18"/>
        <w:rPr>
          <w:b/>
          <w:color w:val="FF0000"/>
          <w:sz w:val="28"/>
          <w:szCs w:val="28"/>
        </w:rPr>
      </w:pPr>
      <w:r>
        <w:rPr>
          <w:b/>
          <w:color w:val="FF0000"/>
          <w:sz w:val="28"/>
          <w:szCs w:val="28"/>
        </w:rPr>
        <w:br w:type="page"/>
      </w:r>
      <w:r>
        <w:rPr>
          <w:rFonts w:hint="eastAsia"/>
          <w:b/>
          <w:sz w:val="28"/>
          <w:szCs w:val="28"/>
        </w:rPr>
        <w:t>附</w:t>
      </w:r>
      <w:r>
        <w:rPr>
          <w:b/>
          <w:sz w:val="28"/>
          <w:szCs w:val="28"/>
        </w:rPr>
        <w:t xml:space="preserve">  </w:t>
      </w:r>
      <w:r>
        <w:rPr>
          <w:rFonts w:hint="eastAsia"/>
          <w:b/>
          <w:sz w:val="28"/>
          <w:szCs w:val="28"/>
        </w:rPr>
        <w:t>件</w:t>
      </w:r>
    </w:p>
    <w:p>
      <w:pPr>
        <w:pStyle w:val="18"/>
        <w:rPr>
          <w:b/>
          <w:sz w:val="28"/>
          <w:szCs w:val="28"/>
        </w:rPr>
      </w:pPr>
    </w:p>
    <w:p>
      <w:pPr>
        <w:pStyle w:val="3"/>
        <w:widowControl/>
        <w:numPr>
          <w:ilvl w:val="0"/>
          <w:numId w:val="8"/>
        </w:numPr>
        <w:ind w:left="31680" w:leftChars="213" w:firstLineChars="0"/>
      </w:pPr>
      <w:r>
        <w:rPr>
          <w:rFonts w:hint="eastAsia"/>
        </w:rPr>
        <w:t>项目环境影响评价委托函</w:t>
      </w:r>
    </w:p>
    <w:p>
      <w:pPr>
        <w:pStyle w:val="3"/>
        <w:widowControl/>
        <w:numPr>
          <w:ilvl w:val="0"/>
          <w:numId w:val="8"/>
        </w:numPr>
        <w:ind w:left="31680" w:leftChars="213" w:firstLineChars="0"/>
      </w:pPr>
      <w:r>
        <w:rPr>
          <w:rFonts w:hint="eastAsia"/>
        </w:rPr>
        <w:t>项目环境影响评价执行标准函</w:t>
      </w:r>
    </w:p>
    <w:p>
      <w:pPr>
        <w:pStyle w:val="3"/>
        <w:widowControl/>
        <w:numPr>
          <w:ilvl w:val="0"/>
          <w:numId w:val="8"/>
        </w:numPr>
        <w:ind w:left="31680" w:leftChars="213" w:firstLineChars="0"/>
      </w:pPr>
      <w:r>
        <w:rPr>
          <w:rFonts w:hint="eastAsia"/>
        </w:rPr>
        <w:t>国土局预审意见</w:t>
      </w:r>
    </w:p>
    <w:p>
      <w:pPr>
        <w:pStyle w:val="3"/>
        <w:widowControl/>
        <w:numPr>
          <w:ilvl w:val="0"/>
          <w:numId w:val="8"/>
        </w:numPr>
        <w:ind w:left="31680" w:leftChars="213" w:firstLineChars="0"/>
      </w:pPr>
      <w:r>
        <w:rPr>
          <w:rFonts w:hint="eastAsia"/>
        </w:rPr>
        <w:t>汨罗市发改委意见</w:t>
      </w:r>
    </w:p>
    <w:p>
      <w:pPr>
        <w:pStyle w:val="3"/>
        <w:widowControl/>
        <w:numPr>
          <w:ilvl w:val="0"/>
          <w:numId w:val="8"/>
        </w:numPr>
        <w:ind w:left="31680" w:leftChars="213" w:firstLineChars="0"/>
      </w:pPr>
      <w:r>
        <w:rPr>
          <w:rFonts w:hint="eastAsia"/>
        </w:rPr>
        <w:t>汨罗市规划局意见</w:t>
      </w:r>
    </w:p>
    <w:p>
      <w:pPr>
        <w:pStyle w:val="3"/>
        <w:widowControl/>
        <w:numPr>
          <w:ilvl w:val="0"/>
          <w:numId w:val="8"/>
        </w:numPr>
        <w:ind w:left="31680" w:leftChars="213" w:firstLineChars="0"/>
      </w:pPr>
      <w:r>
        <w:rPr>
          <w:rFonts w:hint="eastAsia"/>
        </w:rPr>
        <w:t>汨罗市交通运输局意见</w:t>
      </w:r>
    </w:p>
    <w:p>
      <w:pPr>
        <w:pStyle w:val="3"/>
        <w:widowControl/>
        <w:numPr>
          <w:ilvl w:val="0"/>
          <w:numId w:val="8"/>
        </w:numPr>
        <w:ind w:left="31680" w:leftChars="213" w:firstLineChars="0"/>
      </w:pPr>
      <w:r>
        <w:rPr>
          <w:rFonts w:hint="eastAsia"/>
        </w:rPr>
        <w:t>汨罗市人民政府意见</w:t>
      </w:r>
    </w:p>
    <w:p>
      <w:pPr>
        <w:pStyle w:val="3"/>
        <w:widowControl/>
        <w:numPr>
          <w:ilvl w:val="0"/>
          <w:numId w:val="8"/>
        </w:numPr>
        <w:ind w:left="31680" w:leftChars="213" w:firstLineChars="0"/>
      </w:pPr>
      <w:r>
        <w:rPr>
          <w:rFonts w:hint="eastAsia"/>
        </w:rPr>
        <w:t>建设项目环境影响评价现状环境资料质量保证单</w:t>
      </w:r>
    </w:p>
    <w:p>
      <w:pPr>
        <w:pStyle w:val="3"/>
        <w:widowControl/>
        <w:numPr>
          <w:ilvl w:val="0"/>
          <w:numId w:val="8"/>
        </w:numPr>
        <w:ind w:left="31680" w:leftChars="213" w:hangingChars="200" w:firstLine="31680"/>
      </w:pPr>
      <w:r>
        <w:rPr>
          <w:rFonts w:hint="eastAsia"/>
        </w:rPr>
        <w:t>建设项目地质灾害性评估报告评审意见表</w:t>
      </w:r>
    </w:p>
    <w:p>
      <w:pPr>
        <w:pStyle w:val="3"/>
        <w:widowControl/>
        <w:ind w:left="31680" w:leftChars="-237" w:firstLine="0" w:firstLineChars="0"/>
        <w:jc w:val="left"/>
      </w:pPr>
      <w:r>
        <w:t xml:space="preserve">        </w:t>
      </w:r>
      <w:r>
        <w:rPr>
          <w:rFonts w:hint="eastAsia"/>
        </w:rPr>
        <w:t>附件</w:t>
      </w:r>
      <w:r>
        <w:t xml:space="preserve">10. </w:t>
      </w:r>
      <w:r>
        <w:rPr>
          <w:rFonts w:hint="eastAsia"/>
        </w:rPr>
        <w:t>项目拆迁安置方案</w:t>
      </w:r>
    </w:p>
    <w:p>
      <w:pPr>
        <w:pStyle w:val="3"/>
        <w:widowControl/>
        <w:ind w:left="31680" w:leftChars="213" w:firstLine="0" w:firstLineChars="0"/>
        <w:rPr>
          <w:rFonts w:hint="eastAsia"/>
        </w:rPr>
      </w:pPr>
      <w:r>
        <w:rPr>
          <w:rFonts w:hint="eastAsia"/>
        </w:rPr>
        <w:t>附件</w:t>
      </w:r>
      <w:r>
        <w:t xml:space="preserve">11. </w:t>
      </w:r>
      <w:r>
        <w:rPr>
          <w:rFonts w:hint="eastAsia"/>
        </w:rPr>
        <w:t>项目会议纪要</w:t>
      </w:r>
    </w:p>
    <w:p>
      <w:pPr>
        <w:pStyle w:val="3"/>
        <w:widowControl/>
        <w:ind w:left="31680" w:leftChars="213" w:firstLine="0" w:firstLineChars="0"/>
        <w:rPr>
          <w:rFonts w:hint="eastAsia" w:eastAsia="宋体"/>
          <w:lang w:val="en-US" w:eastAsia="zh-CN"/>
        </w:rPr>
      </w:pPr>
      <w:r>
        <w:rPr>
          <w:rFonts w:hint="eastAsia"/>
          <w:lang w:val="en-US" w:eastAsia="zh-CN"/>
        </w:rPr>
        <w:t>附件12. 专家评审意见及签到表</w:t>
      </w:r>
    </w:p>
    <w:p>
      <w:pPr>
        <w:pStyle w:val="3"/>
        <w:widowControl/>
        <w:ind w:left="31680" w:leftChars="213" w:firstLine="0" w:firstLineChars="0"/>
        <w:rPr>
          <w:color w:val="FF0000"/>
        </w:rPr>
      </w:pPr>
    </w:p>
    <w:p>
      <w:pPr>
        <w:pStyle w:val="3"/>
        <w:widowControl/>
        <w:ind w:left="31680" w:leftChars="213" w:firstLine="0" w:firstLineChars="0"/>
        <w:rPr>
          <w:color w:val="FF0000"/>
        </w:rPr>
      </w:pPr>
    </w:p>
    <w:p>
      <w:pPr>
        <w:pStyle w:val="3"/>
        <w:widowControl/>
        <w:ind w:left="31680" w:leftChars="213" w:firstLine="0" w:firstLineChars="0"/>
      </w:pPr>
      <w:r>
        <w:rPr>
          <w:rFonts w:hint="eastAsia"/>
        </w:rPr>
        <w:t>建设项目环境保护审批登记表</w:t>
      </w:r>
    </w:p>
    <w:p>
      <w:pPr>
        <w:pStyle w:val="3"/>
        <w:ind w:firstLine="31680"/>
        <w:rPr>
          <w:b/>
          <w:sz w:val="28"/>
          <w:szCs w:val="28"/>
        </w:rPr>
      </w:pPr>
      <w:r>
        <w:rPr>
          <w:color w:val="FF0000"/>
          <w:sz w:val="21"/>
        </w:rPr>
        <w:br w:type="page"/>
      </w:r>
      <w:r>
        <w:rPr>
          <w:rFonts w:hint="eastAsia"/>
          <w:b/>
          <w:sz w:val="28"/>
          <w:szCs w:val="28"/>
        </w:rPr>
        <w:t>附</w:t>
      </w:r>
      <w:r>
        <w:rPr>
          <w:b/>
          <w:sz w:val="28"/>
          <w:szCs w:val="28"/>
        </w:rPr>
        <w:t xml:space="preserve">  </w:t>
      </w:r>
      <w:r>
        <w:rPr>
          <w:rFonts w:hint="eastAsia"/>
          <w:b/>
          <w:sz w:val="28"/>
          <w:szCs w:val="28"/>
        </w:rPr>
        <w:t>图</w:t>
      </w:r>
    </w:p>
    <w:p>
      <w:pPr>
        <w:pStyle w:val="18"/>
        <w:rPr>
          <w:b/>
          <w:sz w:val="28"/>
          <w:szCs w:val="28"/>
        </w:rPr>
      </w:pPr>
    </w:p>
    <w:p>
      <w:pPr>
        <w:pStyle w:val="3"/>
        <w:widowControl/>
        <w:numPr>
          <w:ilvl w:val="0"/>
          <w:numId w:val="9"/>
        </w:numPr>
        <w:ind w:left="31680" w:leftChars="213" w:hangingChars="177" w:firstLine="31680"/>
      </w:pPr>
      <w:r>
        <w:rPr>
          <w:rFonts w:hint="eastAsia" w:hAnsi="宋体"/>
        </w:rPr>
        <w:t>拟建项目</w:t>
      </w:r>
      <w:r>
        <w:rPr>
          <w:rFonts w:hint="eastAsia"/>
        </w:rPr>
        <w:t>地理位置示意图</w:t>
      </w:r>
    </w:p>
    <w:p>
      <w:pPr>
        <w:pStyle w:val="3"/>
        <w:widowControl/>
        <w:numPr>
          <w:ilvl w:val="0"/>
          <w:numId w:val="9"/>
        </w:numPr>
        <w:ind w:left="31680" w:leftChars="213" w:hangingChars="177" w:firstLine="31680"/>
      </w:pPr>
      <w:r>
        <w:rPr>
          <w:rFonts w:hint="eastAsia" w:hAnsi="宋体"/>
        </w:rPr>
        <w:t>拟建项目</w:t>
      </w:r>
      <w:r>
        <w:rPr>
          <w:rFonts w:hint="eastAsia"/>
        </w:rPr>
        <w:t>平面布置图</w:t>
      </w:r>
    </w:p>
    <w:p>
      <w:pPr>
        <w:pStyle w:val="3"/>
        <w:widowControl/>
        <w:numPr>
          <w:ilvl w:val="0"/>
          <w:numId w:val="9"/>
        </w:numPr>
        <w:ind w:left="31680" w:leftChars="213" w:hangingChars="177" w:firstLine="31680"/>
      </w:pPr>
      <w:r>
        <w:rPr>
          <w:rFonts w:hint="eastAsia" w:hAnsi="宋体"/>
        </w:rPr>
        <w:t>拟建项目环境保护目标及监测点位分布示意图</w:t>
      </w:r>
    </w:p>
    <w:p>
      <w:pPr>
        <w:pStyle w:val="3"/>
        <w:widowControl/>
        <w:numPr>
          <w:ilvl w:val="0"/>
          <w:numId w:val="9"/>
        </w:numPr>
        <w:ind w:left="31680" w:leftChars="213" w:hangingChars="177" w:firstLine="31680"/>
      </w:pPr>
      <w:r>
        <w:rPr>
          <w:rFonts w:hint="eastAsia" w:hAnsi="宋体"/>
        </w:rPr>
        <w:t>拟建项目区域水系分布图</w:t>
      </w:r>
    </w:p>
    <w:p>
      <w:pPr>
        <w:pStyle w:val="3"/>
        <w:widowControl/>
        <w:numPr>
          <w:ilvl w:val="0"/>
          <w:numId w:val="9"/>
        </w:numPr>
        <w:ind w:left="31680" w:leftChars="213" w:hangingChars="177" w:firstLine="31680"/>
      </w:pPr>
      <w:r>
        <w:rPr>
          <w:rFonts w:hint="eastAsia"/>
        </w:rPr>
        <w:t>汨罗市综合交通运输“十三五”发展规划</w:t>
      </w:r>
    </w:p>
    <w:p>
      <w:pPr>
        <w:pStyle w:val="3"/>
        <w:widowControl/>
        <w:numPr>
          <w:ilvl w:val="0"/>
          <w:numId w:val="9"/>
        </w:numPr>
        <w:ind w:left="31680" w:leftChars="213" w:hangingChars="177" w:firstLine="31680"/>
      </w:pPr>
      <w:r>
        <w:rPr>
          <w:rFonts w:hint="eastAsia"/>
        </w:rPr>
        <w:t>拟建项目防治措施布设图</w:t>
      </w:r>
    </w:p>
    <w:p>
      <w:pPr>
        <w:pStyle w:val="3"/>
        <w:widowControl/>
        <w:numPr>
          <w:ilvl w:val="0"/>
          <w:numId w:val="9"/>
        </w:numPr>
        <w:ind w:left="31680" w:leftChars="213" w:hangingChars="177" w:firstLine="31680"/>
      </w:pPr>
      <w:r>
        <w:rPr>
          <w:rFonts w:hint="eastAsia"/>
          <w:lang w:val="en-US" w:eastAsia="zh-CN"/>
        </w:rPr>
        <w:t>土地利用现状图</w:t>
      </w:r>
    </w:p>
    <w:p>
      <w:pPr>
        <w:pStyle w:val="3"/>
        <w:widowControl/>
        <w:ind w:left="31680" w:leftChars="36" w:firstLine="0" w:firstLineChars="0"/>
      </w:pPr>
    </w:p>
    <w:p>
      <w:pPr>
        <w:pStyle w:val="3"/>
        <w:widowControl/>
        <w:ind w:firstLineChars="0"/>
        <w:rPr>
          <w:color w:val="FF0000"/>
        </w:rPr>
      </w:pPr>
    </w:p>
    <w:p>
      <w:pPr>
        <w:pStyle w:val="3"/>
        <w:widowControl/>
        <w:ind w:firstLineChars="0"/>
        <w:rPr>
          <w:color w:val="FF0000"/>
        </w:rPr>
        <w:sectPr>
          <w:footerReference r:id="rId3" w:type="default"/>
          <w:pgSz w:w="11906" w:h="16838"/>
          <w:pgMar w:top="1474" w:right="1361" w:bottom="1474" w:left="1588" w:header="1020" w:footer="850"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rPr>
          <w:color w:val="auto"/>
        </w:rPr>
      </w:pPr>
      <w:bookmarkStart w:id="1" w:name="_Toc30033"/>
      <w:bookmarkStart w:id="2" w:name="_Toc439671792"/>
      <w:bookmarkStart w:id="3" w:name="_Toc29319"/>
      <w:bookmarkStart w:id="4" w:name="_Toc437950247"/>
      <w:r>
        <w:rPr>
          <w:rFonts w:hint="eastAsia"/>
          <w:color w:val="auto"/>
        </w:rPr>
        <w:t>前言</w:t>
      </w:r>
      <w:bookmarkEnd w:id="1"/>
      <w:bookmarkEnd w:id="2"/>
      <w:bookmarkEnd w:id="3"/>
      <w:bookmarkEnd w:id="4"/>
    </w:p>
    <w:p>
      <w:pPr>
        <w:pStyle w:val="4"/>
        <w:ind w:left="567" w:hanging="567"/>
        <w:rPr>
          <w:color w:val="auto"/>
        </w:rPr>
      </w:pPr>
      <w:bookmarkStart w:id="5" w:name="_Toc23145"/>
      <w:r>
        <w:rPr>
          <w:rFonts w:hint="eastAsia"/>
          <w:color w:val="auto"/>
        </w:rPr>
        <w:t>项目由来</w:t>
      </w:r>
      <w:bookmarkEnd w:id="5"/>
    </w:p>
    <w:p>
      <w:pPr>
        <w:widowControl/>
        <w:spacing w:line="360" w:lineRule="auto"/>
        <w:ind w:firstLine="31680" w:firstLineChars="200"/>
        <w:rPr>
          <w:rFonts w:ascii="宋体" w:cs="宋体"/>
          <w:kern w:val="0"/>
          <w:sz w:val="24"/>
        </w:rPr>
      </w:pPr>
      <w:r>
        <w:rPr>
          <w:rFonts w:hint="eastAsia" w:ascii="宋体" w:hAnsi="宋体" w:cs="宋体"/>
          <w:kern w:val="0"/>
          <w:sz w:val="24"/>
        </w:rPr>
        <w:t>弼时镇位于汨罗市最南端，地处长沙、岳阳、汨罗的中间地带，紧靠长沙星沙开发区，距长沙市区</w:t>
      </w:r>
      <w:r>
        <w:rPr>
          <w:rFonts w:ascii="宋体" w:hAnsi="宋体" w:cs="宋体"/>
          <w:kern w:val="0"/>
          <w:sz w:val="24"/>
        </w:rPr>
        <w:t>35</w:t>
      </w:r>
      <w:r>
        <w:rPr>
          <w:rFonts w:hint="eastAsia" w:ascii="宋体" w:hAnsi="宋体" w:cs="宋体"/>
          <w:kern w:val="0"/>
          <w:sz w:val="24"/>
        </w:rPr>
        <w:t>公里，距国家级长沙经济开发区</w:t>
      </w:r>
      <w:r>
        <w:rPr>
          <w:rFonts w:ascii="宋体" w:hAnsi="宋体" w:cs="宋体"/>
          <w:kern w:val="0"/>
          <w:sz w:val="24"/>
        </w:rPr>
        <w:t>28</w:t>
      </w:r>
      <w:r>
        <w:rPr>
          <w:rFonts w:hint="eastAsia" w:ascii="宋体" w:hAnsi="宋体" w:cs="宋体"/>
          <w:kern w:val="0"/>
          <w:sz w:val="24"/>
        </w:rPr>
        <w:t>公里，距汨罗市区</w:t>
      </w:r>
      <w:r>
        <w:rPr>
          <w:rFonts w:ascii="宋体" w:hAnsi="宋体" w:cs="宋体"/>
          <w:kern w:val="0"/>
          <w:sz w:val="24"/>
        </w:rPr>
        <w:t>40</w:t>
      </w:r>
      <w:r>
        <w:rPr>
          <w:rFonts w:hint="eastAsia" w:ascii="宋体" w:hAnsi="宋体" w:cs="宋体"/>
          <w:kern w:val="0"/>
          <w:sz w:val="24"/>
        </w:rPr>
        <w:t>公里，属于省会长沙经济半小时辐射圈范畴，是长株潭两型社会试验区政策核心区。镇域总面积</w:t>
      </w:r>
      <w:r>
        <w:rPr>
          <w:rFonts w:ascii="宋体" w:hAnsi="宋体" w:cs="宋体"/>
          <w:kern w:val="0"/>
          <w:sz w:val="24"/>
        </w:rPr>
        <w:t>64</w:t>
      </w:r>
      <w:r>
        <w:rPr>
          <w:rFonts w:hint="eastAsia" w:ascii="宋体" w:hAnsi="宋体" w:cs="宋体"/>
          <w:kern w:val="0"/>
          <w:sz w:val="24"/>
        </w:rPr>
        <w:t>平方公里，总人口</w:t>
      </w:r>
      <w:r>
        <w:rPr>
          <w:rFonts w:ascii="宋体" w:hAnsi="宋体" w:cs="宋体"/>
          <w:kern w:val="0"/>
          <w:sz w:val="24"/>
        </w:rPr>
        <w:t>3.1</w:t>
      </w:r>
      <w:r>
        <w:rPr>
          <w:rFonts w:hint="eastAsia" w:ascii="宋体" w:hAnsi="宋体" w:cs="宋体"/>
          <w:kern w:val="0"/>
          <w:sz w:val="24"/>
        </w:rPr>
        <w:t>万人。</w:t>
      </w:r>
    </w:p>
    <w:p>
      <w:pPr>
        <w:spacing w:line="360" w:lineRule="auto"/>
        <w:ind w:firstLine="480" w:firstLineChars="200"/>
        <w:rPr>
          <w:rFonts w:ascii="Arial" w:hAnsi="Arial" w:cs="Arial"/>
          <w:color w:val="auto"/>
          <w:sz w:val="24"/>
          <w:u w:val="single"/>
          <w:lang w:val="sq-AL"/>
        </w:rPr>
      </w:pPr>
      <w:bookmarkStart w:id="6" w:name="_Toc238557812"/>
      <w:bookmarkStart w:id="7" w:name="_Toc223313695"/>
      <w:bookmarkStart w:id="8" w:name="_Toc237076130"/>
      <w:bookmarkStart w:id="9" w:name="_Toc232568334"/>
      <w:bookmarkStart w:id="10" w:name="_Toc237076358"/>
      <w:r>
        <w:rPr>
          <w:rFonts w:hint="eastAsia" w:ascii="Arial" w:hAnsi="Arial" w:cs="Arial"/>
          <w:color w:val="auto"/>
          <w:sz w:val="24"/>
          <w:u w:val="single"/>
          <w:lang w:val="sq-AL"/>
        </w:rPr>
        <w:t>通过对研究区域的社会经济现状与发展规划、交通运输现状与规划的深入研究，结合项目交通量预测结果，</w:t>
      </w:r>
      <w:r>
        <w:rPr>
          <w:rFonts w:hint="eastAsia" w:ascii="Arial" w:hAnsi="Arial" w:cs="Arial"/>
          <w:color w:val="auto"/>
          <w:sz w:val="24"/>
          <w:u w:val="single"/>
          <w:lang w:val="en-US" w:eastAsia="zh-CN"/>
        </w:rPr>
        <w:t>本项目建设的必要性如下：</w:t>
      </w:r>
    </w:p>
    <w:p>
      <w:pPr>
        <w:widowControl/>
        <w:spacing w:line="360" w:lineRule="auto"/>
        <w:ind w:firstLine="480" w:firstLineChars="200"/>
        <w:rPr>
          <w:rFonts w:hint="eastAsia" w:ascii="宋体" w:hAnsi="宋体" w:cs="宋体"/>
          <w:color w:val="auto"/>
          <w:kern w:val="0"/>
          <w:sz w:val="24"/>
          <w:u w:val="single"/>
        </w:rPr>
      </w:pPr>
      <w:r>
        <w:rPr>
          <w:rFonts w:hint="eastAsia" w:ascii="宋体" w:hAnsi="宋体" w:cs="宋体"/>
          <w:color w:val="auto"/>
          <w:kern w:val="0"/>
          <w:sz w:val="24"/>
          <w:u w:val="single"/>
        </w:rPr>
        <w:t>1．本项目的建设是加快区域社会经济发展的需要</w:t>
      </w:r>
    </w:p>
    <w:p>
      <w:pPr>
        <w:widowControl/>
        <w:spacing w:line="360" w:lineRule="auto"/>
        <w:ind w:firstLine="480" w:firstLineChars="200"/>
        <w:rPr>
          <w:rFonts w:ascii="宋体" w:hAnsi="宋体" w:cs="宋体"/>
          <w:color w:val="auto"/>
          <w:kern w:val="0"/>
          <w:sz w:val="24"/>
          <w:u w:val="single"/>
        </w:rPr>
      </w:pPr>
      <w:r>
        <w:rPr>
          <w:rFonts w:hint="eastAsia" w:ascii="宋体" w:hAnsi="宋体" w:cs="宋体"/>
          <w:color w:val="auto"/>
          <w:kern w:val="0"/>
          <w:sz w:val="24"/>
          <w:u w:val="single"/>
        </w:rPr>
        <w:t>汨罗市地处岳阳市之南、长沙市以北，东与长沙县毗连，南与望城县接壤，西邻湘阴县和沅江县，北接岳阳县和平江县，东西宽62.5km，南北长66.75km，总面积1561.95平方km，占全省总面积的0.75%，占岳阳市面积的10.4%。2009年末人口数为66.5万人，实现生产总值136.30亿元。</w:t>
      </w:r>
    </w:p>
    <w:p>
      <w:pPr>
        <w:widowControl/>
        <w:spacing w:line="360" w:lineRule="auto"/>
        <w:ind w:firstLine="480" w:firstLineChars="200"/>
        <w:rPr>
          <w:rFonts w:ascii="宋体" w:hAnsi="宋体" w:cs="宋体"/>
          <w:color w:val="auto"/>
          <w:kern w:val="0"/>
          <w:sz w:val="24"/>
          <w:u w:val="single"/>
        </w:rPr>
      </w:pPr>
      <w:r>
        <w:rPr>
          <w:rFonts w:hint="eastAsia" w:ascii="宋体" w:hAnsi="宋体" w:cs="宋体"/>
          <w:color w:val="auto"/>
          <w:kern w:val="0"/>
          <w:sz w:val="24"/>
          <w:u w:val="single"/>
        </w:rPr>
        <w:t>2011年，省住房和城乡建设厅根据国家十二五规划纲要的要求，在环长株潭城市群中精心筛选了10个县市作为全省首批推进新型城镇化建设示范县市，汨罗榜上有名。</w:t>
      </w:r>
    </w:p>
    <w:p>
      <w:pPr>
        <w:widowControl/>
        <w:spacing w:line="360" w:lineRule="auto"/>
        <w:ind w:firstLine="480" w:firstLineChars="200"/>
        <w:rPr>
          <w:rFonts w:ascii="宋体" w:hAnsi="宋体" w:cs="宋体"/>
          <w:color w:val="auto"/>
          <w:kern w:val="0"/>
          <w:sz w:val="24"/>
          <w:u w:val="single"/>
        </w:rPr>
      </w:pPr>
      <w:r>
        <w:rPr>
          <w:rFonts w:hint="eastAsia" w:ascii="宋体" w:hAnsi="宋体" w:cs="宋体"/>
          <w:color w:val="auto"/>
          <w:kern w:val="0"/>
          <w:sz w:val="24"/>
          <w:u w:val="single"/>
        </w:rPr>
        <w:t>国家级长沙经济技术开发区汨罗（弼时）产业园由长沙经开区和汨罗市合作共建，2013年8月15日签署战略合作协议，12月16日正式揭牌成立,2014年8月14日正式签约,是湖南首个“飞地工业园”。“飞地工业园”是指以工业园区为载体，经济相对发达地区整批输出项目，欠发达地区提供土地，双方合作开发，从而取得“借地生财”和“借鸡生蛋”的双重效应。园区初步规划控制性面积为15至20平方公里，其中第一期开发3平方公里。园区的土地征收、拆迁、报批和园区外基础设施建设以汨罗为主，园区内的规划和基础设施建设以长沙经开区为主。产业园将享受长沙经开区的品牌和相关政策，主要承接长沙经开区汽车和工程机械的配套产业及其他符合汨罗资源开发利用的产业，打造汽车整车生产制造基地和工程机械设备制造基地。</w:t>
      </w:r>
    </w:p>
    <w:p>
      <w:pPr>
        <w:widowControl/>
        <w:spacing w:line="360" w:lineRule="auto"/>
        <w:ind w:firstLine="480" w:firstLineChars="200"/>
        <w:rPr>
          <w:rFonts w:hint="eastAsia" w:ascii="宋体" w:hAnsi="宋体" w:cs="宋体"/>
          <w:color w:val="auto"/>
          <w:kern w:val="0"/>
          <w:sz w:val="24"/>
          <w:u w:val="single"/>
        </w:rPr>
      </w:pPr>
      <w:r>
        <w:rPr>
          <w:rFonts w:hint="eastAsia" w:ascii="宋体" w:hAnsi="宋体" w:cs="宋体"/>
          <w:color w:val="auto"/>
          <w:kern w:val="0"/>
          <w:sz w:val="24"/>
          <w:u w:val="single"/>
        </w:rPr>
        <w:t>本项目的建设将打通汨罗南部南北向的另外一条主干道，可以改善区域交通条件，打通汨罗南部与长沙的沟通瓶颈，对加强沿线乡镇以及汨罗市与周边市县的经济交通往来，进一步搞活本地区商品流通，扩大汨罗市对外经济辐射范围有重要意义。其次，本项目的建设能够促进区域各类资源的开发，将资源优势转化为经济优势，实现县域经济发展的“弯道超车”，从而带动区域经济发展。</w:t>
      </w:r>
    </w:p>
    <w:p>
      <w:pPr>
        <w:widowControl/>
        <w:spacing w:line="360" w:lineRule="auto"/>
        <w:ind w:firstLine="480" w:firstLineChars="200"/>
        <w:rPr>
          <w:rFonts w:hint="eastAsia" w:ascii="宋体" w:hAnsi="宋体" w:cs="宋体"/>
          <w:color w:val="auto"/>
          <w:kern w:val="0"/>
          <w:sz w:val="24"/>
          <w:u w:val="single"/>
        </w:rPr>
      </w:pPr>
      <w:r>
        <w:rPr>
          <w:rFonts w:hint="eastAsia" w:ascii="宋体" w:hAnsi="宋体" w:cs="宋体"/>
          <w:color w:val="auto"/>
          <w:kern w:val="0"/>
          <w:sz w:val="24"/>
          <w:u w:val="single"/>
        </w:rPr>
        <w:t>2．本项目的建设是提高公路通行能力、优化区域路网结构的需要</w:t>
      </w:r>
    </w:p>
    <w:p>
      <w:pPr>
        <w:widowControl/>
        <w:spacing w:line="360" w:lineRule="auto"/>
        <w:ind w:firstLine="480" w:firstLineChars="200"/>
        <w:rPr>
          <w:rFonts w:ascii="宋体" w:hAnsi="宋体" w:cs="宋体"/>
          <w:color w:val="auto"/>
          <w:kern w:val="0"/>
          <w:sz w:val="24"/>
          <w:u w:val="single"/>
        </w:rPr>
      </w:pPr>
      <w:r>
        <w:rPr>
          <w:rFonts w:hint="eastAsia" w:ascii="宋体" w:hAnsi="宋体" w:cs="宋体"/>
          <w:color w:val="auto"/>
          <w:kern w:val="0"/>
          <w:sz w:val="24"/>
          <w:u w:val="single"/>
        </w:rPr>
        <w:t>汨罗市交通区位重要，地处在长沙市与岳阳市两市之间，是连接岳阳与长沙的重要通道，同时也是湘北地区的重要交通枢纽。境内除大宗、长途运输主要依靠武广高速铁路与京广铁路外，其他客货运输主要以公路为依托。县域内公路网骨架由高速公路及国省干线公路构成，其中有3条高速公路——京港澳高速公路、岳长高速公路（在建），平益高速公路（待建），3条国道——G107 、G240（原S201）、G536（原S308），1条省道——S316（原S307）。县域已初步形成了以高速公路、国道、省道为骨架，以县乡公路为经络的公路交通网络。</w:t>
      </w:r>
    </w:p>
    <w:p>
      <w:pPr>
        <w:widowControl/>
        <w:spacing w:line="360" w:lineRule="auto"/>
        <w:ind w:firstLine="480" w:firstLineChars="200"/>
        <w:rPr>
          <w:rFonts w:ascii="宋体" w:hAnsi="宋体" w:cs="宋体"/>
          <w:color w:val="auto"/>
          <w:kern w:val="0"/>
          <w:sz w:val="24"/>
          <w:u w:val="single"/>
        </w:rPr>
      </w:pPr>
      <w:r>
        <w:rPr>
          <w:rFonts w:hint="eastAsia" w:ascii="宋体" w:hAnsi="宋体" w:cs="宋体"/>
          <w:color w:val="auto"/>
          <w:kern w:val="0"/>
          <w:sz w:val="24"/>
          <w:u w:val="single"/>
        </w:rPr>
        <w:t>但是，由于社会经济快速发展，G107弼时段已完全街道化，已严重影响过境车辆的快速通过，同时，过境车辆也给城市交通带来了很大的负担，高峰期容易造成交通堵塞。虽然2014年，弼时镇针对G107镇区段进行了改线，但建成后，道路两旁又迅速街道化。此外，随着长沙经开区汨罗（弼时）产业园的逐步建设，园区内的客货运交通量将剧增，街道化的G107作为园区内的南北向出口道路，已无法满足现有的交通需求，重新打通一条南北向通行道路已是迫在眉睫。</w:t>
      </w:r>
    </w:p>
    <w:p>
      <w:pPr>
        <w:widowControl/>
        <w:spacing w:line="360" w:lineRule="auto"/>
        <w:ind w:firstLine="480" w:firstLineChars="200"/>
        <w:rPr>
          <w:rFonts w:ascii="宋体" w:hAnsi="宋体" w:cs="宋体"/>
          <w:color w:val="auto"/>
          <w:kern w:val="0"/>
          <w:sz w:val="24"/>
          <w:u w:val="single"/>
        </w:rPr>
      </w:pPr>
      <w:r>
        <w:rPr>
          <w:rFonts w:hint="eastAsia" w:ascii="宋体" w:hAnsi="宋体" w:cs="宋体"/>
          <w:color w:val="auto"/>
          <w:kern w:val="0"/>
          <w:sz w:val="24"/>
          <w:u w:val="single"/>
        </w:rPr>
        <w:t>根据《汨罗市交通“十三五”规划》的规划原则，汨罗市将本着“大交通、大流通、大手笔、大发展”，贯彻适当超前建设，借铁路、公路大动脉的区位优势，更进一步促进区域交通基础设施项目更加完善，公路网、站场、水运等交通基础设施布局更加合理，交通综合能力得到更一步提高，服务效率和质量明显提升，安全和应急保障能力显著增强，基本形成畅通、高效、安全、绿色、资源节约、环境友好的现代综合交通运输发展体系。</w:t>
      </w:r>
    </w:p>
    <w:p>
      <w:pPr>
        <w:widowControl/>
        <w:spacing w:line="360" w:lineRule="auto"/>
        <w:ind w:firstLine="480" w:firstLineChars="200"/>
        <w:rPr>
          <w:rFonts w:hint="eastAsia" w:ascii="宋体" w:hAnsi="宋体" w:cs="宋体"/>
          <w:color w:val="auto"/>
          <w:kern w:val="0"/>
          <w:sz w:val="24"/>
          <w:u w:val="single"/>
        </w:rPr>
      </w:pPr>
      <w:r>
        <w:rPr>
          <w:rFonts w:hint="eastAsia" w:ascii="宋体" w:hAnsi="宋体" w:cs="宋体"/>
          <w:color w:val="auto"/>
          <w:kern w:val="0"/>
          <w:sz w:val="24"/>
          <w:u w:val="single"/>
        </w:rPr>
        <w:t>本项目建成后将有效解决区域内公路网络“梗阻”的问题，有利于扩大高速公路及国省干线公路公路的经济辐射范围，对提高公路的通行能力，优化区域路网结构有重要意义。</w:t>
      </w:r>
    </w:p>
    <w:p>
      <w:pPr>
        <w:widowControl/>
        <w:spacing w:line="360" w:lineRule="auto"/>
        <w:ind w:firstLine="480" w:firstLineChars="200"/>
        <w:rPr>
          <w:rFonts w:hint="eastAsia" w:ascii="宋体" w:hAnsi="宋体" w:cs="宋体"/>
          <w:color w:val="auto"/>
          <w:kern w:val="0"/>
          <w:sz w:val="24"/>
          <w:u w:val="single"/>
        </w:rPr>
      </w:pPr>
      <w:r>
        <w:rPr>
          <w:rFonts w:hint="eastAsia" w:ascii="宋体" w:hAnsi="宋体" w:cs="宋体"/>
          <w:color w:val="auto"/>
          <w:kern w:val="0"/>
          <w:sz w:val="24"/>
          <w:u w:val="single"/>
        </w:rPr>
        <w:t>3．本项目的建设是汨罗市及周边城镇发展的需要</w:t>
      </w:r>
    </w:p>
    <w:p>
      <w:pPr>
        <w:widowControl/>
        <w:spacing w:line="360" w:lineRule="auto"/>
        <w:ind w:firstLine="480" w:firstLineChars="200"/>
        <w:rPr>
          <w:rFonts w:ascii="宋体" w:hAnsi="宋体" w:cs="宋体"/>
          <w:color w:val="auto"/>
          <w:kern w:val="0"/>
          <w:sz w:val="24"/>
          <w:u w:val="single"/>
        </w:rPr>
      </w:pPr>
      <w:r>
        <w:rPr>
          <w:rFonts w:hint="eastAsia" w:ascii="宋体" w:hAnsi="宋体" w:cs="宋体"/>
          <w:color w:val="auto"/>
          <w:kern w:val="0"/>
          <w:sz w:val="24"/>
          <w:u w:val="single"/>
        </w:rPr>
        <w:t>G107是汨罗乃至岳阳地区一条重要的南北向通道，而汨罗则是该经济走廊带的南端出口，但弼时镇区街道化以及长沙经开区汨罗（弼时）产业园的建设，势必会</w:t>
      </w:r>
      <w:r>
        <w:rPr>
          <w:rFonts w:ascii="宋体" w:hAnsi="宋体" w:cs="宋体"/>
          <w:color w:val="auto"/>
          <w:kern w:val="0"/>
          <w:sz w:val="24"/>
          <w:u w:val="single"/>
        </w:rPr>
        <w:t>成为区域的交通“瓶颈”，严重阻碍了</w:t>
      </w:r>
      <w:r>
        <w:rPr>
          <w:rFonts w:hint="eastAsia" w:ascii="宋体" w:hAnsi="宋体" w:cs="宋体"/>
          <w:color w:val="auto"/>
          <w:kern w:val="0"/>
          <w:sz w:val="24"/>
          <w:u w:val="single"/>
        </w:rPr>
        <w:t>区域间经济文化的交流</w:t>
      </w:r>
      <w:r>
        <w:rPr>
          <w:rFonts w:ascii="宋体" w:hAnsi="宋体" w:cs="宋体"/>
          <w:color w:val="auto"/>
          <w:kern w:val="0"/>
          <w:sz w:val="24"/>
          <w:u w:val="single"/>
        </w:rPr>
        <w:t>。</w:t>
      </w:r>
    </w:p>
    <w:p>
      <w:pPr>
        <w:widowControl/>
        <w:spacing w:line="360" w:lineRule="auto"/>
        <w:ind w:firstLine="360" w:firstLineChars="150"/>
        <w:jc w:val="left"/>
        <w:rPr>
          <w:rFonts w:hint="eastAsia" w:ascii="宋体" w:hAnsi="宋体" w:cs="宋体"/>
          <w:color w:val="auto"/>
          <w:kern w:val="0"/>
          <w:sz w:val="24"/>
          <w:u w:val="single"/>
        </w:rPr>
      </w:pPr>
      <w:r>
        <w:rPr>
          <w:rFonts w:hint="eastAsia" w:ascii="宋体" w:hAnsi="宋体" w:cs="宋体"/>
          <w:color w:val="auto"/>
          <w:kern w:val="0"/>
          <w:sz w:val="24"/>
          <w:u w:val="single"/>
        </w:rPr>
        <w:t>本项目建成后，将解除G107这条区域南北向主干道的交通“瓶颈”，解决区域的交通出行问题，将成为汨罗市对外交流与往来的重要出口，有利于城市经济的发展及弼时镇镇区规模的形成。因此，本项目的建设是汨罗市及周边城镇发展的需要。</w:t>
      </w:r>
    </w:p>
    <w:p>
      <w:pPr>
        <w:widowControl/>
        <w:spacing w:line="360" w:lineRule="auto"/>
        <w:ind w:firstLine="360" w:firstLineChars="150"/>
        <w:jc w:val="left"/>
        <w:rPr>
          <w:rFonts w:hint="eastAsia" w:ascii="宋体" w:hAnsi="宋体" w:cs="宋体"/>
          <w:color w:val="auto"/>
          <w:kern w:val="0"/>
          <w:sz w:val="24"/>
          <w:u w:val="single"/>
        </w:rPr>
      </w:pPr>
      <w:r>
        <w:rPr>
          <w:rFonts w:hint="eastAsia" w:ascii="宋体" w:hAnsi="宋体" w:cs="宋体"/>
          <w:color w:val="auto"/>
          <w:kern w:val="0"/>
          <w:sz w:val="24"/>
          <w:u w:val="single"/>
        </w:rPr>
        <w:t>4．本项目建设是对接长沙县G107调规公路的需要</w:t>
      </w:r>
    </w:p>
    <w:p>
      <w:pPr>
        <w:widowControl/>
        <w:spacing w:line="360" w:lineRule="auto"/>
        <w:ind w:firstLine="360" w:firstLineChars="150"/>
        <w:jc w:val="left"/>
        <w:rPr>
          <w:rFonts w:ascii="宋体" w:hAnsi="宋体" w:cs="宋体"/>
          <w:color w:val="auto"/>
          <w:kern w:val="0"/>
          <w:sz w:val="24"/>
          <w:u w:val="single"/>
        </w:rPr>
      </w:pPr>
      <w:r>
        <w:rPr>
          <w:rFonts w:hint="eastAsia" w:ascii="宋体" w:hAnsi="宋体" w:cs="宋体"/>
          <w:color w:val="auto"/>
          <w:kern w:val="0"/>
          <w:sz w:val="24"/>
          <w:u w:val="single"/>
        </w:rPr>
        <w:t>G107作为我国南北线交通干线，建成历史悠久，为区域社会经济发展做出了巨大贡献，与沿线城镇发展关系密切，众多路段已成为城市道路的一部分，街道化严重，形成交通瓶颈。G107纵贯长沙市区，城区路段已改造为远大路、韶山路、中意路等道路。为解决G107的穿城问题，长沙市启动了G107东移改线工程。G107东移改线后，将经过果园镇、黄花镇等乡镇。</w:t>
      </w:r>
    </w:p>
    <w:p>
      <w:pPr>
        <w:widowControl/>
        <w:spacing w:line="360" w:lineRule="auto"/>
        <w:ind w:firstLine="360" w:firstLineChars="150"/>
        <w:jc w:val="left"/>
        <w:rPr>
          <w:rFonts w:ascii="宋体" w:hAnsi="宋体" w:cs="宋体"/>
          <w:color w:val="auto"/>
          <w:kern w:val="0"/>
          <w:sz w:val="24"/>
          <w:u w:val="single"/>
        </w:rPr>
      </w:pPr>
      <w:r>
        <w:rPr>
          <w:rFonts w:hint="eastAsia" w:ascii="宋体" w:hAnsi="宋体" w:cs="宋体"/>
          <w:color w:val="auto"/>
          <w:kern w:val="0"/>
          <w:sz w:val="24"/>
          <w:u w:val="single"/>
        </w:rPr>
        <w:t>经过两市协商，长沙县G107调规公路工程起点确定为</w:t>
      </w:r>
      <w:r>
        <w:rPr>
          <w:rFonts w:hint="eastAsia" w:cs="宋体"/>
          <w:color w:val="auto"/>
          <w:kern w:val="0"/>
          <w:sz w:val="24"/>
          <w:u w:val="single"/>
        </w:rPr>
        <w:t>汨罗市弼时镇大里塘水库东南角胡家垄（汨罗市与长沙县交界处），已偏离G107现有老路。因此，本项目建设是对接长沙县G107调规公路工程，保证国道连续性的需要。</w:t>
      </w:r>
    </w:p>
    <w:bookmarkEnd w:id="6"/>
    <w:bookmarkEnd w:id="7"/>
    <w:bookmarkEnd w:id="8"/>
    <w:bookmarkEnd w:id="9"/>
    <w:bookmarkEnd w:id="10"/>
    <w:p>
      <w:pPr>
        <w:widowControl/>
        <w:spacing w:line="360" w:lineRule="auto"/>
        <w:ind w:firstLine="31680" w:firstLineChars="200"/>
        <w:rPr>
          <w:rFonts w:hint="eastAsia" w:ascii="宋体" w:hAnsi="宋体" w:cs="宋体"/>
          <w:kern w:val="0"/>
          <w:sz w:val="24"/>
          <w:u w:val="single"/>
        </w:rPr>
      </w:pPr>
      <w:bookmarkStart w:id="11" w:name="_Toc439671795"/>
      <w:r>
        <w:rPr>
          <w:rFonts w:hint="eastAsia" w:ascii="宋体" w:hAnsi="宋体" w:cs="宋体"/>
          <w:kern w:val="0"/>
          <w:sz w:val="24"/>
          <w:u w:val="single"/>
        </w:rPr>
        <w:t>交通是国民经济的基础性、服务性产业，是合理配置资源、提高经济运行质量和效率的重要基础，是经济腾飞和社会发展的先行官，是经济发展的有力支撑。目前，整个弼时镇仅有</w:t>
      </w:r>
      <w:r>
        <w:rPr>
          <w:rFonts w:ascii="宋体" w:hAnsi="宋体" w:cs="宋体"/>
          <w:kern w:val="0"/>
          <w:sz w:val="24"/>
          <w:u w:val="single"/>
        </w:rPr>
        <w:t>G107</w:t>
      </w:r>
      <w:r>
        <w:rPr>
          <w:rFonts w:hint="eastAsia" w:ascii="宋体" w:hAnsi="宋体" w:cs="宋体"/>
          <w:kern w:val="0"/>
          <w:sz w:val="24"/>
          <w:u w:val="single"/>
        </w:rPr>
        <w:t>由北至南穿镇而过，</w:t>
      </w:r>
      <w:r>
        <w:rPr>
          <w:rFonts w:ascii="宋体" w:hAnsi="宋体" w:cs="宋体"/>
          <w:kern w:val="0"/>
          <w:sz w:val="24"/>
          <w:u w:val="single"/>
        </w:rPr>
        <w:t>2013</w:t>
      </w:r>
      <w:r>
        <w:rPr>
          <w:rFonts w:hint="eastAsia" w:ascii="宋体" w:hAnsi="宋体" w:cs="宋体"/>
          <w:kern w:val="0"/>
          <w:sz w:val="24"/>
          <w:u w:val="single"/>
        </w:rPr>
        <w:t>年建成的</w:t>
      </w:r>
      <w:r>
        <w:rPr>
          <w:rFonts w:ascii="宋体" w:hAnsi="宋体" w:cs="宋体"/>
          <w:kern w:val="0"/>
          <w:sz w:val="24"/>
          <w:u w:val="single"/>
        </w:rPr>
        <w:t>G107</w:t>
      </w:r>
      <w:r>
        <w:rPr>
          <w:rFonts w:hint="eastAsia" w:ascii="宋体" w:hAnsi="宋体" w:cs="宋体"/>
          <w:kern w:val="0"/>
          <w:sz w:val="24"/>
          <w:u w:val="single"/>
        </w:rPr>
        <w:t>国道弼时镇镇区段改线工程，大大缓解了中心镇区交通拥挤的现状，但对于远期规划有</w:t>
      </w:r>
      <w:r>
        <w:rPr>
          <w:rFonts w:ascii="宋体" w:hAnsi="宋体" w:cs="宋体"/>
          <w:kern w:val="0"/>
          <w:sz w:val="24"/>
          <w:u w:val="single"/>
        </w:rPr>
        <w:t>17</w:t>
      </w:r>
      <w:r>
        <w:rPr>
          <w:rFonts w:hint="eastAsia" w:ascii="宋体" w:hAnsi="宋体" w:cs="宋体"/>
          <w:kern w:val="0"/>
          <w:sz w:val="24"/>
          <w:u w:val="single"/>
        </w:rPr>
        <w:t>平方公里的长沙经开区汨罗（弼时）产业园来说，这样的路网密度与结构远远不能满足园区建设的要求。因此，汨罗市委市政府率先启动了弼时镇铜盆至青山铺公路工程的建设。</w:t>
      </w:r>
    </w:p>
    <w:p>
      <w:pPr>
        <w:widowControl/>
        <w:spacing w:line="360" w:lineRule="auto"/>
        <w:ind w:firstLine="31680" w:firstLineChars="200"/>
        <w:rPr>
          <w:sz w:val="24"/>
        </w:rPr>
      </w:pPr>
      <w:r>
        <w:rPr>
          <w:rFonts w:hint="eastAsia" w:ascii="宋体" w:hAnsi="宋体" w:cs="宋体"/>
          <w:kern w:val="0"/>
          <w:sz w:val="24"/>
        </w:rPr>
        <w:t>根据《中华人民共和国环境影响评价法》和《建</w:t>
      </w:r>
      <w:r>
        <w:rPr>
          <w:rFonts w:hint="eastAsia"/>
          <w:sz w:val="24"/>
        </w:rPr>
        <w:t>设项目环境保护管理条例》等有关规定，</w:t>
      </w:r>
      <w:r>
        <w:rPr>
          <w:rFonts w:hint="eastAsia"/>
          <w:bCs/>
          <w:sz w:val="24"/>
        </w:rPr>
        <w:t>汨罗市交通建设投资有限公司</w:t>
      </w:r>
      <w:r>
        <w:rPr>
          <w:rFonts w:hint="eastAsia"/>
          <w:sz w:val="24"/>
        </w:rPr>
        <w:t>于</w:t>
      </w:r>
      <w:r>
        <w:rPr>
          <w:sz w:val="24"/>
        </w:rPr>
        <w:t>2016</w:t>
      </w:r>
      <w:r>
        <w:rPr>
          <w:rFonts w:hint="eastAsia"/>
          <w:sz w:val="24"/>
        </w:rPr>
        <w:t>年</w:t>
      </w:r>
      <w:r>
        <w:rPr>
          <w:sz w:val="24"/>
        </w:rPr>
        <w:t>11</w:t>
      </w:r>
      <w:r>
        <w:rPr>
          <w:rFonts w:hint="eastAsia"/>
          <w:sz w:val="24"/>
        </w:rPr>
        <w:t>月</w:t>
      </w:r>
      <w:r>
        <w:rPr>
          <w:sz w:val="24"/>
        </w:rPr>
        <w:t>7</w:t>
      </w:r>
      <w:r>
        <w:rPr>
          <w:rFonts w:hint="eastAsia"/>
          <w:sz w:val="24"/>
        </w:rPr>
        <w:t>日委托中国航空规划设计研究总院有限公司（简称“我司”）承担该项目的环境影响评价工作。接受委托后，我司随即成立了由生态、地表水、大气、噪声、社会及环境经济评价等人员组成的该项目环境影响评价组。在建设单位的大力协助下，项目环评组进行了实地踏勘和调查，广泛收集资料，依据相关导则及法律法规，编制完成了本环评报告书（送审稿）。</w:t>
      </w:r>
    </w:p>
    <w:p>
      <w:pPr>
        <w:pStyle w:val="4"/>
        <w:ind w:left="576"/>
      </w:pPr>
      <w:bookmarkStart w:id="12" w:name="_Toc27027"/>
      <w:r>
        <w:rPr>
          <w:rFonts w:hint="eastAsia"/>
        </w:rPr>
        <w:t>本项目主要特点</w:t>
      </w:r>
      <w:bookmarkEnd w:id="11"/>
      <w:bookmarkEnd w:id="12"/>
    </w:p>
    <w:p>
      <w:pPr>
        <w:pStyle w:val="3"/>
        <w:ind w:firstLine="31680"/>
      </w:pPr>
      <w:r>
        <w:t>a</w:t>
      </w:r>
      <w:r>
        <w:rPr>
          <w:rFonts w:hint="eastAsia"/>
        </w:rPr>
        <w:t>）本项目为新建项目，本次环境影响评价的重点包括施工期环境影响及减缓措施、营运期交通噪声影响评价，交通运输风险评价；施工期和营运期间对沿线生态环境的影响；施工期、营运期污染防治措施分析论证；</w:t>
      </w:r>
    </w:p>
    <w:p>
      <w:pPr>
        <w:pStyle w:val="3"/>
        <w:ind w:firstLine="31680"/>
      </w:pPr>
      <w:r>
        <w:t>b</w:t>
      </w:r>
      <w:r>
        <w:rPr>
          <w:rFonts w:hint="eastAsia"/>
        </w:rPr>
        <w:t>）本项目全线均在汨罗市境内，占地类型主要为林地和耕地；</w:t>
      </w:r>
    </w:p>
    <w:p>
      <w:pPr>
        <w:pStyle w:val="3"/>
        <w:ind w:firstLine="31680"/>
      </w:pPr>
      <w:r>
        <w:t>c</w:t>
      </w:r>
      <w:r>
        <w:rPr>
          <w:rFonts w:hint="eastAsia"/>
        </w:rPr>
        <w:t>）本项目线路全长</w:t>
      </w:r>
      <w:r>
        <w:t>8.369km</w:t>
      </w:r>
      <w:r>
        <w:rPr>
          <w:rFonts w:hint="eastAsia"/>
        </w:rPr>
        <w:t>，详见附图</w:t>
      </w:r>
      <w:r>
        <w:t>2</w:t>
      </w:r>
      <w:r>
        <w:rPr>
          <w:rFonts w:hint="eastAsia"/>
        </w:rPr>
        <w:t>。</w:t>
      </w:r>
    </w:p>
    <w:p>
      <w:pPr>
        <w:spacing w:line="360" w:lineRule="auto"/>
        <w:ind w:firstLine="31680" w:firstLineChars="200"/>
        <w:jc w:val="left"/>
        <w:rPr>
          <w:color w:val="auto"/>
          <w:sz w:val="24"/>
        </w:rPr>
      </w:pPr>
      <w:r>
        <w:rPr>
          <w:sz w:val="24"/>
        </w:rPr>
        <w:t>d</w:t>
      </w:r>
      <w:r>
        <w:rPr>
          <w:rFonts w:hint="eastAsia"/>
          <w:sz w:val="24"/>
        </w:rPr>
        <w:t>）</w:t>
      </w:r>
      <w:r>
        <w:rPr>
          <w:rFonts w:hint="eastAsia"/>
          <w:color w:val="auto"/>
          <w:sz w:val="24"/>
        </w:rPr>
        <w:t>本项目计划于</w:t>
      </w:r>
      <w:r>
        <w:rPr>
          <w:color w:val="auto"/>
          <w:sz w:val="24"/>
        </w:rPr>
        <w:t>2017</w:t>
      </w:r>
      <w:r>
        <w:rPr>
          <w:rFonts w:hint="eastAsia"/>
          <w:color w:val="auto"/>
          <w:sz w:val="24"/>
        </w:rPr>
        <w:t>年</w:t>
      </w:r>
      <w:r>
        <w:rPr>
          <w:rFonts w:hint="eastAsia"/>
          <w:color w:val="auto"/>
          <w:sz w:val="24"/>
          <w:lang w:val="en-US" w:eastAsia="zh-CN"/>
        </w:rPr>
        <w:t>5</w:t>
      </w:r>
      <w:r>
        <w:rPr>
          <w:rFonts w:hint="eastAsia"/>
          <w:color w:val="auto"/>
          <w:sz w:val="24"/>
        </w:rPr>
        <w:t>月</w:t>
      </w:r>
      <w:r>
        <w:rPr>
          <w:rFonts w:hint="eastAsia" w:ascii="宋体" w:hAnsi="宋体" w:cs="Arial"/>
          <w:color w:val="auto"/>
          <w:sz w:val="24"/>
          <w:lang w:val="sq-AL"/>
        </w:rPr>
        <w:t>开工，</w:t>
      </w:r>
      <w:r>
        <w:rPr>
          <w:rFonts w:ascii="宋体" w:hAnsi="宋体" w:cs="Arial"/>
          <w:color w:val="auto"/>
          <w:sz w:val="24"/>
          <w:lang w:val="sq-AL"/>
        </w:rPr>
        <w:t>20</w:t>
      </w:r>
      <w:r>
        <w:rPr>
          <w:rFonts w:ascii="宋体" w:hAnsi="宋体" w:cs="Arial"/>
          <w:color w:val="auto"/>
          <w:sz w:val="24"/>
        </w:rPr>
        <w:t>18</w:t>
      </w:r>
      <w:r>
        <w:rPr>
          <w:rFonts w:hint="eastAsia" w:ascii="宋体" w:hAnsi="宋体" w:cs="Arial"/>
          <w:color w:val="auto"/>
          <w:sz w:val="24"/>
          <w:lang w:val="sq-AL"/>
        </w:rPr>
        <w:t>年</w:t>
      </w:r>
      <w:r>
        <w:rPr>
          <w:rFonts w:hint="eastAsia" w:ascii="宋体" w:hAnsi="宋体" w:cs="Arial"/>
          <w:color w:val="auto"/>
          <w:sz w:val="24"/>
          <w:lang w:val="en-US" w:eastAsia="zh-CN"/>
        </w:rPr>
        <w:t>10</w:t>
      </w:r>
      <w:r>
        <w:rPr>
          <w:rFonts w:hint="eastAsia" w:ascii="宋体" w:hAnsi="宋体" w:cs="Arial"/>
          <w:color w:val="auto"/>
          <w:sz w:val="24"/>
          <w:lang w:val="sq-AL"/>
        </w:rPr>
        <w:t>月竣工通车，建设工期</w:t>
      </w:r>
      <w:r>
        <w:rPr>
          <w:rFonts w:ascii="宋体" w:hAnsi="宋体" w:cs="Arial"/>
          <w:color w:val="auto"/>
          <w:sz w:val="24"/>
        </w:rPr>
        <w:t>18</w:t>
      </w:r>
      <w:r>
        <w:rPr>
          <w:rFonts w:hint="eastAsia" w:ascii="宋体" w:hAnsi="宋体" w:cs="Arial"/>
          <w:color w:val="auto"/>
          <w:sz w:val="24"/>
          <w:lang w:val="sq-AL"/>
        </w:rPr>
        <w:t>个月</w:t>
      </w:r>
      <w:r>
        <w:rPr>
          <w:rFonts w:hint="eastAsia"/>
          <w:color w:val="auto"/>
          <w:sz w:val="24"/>
        </w:rPr>
        <w:t>。</w:t>
      </w:r>
    </w:p>
    <w:p>
      <w:pPr>
        <w:pStyle w:val="4"/>
        <w:ind w:left="576"/>
      </w:pPr>
      <w:bookmarkStart w:id="13" w:name="_Toc4819"/>
      <w:bookmarkStart w:id="14" w:name="_Toc4364"/>
      <w:bookmarkStart w:id="15" w:name="_Toc437950249"/>
      <w:bookmarkStart w:id="16" w:name="_Toc439671796"/>
      <w:r>
        <w:rPr>
          <w:rFonts w:hint="eastAsia"/>
        </w:rPr>
        <w:t>环境影响评价的工作过程</w:t>
      </w:r>
      <w:bookmarkEnd w:id="13"/>
      <w:bookmarkEnd w:id="14"/>
      <w:bookmarkEnd w:id="15"/>
      <w:bookmarkEnd w:id="16"/>
    </w:p>
    <w:p>
      <w:pPr>
        <w:pStyle w:val="3"/>
        <w:ind w:firstLine="31680"/>
      </w:pPr>
      <w:r>
        <w:rPr>
          <w:rFonts w:hint="eastAsia"/>
        </w:rPr>
        <w:t>评价单位接受委托后通过对该项目周边环境状况进行实地踏勘；收集了当地环境现状背景与工程等相关资料。在上述大量工作的基础上，编制完成该项目的环境影响报告书。环境影响评价工作程序见图</w:t>
      </w:r>
      <w:r>
        <w:t>1.3-1</w:t>
      </w:r>
      <w:r>
        <w:rPr>
          <w:rFonts w:hint="eastAsia"/>
        </w:rPr>
        <w:t>。</w:t>
      </w:r>
    </w:p>
    <w:p>
      <w:pPr>
        <w:widowControl/>
        <w:jc w:val="left"/>
        <w:rPr>
          <w:kern w:val="0"/>
          <w:sz w:val="24"/>
        </w:rPr>
      </w:pPr>
      <w:r>
        <w:br w:type="page"/>
      </w:r>
    </w:p>
    <w:p>
      <w:pPr>
        <w:widowControl/>
      </w:pPr>
      <w:r>
        <w:pict>
          <v:shape id="_x0000_i1025" o:spt="75" alt="wpsDE50" type="#_x0000_t75" style="height:606.75pt;width:432.75pt;" filled="f" o:preferrelative="t" stroked="f" coordsize="21600,21600">
            <v:path/>
            <v:fill on="f" focussize="0,0"/>
            <v:stroke on="f" joinstyle="miter"/>
            <v:imagedata r:id="rId15" o:title=""/>
            <o:lock v:ext="edit" aspectratio="t"/>
            <w10:wrap type="none"/>
            <w10:anchorlock/>
          </v:shape>
        </w:pict>
      </w:r>
    </w:p>
    <w:p>
      <w:pPr>
        <w:pStyle w:val="114"/>
      </w:pPr>
      <w:r>
        <w:rPr>
          <w:rFonts w:hint="eastAsia"/>
        </w:rPr>
        <w:t>图</w:t>
      </w:r>
      <w:r>
        <w:t xml:space="preserve">1.3-1   </w:t>
      </w:r>
      <w:r>
        <w:rPr>
          <w:rFonts w:hint="eastAsia"/>
        </w:rPr>
        <w:t>环境影响评价工作程序</w:t>
      </w:r>
    </w:p>
    <w:p>
      <w:pPr>
        <w:pStyle w:val="4"/>
        <w:ind w:left="576"/>
      </w:pPr>
      <w:bookmarkStart w:id="17" w:name="_Toc437950250"/>
      <w:bookmarkStart w:id="18" w:name="_Toc20811"/>
      <w:bookmarkStart w:id="19" w:name="_Toc481"/>
      <w:bookmarkStart w:id="20" w:name="_Toc439671797"/>
      <w:r>
        <w:rPr>
          <w:rFonts w:hint="eastAsia"/>
        </w:rPr>
        <w:t>关注的主要环境问题</w:t>
      </w:r>
      <w:bookmarkEnd w:id="17"/>
      <w:bookmarkEnd w:id="18"/>
      <w:bookmarkEnd w:id="19"/>
      <w:bookmarkEnd w:id="20"/>
    </w:p>
    <w:p>
      <w:pPr>
        <w:pStyle w:val="3"/>
        <w:ind w:firstLine="31680"/>
      </w:pPr>
      <w:r>
        <w:rPr>
          <w:rFonts w:hint="eastAsia"/>
        </w:rPr>
        <w:t>根据本项目及周边环境特点，本次评价重点关注以下环境问题：</w:t>
      </w:r>
    </w:p>
    <w:p>
      <w:pPr>
        <w:pStyle w:val="3"/>
        <w:ind w:firstLine="31680"/>
      </w:pPr>
      <w:r>
        <w:t>a</w:t>
      </w:r>
      <w:r>
        <w:rPr>
          <w:rFonts w:hint="eastAsia"/>
        </w:rPr>
        <w:t>）本项目施工期对沿线环境（环境空气、地表水、声环境、生态环境等）的影响；</w:t>
      </w:r>
    </w:p>
    <w:p>
      <w:pPr>
        <w:pStyle w:val="3"/>
        <w:ind w:firstLine="31680"/>
      </w:pPr>
      <w:r>
        <w:t>b</w:t>
      </w:r>
      <w:r>
        <w:rPr>
          <w:rFonts w:hint="eastAsia"/>
        </w:rPr>
        <w:t>）本项目建成后对沿线环境（特别是环境空气、声环境、生态环境）的影响；</w:t>
      </w:r>
    </w:p>
    <w:p>
      <w:pPr>
        <w:pStyle w:val="3"/>
        <w:ind w:firstLine="31680"/>
      </w:pPr>
      <w:r>
        <w:t>c</w:t>
      </w:r>
      <w:r>
        <w:rPr>
          <w:rFonts w:hint="eastAsia"/>
        </w:rPr>
        <w:t>）提出切实可行的污染防治和缓解对策措施。以使项目建成后，在环境保护和环境管理上与功能相对应。</w:t>
      </w:r>
    </w:p>
    <w:p>
      <w:pPr>
        <w:pStyle w:val="4"/>
        <w:ind w:left="576"/>
      </w:pPr>
      <w:bookmarkStart w:id="21" w:name="_Toc437950251"/>
      <w:bookmarkStart w:id="22" w:name="_Toc439671798"/>
      <w:bookmarkStart w:id="23" w:name="_Toc23972"/>
      <w:bookmarkStart w:id="24" w:name="_Toc27623"/>
      <w:r>
        <w:rPr>
          <w:rFonts w:hint="eastAsia"/>
        </w:rPr>
        <w:t>主要结论</w:t>
      </w:r>
      <w:bookmarkEnd w:id="21"/>
      <w:bookmarkEnd w:id="22"/>
      <w:bookmarkEnd w:id="23"/>
      <w:bookmarkEnd w:id="24"/>
    </w:p>
    <w:p>
      <w:pPr>
        <w:pStyle w:val="3"/>
        <w:ind w:firstLine="31680"/>
        <w:rPr>
          <w:szCs w:val="24"/>
        </w:rPr>
      </w:pPr>
      <w:r>
        <w:rPr>
          <w:rFonts w:hint="eastAsia"/>
        </w:rPr>
        <w:t>拟建工程建成后，能完善区域路网结构，提升道路通行能力，满足不断增长的公路交通需求，缓减城市交通量压力，改善沿线的交通条件，推动区域经济发展和农产品资源开发，改善对外交通运输条件，从而促进人民生活水平的提高。</w:t>
      </w:r>
    </w:p>
    <w:p>
      <w:pPr>
        <w:pStyle w:val="3"/>
        <w:ind w:firstLine="31680"/>
        <w:rPr>
          <w:rFonts w:ascii="宋体"/>
          <w:snapToGrid w:val="0"/>
        </w:rPr>
      </w:pPr>
      <w:r>
        <w:rPr>
          <w:rFonts w:hint="eastAsia"/>
        </w:rPr>
        <w:t>本工程在施工期和营运期对沿线生态环境、景观环境、大气环境和居民生产生活带来一定的不利影响，但只要认真落实本环评报告提出的环境保护减缓措施及建设方案优化建议，所产生的不利影响可以得到有效控制。</w:t>
      </w:r>
      <w:r>
        <w:rPr>
          <w:rFonts w:hint="eastAsia" w:ascii="宋体" w:hAnsi="宋体"/>
          <w:snapToGrid w:val="0"/>
        </w:rPr>
        <w:t>从环境角度评价，本工程建设可行。</w:t>
      </w:r>
    </w:p>
    <w:p>
      <w:pPr>
        <w:widowControl/>
        <w:jc w:val="left"/>
        <w:rPr>
          <w:kern w:val="0"/>
          <w:sz w:val="24"/>
        </w:rPr>
      </w:pPr>
      <w:r>
        <w:br w:type="page"/>
      </w:r>
    </w:p>
    <w:p>
      <w:pPr>
        <w:pStyle w:val="2"/>
      </w:pPr>
      <w:bookmarkStart w:id="25" w:name="_Toc19447"/>
      <w:r>
        <w:rPr>
          <w:rFonts w:hint="eastAsia"/>
        </w:rPr>
        <w:t>总论</w:t>
      </w:r>
      <w:bookmarkEnd w:id="0"/>
      <w:bookmarkEnd w:id="25"/>
    </w:p>
    <w:p>
      <w:pPr>
        <w:pStyle w:val="4"/>
        <w:ind w:left="0" w:firstLine="0"/>
      </w:pPr>
      <w:bookmarkStart w:id="26" w:name="_Toc17993"/>
      <w:r>
        <w:rPr>
          <w:rFonts w:hint="eastAsia"/>
        </w:rPr>
        <w:t>评价目的</w:t>
      </w:r>
      <w:bookmarkEnd w:id="26"/>
    </w:p>
    <w:p>
      <w:pPr>
        <w:snapToGrid w:val="0"/>
        <w:spacing w:line="360" w:lineRule="auto"/>
        <w:ind w:firstLine="31680" w:firstLineChars="200"/>
        <w:rPr>
          <w:sz w:val="24"/>
        </w:rPr>
      </w:pPr>
      <w:bookmarkStart w:id="27" w:name="_Toc317762443"/>
      <w:bookmarkStart w:id="28" w:name="_Toc383248400"/>
      <w:r>
        <w:rPr>
          <w:rFonts w:hint="eastAsia"/>
          <w:sz w:val="24"/>
        </w:rPr>
        <w:t>拟建项目建设和运营在带来巨大经济和社会效益的同时，也将会对沿线区域的社会环境、声环境、大气环境、水环境以及生态环境等产生一定程度的负面影响，并将增加新的污染源。</w:t>
      </w:r>
    </w:p>
    <w:p>
      <w:pPr>
        <w:snapToGrid w:val="0"/>
        <w:spacing w:line="360" w:lineRule="auto"/>
        <w:ind w:firstLine="31680" w:firstLineChars="200"/>
        <w:rPr>
          <w:sz w:val="24"/>
        </w:rPr>
      </w:pPr>
      <w:r>
        <w:rPr>
          <w:rFonts w:hint="eastAsia"/>
          <w:sz w:val="24"/>
        </w:rPr>
        <w:t>按照国家对建设项目环境影响评价类别的划分原则，并考虑本工程规模、施工时间，占用土地等工程和环境特征，本项目属《建设项目环境影响评价分类管理名录》（</w:t>
      </w:r>
      <w:r>
        <w:rPr>
          <w:sz w:val="24"/>
        </w:rPr>
        <w:t>2015</w:t>
      </w:r>
      <w:r>
        <w:rPr>
          <w:rFonts w:hint="eastAsia"/>
          <w:sz w:val="24"/>
        </w:rPr>
        <w:t>年</w:t>
      </w:r>
      <w:r>
        <w:rPr>
          <w:sz w:val="24"/>
        </w:rPr>
        <w:t>6</w:t>
      </w:r>
      <w:r>
        <w:rPr>
          <w:rFonts w:hint="eastAsia"/>
          <w:sz w:val="24"/>
        </w:rPr>
        <w:t>月</w:t>
      </w:r>
      <w:r>
        <w:rPr>
          <w:sz w:val="24"/>
        </w:rPr>
        <w:t>1</w:t>
      </w:r>
      <w:r>
        <w:rPr>
          <w:rFonts w:hint="eastAsia"/>
          <w:sz w:val="24"/>
        </w:rPr>
        <w:t>日实施）规定的需进行全面环境影响评价的拟建公路建设项目。</w:t>
      </w:r>
    </w:p>
    <w:p>
      <w:pPr>
        <w:snapToGrid w:val="0"/>
        <w:spacing w:line="360" w:lineRule="auto"/>
        <w:ind w:firstLine="31680" w:firstLineChars="200"/>
        <w:rPr>
          <w:sz w:val="24"/>
        </w:rPr>
      </w:pPr>
      <w:r>
        <w:rPr>
          <w:rFonts w:hint="eastAsia"/>
          <w:sz w:val="24"/>
        </w:rPr>
        <w:t>通过对该工程环境影响评价拟达到如下目的：</w:t>
      </w:r>
    </w:p>
    <w:p>
      <w:pPr>
        <w:snapToGrid w:val="0"/>
        <w:spacing w:line="360" w:lineRule="auto"/>
        <w:ind w:firstLine="31680" w:firstLineChars="200"/>
        <w:rPr>
          <w:sz w:val="24"/>
        </w:rPr>
      </w:pPr>
      <w:r>
        <w:rPr>
          <w:rFonts w:hint="eastAsia"/>
          <w:sz w:val="24"/>
        </w:rPr>
        <w:t>⑴</w:t>
      </w:r>
      <w:r>
        <w:rPr>
          <w:sz w:val="24"/>
        </w:rPr>
        <w:t xml:space="preserve"> </w:t>
      </w:r>
      <w:r>
        <w:rPr>
          <w:rFonts w:hint="eastAsia"/>
          <w:sz w:val="24"/>
        </w:rPr>
        <w:t>通过对该项目沿线的环境影响评价，从环境保护角度论证本工程建设选线的合理性，为工程方案的选择提供必要的科学依据。</w:t>
      </w:r>
    </w:p>
    <w:p>
      <w:pPr>
        <w:snapToGrid w:val="0"/>
        <w:spacing w:line="360" w:lineRule="auto"/>
        <w:ind w:firstLine="31680" w:firstLineChars="200"/>
        <w:rPr>
          <w:sz w:val="24"/>
        </w:rPr>
      </w:pPr>
      <w:r>
        <w:rPr>
          <w:rFonts w:hint="eastAsia"/>
          <w:sz w:val="24"/>
        </w:rPr>
        <w:t>⑵</w:t>
      </w:r>
      <w:r>
        <w:rPr>
          <w:sz w:val="24"/>
        </w:rPr>
        <w:t xml:space="preserve"> </w:t>
      </w:r>
      <w:r>
        <w:rPr>
          <w:rFonts w:hint="eastAsia"/>
          <w:sz w:val="24"/>
        </w:rPr>
        <w:t>通过公路沿线评价范围内的社会环境和自然环境的调查研究，针对本工程项目的设计、施工和营运各阶段，预测对环境的影响，提出相应的优化环境和切实可行的环境保护措施及对策。</w:t>
      </w:r>
    </w:p>
    <w:p>
      <w:pPr>
        <w:snapToGrid w:val="0"/>
        <w:spacing w:line="360" w:lineRule="auto"/>
        <w:ind w:firstLine="31680" w:firstLineChars="200"/>
        <w:rPr>
          <w:sz w:val="24"/>
        </w:rPr>
      </w:pPr>
      <w:r>
        <w:rPr>
          <w:rFonts w:hint="eastAsia"/>
          <w:sz w:val="24"/>
        </w:rPr>
        <w:t>⑶</w:t>
      </w:r>
      <w:r>
        <w:rPr>
          <w:sz w:val="24"/>
        </w:rPr>
        <w:t xml:space="preserve"> </w:t>
      </w:r>
      <w:r>
        <w:rPr>
          <w:rFonts w:hint="eastAsia"/>
          <w:sz w:val="24"/>
        </w:rPr>
        <w:t>将环境保护措施、建议和评价结论反馈于工程设计与施工，为优化工程设计提供科学依据，以减少或减缓由于工程建设而导致的对周围环境的负面影响。</w:t>
      </w:r>
    </w:p>
    <w:p>
      <w:pPr>
        <w:snapToGrid w:val="0"/>
        <w:spacing w:line="360" w:lineRule="auto"/>
        <w:ind w:firstLine="31680" w:firstLineChars="200"/>
        <w:rPr>
          <w:sz w:val="24"/>
        </w:rPr>
      </w:pPr>
      <w:r>
        <w:rPr>
          <w:rFonts w:hint="eastAsia"/>
          <w:sz w:val="24"/>
        </w:rPr>
        <w:t>⑷</w:t>
      </w:r>
      <w:r>
        <w:rPr>
          <w:sz w:val="24"/>
        </w:rPr>
        <w:t xml:space="preserve"> </w:t>
      </w:r>
      <w:r>
        <w:rPr>
          <w:rFonts w:hint="eastAsia"/>
          <w:sz w:val="24"/>
        </w:rPr>
        <w:t>为该项目的施工期、营运期的环境管理，以及沿线的经济发展、城市建设及环境规划提供科学依据。</w:t>
      </w:r>
    </w:p>
    <w:p>
      <w:pPr>
        <w:pStyle w:val="4"/>
        <w:ind w:left="426" w:hanging="426"/>
        <w:rPr>
          <w:u w:val="single"/>
        </w:rPr>
      </w:pPr>
      <w:bookmarkStart w:id="29" w:name="_Toc18752"/>
      <w:r>
        <w:rPr>
          <w:rFonts w:hint="eastAsia"/>
          <w:u w:val="single"/>
        </w:rPr>
        <w:t>编制依据</w:t>
      </w:r>
      <w:bookmarkEnd w:id="27"/>
      <w:bookmarkEnd w:id="28"/>
      <w:bookmarkEnd w:id="29"/>
    </w:p>
    <w:p>
      <w:pPr>
        <w:pStyle w:val="5"/>
        <w:ind w:left="567" w:hanging="567"/>
        <w:rPr>
          <w:u w:val="single"/>
        </w:rPr>
      </w:pPr>
      <w:bookmarkStart w:id="30" w:name="_Toc84146332"/>
      <w:bookmarkStart w:id="31" w:name="_Toc72202412"/>
      <w:r>
        <w:rPr>
          <w:rFonts w:hint="eastAsia"/>
          <w:u w:val="single"/>
        </w:rPr>
        <w:t>相关法律</w:t>
      </w:r>
    </w:p>
    <w:p>
      <w:pPr>
        <w:pStyle w:val="3"/>
        <w:ind w:firstLine="31680"/>
        <w:rPr>
          <w:u w:val="single"/>
        </w:rPr>
      </w:pPr>
      <w:r>
        <w:rPr>
          <w:rFonts w:hint="eastAsia"/>
          <w:u w:val="single"/>
        </w:rPr>
        <w:t>《中华人民共和国环境保护法》（</w:t>
      </w:r>
      <w:r>
        <w:rPr>
          <w:u w:val="single"/>
        </w:rPr>
        <w:t>2014</w:t>
      </w:r>
      <w:r>
        <w:rPr>
          <w:rFonts w:hint="eastAsia"/>
          <w:u w:val="single"/>
        </w:rPr>
        <w:t>年修订），</w:t>
      </w:r>
      <w:r>
        <w:rPr>
          <w:u w:val="single"/>
        </w:rPr>
        <w:t>2015.1.1</w:t>
      </w:r>
      <w:r>
        <w:rPr>
          <w:rFonts w:hint="eastAsia"/>
          <w:u w:val="single"/>
        </w:rPr>
        <w:t>；</w:t>
      </w:r>
    </w:p>
    <w:p>
      <w:pPr>
        <w:pStyle w:val="3"/>
        <w:ind w:firstLine="31680"/>
        <w:rPr>
          <w:u w:val="single"/>
        </w:rPr>
      </w:pPr>
      <w:r>
        <w:rPr>
          <w:rFonts w:hint="eastAsia"/>
          <w:u w:val="single"/>
        </w:rPr>
        <w:t>《中华人民共和国环境影响评价法》（</w:t>
      </w:r>
      <w:r>
        <w:rPr>
          <w:u w:val="single"/>
        </w:rPr>
        <w:t>2016</w:t>
      </w:r>
      <w:r>
        <w:rPr>
          <w:rFonts w:hint="eastAsia"/>
          <w:u w:val="single"/>
        </w:rPr>
        <w:t>年修订），</w:t>
      </w:r>
      <w:r>
        <w:rPr>
          <w:u w:val="single"/>
        </w:rPr>
        <w:t>2016.9.1</w:t>
      </w:r>
      <w:r>
        <w:rPr>
          <w:rFonts w:hint="eastAsia"/>
          <w:u w:val="single"/>
        </w:rPr>
        <w:t>；</w:t>
      </w:r>
    </w:p>
    <w:p>
      <w:pPr>
        <w:pStyle w:val="3"/>
        <w:ind w:firstLine="31680"/>
        <w:rPr>
          <w:u w:val="single"/>
        </w:rPr>
      </w:pPr>
      <w:r>
        <w:rPr>
          <w:rFonts w:hint="eastAsia"/>
          <w:u w:val="single"/>
        </w:rPr>
        <w:t>《中华人民共和国清洁生产促进法》（</w:t>
      </w:r>
      <w:r>
        <w:rPr>
          <w:u w:val="single"/>
        </w:rPr>
        <w:t>2012</w:t>
      </w:r>
      <w:r>
        <w:rPr>
          <w:rFonts w:hint="eastAsia"/>
          <w:u w:val="single"/>
        </w:rPr>
        <w:t>年修订），</w:t>
      </w:r>
      <w:r>
        <w:rPr>
          <w:u w:val="single"/>
        </w:rPr>
        <w:t>2012.7.1</w:t>
      </w:r>
      <w:r>
        <w:rPr>
          <w:rFonts w:hint="eastAsia"/>
          <w:u w:val="single"/>
        </w:rPr>
        <w:t>；</w:t>
      </w:r>
    </w:p>
    <w:p>
      <w:pPr>
        <w:pStyle w:val="3"/>
        <w:ind w:firstLine="31680"/>
        <w:rPr>
          <w:u w:val="single"/>
        </w:rPr>
      </w:pPr>
      <w:r>
        <w:rPr>
          <w:rFonts w:hint="eastAsia"/>
          <w:u w:val="single"/>
        </w:rPr>
        <w:t>《中华人民共和国水法》（</w:t>
      </w:r>
      <w:r>
        <w:rPr>
          <w:u w:val="single"/>
        </w:rPr>
        <w:t>2002</w:t>
      </w:r>
      <w:r>
        <w:rPr>
          <w:rFonts w:hint="eastAsia"/>
          <w:u w:val="single"/>
        </w:rPr>
        <w:t>年修订），</w:t>
      </w:r>
      <w:r>
        <w:rPr>
          <w:u w:val="single"/>
        </w:rPr>
        <w:t>2002.10.1</w:t>
      </w:r>
      <w:r>
        <w:rPr>
          <w:rFonts w:hint="eastAsia"/>
          <w:u w:val="single"/>
        </w:rPr>
        <w:t>；</w:t>
      </w:r>
    </w:p>
    <w:p>
      <w:pPr>
        <w:pStyle w:val="3"/>
        <w:ind w:firstLine="31680"/>
        <w:rPr>
          <w:u w:val="single"/>
        </w:rPr>
      </w:pPr>
      <w:r>
        <w:rPr>
          <w:rFonts w:hint="eastAsia"/>
          <w:u w:val="single"/>
        </w:rPr>
        <w:t>《中华人民共和国水污染防治法》（</w:t>
      </w:r>
      <w:r>
        <w:rPr>
          <w:u w:val="single"/>
        </w:rPr>
        <w:t>2008</w:t>
      </w:r>
      <w:r>
        <w:rPr>
          <w:rFonts w:hint="eastAsia"/>
          <w:u w:val="single"/>
        </w:rPr>
        <w:t>年修订），</w:t>
      </w:r>
      <w:r>
        <w:rPr>
          <w:u w:val="single"/>
        </w:rPr>
        <w:t>2008.6.1</w:t>
      </w:r>
      <w:r>
        <w:rPr>
          <w:rFonts w:hint="eastAsia"/>
          <w:u w:val="single"/>
        </w:rPr>
        <w:t>；</w:t>
      </w:r>
    </w:p>
    <w:p>
      <w:pPr>
        <w:pStyle w:val="3"/>
        <w:ind w:firstLine="31680"/>
        <w:rPr>
          <w:u w:val="single"/>
        </w:rPr>
      </w:pPr>
      <w:r>
        <w:rPr>
          <w:rFonts w:hint="eastAsia"/>
          <w:u w:val="single"/>
        </w:rPr>
        <w:t>《中华人民共和国大气污染防治法》（</w:t>
      </w:r>
      <w:r>
        <w:rPr>
          <w:u w:val="single"/>
        </w:rPr>
        <w:t>2015</w:t>
      </w:r>
      <w:r>
        <w:rPr>
          <w:rFonts w:hint="eastAsia"/>
          <w:u w:val="single"/>
        </w:rPr>
        <w:t>年修订），</w:t>
      </w:r>
      <w:r>
        <w:rPr>
          <w:u w:val="single"/>
        </w:rPr>
        <w:t>2016.1.1</w:t>
      </w:r>
      <w:r>
        <w:rPr>
          <w:rFonts w:hint="eastAsia"/>
          <w:u w:val="single"/>
        </w:rPr>
        <w:t>；</w:t>
      </w:r>
    </w:p>
    <w:p>
      <w:pPr>
        <w:pStyle w:val="3"/>
        <w:ind w:firstLine="31680"/>
        <w:rPr>
          <w:u w:val="single"/>
        </w:rPr>
      </w:pPr>
      <w:r>
        <w:rPr>
          <w:rFonts w:hint="eastAsia"/>
          <w:u w:val="single"/>
        </w:rPr>
        <w:t>《中华人民共和国环境噪声污染防治法》</w:t>
      </w:r>
      <w:r>
        <w:rPr>
          <w:u w:val="single"/>
        </w:rPr>
        <w:t xml:space="preserve"> 1997.3.1</w:t>
      </w:r>
      <w:r>
        <w:rPr>
          <w:rFonts w:hint="eastAsia"/>
          <w:u w:val="single"/>
        </w:rPr>
        <w:t>；</w:t>
      </w:r>
    </w:p>
    <w:p>
      <w:pPr>
        <w:pStyle w:val="3"/>
        <w:ind w:firstLine="31680"/>
        <w:rPr>
          <w:u w:val="single"/>
        </w:rPr>
      </w:pPr>
      <w:r>
        <w:rPr>
          <w:rFonts w:hint="eastAsia"/>
          <w:u w:val="single"/>
        </w:rPr>
        <w:t>《中华人民共和国固体废物污染环境防治法》（</w:t>
      </w:r>
      <w:r>
        <w:rPr>
          <w:u w:val="single"/>
        </w:rPr>
        <w:t>2015</w:t>
      </w:r>
      <w:r>
        <w:rPr>
          <w:rFonts w:hint="eastAsia"/>
          <w:u w:val="single"/>
        </w:rPr>
        <w:t>年修订），</w:t>
      </w:r>
      <w:r>
        <w:rPr>
          <w:u w:val="single"/>
        </w:rPr>
        <w:t>2005.4</w:t>
      </w:r>
      <w:r>
        <w:rPr>
          <w:rFonts w:hint="eastAsia"/>
          <w:u w:val="single"/>
        </w:rPr>
        <w:t>；</w:t>
      </w:r>
    </w:p>
    <w:p>
      <w:pPr>
        <w:pStyle w:val="3"/>
        <w:ind w:firstLine="31680"/>
        <w:rPr>
          <w:u w:val="single"/>
        </w:rPr>
      </w:pPr>
      <w:r>
        <w:rPr>
          <w:rFonts w:hint="eastAsia"/>
          <w:u w:val="single"/>
        </w:rPr>
        <w:t>《中华人民共和国森林法》（</w:t>
      </w:r>
      <w:r>
        <w:rPr>
          <w:u w:val="single"/>
        </w:rPr>
        <w:t>2009</w:t>
      </w:r>
      <w:r>
        <w:rPr>
          <w:rFonts w:hint="eastAsia"/>
          <w:u w:val="single"/>
        </w:rPr>
        <w:t>年修订），</w:t>
      </w:r>
      <w:r>
        <w:rPr>
          <w:u w:val="single"/>
        </w:rPr>
        <w:t>2009.8.27</w:t>
      </w:r>
      <w:r>
        <w:rPr>
          <w:rFonts w:hint="eastAsia"/>
          <w:u w:val="single"/>
        </w:rPr>
        <w:t>；</w:t>
      </w:r>
    </w:p>
    <w:p>
      <w:pPr>
        <w:pStyle w:val="3"/>
        <w:ind w:firstLine="31680"/>
        <w:rPr>
          <w:u w:val="single"/>
        </w:rPr>
      </w:pPr>
      <w:r>
        <w:rPr>
          <w:rFonts w:hint="eastAsia"/>
          <w:u w:val="single"/>
        </w:rPr>
        <w:t>《中华人民共和国野生动物保护法》（</w:t>
      </w:r>
      <w:r>
        <w:rPr>
          <w:u w:val="single"/>
        </w:rPr>
        <w:t>2016</w:t>
      </w:r>
      <w:r>
        <w:rPr>
          <w:rFonts w:hint="eastAsia"/>
          <w:u w:val="single"/>
        </w:rPr>
        <w:t>年修订），</w:t>
      </w:r>
      <w:r>
        <w:rPr>
          <w:u w:val="single"/>
        </w:rPr>
        <w:t>2017.1.1</w:t>
      </w:r>
      <w:r>
        <w:rPr>
          <w:rFonts w:hint="eastAsia"/>
          <w:u w:val="single"/>
        </w:rPr>
        <w:t>；</w:t>
      </w:r>
    </w:p>
    <w:p>
      <w:pPr>
        <w:pStyle w:val="3"/>
        <w:ind w:firstLine="31680"/>
        <w:rPr>
          <w:u w:val="single"/>
        </w:rPr>
      </w:pPr>
      <w:r>
        <w:rPr>
          <w:rFonts w:hint="eastAsia"/>
          <w:u w:val="single"/>
        </w:rPr>
        <w:t>《中华人民共和国水土保持法》（</w:t>
      </w:r>
      <w:r>
        <w:rPr>
          <w:u w:val="single"/>
        </w:rPr>
        <w:t>2010</w:t>
      </w:r>
      <w:r>
        <w:rPr>
          <w:rFonts w:hint="eastAsia"/>
          <w:u w:val="single"/>
        </w:rPr>
        <w:t>年修订），</w:t>
      </w:r>
      <w:r>
        <w:rPr>
          <w:u w:val="single"/>
        </w:rPr>
        <w:t>2011.3.1</w:t>
      </w:r>
      <w:r>
        <w:rPr>
          <w:rFonts w:hint="eastAsia"/>
          <w:u w:val="single"/>
        </w:rPr>
        <w:t>；</w:t>
      </w:r>
    </w:p>
    <w:p>
      <w:pPr>
        <w:pStyle w:val="3"/>
        <w:ind w:firstLine="31680"/>
        <w:rPr>
          <w:u w:val="single"/>
        </w:rPr>
      </w:pPr>
      <w:r>
        <w:rPr>
          <w:rFonts w:hint="eastAsia"/>
          <w:u w:val="single"/>
        </w:rPr>
        <w:t>《中华人民共和国土地管理法》（</w:t>
      </w:r>
      <w:r>
        <w:rPr>
          <w:u w:val="single"/>
        </w:rPr>
        <w:t>2004</w:t>
      </w:r>
      <w:r>
        <w:rPr>
          <w:rFonts w:hint="eastAsia"/>
          <w:u w:val="single"/>
        </w:rPr>
        <w:t>年修正），</w:t>
      </w:r>
      <w:r>
        <w:rPr>
          <w:u w:val="single"/>
        </w:rPr>
        <w:t>2004.8.28</w:t>
      </w:r>
      <w:r>
        <w:rPr>
          <w:rFonts w:hint="eastAsia"/>
          <w:u w:val="single"/>
        </w:rPr>
        <w:t>；</w:t>
      </w:r>
    </w:p>
    <w:p>
      <w:pPr>
        <w:pStyle w:val="3"/>
        <w:ind w:firstLine="31680"/>
        <w:rPr>
          <w:u w:val="single"/>
        </w:rPr>
      </w:pPr>
      <w:r>
        <w:rPr>
          <w:rFonts w:hint="eastAsia"/>
          <w:u w:val="single"/>
        </w:rPr>
        <w:t>《中华人民共和国城乡规划法》（</w:t>
      </w:r>
      <w:r>
        <w:rPr>
          <w:u w:val="single"/>
        </w:rPr>
        <w:t>2015</w:t>
      </w:r>
      <w:r>
        <w:rPr>
          <w:rFonts w:hint="eastAsia"/>
          <w:u w:val="single"/>
        </w:rPr>
        <w:t>年修订）</w:t>
      </w:r>
      <w:r>
        <w:rPr>
          <w:u w:val="single"/>
        </w:rPr>
        <w:t xml:space="preserve"> 2008.1.1</w:t>
      </w:r>
      <w:r>
        <w:rPr>
          <w:rFonts w:hint="eastAsia"/>
          <w:u w:val="single"/>
        </w:rPr>
        <w:t>；</w:t>
      </w:r>
    </w:p>
    <w:p>
      <w:pPr>
        <w:pStyle w:val="3"/>
        <w:ind w:firstLine="31680"/>
        <w:rPr>
          <w:u w:val="single"/>
        </w:rPr>
      </w:pPr>
      <w:r>
        <w:rPr>
          <w:rFonts w:hint="eastAsia"/>
          <w:u w:val="single"/>
        </w:rPr>
        <w:t>《中华人民共和国安全生产法》（</w:t>
      </w:r>
      <w:r>
        <w:rPr>
          <w:u w:val="single"/>
        </w:rPr>
        <w:t>2014</w:t>
      </w:r>
      <w:r>
        <w:rPr>
          <w:rFonts w:hint="eastAsia"/>
          <w:u w:val="single"/>
        </w:rPr>
        <w:t>年修订），</w:t>
      </w:r>
      <w:r>
        <w:rPr>
          <w:u w:val="single"/>
        </w:rPr>
        <w:t>2014.12.1</w:t>
      </w:r>
      <w:r>
        <w:rPr>
          <w:rFonts w:hint="eastAsia"/>
          <w:u w:val="single"/>
        </w:rPr>
        <w:t>；</w:t>
      </w:r>
    </w:p>
    <w:p>
      <w:pPr>
        <w:pStyle w:val="3"/>
        <w:ind w:firstLine="31680"/>
        <w:rPr>
          <w:u w:val="single"/>
        </w:rPr>
      </w:pPr>
      <w:r>
        <w:rPr>
          <w:rFonts w:hint="eastAsia"/>
          <w:u w:val="single"/>
        </w:rPr>
        <w:t>《中华人民共和国农业法》（</w:t>
      </w:r>
      <w:r>
        <w:rPr>
          <w:u w:val="single"/>
        </w:rPr>
        <w:t>2012</w:t>
      </w:r>
      <w:r>
        <w:rPr>
          <w:rFonts w:hint="eastAsia"/>
          <w:u w:val="single"/>
        </w:rPr>
        <w:t>年修订），</w:t>
      </w:r>
      <w:r>
        <w:rPr>
          <w:u w:val="single"/>
        </w:rPr>
        <w:t>2013.1.1</w:t>
      </w:r>
      <w:r>
        <w:rPr>
          <w:rFonts w:hint="eastAsia"/>
          <w:u w:val="single"/>
        </w:rPr>
        <w:t>；</w:t>
      </w:r>
    </w:p>
    <w:p>
      <w:pPr>
        <w:pStyle w:val="3"/>
        <w:ind w:firstLine="31680"/>
        <w:rPr>
          <w:u w:val="single"/>
        </w:rPr>
      </w:pPr>
      <w:r>
        <w:rPr>
          <w:rFonts w:hint="eastAsia"/>
          <w:u w:val="single"/>
        </w:rPr>
        <w:t>《中华人民共和国节约能源法》（</w:t>
      </w:r>
      <w:r>
        <w:rPr>
          <w:u w:val="single"/>
        </w:rPr>
        <w:t>2016</w:t>
      </w:r>
      <w:r>
        <w:rPr>
          <w:rFonts w:hint="eastAsia"/>
          <w:u w:val="single"/>
        </w:rPr>
        <w:t>年修订），</w:t>
      </w:r>
      <w:r>
        <w:rPr>
          <w:u w:val="single"/>
        </w:rPr>
        <w:t>2008.4.1</w:t>
      </w:r>
      <w:r>
        <w:rPr>
          <w:rFonts w:hint="eastAsia"/>
          <w:u w:val="single"/>
        </w:rPr>
        <w:t>；</w:t>
      </w:r>
    </w:p>
    <w:p>
      <w:pPr>
        <w:pStyle w:val="3"/>
        <w:ind w:firstLine="31680"/>
        <w:rPr>
          <w:u w:val="single"/>
        </w:rPr>
      </w:pPr>
      <w:r>
        <w:rPr>
          <w:rFonts w:hint="eastAsia"/>
          <w:u w:val="single"/>
        </w:rPr>
        <w:t>《中华人民共和国公路法》（</w:t>
      </w:r>
      <w:r>
        <w:rPr>
          <w:u w:val="single"/>
        </w:rPr>
        <w:t>2004</w:t>
      </w:r>
      <w:r>
        <w:rPr>
          <w:rFonts w:hint="eastAsia"/>
          <w:u w:val="single"/>
        </w:rPr>
        <w:t>年修订），</w:t>
      </w:r>
      <w:r>
        <w:rPr>
          <w:u w:val="single"/>
        </w:rPr>
        <w:t>2004.8.28</w:t>
      </w:r>
      <w:r>
        <w:rPr>
          <w:rFonts w:hint="eastAsia"/>
          <w:u w:val="single"/>
        </w:rPr>
        <w:t>；</w:t>
      </w:r>
    </w:p>
    <w:p>
      <w:pPr>
        <w:pStyle w:val="3"/>
        <w:ind w:firstLine="31680"/>
        <w:rPr>
          <w:u w:val="single"/>
        </w:rPr>
      </w:pPr>
      <w:r>
        <w:rPr>
          <w:rFonts w:hint="eastAsia"/>
          <w:u w:val="single"/>
        </w:rPr>
        <w:t>《中华人民共和国道路交通安全法》（</w:t>
      </w:r>
      <w:r>
        <w:rPr>
          <w:u w:val="single"/>
        </w:rPr>
        <w:t>2011</w:t>
      </w:r>
      <w:r>
        <w:rPr>
          <w:rFonts w:hint="eastAsia"/>
          <w:u w:val="single"/>
        </w:rPr>
        <w:t>年修订），</w:t>
      </w:r>
      <w:r>
        <w:rPr>
          <w:u w:val="single"/>
        </w:rPr>
        <w:t>2011.5.1</w:t>
      </w:r>
      <w:r>
        <w:rPr>
          <w:rFonts w:hint="eastAsia"/>
          <w:u w:val="single"/>
        </w:rPr>
        <w:t>。</w:t>
      </w:r>
    </w:p>
    <w:p>
      <w:pPr>
        <w:pStyle w:val="5"/>
        <w:ind w:left="567" w:hanging="567"/>
        <w:rPr>
          <w:u w:val="single"/>
        </w:rPr>
      </w:pPr>
      <w:r>
        <w:rPr>
          <w:rFonts w:hint="eastAsia"/>
          <w:u w:val="single"/>
        </w:rPr>
        <w:t>相关法规</w:t>
      </w:r>
    </w:p>
    <w:p>
      <w:pPr>
        <w:pStyle w:val="3"/>
        <w:ind w:firstLine="31680"/>
        <w:rPr>
          <w:u w:val="single"/>
        </w:rPr>
      </w:pPr>
      <w:r>
        <w:rPr>
          <w:rFonts w:hint="eastAsia"/>
          <w:u w:val="single"/>
        </w:rPr>
        <w:t>《建设项目环境保护管理条例》国务院令第</w:t>
      </w:r>
      <w:r>
        <w:rPr>
          <w:u w:val="single"/>
        </w:rPr>
        <w:t>253</w:t>
      </w:r>
      <w:r>
        <w:rPr>
          <w:rFonts w:hint="eastAsia"/>
          <w:u w:val="single"/>
        </w:rPr>
        <w:t>号，</w:t>
      </w:r>
      <w:r>
        <w:rPr>
          <w:u w:val="single"/>
        </w:rPr>
        <w:t>1998.11.29</w:t>
      </w:r>
      <w:r>
        <w:rPr>
          <w:rFonts w:hint="eastAsia"/>
          <w:u w:val="single"/>
        </w:rPr>
        <w:t>；</w:t>
      </w:r>
    </w:p>
    <w:p>
      <w:pPr>
        <w:pStyle w:val="3"/>
        <w:ind w:firstLine="31680"/>
        <w:rPr>
          <w:u w:val="single"/>
        </w:rPr>
      </w:pPr>
      <w:r>
        <w:rPr>
          <w:rFonts w:hint="eastAsia"/>
          <w:u w:val="single"/>
        </w:rPr>
        <w:t>《中华人民共和国野生植物保护条例》国务院令第</w:t>
      </w:r>
      <w:r>
        <w:rPr>
          <w:u w:val="single"/>
        </w:rPr>
        <w:t>204</w:t>
      </w:r>
      <w:r>
        <w:rPr>
          <w:rFonts w:hint="eastAsia"/>
          <w:u w:val="single"/>
        </w:rPr>
        <w:t>号，</w:t>
      </w:r>
      <w:r>
        <w:rPr>
          <w:u w:val="single"/>
        </w:rPr>
        <w:t>1997.1.1</w:t>
      </w:r>
      <w:r>
        <w:rPr>
          <w:rFonts w:hint="eastAsia"/>
          <w:u w:val="single"/>
        </w:rPr>
        <w:t>；</w:t>
      </w:r>
    </w:p>
    <w:p>
      <w:pPr>
        <w:pStyle w:val="3"/>
        <w:ind w:firstLine="31680"/>
        <w:rPr>
          <w:u w:val="single"/>
        </w:rPr>
      </w:pPr>
      <w:r>
        <w:rPr>
          <w:rFonts w:hint="eastAsia"/>
          <w:u w:val="single"/>
        </w:rPr>
        <w:t>《中华人民共和国基本农田保护条例》国务院令第</w:t>
      </w:r>
      <w:r>
        <w:rPr>
          <w:u w:val="single"/>
        </w:rPr>
        <w:t>257</w:t>
      </w:r>
      <w:r>
        <w:rPr>
          <w:rFonts w:hint="eastAsia"/>
          <w:u w:val="single"/>
        </w:rPr>
        <w:t>号，</w:t>
      </w:r>
      <w:r>
        <w:rPr>
          <w:u w:val="single"/>
        </w:rPr>
        <w:t>1999.1.1</w:t>
      </w:r>
      <w:r>
        <w:rPr>
          <w:rFonts w:hint="eastAsia"/>
          <w:u w:val="single"/>
        </w:rPr>
        <w:t>；</w:t>
      </w:r>
    </w:p>
    <w:p>
      <w:pPr>
        <w:pStyle w:val="3"/>
        <w:ind w:firstLine="31680"/>
        <w:rPr>
          <w:u w:val="single"/>
        </w:rPr>
      </w:pPr>
      <w:r>
        <w:rPr>
          <w:rFonts w:hint="eastAsia"/>
          <w:u w:val="single"/>
        </w:rPr>
        <w:t>《中华人民共和国道路交通安全法实施条例》国务院令第</w:t>
      </w:r>
      <w:r>
        <w:rPr>
          <w:u w:val="single"/>
        </w:rPr>
        <w:t>405</w:t>
      </w:r>
      <w:r>
        <w:rPr>
          <w:rFonts w:hint="eastAsia"/>
          <w:u w:val="single"/>
        </w:rPr>
        <w:t>号，</w:t>
      </w:r>
      <w:r>
        <w:rPr>
          <w:u w:val="single"/>
        </w:rPr>
        <w:t>2004.5.1</w:t>
      </w:r>
      <w:r>
        <w:rPr>
          <w:rFonts w:hint="eastAsia"/>
          <w:u w:val="single"/>
        </w:rPr>
        <w:t>；</w:t>
      </w:r>
    </w:p>
    <w:p>
      <w:pPr>
        <w:pStyle w:val="3"/>
        <w:ind w:firstLine="31680"/>
        <w:rPr>
          <w:u w:val="single"/>
        </w:rPr>
      </w:pPr>
      <w:r>
        <w:rPr>
          <w:rFonts w:hint="eastAsia"/>
          <w:u w:val="single"/>
        </w:rPr>
        <w:t>《中华人民共和国道路运输条例》国务院令第</w:t>
      </w:r>
      <w:r>
        <w:rPr>
          <w:u w:val="single"/>
        </w:rPr>
        <w:t>406</w:t>
      </w:r>
      <w:r>
        <w:rPr>
          <w:rFonts w:hint="eastAsia"/>
          <w:u w:val="single"/>
        </w:rPr>
        <w:t>号，</w:t>
      </w:r>
      <w:r>
        <w:rPr>
          <w:u w:val="single"/>
        </w:rPr>
        <w:t>2004.7.1</w:t>
      </w:r>
      <w:r>
        <w:rPr>
          <w:rFonts w:hint="eastAsia"/>
          <w:u w:val="single"/>
        </w:rPr>
        <w:t>；</w:t>
      </w:r>
    </w:p>
    <w:p>
      <w:pPr>
        <w:pStyle w:val="3"/>
        <w:ind w:firstLine="31680"/>
        <w:rPr>
          <w:u w:val="single"/>
        </w:rPr>
      </w:pPr>
      <w:r>
        <w:rPr>
          <w:rFonts w:hint="eastAsia"/>
          <w:u w:val="single"/>
        </w:rPr>
        <w:t>《中华人民共和国公路管理条例》（</w:t>
      </w:r>
      <w:r>
        <w:rPr>
          <w:u w:val="single"/>
        </w:rPr>
        <w:t>2008</w:t>
      </w:r>
      <w:r>
        <w:rPr>
          <w:rFonts w:hint="eastAsia"/>
          <w:u w:val="single"/>
        </w:rPr>
        <w:t>年修订版）国务院令第</w:t>
      </w:r>
      <w:r>
        <w:rPr>
          <w:u w:val="single"/>
        </w:rPr>
        <w:t>543</w:t>
      </w:r>
      <w:r>
        <w:rPr>
          <w:rFonts w:hint="eastAsia"/>
          <w:u w:val="single"/>
        </w:rPr>
        <w:t>号，</w:t>
      </w:r>
      <w:r>
        <w:rPr>
          <w:u w:val="single"/>
        </w:rPr>
        <w:t>2009.1.1</w:t>
      </w:r>
      <w:r>
        <w:rPr>
          <w:rFonts w:hint="eastAsia"/>
          <w:u w:val="single"/>
        </w:rPr>
        <w:t>；</w:t>
      </w:r>
    </w:p>
    <w:p>
      <w:pPr>
        <w:pStyle w:val="3"/>
        <w:ind w:firstLine="31680"/>
        <w:rPr>
          <w:u w:val="single"/>
        </w:rPr>
      </w:pPr>
      <w:r>
        <w:rPr>
          <w:rFonts w:hint="eastAsia"/>
          <w:u w:val="single"/>
        </w:rPr>
        <w:t>《国有土地上房屋征收与补偿条例》国务院令第</w:t>
      </w:r>
      <w:r>
        <w:rPr>
          <w:u w:val="single"/>
        </w:rPr>
        <w:t>590</w:t>
      </w:r>
      <w:r>
        <w:rPr>
          <w:rFonts w:hint="eastAsia"/>
          <w:u w:val="single"/>
        </w:rPr>
        <w:t>号；</w:t>
      </w:r>
    </w:p>
    <w:p>
      <w:pPr>
        <w:pStyle w:val="3"/>
        <w:ind w:firstLine="31680"/>
        <w:rPr>
          <w:u w:val="single"/>
        </w:rPr>
      </w:pPr>
      <w:r>
        <w:rPr>
          <w:rFonts w:hint="eastAsia"/>
          <w:u w:val="single"/>
        </w:rPr>
        <w:t>《公路安全保护条例》国务院令第</w:t>
      </w:r>
      <w:r>
        <w:rPr>
          <w:u w:val="single"/>
        </w:rPr>
        <w:t>593</w:t>
      </w:r>
      <w:r>
        <w:rPr>
          <w:rFonts w:hint="eastAsia"/>
          <w:u w:val="single"/>
        </w:rPr>
        <w:t>号，</w:t>
      </w:r>
      <w:r>
        <w:rPr>
          <w:u w:val="single"/>
        </w:rPr>
        <w:t>2011.7.1</w:t>
      </w:r>
      <w:r>
        <w:rPr>
          <w:rFonts w:hint="eastAsia"/>
          <w:u w:val="single"/>
        </w:rPr>
        <w:t>；</w:t>
      </w:r>
    </w:p>
    <w:p>
      <w:pPr>
        <w:pStyle w:val="3"/>
        <w:ind w:firstLine="31680"/>
        <w:rPr>
          <w:u w:val="single"/>
        </w:rPr>
      </w:pPr>
      <w:r>
        <w:rPr>
          <w:rFonts w:hint="eastAsia"/>
          <w:u w:val="single"/>
        </w:rPr>
        <w:t>《产业结构调整指导目录（</w:t>
      </w:r>
      <w:r>
        <w:rPr>
          <w:u w:val="single"/>
        </w:rPr>
        <w:t>2011</w:t>
      </w:r>
      <w:r>
        <w:rPr>
          <w:rFonts w:hint="eastAsia"/>
          <w:u w:val="single"/>
        </w:rPr>
        <w:t>年本）》（</w:t>
      </w:r>
      <w:r>
        <w:rPr>
          <w:u w:val="single"/>
        </w:rPr>
        <w:t>2013</w:t>
      </w:r>
      <w:r>
        <w:rPr>
          <w:rFonts w:hint="eastAsia"/>
          <w:u w:val="single"/>
        </w:rPr>
        <w:t>年修订版）发改委令（</w:t>
      </w:r>
      <w:r>
        <w:rPr>
          <w:u w:val="single"/>
        </w:rPr>
        <w:t>2013</w:t>
      </w:r>
      <w:r>
        <w:rPr>
          <w:rFonts w:hint="eastAsia"/>
          <w:u w:val="single"/>
        </w:rPr>
        <w:t>）第</w:t>
      </w:r>
      <w:r>
        <w:rPr>
          <w:u w:val="single"/>
        </w:rPr>
        <w:t>21</w:t>
      </w:r>
      <w:r>
        <w:rPr>
          <w:rFonts w:hint="eastAsia"/>
          <w:u w:val="single"/>
        </w:rPr>
        <w:t>号；</w:t>
      </w:r>
    </w:p>
    <w:p>
      <w:pPr>
        <w:pStyle w:val="3"/>
        <w:ind w:firstLine="31680"/>
        <w:rPr>
          <w:u w:val="single"/>
        </w:rPr>
      </w:pPr>
      <w:r>
        <w:rPr>
          <w:rFonts w:hint="eastAsia"/>
          <w:u w:val="single"/>
        </w:rPr>
        <w:t>《关于公路、铁路（轻轨）等建设项目环境影响评价中环境噪声有关问题的通知》环发（</w:t>
      </w:r>
      <w:r>
        <w:rPr>
          <w:u w:val="single"/>
        </w:rPr>
        <w:t>2003</w:t>
      </w:r>
      <w:r>
        <w:rPr>
          <w:rFonts w:hint="eastAsia"/>
          <w:u w:val="single"/>
        </w:rPr>
        <w:t>）</w:t>
      </w:r>
      <w:r>
        <w:rPr>
          <w:u w:val="single"/>
        </w:rPr>
        <w:t>94</w:t>
      </w:r>
      <w:r>
        <w:rPr>
          <w:rFonts w:hint="eastAsia"/>
          <w:u w:val="single"/>
        </w:rPr>
        <w:t>号；</w:t>
      </w:r>
    </w:p>
    <w:p>
      <w:pPr>
        <w:pStyle w:val="3"/>
        <w:ind w:firstLine="31680"/>
        <w:rPr>
          <w:u w:val="single"/>
        </w:rPr>
      </w:pPr>
      <w:r>
        <w:rPr>
          <w:rFonts w:hint="eastAsia"/>
          <w:u w:val="single"/>
        </w:rPr>
        <w:t>《关于加强环境影响评价管理防范环境风险的通知》环发（</w:t>
      </w:r>
      <w:r>
        <w:rPr>
          <w:u w:val="single"/>
        </w:rPr>
        <w:t>2005</w:t>
      </w:r>
      <w:r>
        <w:rPr>
          <w:rFonts w:hint="eastAsia"/>
          <w:u w:val="single"/>
        </w:rPr>
        <w:t>）</w:t>
      </w:r>
      <w:r>
        <w:rPr>
          <w:u w:val="single"/>
        </w:rPr>
        <w:t>152</w:t>
      </w:r>
      <w:r>
        <w:rPr>
          <w:rFonts w:hint="eastAsia"/>
          <w:u w:val="single"/>
        </w:rPr>
        <w:t>号；</w:t>
      </w:r>
    </w:p>
    <w:p>
      <w:pPr>
        <w:pStyle w:val="3"/>
        <w:ind w:firstLine="31680"/>
        <w:rPr>
          <w:u w:val="single"/>
        </w:rPr>
      </w:pPr>
      <w:r>
        <w:rPr>
          <w:rFonts w:hint="eastAsia"/>
          <w:u w:val="single"/>
        </w:rPr>
        <w:t>《环境影响评价公众参与暂行办法》环发（</w:t>
      </w:r>
      <w:r>
        <w:rPr>
          <w:u w:val="single"/>
        </w:rPr>
        <w:t>2006</w:t>
      </w:r>
      <w:r>
        <w:rPr>
          <w:rFonts w:hint="eastAsia"/>
          <w:u w:val="single"/>
        </w:rPr>
        <w:t>）</w:t>
      </w:r>
      <w:r>
        <w:rPr>
          <w:u w:val="single"/>
        </w:rPr>
        <w:t>28</w:t>
      </w:r>
      <w:r>
        <w:rPr>
          <w:rFonts w:hint="eastAsia"/>
          <w:u w:val="single"/>
        </w:rPr>
        <w:t>号；</w:t>
      </w:r>
    </w:p>
    <w:p>
      <w:pPr>
        <w:pStyle w:val="3"/>
        <w:ind w:firstLine="31680"/>
        <w:rPr>
          <w:u w:val="single"/>
        </w:rPr>
      </w:pPr>
      <w:r>
        <w:rPr>
          <w:rFonts w:hint="eastAsia"/>
          <w:u w:val="single"/>
        </w:rPr>
        <w:t>《建设项目环境影响评价信息公开机制方案》环发</w:t>
      </w:r>
      <w:r>
        <w:rPr>
          <w:u w:val="single"/>
        </w:rPr>
        <w:t>[2015]162</w:t>
      </w:r>
      <w:r>
        <w:rPr>
          <w:rFonts w:hint="eastAsia"/>
          <w:u w:val="single"/>
        </w:rPr>
        <w:t>号；</w:t>
      </w:r>
    </w:p>
    <w:p>
      <w:pPr>
        <w:pStyle w:val="3"/>
        <w:ind w:firstLine="31680"/>
        <w:rPr>
          <w:u w:val="single"/>
        </w:rPr>
      </w:pPr>
      <w:r>
        <w:rPr>
          <w:rFonts w:hint="eastAsia"/>
          <w:u w:val="single"/>
        </w:rPr>
        <w:t>《关于进一步加强生态保护工作的意见》环发（</w:t>
      </w:r>
      <w:r>
        <w:rPr>
          <w:u w:val="single"/>
        </w:rPr>
        <w:t>2007</w:t>
      </w:r>
      <w:r>
        <w:rPr>
          <w:rFonts w:hint="eastAsia"/>
          <w:u w:val="single"/>
        </w:rPr>
        <w:t>）</w:t>
      </w:r>
      <w:r>
        <w:rPr>
          <w:u w:val="single"/>
        </w:rPr>
        <w:t>37</w:t>
      </w:r>
      <w:r>
        <w:rPr>
          <w:rFonts w:hint="eastAsia"/>
          <w:u w:val="single"/>
        </w:rPr>
        <w:t>号；</w:t>
      </w:r>
    </w:p>
    <w:p>
      <w:pPr>
        <w:pStyle w:val="3"/>
        <w:ind w:firstLine="31680"/>
        <w:rPr>
          <w:u w:val="single"/>
        </w:rPr>
      </w:pPr>
      <w:r>
        <w:rPr>
          <w:rFonts w:hint="eastAsia"/>
          <w:u w:val="single"/>
        </w:rPr>
        <w:t>《关于加强公路规划和建设环境影响评价工作的通知》环发（</w:t>
      </w:r>
      <w:r>
        <w:rPr>
          <w:u w:val="single"/>
        </w:rPr>
        <w:t>2007</w:t>
      </w:r>
      <w:r>
        <w:rPr>
          <w:rFonts w:hint="eastAsia"/>
          <w:u w:val="single"/>
        </w:rPr>
        <w:t>）</w:t>
      </w:r>
      <w:r>
        <w:rPr>
          <w:u w:val="single"/>
        </w:rPr>
        <w:t>184</w:t>
      </w:r>
      <w:r>
        <w:rPr>
          <w:rFonts w:hint="eastAsia"/>
          <w:u w:val="single"/>
        </w:rPr>
        <w:t>号；</w:t>
      </w:r>
    </w:p>
    <w:p>
      <w:pPr>
        <w:pStyle w:val="3"/>
        <w:ind w:firstLine="31680"/>
        <w:rPr>
          <w:u w:val="single"/>
        </w:rPr>
      </w:pPr>
      <w:r>
        <w:rPr>
          <w:rFonts w:hint="eastAsia"/>
          <w:u w:val="single"/>
        </w:rPr>
        <w:t>《地面交通噪声污染防治技术政策》环发（</w:t>
      </w:r>
      <w:r>
        <w:rPr>
          <w:u w:val="single"/>
        </w:rPr>
        <w:t>2010</w:t>
      </w:r>
      <w:r>
        <w:rPr>
          <w:rFonts w:hint="eastAsia"/>
          <w:u w:val="single"/>
        </w:rPr>
        <w:t>）</w:t>
      </w:r>
      <w:r>
        <w:rPr>
          <w:u w:val="single"/>
        </w:rPr>
        <w:t>7</w:t>
      </w:r>
      <w:r>
        <w:rPr>
          <w:rFonts w:hint="eastAsia"/>
          <w:u w:val="single"/>
        </w:rPr>
        <w:t>号；</w:t>
      </w:r>
    </w:p>
    <w:p>
      <w:pPr>
        <w:pStyle w:val="3"/>
        <w:ind w:firstLine="31680"/>
        <w:rPr>
          <w:u w:val="single"/>
        </w:rPr>
      </w:pPr>
      <w:r>
        <w:rPr>
          <w:rFonts w:hint="eastAsia"/>
          <w:u w:val="single"/>
        </w:rPr>
        <w:t>《关于进一步加强环境影响评价管理防范环境风险的通知》环发（</w:t>
      </w:r>
      <w:r>
        <w:rPr>
          <w:u w:val="single"/>
        </w:rPr>
        <w:t>2012</w:t>
      </w:r>
      <w:r>
        <w:rPr>
          <w:rFonts w:hint="eastAsia"/>
          <w:u w:val="single"/>
        </w:rPr>
        <w:t>）</w:t>
      </w:r>
      <w:r>
        <w:rPr>
          <w:u w:val="single"/>
        </w:rPr>
        <w:t>77</w:t>
      </w:r>
      <w:r>
        <w:rPr>
          <w:rFonts w:hint="eastAsia"/>
          <w:u w:val="single"/>
        </w:rPr>
        <w:t>号；</w:t>
      </w:r>
    </w:p>
    <w:p>
      <w:pPr>
        <w:pStyle w:val="3"/>
        <w:ind w:firstLine="31680"/>
        <w:rPr>
          <w:u w:val="single"/>
        </w:rPr>
      </w:pPr>
      <w:r>
        <w:rPr>
          <w:rFonts w:hint="eastAsia"/>
          <w:u w:val="single"/>
        </w:rPr>
        <w:t>《关于切实加强风险防范严格环境影响评价管理的通知》环发（</w:t>
      </w:r>
      <w:r>
        <w:rPr>
          <w:u w:val="single"/>
        </w:rPr>
        <w:t>2012</w:t>
      </w:r>
      <w:r>
        <w:rPr>
          <w:rFonts w:hint="eastAsia"/>
          <w:u w:val="single"/>
        </w:rPr>
        <w:t>）</w:t>
      </w:r>
      <w:r>
        <w:rPr>
          <w:u w:val="single"/>
        </w:rPr>
        <w:t>98</w:t>
      </w:r>
      <w:r>
        <w:rPr>
          <w:rFonts w:hint="eastAsia"/>
          <w:u w:val="single"/>
        </w:rPr>
        <w:t>号；</w:t>
      </w:r>
    </w:p>
    <w:p>
      <w:pPr>
        <w:pStyle w:val="3"/>
        <w:ind w:firstLine="31680"/>
        <w:rPr>
          <w:u w:val="single"/>
        </w:rPr>
      </w:pPr>
      <w:r>
        <w:rPr>
          <w:rFonts w:hint="eastAsia"/>
          <w:u w:val="single"/>
        </w:rPr>
        <w:t>《建设项目环境影响评价分类管理名录》环境保护部令第</w:t>
      </w:r>
      <w:r>
        <w:rPr>
          <w:u w:val="single"/>
        </w:rPr>
        <w:t>33</w:t>
      </w:r>
      <w:r>
        <w:rPr>
          <w:rFonts w:hint="eastAsia"/>
          <w:u w:val="single"/>
        </w:rPr>
        <w:t>号；</w:t>
      </w:r>
    </w:p>
    <w:p>
      <w:pPr>
        <w:pStyle w:val="3"/>
        <w:ind w:firstLine="31680"/>
        <w:rPr>
          <w:u w:val="single"/>
        </w:rPr>
      </w:pPr>
      <w:r>
        <w:rPr>
          <w:rFonts w:hint="eastAsia"/>
          <w:u w:val="single"/>
        </w:rPr>
        <w:t>《关于进一步加强分散式饮用水水源地环境保护工作的通知》环办</w:t>
      </w:r>
      <w:r>
        <w:rPr>
          <w:u w:val="single"/>
        </w:rPr>
        <w:t>[2010]132</w:t>
      </w:r>
      <w:r>
        <w:rPr>
          <w:rFonts w:hint="eastAsia"/>
          <w:u w:val="single"/>
        </w:rPr>
        <w:t>号；</w:t>
      </w:r>
    </w:p>
    <w:p>
      <w:pPr>
        <w:pStyle w:val="3"/>
        <w:ind w:firstLine="31680"/>
        <w:rPr>
          <w:u w:val="single"/>
        </w:rPr>
      </w:pPr>
      <w:r>
        <w:rPr>
          <w:rFonts w:hint="eastAsia"/>
          <w:u w:val="single"/>
        </w:rPr>
        <w:t>《关于开展交通工程环境监理工作的通知》交环发（</w:t>
      </w:r>
      <w:r>
        <w:rPr>
          <w:u w:val="single"/>
        </w:rPr>
        <w:t>2004</w:t>
      </w:r>
      <w:r>
        <w:rPr>
          <w:rFonts w:hint="eastAsia"/>
          <w:u w:val="single"/>
        </w:rPr>
        <w:t>）</w:t>
      </w:r>
      <w:r>
        <w:rPr>
          <w:u w:val="single"/>
        </w:rPr>
        <w:t>314</w:t>
      </w:r>
      <w:r>
        <w:rPr>
          <w:rFonts w:hint="eastAsia"/>
          <w:u w:val="single"/>
        </w:rPr>
        <w:t>号；</w:t>
      </w:r>
    </w:p>
    <w:p>
      <w:pPr>
        <w:pStyle w:val="3"/>
        <w:ind w:firstLine="31680"/>
        <w:rPr>
          <w:u w:val="single"/>
        </w:rPr>
      </w:pPr>
      <w:r>
        <w:rPr>
          <w:rFonts w:hint="eastAsia"/>
          <w:u w:val="single"/>
        </w:rPr>
        <w:t>《公路建设项目水土保持工作规定》水保（</w:t>
      </w:r>
      <w:r>
        <w:rPr>
          <w:u w:val="single"/>
        </w:rPr>
        <w:t>2001</w:t>
      </w:r>
      <w:r>
        <w:rPr>
          <w:rFonts w:hint="eastAsia"/>
          <w:u w:val="single"/>
        </w:rPr>
        <w:t>）</w:t>
      </w:r>
      <w:r>
        <w:rPr>
          <w:u w:val="single"/>
        </w:rPr>
        <w:t>12</w:t>
      </w:r>
      <w:r>
        <w:rPr>
          <w:rFonts w:hint="eastAsia"/>
          <w:u w:val="single"/>
        </w:rPr>
        <w:t>号；</w:t>
      </w:r>
    </w:p>
    <w:p>
      <w:pPr>
        <w:pStyle w:val="3"/>
        <w:ind w:firstLine="31680"/>
        <w:rPr>
          <w:u w:val="single"/>
        </w:rPr>
      </w:pPr>
      <w:r>
        <w:rPr>
          <w:rFonts w:hint="eastAsia"/>
          <w:u w:val="single"/>
        </w:rPr>
        <w:t>《建设项目使用林地审核审批管理办法》国家林业局令第</w:t>
      </w:r>
      <w:r>
        <w:rPr>
          <w:u w:val="single"/>
        </w:rPr>
        <w:t>35</w:t>
      </w:r>
      <w:r>
        <w:rPr>
          <w:rFonts w:hint="eastAsia"/>
          <w:u w:val="single"/>
        </w:rPr>
        <w:t>号；</w:t>
      </w:r>
    </w:p>
    <w:p>
      <w:pPr>
        <w:pStyle w:val="3"/>
        <w:ind w:firstLine="31680"/>
        <w:rPr>
          <w:u w:val="single"/>
        </w:rPr>
      </w:pPr>
      <w:r>
        <w:rPr>
          <w:rFonts w:hint="eastAsia"/>
          <w:u w:val="single"/>
        </w:rPr>
        <w:t>《湖南省环境保护条例（修正案）》</w:t>
      </w:r>
      <w:r>
        <w:rPr>
          <w:u w:val="single"/>
        </w:rPr>
        <w:t xml:space="preserve"> 2002.3.29</w:t>
      </w:r>
      <w:r>
        <w:rPr>
          <w:rFonts w:hint="eastAsia"/>
          <w:u w:val="single"/>
        </w:rPr>
        <w:t>；</w:t>
      </w:r>
    </w:p>
    <w:p>
      <w:pPr>
        <w:pStyle w:val="3"/>
        <w:ind w:firstLine="31680"/>
        <w:rPr>
          <w:u w:val="single"/>
        </w:rPr>
      </w:pPr>
      <w:r>
        <w:rPr>
          <w:rFonts w:hint="eastAsia"/>
          <w:u w:val="single"/>
        </w:rPr>
        <w:t>《湖南省耕地保养管理办法》湖南省人民政府第</w:t>
      </w:r>
      <w:r>
        <w:rPr>
          <w:u w:val="single"/>
        </w:rPr>
        <w:t>76</w:t>
      </w:r>
      <w:r>
        <w:rPr>
          <w:rFonts w:hint="eastAsia"/>
          <w:u w:val="single"/>
        </w:rPr>
        <w:t>号文，</w:t>
      </w:r>
      <w:r>
        <w:rPr>
          <w:u w:val="single"/>
        </w:rPr>
        <w:t>1997.2.15</w:t>
      </w:r>
      <w:r>
        <w:rPr>
          <w:rFonts w:hint="eastAsia"/>
          <w:u w:val="single"/>
        </w:rPr>
        <w:t>；</w:t>
      </w:r>
    </w:p>
    <w:p>
      <w:pPr>
        <w:pStyle w:val="3"/>
        <w:ind w:firstLine="31680"/>
        <w:rPr>
          <w:u w:val="single"/>
        </w:rPr>
      </w:pPr>
      <w:r>
        <w:rPr>
          <w:rFonts w:hint="eastAsia"/>
          <w:u w:val="single"/>
        </w:rPr>
        <w:t>《湖南省建设项目环境保护管理办法》湖南省人民政府令第</w:t>
      </w:r>
      <w:r>
        <w:rPr>
          <w:u w:val="single"/>
        </w:rPr>
        <w:t>215</w:t>
      </w:r>
      <w:r>
        <w:rPr>
          <w:rFonts w:hint="eastAsia"/>
          <w:u w:val="single"/>
        </w:rPr>
        <w:t>号，</w:t>
      </w:r>
      <w:r>
        <w:rPr>
          <w:u w:val="single"/>
        </w:rPr>
        <w:t>2007.8.28</w:t>
      </w:r>
      <w:r>
        <w:rPr>
          <w:rFonts w:hint="eastAsia"/>
          <w:u w:val="single"/>
        </w:rPr>
        <w:t>；</w:t>
      </w:r>
    </w:p>
    <w:p>
      <w:pPr>
        <w:pStyle w:val="3"/>
        <w:ind w:firstLine="31680"/>
        <w:rPr>
          <w:u w:val="single"/>
        </w:rPr>
      </w:pPr>
      <w:r>
        <w:rPr>
          <w:rFonts w:hint="eastAsia"/>
          <w:u w:val="single"/>
        </w:rPr>
        <w:t>《湖南省野生动植物资源保护条例（第二次修订）》湖南省人大常委会，</w:t>
      </w:r>
      <w:r>
        <w:rPr>
          <w:u w:val="single"/>
        </w:rPr>
        <w:t>1997</w:t>
      </w:r>
      <w:r>
        <w:rPr>
          <w:rFonts w:hint="eastAsia"/>
          <w:u w:val="single"/>
        </w:rPr>
        <w:t>；</w:t>
      </w:r>
    </w:p>
    <w:p>
      <w:pPr>
        <w:pStyle w:val="3"/>
        <w:ind w:firstLine="31680"/>
        <w:rPr>
          <w:u w:val="single"/>
        </w:rPr>
      </w:pPr>
      <w:r>
        <w:rPr>
          <w:rFonts w:hint="eastAsia"/>
          <w:u w:val="single"/>
        </w:rPr>
        <w:t>《湖南省土地管理实施办法（第二次修正）》湖南省人大常委会，</w:t>
      </w:r>
      <w:r>
        <w:rPr>
          <w:u w:val="single"/>
        </w:rPr>
        <w:t>1997.4.2</w:t>
      </w:r>
      <w:r>
        <w:rPr>
          <w:rFonts w:hint="eastAsia"/>
          <w:u w:val="single"/>
        </w:rPr>
        <w:t>；</w:t>
      </w:r>
    </w:p>
    <w:p>
      <w:pPr>
        <w:pStyle w:val="3"/>
        <w:ind w:firstLine="31680"/>
        <w:rPr>
          <w:u w:val="single"/>
        </w:rPr>
      </w:pPr>
      <w:r>
        <w:rPr>
          <w:rFonts w:hint="eastAsia"/>
          <w:u w:val="single"/>
        </w:rPr>
        <w:t>《湖南省文物保护条例（修订）》湖南省人大常委会，</w:t>
      </w:r>
      <w:r>
        <w:rPr>
          <w:u w:val="single"/>
        </w:rPr>
        <w:t>1997.9.29</w:t>
      </w:r>
      <w:r>
        <w:rPr>
          <w:rFonts w:hint="eastAsia"/>
          <w:u w:val="single"/>
        </w:rPr>
        <w:t>；</w:t>
      </w:r>
    </w:p>
    <w:p>
      <w:pPr>
        <w:pStyle w:val="3"/>
        <w:ind w:firstLine="31680"/>
        <w:rPr>
          <w:u w:val="single"/>
        </w:rPr>
      </w:pPr>
      <w:r>
        <w:rPr>
          <w:rFonts w:hint="eastAsia"/>
          <w:u w:val="single"/>
        </w:rPr>
        <w:t>《湖南省地质环境保护条例》湖南省九届人大常委会，</w:t>
      </w:r>
      <w:r>
        <w:rPr>
          <w:u w:val="single"/>
        </w:rPr>
        <w:t>2002.12.24</w:t>
      </w:r>
      <w:r>
        <w:rPr>
          <w:rFonts w:hint="eastAsia"/>
          <w:u w:val="single"/>
        </w:rPr>
        <w:t>；</w:t>
      </w:r>
    </w:p>
    <w:p>
      <w:pPr>
        <w:pStyle w:val="3"/>
        <w:ind w:firstLine="31680"/>
        <w:rPr>
          <w:u w:val="single"/>
        </w:rPr>
      </w:pPr>
      <w:r>
        <w:rPr>
          <w:rFonts w:hint="eastAsia"/>
          <w:u w:val="single"/>
        </w:rPr>
        <w:t>《湖南省农业环境保护条例》湖南省人大常委会，</w:t>
      </w:r>
      <w:r>
        <w:rPr>
          <w:u w:val="single"/>
        </w:rPr>
        <w:t>2002.11.29</w:t>
      </w:r>
      <w:r>
        <w:rPr>
          <w:rFonts w:hint="eastAsia"/>
          <w:u w:val="single"/>
        </w:rPr>
        <w:t>；</w:t>
      </w:r>
    </w:p>
    <w:p>
      <w:pPr>
        <w:pStyle w:val="3"/>
        <w:ind w:firstLine="31680"/>
        <w:rPr>
          <w:u w:val="single"/>
        </w:rPr>
      </w:pPr>
      <w:r>
        <w:rPr>
          <w:rFonts w:hint="eastAsia"/>
          <w:u w:val="single"/>
        </w:rPr>
        <w:t>《湖南省实施〈中华人民共和国公路法〉办法》湖南省人大常委会，</w:t>
      </w:r>
      <w:r>
        <w:rPr>
          <w:u w:val="single"/>
        </w:rPr>
        <w:t>2002.7.31</w:t>
      </w:r>
      <w:r>
        <w:rPr>
          <w:rFonts w:hint="eastAsia"/>
          <w:u w:val="single"/>
        </w:rPr>
        <w:t>；</w:t>
      </w:r>
    </w:p>
    <w:p>
      <w:pPr>
        <w:pStyle w:val="3"/>
        <w:ind w:firstLine="31680"/>
        <w:rPr>
          <w:u w:val="single"/>
        </w:rPr>
      </w:pPr>
      <w:r>
        <w:rPr>
          <w:rFonts w:hint="eastAsia"/>
          <w:u w:val="single"/>
        </w:rPr>
        <w:t>《湖南省实施〈中华人民共和国水土保持法〉办法》湖南省人大常委会，</w:t>
      </w:r>
      <w:r>
        <w:rPr>
          <w:u w:val="single"/>
        </w:rPr>
        <w:t>2014.1.1</w:t>
      </w:r>
      <w:r>
        <w:rPr>
          <w:rFonts w:hint="eastAsia"/>
          <w:u w:val="single"/>
        </w:rPr>
        <w:t>；</w:t>
      </w:r>
    </w:p>
    <w:p>
      <w:pPr>
        <w:pStyle w:val="3"/>
        <w:ind w:firstLine="31680"/>
        <w:rPr>
          <w:u w:val="single"/>
        </w:rPr>
      </w:pPr>
      <w:r>
        <w:rPr>
          <w:rFonts w:hint="eastAsia"/>
          <w:u w:val="single"/>
        </w:rPr>
        <w:t>《关于加强湖南省农村公路建设环境保护的指导意见》湘交农路（</w:t>
      </w:r>
      <w:r>
        <w:rPr>
          <w:u w:val="single"/>
        </w:rPr>
        <w:t>2010</w:t>
      </w:r>
      <w:r>
        <w:rPr>
          <w:rFonts w:hint="eastAsia"/>
          <w:u w:val="single"/>
        </w:rPr>
        <w:t>）</w:t>
      </w:r>
      <w:r>
        <w:rPr>
          <w:u w:val="single"/>
        </w:rPr>
        <w:t>225</w:t>
      </w:r>
      <w:r>
        <w:rPr>
          <w:rFonts w:hint="eastAsia"/>
          <w:u w:val="single"/>
        </w:rPr>
        <w:t>号；</w:t>
      </w:r>
    </w:p>
    <w:p>
      <w:pPr>
        <w:pStyle w:val="3"/>
        <w:ind w:firstLine="31680"/>
        <w:rPr>
          <w:u w:val="single"/>
        </w:rPr>
      </w:pPr>
      <w:r>
        <w:rPr>
          <w:rFonts w:hint="eastAsia"/>
          <w:u w:val="single"/>
        </w:rPr>
        <w:t>《湖南省普通干线公路路面设计指导意见》湘交基建（</w:t>
      </w:r>
      <w:r>
        <w:rPr>
          <w:u w:val="single"/>
        </w:rPr>
        <w:t>2011</w:t>
      </w:r>
      <w:r>
        <w:rPr>
          <w:rFonts w:hint="eastAsia"/>
          <w:u w:val="single"/>
        </w:rPr>
        <w:t>）</w:t>
      </w:r>
      <w:r>
        <w:rPr>
          <w:u w:val="single"/>
        </w:rPr>
        <w:t>486</w:t>
      </w:r>
      <w:r>
        <w:rPr>
          <w:rFonts w:hint="eastAsia"/>
          <w:u w:val="single"/>
        </w:rPr>
        <w:t>号。</w:t>
      </w:r>
    </w:p>
    <w:p>
      <w:pPr>
        <w:pStyle w:val="663"/>
        <w:spacing w:line="440" w:lineRule="exact"/>
        <w:ind w:firstLine="31680"/>
        <w:rPr>
          <w:rFonts w:hint="eastAsia"/>
          <w:u w:val="single"/>
        </w:rPr>
      </w:pPr>
      <w:r>
        <w:rPr>
          <w:rFonts w:hint="eastAsia"/>
          <w:u w:val="single"/>
        </w:rPr>
        <w:t>《饮用水水源保护区污染防治管理规定》，环境保护令第</w:t>
      </w:r>
      <w:r>
        <w:rPr>
          <w:u w:val="single"/>
        </w:rPr>
        <w:t>16</w:t>
      </w:r>
      <w:r>
        <w:rPr>
          <w:rFonts w:hint="eastAsia"/>
          <w:u w:val="single"/>
        </w:rPr>
        <w:t>号，</w:t>
      </w:r>
      <w:r>
        <w:rPr>
          <w:u w:val="single"/>
        </w:rPr>
        <w:t>2010</w:t>
      </w:r>
      <w:r>
        <w:rPr>
          <w:rFonts w:hint="eastAsia"/>
          <w:u w:val="single"/>
        </w:rPr>
        <w:t>年</w:t>
      </w:r>
      <w:r>
        <w:rPr>
          <w:u w:val="single"/>
        </w:rPr>
        <w:t>12</w:t>
      </w:r>
      <w:r>
        <w:rPr>
          <w:rFonts w:hint="eastAsia"/>
          <w:u w:val="single"/>
        </w:rPr>
        <w:t>月</w:t>
      </w:r>
      <w:r>
        <w:rPr>
          <w:u w:val="single"/>
        </w:rPr>
        <w:t>22</w:t>
      </w:r>
      <w:r>
        <w:rPr>
          <w:rFonts w:hint="eastAsia"/>
          <w:u w:val="single"/>
        </w:rPr>
        <w:t>日修正；</w:t>
      </w:r>
    </w:p>
    <w:p>
      <w:pPr>
        <w:pStyle w:val="5"/>
        <w:ind w:left="567" w:hanging="567"/>
        <w:rPr>
          <w:u w:val="single"/>
        </w:rPr>
      </w:pPr>
      <w:r>
        <w:rPr>
          <w:rFonts w:hint="eastAsia"/>
          <w:u w:val="single"/>
        </w:rPr>
        <w:t>技术规范</w:t>
      </w:r>
    </w:p>
    <w:p>
      <w:pPr>
        <w:pStyle w:val="3"/>
        <w:ind w:firstLine="31680"/>
        <w:rPr>
          <w:u w:val="single"/>
        </w:rPr>
      </w:pPr>
      <w:r>
        <w:rPr>
          <w:rFonts w:hint="eastAsia"/>
          <w:u w:val="single"/>
        </w:rPr>
        <w:t>《环境影响评价技术导则　总纲》（</w:t>
      </w:r>
      <w:r>
        <w:rPr>
          <w:u w:val="single"/>
        </w:rPr>
        <w:t>HJ 2.1-</w:t>
      </w:r>
      <w:r>
        <w:rPr>
          <w:rFonts w:hint="eastAsia"/>
          <w:u w:val="single"/>
          <w:lang w:val="en-US" w:eastAsia="zh-CN"/>
        </w:rPr>
        <w:t>2016</w:t>
      </w:r>
      <w:r>
        <w:rPr>
          <w:rFonts w:hint="eastAsia"/>
          <w:u w:val="single"/>
        </w:rPr>
        <w:t>）</w:t>
      </w:r>
      <w:r>
        <w:rPr>
          <w:u w:val="single"/>
        </w:rPr>
        <w:t xml:space="preserve"> </w:t>
      </w:r>
      <w:r>
        <w:rPr>
          <w:rFonts w:hint="eastAsia"/>
          <w:u w:val="single"/>
          <w:lang w:val="en-US" w:eastAsia="zh-CN"/>
        </w:rPr>
        <w:t>2017.01.01实施</w:t>
      </w:r>
      <w:r>
        <w:rPr>
          <w:rFonts w:hint="eastAsia"/>
          <w:u w:val="single"/>
        </w:rPr>
        <w:t>；</w:t>
      </w:r>
    </w:p>
    <w:p>
      <w:pPr>
        <w:pStyle w:val="3"/>
        <w:ind w:firstLine="31680"/>
        <w:rPr>
          <w:u w:val="single"/>
        </w:rPr>
      </w:pPr>
      <w:r>
        <w:rPr>
          <w:rFonts w:hint="eastAsia"/>
          <w:u w:val="single"/>
        </w:rPr>
        <w:t>《环境影响评价技术导则　大气环境》（</w:t>
      </w:r>
      <w:r>
        <w:rPr>
          <w:u w:val="single"/>
        </w:rPr>
        <w:t>HJ 2.2-2008</w:t>
      </w:r>
      <w:r>
        <w:rPr>
          <w:rFonts w:hint="eastAsia"/>
          <w:u w:val="single"/>
        </w:rPr>
        <w:t>）</w:t>
      </w:r>
      <w:r>
        <w:rPr>
          <w:u w:val="single"/>
        </w:rPr>
        <w:t xml:space="preserve"> 2009.4.1</w:t>
      </w:r>
      <w:r>
        <w:rPr>
          <w:rFonts w:hint="eastAsia"/>
          <w:u w:val="single"/>
        </w:rPr>
        <w:t>；</w:t>
      </w:r>
    </w:p>
    <w:p>
      <w:pPr>
        <w:pStyle w:val="3"/>
        <w:ind w:firstLine="31680"/>
        <w:rPr>
          <w:u w:val="single"/>
        </w:rPr>
      </w:pPr>
      <w:r>
        <w:rPr>
          <w:rFonts w:hint="eastAsia"/>
          <w:u w:val="single"/>
        </w:rPr>
        <w:t>《环境影响评价技术导则　地面水环境》（</w:t>
      </w:r>
      <w:r>
        <w:rPr>
          <w:u w:val="single"/>
        </w:rPr>
        <w:t>HJ/T 2.3-1993</w:t>
      </w:r>
      <w:r>
        <w:rPr>
          <w:rFonts w:hint="eastAsia"/>
          <w:u w:val="single"/>
        </w:rPr>
        <w:t>）</w:t>
      </w:r>
      <w:r>
        <w:rPr>
          <w:u w:val="single"/>
        </w:rPr>
        <w:t xml:space="preserve"> 1994.4.1</w:t>
      </w:r>
      <w:r>
        <w:rPr>
          <w:rFonts w:hint="eastAsia"/>
          <w:u w:val="single"/>
        </w:rPr>
        <w:t>；</w:t>
      </w:r>
    </w:p>
    <w:p>
      <w:pPr>
        <w:pStyle w:val="3"/>
        <w:ind w:firstLine="31680"/>
        <w:rPr>
          <w:u w:val="single"/>
        </w:rPr>
      </w:pPr>
      <w:r>
        <w:rPr>
          <w:rFonts w:hint="eastAsia"/>
          <w:u w:val="single"/>
        </w:rPr>
        <w:t>《环境影响评价技术导则　声环境》（</w:t>
      </w:r>
      <w:r>
        <w:rPr>
          <w:u w:val="single"/>
        </w:rPr>
        <w:t>HJ 2.4-2009</w:t>
      </w:r>
      <w:r>
        <w:rPr>
          <w:rFonts w:hint="eastAsia"/>
          <w:u w:val="single"/>
        </w:rPr>
        <w:t>）</w:t>
      </w:r>
      <w:r>
        <w:rPr>
          <w:u w:val="single"/>
        </w:rPr>
        <w:t xml:space="preserve"> 2010.4.1</w:t>
      </w:r>
      <w:r>
        <w:rPr>
          <w:rFonts w:hint="eastAsia"/>
          <w:u w:val="single"/>
        </w:rPr>
        <w:t>；</w:t>
      </w:r>
    </w:p>
    <w:p>
      <w:pPr>
        <w:pStyle w:val="3"/>
        <w:ind w:firstLine="31680"/>
        <w:rPr>
          <w:u w:val="single"/>
        </w:rPr>
      </w:pPr>
      <w:r>
        <w:rPr>
          <w:rFonts w:hint="eastAsia"/>
          <w:u w:val="single"/>
        </w:rPr>
        <w:t>《环境影响评价技术导则　生态影响》（</w:t>
      </w:r>
      <w:r>
        <w:rPr>
          <w:u w:val="single"/>
        </w:rPr>
        <w:t>HJ 19-2011</w:t>
      </w:r>
      <w:r>
        <w:rPr>
          <w:rFonts w:hint="eastAsia"/>
          <w:u w:val="single"/>
        </w:rPr>
        <w:t>）</w:t>
      </w:r>
      <w:r>
        <w:rPr>
          <w:u w:val="single"/>
        </w:rPr>
        <w:t xml:space="preserve"> 2011.9.1</w:t>
      </w:r>
      <w:r>
        <w:rPr>
          <w:rFonts w:hint="eastAsia"/>
          <w:u w:val="single"/>
        </w:rPr>
        <w:t>；</w:t>
      </w:r>
    </w:p>
    <w:p>
      <w:pPr>
        <w:pStyle w:val="3"/>
        <w:ind w:firstLine="31680"/>
        <w:rPr>
          <w:u w:val="single"/>
        </w:rPr>
      </w:pPr>
      <w:r>
        <w:rPr>
          <w:rFonts w:hint="eastAsia"/>
          <w:u w:val="single"/>
        </w:rPr>
        <w:t>《环境影响评价技术导则　地下水环境》（</w:t>
      </w:r>
      <w:r>
        <w:rPr>
          <w:u w:val="single"/>
        </w:rPr>
        <w:t>HJ 610-2016</w:t>
      </w:r>
      <w:r>
        <w:rPr>
          <w:rFonts w:hint="eastAsia"/>
          <w:u w:val="single"/>
        </w:rPr>
        <w:t>）</w:t>
      </w:r>
      <w:r>
        <w:rPr>
          <w:u w:val="single"/>
        </w:rPr>
        <w:t xml:space="preserve"> 2016.1.7</w:t>
      </w:r>
      <w:r>
        <w:rPr>
          <w:rFonts w:hint="eastAsia"/>
          <w:u w:val="single"/>
        </w:rPr>
        <w:t>；</w:t>
      </w:r>
    </w:p>
    <w:p>
      <w:pPr>
        <w:pStyle w:val="3"/>
        <w:ind w:firstLine="31680"/>
        <w:rPr>
          <w:u w:val="single"/>
        </w:rPr>
      </w:pPr>
      <w:r>
        <w:rPr>
          <w:rFonts w:hint="eastAsia"/>
          <w:u w:val="single"/>
        </w:rPr>
        <w:t>《建设项目环境风险评价技术导则》（</w:t>
      </w:r>
      <w:r>
        <w:rPr>
          <w:u w:val="single"/>
        </w:rPr>
        <w:t>HJ/T 169-2004</w:t>
      </w:r>
      <w:r>
        <w:rPr>
          <w:rFonts w:hint="eastAsia"/>
          <w:u w:val="single"/>
        </w:rPr>
        <w:t>），</w:t>
      </w:r>
      <w:r>
        <w:rPr>
          <w:u w:val="single"/>
        </w:rPr>
        <w:t>2004.12.11</w:t>
      </w:r>
      <w:r>
        <w:rPr>
          <w:rFonts w:hint="eastAsia"/>
          <w:u w:val="single"/>
        </w:rPr>
        <w:t>；</w:t>
      </w:r>
    </w:p>
    <w:p>
      <w:pPr>
        <w:pStyle w:val="3"/>
        <w:ind w:firstLine="31680"/>
        <w:rPr>
          <w:rFonts w:hint="eastAsia" w:hAnsi="宋体"/>
          <w:u w:val="single"/>
        </w:rPr>
      </w:pPr>
      <w:r>
        <w:rPr>
          <w:rFonts w:hint="eastAsia" w:hAnsi="宋体"/>
          <w:u w:val="single"/>
        </w:rPr>
        <w:t>《农村饮用水源地环境保护技术指南》（</w:t>
      </w:r>
      <w:r>
        <w:rPr>
          <w:rFonts w:hAnsi="宋体"/>
          <w:u w:val="single"/>
        </w:rPr>
        <w:t>HJ 2032-2013</w:t>
      </w:r>
      <w:r>
        <w:rPr>
          <w:rFonts w:hint="eastAsia" w:hAnsi="宋体"/>
          <w:u w:val="single"/>
        </w:rPr>
        <w:t>）；</w:t>
      </w:r>
    </w:p>
    <w:p>
      <w:pPr>
        <w:pStyle w:val="3"/>
        <w:ind w:firstLine="31680"/>
        <w:rPr>
          <w:rFonts w:hint="eastAsia" w:hAnsi="宋体" w:eastAsia="宋体"/>
          <w:u w:val="single"/>
          <w:lang w:eastAsia="zh-CN"/>
        </w:rPr>
      </w:pPr>
      <w:r>
        <w:rPr>
          <w:rFonts w:hint="eastAsia" w:hAnsi="宋体"/>
          <w:u w:val="single"/>
          <w:lang w:eastAsia="zh-CN"/>
        </w:rPr>
        <w:t>《</w:t>
      </w:r>
      <w:r>
        <w:rPr>
          <w:rFonts w:hint="eastAsia" w:hAnsi="宋体"/>
          <w:u w:val="single"/>
          <w:lang w:val="en-US" w:eastAsia="zh-CN"/>
        </w:rPr>
        <w:t>饮用水水源保护区划分技术规范</w:t>
      </w:r>
      <w:r>
        <w:rPr>
          <w:rFonts w:hint="eastAsia" w:hAnsi="宋体"/>
          <w:u w:val="single"/>
          <w:lang w:eastAsia="zh-CN"/>
        </w:rPr>
        <w:t>》（</w:t>
      </w:r>
      <w:r>
        <w:rPr>
          <w:rFonts w:hint="eastAsia" w:hAnsi="宋体"/>
          <w:u w:val="single"/>
          <w:lang w:val="en-US" w:eastAsia="zh-CN"/>
        </w:rPr>
        <w:t>HJ T338-2007</w:t>
      </w:r>
      <w:r>
        <w:rPr>
          <w:rFonts w:hint="eastAsia" w:hAnsi="宋体"/>
          <w:u w:val="single"/>
          <w:lang w:eastAsia="zh-CN"/>
        </w:rPr>
        <w:t>）</w:t>
      </w:r>
    </w:p>
    <w:p>
      <w:pPr>
        <w:pStyle w:val="3"/>
        <w:ind w:firstLine="31680"/>
        <w:rPr>
          <w:u w:val="single"/>
        </w:rPr>
      </w:pPr>
      <w:r>
        <w:rPr>
          <w:rFonts w:hint="eastAsia"/>
          <w:u w:val="single"/>
        </w:rPr>
        <w:t>《公路建设项目环境影响评价规范》（</w:t>
      </w:r>
      <w:r>
        <w:rPr>
          <w:u w:val="single"/>
        </w:rPr>
        <w:t>JTG B03-2006</w:t>
      </w:r>
      <w:r>
        <w:rPr>
          <w:rFonts w:hint="eastAsia"/>
          <w:u w:val="single"/>
        </w:rPr>
        <w:t>）；</w:t>
      </w:r>
    </w:p>
    <w:p>
      <w:pPr>
        <w:pStyle w:val="3"/>
        <w:ind w:firstLine="31680"/>
        <w:rPr>
          <w:u w:val="single"/>
        </w:rPr>
      </w:pPr>
      <w:r>
        <w:rPr>
          <w:rFonts w:hint="eastAsia"/>
          <w:u w:val="single"/>
        </w:rPr>
        <w:t>《公路环境保护设计规范》（</w:t>
      </w:r>
      <w:r>
        <w:rPr>
          <w:u w:val="single"/>
        </w:rPr>
        <w:t>JTG B04-2010</w:t>
      </w:r>
      <w:r>
        <w:rPr>
          <w:rFonts w:hint="eastAsia"/>
          <w:u w:val="single"/>
        </w:rPr>
        <w:t>）；</w:t>
      </w:r>
    </w:p>
    <w:p>
      <w:pPr>
        <w:pStyle w:val="3"/>
        <w:ind w:firstLine="31680"/>
        <w:rPr>
          <w:u w:val="single"/>
        </w:rPr>
      </w:pPr>
      <w:r>
        <w:rPr>
          <w:rFonts w:hint="eastAsia"/>
          <w:u w:val="single"/>
        </w:rPr>
        <w:t>《开发建设项目水土保持技术规范》（</w:t>
      </w:r>
      <w:r>
        <w:rPr>
          <w:u w:val="single"/>
        </w:rPr>
        <w:t>GB 50433-2008</w:t>
      </w:r>
      <w:r>
        <w:rPr>
          <w:rFonts w:hint="eastAsia"/>
          <w:u w:val="single"/>
        </w:rPr>
        <w:t>）；</w:t>
      </w:r>
    </w:p>
    <w:p>
      <w:pPr>
        <w:pStyle w:val="3"/>
        <w:ind w:firstLine="31680"/>
        <w:rPr>
          <w:u w:val="single"/>
        </w:rPr>
      </w:pPr>
      <w:r>
        <w:rPr>
          <w:rFonts w:hint="eastAsia"/>
          <w:u w:val="single"/>
        </w:rPr>
        <w:t>《声环境功能区划分技术规范》（</w:t>
      </w:r>
      <w:r>
        <w:rPr>
          <w:u w:val="single"/>
        </w:rPr>
        <w:t>GB/T 15190-2014</w:t>
      </w:r>
      <w:r>
        <w:rPr>
          <w:rFonts w:hint="eastAsia"/>
          <w:u w:val="single"/>
        </w:rPr>
        <w:t>）；</w:t>
      </w:r>
    </w:p>
    <w:p>
      <w:pPr>
        <w:pStyle w:val="3"/>
        <w:ind w:firstLine="31680"/>
        <w:rPr>
          <w:u w:val="single"/>
        </w:rPr>
      </w:pPr>
      <w:r>
        <w:rPr>
          <w:rFonts w:hint="eastAsia"/>
          <w:u w:val="single"/>
        </w:rPr>
        <w:t>《湖南省主要地表水系水环境功能区划》（</w:t>
      </w:r>
      <w:r>
        <w:rPr>
          <w:u w:val="single"/>
        </w:rPr>
        <w:t>DB43/023-2005</w:t>
      </w:r>
      <w:r>
        <w:rPr>
          <w:rFonts w:hint="eastAsia"/>
          <w:u w:val="single"/>
        </w:rPr>
        <w:t>）；</w:t>
      </w:r>
    </w:p>
    <w:p>
      <w:pPr>
        <w:pStyle w:val="3"/>
        <w:ind w:firstLine="31680"/>
        <w:rPr>
          <w:rFonts w:hAnsi="宋体"/>
          <w:u w:val="single"/>
        </w:rPr>
      </w:pPr>
      <w:r>
        <w:rPr>
          <w:rFonts w:hint="eastAsia"/>
          <w:u w:val="single"/>
        </w:rPr>
        <w:t>《湖南省地方标准用水定额》（</w:t>
      </w:r>
      <w:r>
        <w:rPr>
          <w:u w:val="single"/>
        </w:rPr>
        <w:t>DB 43/T 388-2014</w:t>
      </w:r>
      <w:r>
        <w:rPr>
          <w:rFonts w:hint="eastAsia"/>
          <w:u w:val="single"/>
        </w:rPr>
        <w:t>）</w:t>
      </w:r>
      <w:r>
        <w:rPr>
          <w:u w:val="single"/>
        </w:rPr>
        <w:t xml:space="preserve"> 2014.9.1</w:t>
      </w:r>
      <w:r>
        <w:rPr>
          <w:rFonts w:hint="eastAsia" w:hAnsi="宋体"/>
          <w:u w:val="single"/>
        </w:rPr>
        <w:t>。</w:t>
      </w:r>
    </w:p>
    <w:p>
      <w:pPr>
        <w:pStyle w:val="5"/>
        <w:ind w:left="567" w:hanging="567"/>
        <w:rPr>
          <w:u w:val="single"/>
        </w:rPr>
      </w:pPr>
      <w:r>
        <w:rPr>
          <w:rFonts w:hint="eastAsia"/>
          <w:u w:val="single"/>
        </w:rPr>
        <w:t>相关规划</w:t>
      </w:r>
    </w:p>
    <w:p>
      <w:pPr>
        <w:pStyle w:val="3"/>
        <w:ind w:firstLine="31680"/>
        <w:rPr>
          <w:u w:val="single"/>
        </w:rPr>
      </w:pPr>
      <w:r>
        <w:rPr>
          <w:rFonts w:hint="eastAsia"/>
          <w:u w:val="single"/>
        </w:rPr>
        <w:t>《湖南省国民经济与社会发展第十三个五年规划纲要》</w:t>
      </w:r>
      <w:r>
        <w:rPr>
          <w:u w:val="single"/>
        </w:rPr>
        <w:t>2016.1.30</w:t>
      </w:r>
      <w:r>
        <w:rPr>
          <w:rFonts w:hint="eastAsia"/>
          <w:u w:val="single"/>
        </w:rPr>
        <w:t>；</w:t>
      </w:r>
    </w:p>
    <w:p>
      <w:pPr>
        <w:pStyle w:val="3"/>
        <w:ind w:firstLine="31680"/>
        <w:rPr>
          <w:u w:val="single"/>
        </w:rPr>
      </w:pPr>
      <w:r>
        <w:rPr>
          <w:rFonts w:hint="eastAsia"/>
          <w:u w:val="single"/>
        </w:rPr>
        <w:t>《湖南省主体功能区规划》湘政发（</w:t>
      </w:r>
      <w:r>
        <w:rPr>
          <w:u w:val="single"/>
        </w:rPr>
        <w:t>2012</w:t>
      </w:r>
      <w:r>
        <w:rPr>
          <w:rFonts w:hint="eastAsia"/>
          <w:u w:val="single"/>
        </w:rPr>
        <w:t>）</w:t>
      </w:r>
      <w:r>
        <w:rPr>
          <w:u w:val="single"/>
        </w:rPr>
        <w:t>39</w:t>
      </w:r>
      <w:r>
        <w:rPr>
          <w:rFonts w:hint="eastAsia"/>
          <w:u w:val="single"/>
        </w:rPr>
        <w:t>号；</w:t>
      </w:r>
    </w:p>
    <w:p>
      <w:pPr>
        <w:pStyle w:val="3"/>
        <w:ind w:firstLine="31680"/>
        <w:rPr>
          <w:u w:val="single"/>
        </w:rPr>
      </w:pPr>
      <w:r>
        <w:rPr>
          <w:rFonts w:hint="eastAsia"/>
          <w:u w:val="single"/>
        </w:rPr>
        <w:t>《湖南省“十三五”环境保护规划》</w:t>
      </w:r>
      <w:r>
        <w:rPr>
          <w:u w:val="single"/>
        </w:rPr>
        <w:t>2015.9</w:t>
      </w:r>
      <w:r>
        <w:rPr>
          <w:rFonts w:hint="eastAsia"/>
          <w:u w:val="single"/>
        </w:rPr>
        <w:t>；</w:t>
      </w:r>
    </w:p>
    <w:p>
      <w:pPr>
        <w:pStyle w:val="3"/>
        <w:ind w:firstLine="31680"/>
        <w:rPr>
          <w:u w:val="single"/>
        </w:rPr>
      </w:pPr>
      <w:r>
        <w:rPr>
          <w:rFonts w:hint="eastAsia"/>
          <w:u w:val="single"/>
        </w:rPr>
        <w:t>《湖南省“十三五”干线公路预备项目库》；</w:t>
      </w:r>
    </w:p>
    <w:p>
      <w:pPr>
        <w:pStyle w:val="3"/>
        <w:ind w:firstLine="31680"/>
        <w:rPr>
          <w:rFonts w:hint="eastAsia"/>
          <w:u w:val="single"/>
        </w:rPr>
      </w:pPr>
      <w:bookmarkStart w:id="32" w:name="_Toc8148"/>
      <w:bookmarkStart w:id="33" w:name="_Toc7485"/>
      <w:bookmarkStart w:id="34" w:name="_Toc219864495"/>
      <w:r>
        <w:rPr>
          <w:rFonts w:hint="eastAsia"/>
          <w:u w:val="single"/>
        </w:rPr>
        <w:t>《汨罗市土地利用总体规划（</w:t>
      </w:r>
      <w:r>
        <w:rPr>
          <w:u w:val="single"/>
        </w:rPr>
        <w:t>2006-2020</w:t>
      </w:r>
      <w:r>
        <w:rPr>
          <w:rFonts w:hint="eastAsia"/>
          <w:u w:val="single"/>
        </w:rPr>
        <w:t>年）》；</w:t>
      </w:r>
    </w:p>
    <w:p>
      <w:pPr>
        <w:pStyle w:val="3"/>
        <w:ind w:firstLine="31680"/>
        <w:rPr>
          <w:rFonts w:hint="eastAsia" w:eastAsia="宋体"/>
          <w:u w:val="single"/>
          <w:lang w:eastAsia="zh-CN"/>
        </w:rPr>
      </w:pPr>
      <w:r>
        <w:rPr>
          <w:rFonts w:hint="eastAsia"/>
          <w:u w:val="single"/>
          <w:lang w:eastAsia="zh-CN"/>
        </w:rPr>
        <w:t>《</w:t>
      </w:r>
      <w:r>
        <w:rPr>
          <w:rFonts w:hint="eastAsia"/>
          <w:u w:val="single"/>
          <w:lang w:val="en-US" w:eastAsia="zh-CN"/>
        </w:rPr>
        <w:t>汨罗（弼时）产业园总体规划（2014-2030）-道路系统规划图</w:t>
      </w:r>
      <w:r>
        <w:rPr>
          <w:rFonts w:hint="eastAsia"/>
          <w:u w:val="single"/>
          <w:lang w:eastAsia="zh-CN"/>
        </w:rPr>
        <w:t>》</w:t>
      </w:r>
    </w:p>
    <w:p>
      <w:pPr>
        <w:pStyle w:val="5"/>
        <w:ind w:left="567" w:hanging="567"/>
        <w:rPr>
          <w:u w:val="single"/>
        </w:rPr>
      </w:pPr>
      <w:r>
        <w:rPr>
          <w:rFonts w:hint="eastAsia"/>
          <w:u w:val="single"/>
        </w:rPr>
        <w:t>其它依据</w:t>
      </w:r>
      <w:bookmarkEnd w:id="32"/>
      <w:bookmarkEnd w:id="33"/>
      <w:bookmarkEnd w:id="34"/>
    </w:p>
    <w:bookmarkEnd w:id="30"/>
    <w:bookmarkEnd w:id="31"/>
    <w:p>
      <w:pPr>
        <w:spacing w:line="480" w:lineRule="exact"/>
        <w:ind w:firstLine="31680" w:firstLineChars="200"/>
        <w:rPr>
          <w:sz w:val="24"/>
          <w:u w:val="single"/>
        </w:rPr>
      </w:pPr>
      <w:bookmarkStart w:id="35" w:name="_Toc243202350"/>
      <w:bookmarkStart w:id="36" w:name="_Toc219864499"/>
      <w:bookmarkStart w:id="37" w:name="_Toc84146335"/>
      <w:bookmarkStart w:id="38" w:name="_Toc383248402"/>
      <w:bookmarkStart w:id="39" w:name="_Toc243276898"/>
      <w:bookmarkStart w:id="40" w:name="_Toc20168"/>
      <w:bookmarkStart w:id="41" w:name="_Toc18618"/>
      <w:bookmarkStart w:id="42" w:name="_Toc317762445"/>
      <w:bookmarkStart w:id="43" w:name="_Toc72202415"/>
      <w:r>
        <w:rPr>
          <w:rFonts w:hint="eastAsia"/>
          <w:sz w:val="24"/>
          <w:u w:val="single"/>
        </w:rPr>
        <w:t>（</w:t>
      </w:r>
      <w:r>
        <w:rPr>
          <w:sz w:val="24"/>
          <w:u w:val="single"/>
        </w:rPr>
        <w:t>1</w:t>
      </w:r>
      <w:r>
        <w:rPr>
          <w:rFonts w:hint="eastAsia"/>
          <w:sz w:val="24"/>
          <w:u w:val="single"/>
        </w:rPr>
        <w:t>）环境影响评价委托书，汨罗市交通建设投资有限公司，</w:t>
      </w:r>
      <w:r>
        <w:rPr>
          <w:sz w:val="24"/>
          <w:u w:val="single"/>
        </w:rPr>
        <w:t>2016.11</w:t>
      </w:r>
      <w:r>
        <w:rPr>
          <w:rFonts w:hint="eastAsia"/>
          <w:sz w:val="24"/>
          <w:u w:val="single"/>
        </w:rPr>
        <w:t>；</w:t>
      </w:r>
    </w:p>
    <w:p>
      <w:pPr>
        <w:spacing w:line="480" w:lineRule="exact"/>
        <w:ind w:firstLine="31680" w:firstLineChars="200"/>
        <w:rPr>
          <w:sz w:val="24"/>
          <w:u w:val="single"/>
        </w:rPr>
      </w:pPr>
      <w:r>
        <w:rPr>
          <w:rFonts w:hint="eastAsia"/>
          <w:sz w:val="24"/>
          <w:u w:val="single"/>
        </w:rPr>
        <w:t>（</w:t>
      </w:r>
      <w:r>
        <w:rPr>
          <w:sz w:val="24"/>
          <w:u w:val="single"/>
        </w:rPr>
        <w:t>2</w:t>
      </w:r>
      <w:r>
        <w:rPr>
          <w:rFonts w:hint="eastAsia"/>
          <w:sz w:val="24"/>
          <w:u w:val="single"/>
        </w:rPr>
        <w:t>）《弼时镇铜盆至青山铺公路工程可行性研究报告》，湖南省公路设计有限公司，</w:t>
      </w:r>
      <w:r>
        <w:rPr>
          <w:sz w:val="24"/>
          <w:u w:val="single"/>
        </w:rPr>
        <w:t>2016.11</w:t>
      </w:r>
      <w:r>
        <w:rPr>
          <w:rFonts w:hint="eastAsia"/>
          <w:sz w:val="24"/>
          <w:u w:val="single"/>
        </w:rPr>
        <w:t>；</w:t>
      </w:r>
    </w:p>
    <w:p>
      <w:pPr>
        <w:spacing w:line="480" w:lineRule="exact"/>
        <w:ind w:firstLine="31680" w:firstLineChars="200"/>
        <w:rPr>
          <w:rFonts w:hint="eastAsia"/>
          <w:sz w:val="24"/>
          <w:u w:val="single"/>
        </w:rPr>
      </w:pPr>
      <w:r>
        <w:rPr>
          <w:rFonts w:hint="eastAsia"/>
          <w:sz w:val="24"/>
          <w:u w:val="single"/>
        </w:rPr>
        <w:t>（</w:t>
      </w:r>
      <w:r>
        <w:rPr>
          <w:sz w:val="24"/>
          <w:u w:val="single"/>
        </w:rPr>
        <w:t>3</w:t>
      </w:r>
      <w:r>
        <w:rPr>
          <w:rFonts w:hint="eastAsia"/>
          <w:sz w:val="24"/>
          <w:u w:val="single"/>
        </w:rPr>
        <w:t>）《汨罗市环境保护局关于汨罗市弼时镇铜盆至青山铺公路工程环境影响评价执行标准的复函》，汨罗市环境保护局，2016.12；</w:t>
      </w:r>
    </w:p>
    <w:p>
      <w:pPr>
        <w:spacing w:line="480" w:lineRule="exact"/>
        <w:ind w:firstLine="31680" w:firstLineChars="200"/>
        <w:rPr>
          <w:rFonts w:hint="eastAsia"/>
          <w:sz w:val="24"/>
          <w:u w:val="single"/>
          <w:lang w:eastAsia="zh-CN"/>
        </w:rPr>
      </w:pPr>
      <w:r>
        <w:rPr>
          <w:rFonts w:hint="eastAsia"/>
          <w:sz w:val="24"/>
          <w:u w:val="single"/>
          <w:lang w:eastAsia="zh-CN"/>
        </w:rPr>
        <w:t>（</w:t>
      </w:r>
      <w:r>
        <w:rPr>
          <w:rFonts w:hint="eastAsia"/>
          <w:sz w:val="24"/>
          <w:u w:val="single"/>
          <w:lang w:val="en-US" w:eastAsia="zh-CN"/>
        </w:rPr>
        <w:t>4</w:t>
      </w:r>
      <w:r>
        <w:rPr>
          <w:rFonts w:hint="eastAsia"/>
          <w:sz w:val="24"/>
          <w:u w:val="single"/>
          <w:lang w:eastAsia="zh-CN"/>
        </w:rPr>
        <w:t>）</w:t>
      </w:r>
      <w:r>
        <w:rPr>
          <w:rFonts w:hint="eastAsia"/>
          <w:sz w:val="24"/>
          <w:u w:val="single"/>
        </w:rPr>
        <w:t>岳阳市环境保护局岳环评【2016】12号《关于汨罗市普乐投资开发有限公司长沙经开区汨罗产业园给水厂工程环境影响报告书的批复》</w:t>
      </w:r>
    </w:p>
    <w:p>
      <w:pPr>
        <w:spacing w:line="480" w:lineRule="exact"/>
        <w:ind w:firstLine="31680" w:firstLineChars="200"/>
        <w:rPr>
          <w:sz w:val="24"/>
          <w:u w:val="single"/>
        </w:rPr>
      </w:pPr>
      <w:r>
        <w:rPr>
          <w:rFonts w:hint="eastAsia"/>
          <w:sz w:val="24"/>
          <w:u w:val="single"/>
        </w:rPr>
        <w:t>（</w:t>
      </w:r>
      <w:r>
        <w:rPr>
          <w:rFonts w:hint="eastAsia"/>
          <w:sz w:val="24"/>
          <w:u w:val="single"/>
          <w:lang w:val="en-US" w:eastAsia="zh-CN"/>
        </w:rPr>
        <w:t>5</w:t>
      </w:r>
      <w:r>
        <w:rPr>
          <w:rFonts w:hint="eastAsia"/>
          <w:sz w:val="24"/>
          <w:u w:val="single"/>
        </w:rPr>
        <w:t>）建设单位提供的其它有关资料。</w:t>
      </w:r>
    </w:p>
    <w:p>
      <w:pPr>
        <w:pStyle w:val="4"/>
        <w:ind w:left="426" w:hanging="426"/>
      </w:pPr>
      <w:bookmarkStart w:id="44" w:name="_Toc26185"/>
      <w:r>
        <w:rPr>
          <w:rFonts w:hint="eastAsia"/>
        </w:rPr>
        <w:t>评价等级及范围</w:t>
      </w:r>
      <w:bookmarkEnd w:id="44"/>
    </w:p>
    <w:p>
      <w:pPr>
        <w:pStyle w:val="5"/>
        <w:ind w:left="567" w:hanging="567"/>
      </w:pPr>
      <w:r>
        <w:rPr>
          <w:rFonts w:hint="eastAsia"/>
        </w:rPr>
        <w:t>评价等级</w:t>
      </w:r>
    </w:p>
    <w:p>
      <w:pPr>
        <w:pStyle w:val="3"/>
        <w:ind w:firstLine="31680"/>
      </w:pPr>
      <w:r>
        <w:rPr>
          <w:rFonts w:hint="eastAsia"/>
        </w:rPr>
        <w:t>根据工程的特点、工程所在地区的环境特征和环境区划功能，按照《环境影响评价技术导则》所规定的方法，本工程环境影响评价等级见表</w:t>
      </w:r>
      <w:r>
        <w:t>2.3-1</w:t>
      </w:r>
      <w:r>
        <w:rPr>
          <w:rFonts w:hint="eastAsia"/>
        </w:rPr>
        <w:t>。</w:t>
      </w:r>
    </w:p>
    <w:p>
      <w:pPr>
        <w:pStyle w:val="19"/>
        <w:jc w:val="center"/>
        <w:rPr>
          <w:rFonts w:hint="eastAsia"/>
        </w:rPr>
      </w:pPr>
    </w:p>
    <w:p>
      <w:pPr>
        <w:pStyle w:val="19"/>
        <w:jc w:val="center"/>
        <w:rPr>
          <w:rFonts w:hint="eastAsia"/>
        </w:rPr>
      </w:pPr>
    </w:p>
    <w:p>
      <w:pPr>
        <w:pStyle w:val="19"/>
        <w:jc w:val="center"/>
      </w:pPr>
      <w:r>
        <w:rPr>
          <w:rFonts w:hint="eastAsia"/>
        </w:rPr>
        <w:t>表</w:t>
      </w:r>
      <w:r>
        <w:t xml:space="preserve">2.3-1  </w:t>
      </w:r>
      <w:r>
        <w:rPr>
          <w:rFonts w:hint="eastAsia"/>
        </w:rPr>
        <w:t>环境影响评价等级表</w:t>
      </w:r>
    </w:p>
    <w:tbl>
      <w:tblPr>
        <w:tblStyle w:val="6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626"/>
        <w:gridCol w:w="4196"/>
        <w:gridCol w:w="3141"/>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blHeader/>
        </w:trPr>
        <w:tc>
          <w:tcPr>
            <w:tcW w:w="616" w:type="dxa"/>
            <w:vAlign w:val="center"/>
          </w:tcPr>
          <w:p>
            <w:pPr>
              <w:pStyle w:val="112"/>
              <w:rPr>
                <w:kern w:val="2"/>
                <w:sz w:val="18"/>
                <w:szCs w:val="18"/>
              </w:rPr>
            </w:pPr>
            <w:r>
              <w:rPr>
                <w:rFonts w:hint="eastAsia"/>
                <w:kern w:val="2"/>
                <w:sz w:val="18"/>
                <w:szCs w:val="18"/>
              </w:rPr>
              <w:t>序号</w:t>
            </w:r>
          </w:p>
        </w:tc>
        <w:tc>
          <w:tcPr>
            <w:tcW w:w="626" w:type="dxa"/>
            <w:vAlign w:val="center"/>
          </w:tcPr>
          <w:p>
            <w:pPr>
              <w:pStyle w:val="112"/>
              <w:rPr>
                <w:kern w:val="2"/>
                <w:sz w:val="18"/>
                <w:szCs w:val="18"/>
              </w:rPr>
            </w:pPr>
            <w:r>
              <w:rPr>
                <w:rFonts w:hint="eastAsia"/>
                <w:kern w:val="2"/>
                <w:sz w:val="18"/>
                <w:szCs w:val="18"/>
              </w:rPr>
              <w:t>环境</w:t>
            </w:r>
          </w:p>
          <w:p>
            <w:pPr>
              <w:pStyle w:val="112"/>
              <w:rPr>
                <w:kern w:val="2"/>
                <w:sz w:val="18"/>
                <w:szCs w:val="18"/>
              </w:rPr>
            </w:pPr>
            <w:r>
              <w:rPr>
                <w:rFonts w:hint="eastAsia"/>
                <w:kern w:val="2"/>
                <w:sz w:val="18"/>
                <w:szCs w:val="18"/>
              </w:rPr>
              <w:t>因素</w:t>
            </w:r>
          </w:p>
        </w:tc>
        <w:tc>
          <w:tcPr>
            <w:tcW w:w="4196" w:type="dxa"/>
            <w:vAlign w:val="center"/>
          </w:tcPr>
          <w:p>
            <w:pPr>
              <w:pStyle w:val="112"/>
              <w:rPr>
                <w:kern w:val="2"/>
                <w:sz w:val="18"/>
                <w:szCs w:val="18"/>
              </w:rPr>
            </w:pPr>
            <w:r>
              <w:rPr>
                <w:rFonts w:hint="eastAsia"/>
                <w:kern w:val="2"/>
                <w:sz w:val="18"/>
                <w:szCs w:val="18"/>
              </w:rPr>
              <w:t>工程特征及环境特征</w:t>
            </w:r>
          </w:p>
        </w:tc>
        <w:tc>
          <w:tcPr>
            <w:tcW w:w="3141" w:type="dxa"/>
            <w:vAlign w:val="center"/>
          </w:tcPr>
          <w:p>
            <w:pPr>
              <w:pStyle w:val="112"/>
              <w:rPr>
                <w:kern w:val="2"/>
                <w:sz w:val="18"/>
                <w:szCs w:val="18"/>
              </w:rPr>
            </w:pPr>
            <w:r>
              <w:rPr>
                <w:rFonts w:hint="eastAsia"/>
                <w:kern w:val="2"/>
                <w:sz w:val="18"/>
                <w:szCs w:val="18"/>
              </w:rPr>
              <w:t>判别依据</w:t>
            </w:r>
          </w:p>
        </w:tc>
        <w:tc>
          <w:tcPr>
            <w:tcW w:w="708" w:type="dxa"/>
            <w:vAlign w:val="center"/>
          </w:tcPr>
          <w:p>
            <w:pPr>
              <w:pStyle w:val="112"/>
              <w:rPr>
                <w:kern w:val="2"/>
                <w:sz w:val="18"/>
                <w:szCs w:val="18"/>
              </w:rPr>
            </w:pPr>
            <w:r>
              <w:rPr>
                <w:rFonts w:hint="eastAsia"/>
                <w:kern w:val="2"/>
                <w:sz w:val="18"/>
                <w:szCs w:val="18"/>
              </w:rPr>
              <w:t>环评</w:t>
            </w:r>
          </w:p>
          <w:p>
            <w:pPr>
              <w:pStyle w:val="112"/>
              <w:rPr>
                <w:kern w:val="2"/>
                <w:sz w:val="18"/>
                <w:szCs w:val="18"/>
              </w:rPr>
            </w:pPr>
            <w:r>
              <w:rPr>
                <w:rFonts w:hint="eastAsia"/>
                <w:kern w:val="2"/>
                <w:sz w:val="18"/>
                <w:szCs w:val="18"/>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16" w:type="dxa"/>
            <w:vAlign w:val="center"/>
          </w:tcPr>
          <w:p>
            <w:pPr>
              <w:pStyle w:val="112"/>
              <w:rPr>
                <w:kern w:val="2"/>
                <w:sz w:val="18"/>
                <w:szCs w:val="18"/>
              </w:rPr>
            </w:pPr>
            <w:r>
              <w:rPr>
                <w:kern w:val="2"/>
                <w:sz w:val="18"/>
                <w:szCs w:val="18"/>
              </w:rPr>
              <w:t>1</w:t>
            </w:r>
          </w:p>
        </w:tc>
        <w:tc>
          <w:tcPr>
            <w:tcW w:w="626" w:type="dxa"/>
            <w:vAlign w:val="center"/>
          </w:tcPr>
          <w:p>
            <w:pPr>
              <w:pStyle w:val="112"/>
              <w:rPr>
                <w:kern w:val="2"/>
                <w:sz w:val="18"/>
                <w:szCs w:val="18"/>
              </w:rPr>
            </w:pPr>
            <w:r>
              <w:rPr>
                <w:rFonts w:hint="eastAsia"/>
                <w:kern w:val="2"/>
                <w:sz w:val="18"/>
                <w:szCs w:val="18"/>
              </w:rPr>
              <w:t>地面水环境</w:t>
            </w:r>
          </w:p>
        </w:tc>
        <w:tc>
          <w:tcPr>
            <w:tcW w:w="4196" w:type="dxa"/>
            <w:vAlign w:val="center"/>
          </w:tcPr>
          <w:p>
            <w:pPr>
              <w:pStyle w:val="112"/>
              <w:rPr>
                <w:kern w:val="2"/>
                <w:sz w:val="18"/>
                <w:szCs w:val="18"/>
              </w:rPr>
            </w:pPr>
            <w:r>
              <w:rPr>
                <w:rFonts w:hint="eastAsia"/>
                <w:kern w:val="2"/>
                <w:sz w:val="18"/>
                <w:szCs w:val="18"/>
              </w:rPr>
              <w:t>本工程全线新建跨沿途无名小溪桥梁</w:t>
            </w:r>
            <w:r>
              <w:rPr>
                <w:kern w:val="2"/>
                <w:sz w:val="18"/>
                <w:szCs w:val="18"/>
              </w:rPr>
              <w:t>2</w:t>
            </w:r>
            <w:r>
              <w:rPr>
                <w:rFonts w:hint="eastAsia"/>
                <w:kern w:val="2"/>
                <w:sz w:val="18"/>
                <w:szCs w:val="18"/>
              </w:rPr>
              <w:t>座（樟树塘、范家屋场两座中桥），新建桥梁涉及水下施工。本工程涉及的主要地表水域除大里塘水库以外，均执行《地表水环境质量标准》（</w:t>
            </w:r>
            <w:r>
              <w:rPr>
                <w:kern w:val="2"/>
                <w:sz w:val="18"/>
                <w:szCs w:val="18"/>
              </w:rPr>
              <w:t>GB3838-2002</w:t>
            </w:r>
            <w:r>
              <w:rPr>
                <w:rFonts w:hint="eastAsia"/>
                <w:kern w:val="2"/>
                <w:sz w:val="18"/>
                <w:szCs w:val="18"/>
              </w:rPr>
              <w:t>）Ⅲ类标准；项目沿线西侧</w:t>
            </w:r>
            <w:r>
              <w:rPr>
                <w:kern w:val="2"/>
                <w:sz w:val="18"/>
                <w:szCs w:val="18"/>
              </w:rPr>
              <w:t>93</w:t>
            </w:r>
          </w:p>
          <w:p>
            <w:pPr>
              <w:pStyle w:val="112"/>
              <w:rPr>
                <w:color w:val="FF0000"/>
                <w:kern w:val="2"/>
                <w:sz w:val="18"/>
                <w:szCs w:val="18"/>
              </w:rPr>
            </w:pPr>
            <w:r>
              <w:rPr>
                <w:kern w:val="2"/>
                <w:sz w:val="18"/>
                <w:szCs w:val="18"/>
              </w:rPr>
              <w:t>m</w:t>
            </w:r>
            <w:r>
              <w:rPr>
                <w:rFonts w:hint="eastAsia"/>
                <w:kern w:val="2"/>
                <w:sz w:val="18"/>
                <w:szCs w:val="18"/>
              </w:rPr>
              <w:t>处大里塘水库为长沙经开区汨罗产业园区水源调蓄水库，属于饮用水源一级保护区，执行《地表水环境质量标准》（</w:t>
            </w:r>
            <w:r>
              <w:rPr>
                <w:kern w:val="2"/>
                <w:sz w:val="18"/>
                <w:szCs w:val="18"/>
              </w:rPr>
              <w:t>GB3838-2002</w:t>
            </w:r>
            <w:r>
              <w:rPr>
                <w:rFonts w:hint="eastAsia"/>
                <w:kern w:val="2"/>
                <w:sz w:val="18"/>
                <w:szCs w:val="18"/>
              </w:rPr>
              <w:t>）Ⅱ类标准；施工期污水排放量很小，以施工人员生活污水为主，主要污染因子是</w:t>
            </w:r>
            <w:r>
              <w:rPr>
                <w:kern w:val="2"/>
                <w:sz w:val="18"/>
                <w:szCs w:val="18"/>
              </w:rPr>
              <w:t>COD</w:t>
            </w:r>
            <w:r>
              <w:rPr>
                <w:rFonts w:hint="eastAsia"/>
                <w:kern w:val="2"/>
                <w:sz w:val="18"/>
                <w:szCs w:val="18"/>
              </w:rPr>
              <w:t>、氨氮、动植物油、粪大肠菌群等，水质复杂程度为简单</w:t>
            </w:r>
          </w:p>
        </w:tc>
        <w:tc>
          <w:tcPr>
            <w:tcW w:w="3141" w:type="dxa"/>
            <w:vAlign w:val="center"/>
          </w:tcPr>
          <w:p>
            <w:pPr>
              <w:pStyle w:val="112"/>
              <w:rPr>
                <w:kern w:val="2"/>
                <w:sz w:val="18"/>
                <w:szCs w:val="18"/>
              </w:rPr>
            </w:pPr>
            <w:r>
              <w:rPr>
                <w:rFonts w:hint="eastAsia"/>
                <w:kern w:val="2"/>
                <w:sz w:val="18"/>
                <w:szCs w:val="18"/>
              </w:rPr>
              <w:t>本工程沿途不设收费站、服务区，依据《环境影响评价技术导则地面水》（</w:t>
            </w:r>
            <w:r>
              <w:rPr>
                <w:kern w:val="2"/>
                <w:sz w:val="18"/>
                <w:szCs w:val="18"/>
              </w:rPr>
              <w:t>HJ/T2.3-1993</w:t>
            </w:r>
            <w:r>
              <w:rPr>
                <w:rFonts w:hint="eastAsia"/>
                <w:kern w:val="2"/>
                <w:sz w:val="18"/>
                <w:szCs w:val="18"/>
              </w:rPr>
              <w:t>）</w:t>
            </w:r>
            <w:r>
              <w:rPr>
                <w:kern w:val="2"/>
                <w:sz w:val="18"/>
                <w:szCs w:val="18"/>
              </w:rPr>
              <w:t>“</w:t>
            </w:r>
            <w:r>
              <w:rPr>
                <w:rFonts w:hint="eastAsia"/>
                <w:kern w:val="2"/>
                <w:sz w:val="18"/>
                <w:szCs w:val="18"/>
              </w:rPr>
              <w:t>表</w:t>
            </w:r>
            <w:r>
              <w:rPr>
                <w:kern w:val="2"/>
                <w:sz w:val="18"/>
                <w:szCs w:val="18"/>
              </w:rPr>
              <w:t>2</w:t>
            </w:r>
            <w:r>
              <w:rPr>
                <w:rFonts w:hint="eastAsia"/>
                <w:kern w:val="2"/>
                <w:sz w:val="18"/>
                <w:szCs w:val="18"/>
              </w:rPr>
              <w:t>地面水环境影响评价分级判据</w:t>
            </w:r>
            <w:r>
              <w:rPr>
                <w:kern w:val="2"/>
                <w:sz w:val="18"/>
                <w:szCs w:val="18"/>
              </w:rPr>
              <w:t>”</w:t>
            </w:r>
          </w:p>
        </w:tc>
        <w:tc>
          <w:tcPr>
            <w:tcW w:w="708" w:type="dxa"/>
            <w:vAlign w:val="center"/>
          </w:tcPr>
          <w:p>
            <w:pPr>
              <w:pStyle w:val="112"/>
              <w:rPr>
                <w:kern w:val="2"/>
                <w:sz w:val="18"/>
                <w:szCs w:val="18"/>
              </w:rPr>
            </w:pPr>
            <w:r>
              <w:rPr>
                <w:rFonts w:hint="eastAsia"/>
                <w:kern w:val="2"/>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16" w:type="dxa"/>
            <w:vAlign w:val="center"/>
          </w:tcPr>
          <w:p>
            <w:pPr>
              <w:pStyle w:val="112"/>
              <w:rPr>
                <w:kern w:val="2"/>
                <w:sz w:val="18"/>
                <w:szCs w:val="18"/>
              </w:rPr>
            </w:pPr>
            <w:r>
              <w:rPr>
                <w:kern w:val="2"/>
                <w:sz w:val="18"/>
                <w:szCs w:val="18"/>
              </w:rPr>
              <w:t>2</w:t>
            </w:r>
          </w:p>
        </w:tc>
        <w:tc>
          <w:tcPr>
            <w:tcW w:w="626" w:type="dxa"/>
            <w:vAlign w:val="center"/>
          </w:tcPr>
          <w:p>
            <w:pPr>
              <w:pStyle w:val="112"/>
              <w:rPr>
                <w:color w:val="auto"/>
                <w:kern w:val="2"/>
                <w:sz w:val="18"/>
                <w:szCs w:val="18"/>
              </w:rPr>
            </w:pPr>
            <w:r>
              <w:rPr>
                <w:rFonts w:hint="eastAsia"/>
                <w:color w:val="auto"/>
                <w:kern w:val="2"/>
                <w:sz w:val="18"/>
                <w:szCs w:val="18"/>
              </w:rPr>
              <w:t>大气</w:t>
            </w:r>
          </w:p>
          <w:p>
            <w:pPr>
              <w:pStyle w:val="112"/>
              <w:rPr>
                <w:color w:val="auto"/>
                <w:kern w:val="2"/>
                <w:sz w:val="18"/>
                <w:szCs w:val="18"/>
              </w:rPr>
            </w:pPr>
            <w:r>
              <w:rPr>
                <w:rFonts w:hint="eastAsia"/>
                <w:color w:val="auto"/>
                <w:kern w:val="2"/>
                <w:sz w:val="18"/>
                <w:szCs w:val="18"/>
              </w:rPr>
              <w:t>环境</w:t>
            </w:r>
          </w:p>
        </w:tc>
        <w:tc>
          <w:tcPr>
            <w:tcW w:w="4196" w:type="dxa"/>
            <w:vAlign w:val="center"/>
          </w:tcPr>
          <w:p>
            <w:pPr>
              <w:pStyle w:val="112"/>
              <w:rPr>
                <w:color w:val="auto"/>
                <w:kern w:val="2"/>
                <w:sz w:val="18"/>
                <w:szCs w:val="18"/>
              </w:rPr>
            </w:pPr>
            <w:r>
              <w:rPr>
                <w:rFonts w:hint="eastAsia"/>
                <w:color w:val="auto"/>
                <w:kern w:val="2"/>
                <w:sz w:val="18"/>
                <w:szCs w:val="18"/>
              </w:rPr>
              <w:t>本项目选取</w:t>
            </w:r>
            <w:r>
              <w:rPr>
                <w:color w:val="auto"/>
                <w:kern w:val="2"/>
                <w:sz w:val="18"/>
                <w:szCs w:val="18"/>
              </w:rPr>
              <w:t>NO</w:t>
            </w:r>
            <w:r>
              <w:rPr>
                <w:color w:val="auto"/>
                <w:kern w:val="2"/>
                <w:sz w:val="18"/>
                <w:szCs w:val="18"/>
                <w:vertAlign w:val="subscript"/>
              </w:rPr>
              <w:t>x</w:t>
            </w:r>
            <w:r>
              <w:rPr>
                <w:rFonts w:hint="eastAsia"/>
                <w:color w:val="auto"/>
                <w:kern w:val="2"/>
                <w:sz w:val="18"/>
                <w:szCs w:val="18"/>
              </w:rPr>
              <w:t>、</w:t>
            </w:r>
            <w:r>
              <w:rPr>
                <w:color w:val="auto"/>
                <w:kern w:val="2"/>
                <w:sz w:val="18"/>
                <w:szCs w:val="18"/>
              </w:rPr>
              <w:t>CO</w:t>
            </w:r>
            <w:r>
              <w:rPr>
                <w:rFonts w:hint="eastAsia"/>
                <w:color w:val="auto"/>
                <w:kern w:val="2"/>
                <w:sz w:val="18"/>
                <w:szCs w:val="18"/>
              </w:rPr>
              <w:t>作为主要污染物，计算其等标排放量</w:t>
            </w:r>
            <w:r>
              <w:rPr>
                <w:color w:val="auto"/>
                <w:kern w:val="2"/>
                <w:sz w:val="18"/>
                <w:szCs w:val="18"/>
              </w:rPr>
              <w:t>Pmax</w:t>
            </w:r>
            <w:r>
              <w:rPr>
                <w:rFonts w:hint="eastAsia"/>
                <w:color w:val="auto"/>
                <w:kern w:val="2"/>
                <w:sz w:val="18"/>
                <w:szCs w:val="18"/>
              </w:rPr>
              <w:t>均小于</w:t>
            </w:r>
            <w:r>
              <w:rPr>
                <w:color w:val="auto"/>
                <w:kern w:val="2"/>
                <w:sz w:val="18"/>
                <w:szCs w:val="18"/>
              </w:rPr>
              <w:t>10%</w:t>
            </w:r>
            <w:r>
              <w:rPr>
                <w:rFonts w:hint="eastAsia"/>
                <w:color w:val="auto"/>
                <w:kern w:val="2"/>
                <w:sz w:val="18"/>
                <w:szCs w:val="18"/>
              </w:rPr>
              <w:t>。</w:t>
            </w:r>
          </w:p>
        </w:tc>
        <w:tc>
          <w:tcPr>
            <w:tcW w:w="3141" w:type="dxa"/>
            <w:vAlign w:val="center"/>
          </w:tcPr>
          <w:p>
            <w:pPr>
              <w:pStyle w:val="112"/>
              <w:rPr>
                <w:kern w:val="2"/>
                <w:sz w:val="18"/>
                <w:szCs w:val="18"/>
                <w:highlight w:val="yellow"/>
              </w:rPr>
            </w:pPr>
            <w:r>
              <w:rPr>
                <w:rFonts w:hint="eastAsia"/>
                <w:kern w:val="2"/>
                <w:sz w:val="18"/>
                <w:szCs w:val="18"/>
              </w:rPr>
              <w:t>《环境影响评价技术导则大气环境》（</w:t>
            </w:r>
            <w:r>
              <w:rPr>
                <w:kern w:val="2"/>
                <w:sz w:val="18"/>
                <w:szCs w:val="18"/>
              </w:rPr>
              <w:t>HJ2.2-2008</w:t>
            </w:r>
            <w:r>
              <w:rPr>
                <w:rFonts w:hint="eastAsia"/>
                <w:kern w:val="2"/>
                <w:sz w:val="18"/>
                <w:szCs w:val="18"/>
              </w:rPr>
              <w:t>）规定：</w:t>
            </w:r>
            <w:r>
              <w:rPr>
                <w:kern w:val="2"/>
                <w:sz w:val="18"/>
                <w:szCs w:val="18"/>
              </w:rPr>
              <w:t>“5.3.2.3.6</w:t>
            </w:r>
            <w:r>
              <w:rPr>
                <w:rFonts w:hint="eastAsia"/>
                <w:kern w:val="2"/>
                <w:sz w:val="18"/>
                <w:szCs w:val="18"/>
              </w:rPr>
              <w:t>对于公路、铁路等项目，应分别按项目沿线主要集中式排放源（如服务区、车站等大气污染源）排放的污染物计算其评价等级。</w:t>
            </w:r>
            <w:r>
              <w:rPr>
                <w:kern w:val="2"/>
                <w:sz w:val="18"/>
                <w:szCs w:val="18"/>
              </w:rPr>
              <w:t>”</w:t>
            </w:r>
          </w:p>
        </w:tc>
        <w:tc>
          <w:tcPr>
            <w:tcW w:w="708" w:type="dxa"/>
            <w:vAlign w:val="center"/>
          </w:tcPr>
          <w:p>
            <w:pPr>
              <w:pStyle w:val="112"/>
              <w:rPr>
                <w:kern w:val="2"/>
                <w:sz w:val="18"/>
                <w:szCs w:val="18"/>
                <w:highlight w:val="yellow"/>
              </w:rPr>
            </w:pPr>
            <w:r>
              <w:rPr>
                <w:rFonts w:hint="eastAsia"/>
                <w:kern w:val="2"/>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16" w:type="dxa"/>
            <w:vAlign w:val="center"/>
          </w:tcPr>
          <w:p>
            <w:pPr>
              <w:pStyle w:val="112"/>
              <w:rPr>
                <w:kern w:val="2"/>
                <w:sz w:val="18"/>
                <w:szCs w:val="18"/>
              </w:rPr>
            </w:pPr>
            <w:r>
              <w:rPr>
                <w:kern w:val="2"/>
                <w:sz w:val="18"/>
                <w:szCs w:val="18"/>
              </w:rPr>
              <w:t>3</w:t>
            </w:r>
          </w:p>
        </w:tc>
        <w:tc>
          <w:tcPr>
            <w:tcW w:w="626" w:type="dxa"/>
            <w:vAlign w:val="center"/>
          </w:tcPr>
          <w:p>
            <w:pPr>
              <w:pStyle w:val="112"/>
              <w:rPr>
                <w:kern w:val="2"/>
                <w:sz w:val="18"/>
                <w:szCs w:val="18"/>
              </w:rPr>
            </w:pPr>
            <w:r>
              <w:rPr>
                <w:rFonts w:hint="eastAsia"/>
                <w:kern w:val="2"/>
                <w:sz w:val="18"/>
                <w:szCs w:val="18"/>
              </w:rPr>
              <w:t>声环境</w:t>
            </w:r>
          </w:p>
        </w:tc>
        <w:tc>
          <w:tcPr>
            <w:tcW w:w="4196" w:type="dxa"/>
            <w:vAlign w:val="center"/>
          </w:tcPr>
          <w:p>
            <w:pPr>
              <w:pStyle w:val="112"/>
              <w:rPr>
                <w:kern w:val="2"/>
                <w:sz w:val="18"/>
                <w:szCs w:val="18"/>
              </w:rPr>
            </w:pPr>
            <w:r>
              <w:rPr>
                <w:rFonts w:hint="eastAsia"/>
                <w:sz w:val="18"/>
                <w:szCs w:val="18"/>
              </w:rPr>
              <w:t>本工程沿线区域声环境功能区为《声环境质量标准》（</w:t>
            </w:r>
            <w:r>
              <w:rPr>
                <w:sz w:val="18"/>
                <w:szCs w:val="18"/>
              </w:rPr>
              <w:t>GB3096-2008</w:t>
            </w:r>
            <w:r>
              <w:rPr>
                <w:rFonts w:hint="eastAsia"/>
                <w:sz w:val="18"/>
                <w:szCs w:val="18"/>
              </w:rPr>
              <w:t>）规定的</w:t>
            </w:r>
            <w:r>
              <w:rPr>
                <w:sz w:val="18"/>
                <w:szCs w:val="18"/>
              </w:rPr>
              <w:t>2</w:t>
            </w:r>
            <w:r>
              <w:rPr>
                <w:rFonts w:hint="eastAsia"/>
                <w:sz w:val="18"/>
                <w:szCs w:val="18"/>
              </w:rPr>
              <w:t>类、</w:t>
            </w:r>
            <w:r>
              <w:rPr>
                <w:sz w:val="18"/>
                <w:szCs w:val="18"/>
              </w:rPr>
              <w:t>4a</w:t>
            </w:r>
            <w:r>
              <w:rPr>
                <w:rFonts w:hint="eastAsia"/>
                <w:sz w:val="18"/>
                <w:szCs w:val="18"/>
              </w:rPr>
              <w:t>类地区。</w:t>
            </w:r>
          </w:p>
        </w:tc>
        <w:tc>
          <w:tcPr>
            <w:tcW w:w="3141" w:type="dxa"/>
            <w:vAlign w:val="center"/>
          </w:tcPr>
          <w:p>
            <w:pPr>
              <w:pStyle w:val="112"/>
              <w:rPr>
                <w:kern w:val="2"/>
                <w:sz w:val="18"/>
                <w:szCs w:val="18"/>
              </w:rPr>
            </w:pPr>
            <w:r>
              <w:rPr>
                <w:rFonts w:hint="eastAsia"/>
                <w:kern w:val="2"/>
                <w:sz w:val="18"/>
                <w:szCs w:val="18"/>
              </w:rPr>
              <w:t>《环境影响评价技术导则声环境》（</w:t>
            </w:r>
            <w:r>
              <w:rPr>
                <w:kern w:val="2"/>
                <w:sz w:val="18"/>
                <w:szCs w:val="18"/>
              </w:rPr>
              <w:t>HJ2.4-2009</w:t>
            </w:r>
            <w:r>
              <w:rPr>
                <w:rFonts w:hint="eastAsia"/>
                <w:kern w:val="2"/>
                <w:sz w:val="18"/>
                <w:szCs w:val="18"/>
              </w:rPr>
              <w:t>）</w:t>
            </w:r>
            <w:r>
              <w:rPr>
                <w:kern w:val="2"/>
                <w:sz w:val="18"/>
                <w:szCs w:val="18"/>
              </w:rPr>
              <w:t>“5.2.3</w:t>
            </w:r>
            <w:r>
              <w:rPr>
                <w:rFonts w:hint="eastAsia"/>
                <w:kern w:val="2"/>
                <w:sz w:val="18"/>
                <w:szCs w:val="18"/>
              </w:rPr>
              <w:t>建设项目所处的声环境功能区为</w:t>
            </w:r>
            <w:r>
              <w:rPr>
                <w:kern w:val="2"/>
                <w:sz w:val="18"/>
                <w:szCs w:val="18"/>
              </w:rPr>
              <w:t xml:space="preserve">GB3096 </w:t>
            </w:r>
            <w:r>
              <w:rPr>
                <w:rFonts w:hint="eastAsia"/>
                <w:kern w:val="2"/>
                <w:sz w:val="18"/>
                <w:szCs w:val="18"/>
              </w:rPr>
              <w:t>规定的</w:t>
            </w:r>
            <w:r>
              <w:rPr>
                <w:kern w:val="2"/>
                <w:sz w:val="18"/>
                <w:szCs w:val="18"/>
              </w:rPr>
              <w:t>2</w:t>
            </w:r>
            <w:r>
              <w:rPr>
                <w:rFonts w:hint="eastAsia"/>
                <w:kern w:val="2"/>
                <w:sz w:val="18"/>
                <w:szCs w:val="18"/>
              </w:rPr>
              <w:t>类地区，或建设项目建设前后评价范围内敏感目标噪声级增高量达</w:t>
            </w:r>
            <w:r>
              <w:rPr>
                <w:kern w:val="2"/>
                <w:sz w:val="18"/>
                <w:szCs w:val="18"/>
              </w:rPr>
              <w:t>3dB(A)</w:t>
            </w:r>
            <w:r>
              <w:rPr>
                <w:rFonts w:hint="eastAsia"/>
                <w:kern w:val="2"/>
                <w:sz w:val="18"/>
                <w:szCs w:val="18"/>
              </w:rPr>
              <w:t>～</w:t>
            </w:r>
            <w:r>
              <w:rPr>
                <w:kern w:val="2"/>
                <w:sz w:val="18"/>
                <w:szCs w:val="18"/>
              </w:rPr>
              <w:t>5dB(A)</w:t>
            </w:r>
            <w:r>
              <w:rPr>
                <w:rFonts w:hint="eastAsia"/>
                <w:kern w:val="2"/>
                <w:sz w:val="18"/>
                <w:szCs w:val="18"/>
              </w:rPr>
              <w:t>（含</w:t>
            </w:r>
            <w:r>
              <w:rPr>
                <w:kern w:val="2"/>
                <w:sz w:val="18"/>
                <w:szCs w:val="18"/>
              </w:rPr>
              <w:t>5dB(A)</w:t>
            </w:r>
            <w:r>
              <w:rPr>
                <w:rFonts w:hint="eastAsia"/>
                <w:kern w:val="2"/>
                <w:sz w:val="18"/>
                <w:szCs w:val="18"/>
              </w:rPr>
              <w:t>），或受噪声影响人口数量增加较多时，按二级评价。</w:t>
            </w:r>
          </w:p>
        </w:tc>
        <w:tc>
          <w:tcPr>
            <w:tcW w:w="708" w:type="dxa"/>
            <w:vAlign w:val="center"/>
          </w:tcPr>
          <w:p>
            <w:pPr>
              <w:pStyle w:val="112"/>
              <w:rPr>
                <w:kern w:val="2"/>
                <w:sz w:val="18"/>
                <w:szCs w:val="18"/>
              </w:rPr>
            </w:pPr>
            <w:r>
              <w:rPr>
                <w:rFonts w:hint="eastAsia"/>
                <w:kern w:val="2"/>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16" w:type="dxa"/>
            <w:vAlign w:val="center"/>
          </w:tcPr>
          <w:p>
            <w:pPr>
              <w:pStyle w:val="112"/>
              <w:rPr>
                <w:kern w:val="2"/>
                <w:sz w:val="18"/>
                <w:szCs w:val="18"/>
              </w:rPr>
            </w:pPr>
            <w:r>
              <w:rPr>
                <w:kern w:val="2"/>
                <w:sz w:val="18"/>
                <w:szCs w:val="18"/>
              </w:rPr>
              <w:t>4</w:t>
            </w:r>
          </w:p>
        </w:tc>
        <w:tc>
          <w:tcPr>
            <w:tcW w:w="626" w:type="dxa"/>
            <w:vAlign w:val="center"/>
          </w:tcPr>
          <w:p>
            <w:pPr>
              <w:pStyle w:val="112"/>
              <w:rPr>
                <w:kern w:val="2"/>
                <w:sz w:val="18"/>
                <w:szCs w:val="18"/>
              </w:rPr>
            </w:pPr>
            <w:r>
              <w:rPr>
                <w:rFonts w:hint="eastAsia"/>
                <w:kern w:val="2"/>
                <w:sz w:val="18"/>
                <w:szCs w:val="18"/>
              </w:rPr>
              <w:t>生态</w:t>
            </w:r>
          </w:p>
          <w:p>
            <w:pPr>
              <w:pStyle w:val="112"/>
              <w:rPr>
                <w:kern w:val="2"/>
                <w:sz w:val="18"/>
                <w:szCs w:val="18"/>
              </w:rPr>
            </w:pPr>
            <w:r>
              <w:rPr>
                <w:rFonts w:hint="eastAsia"/>
                <w:kern w:val="2"/>
                <w:sz w:val="18"/>
                <w:szCs w:val="18"/>
              </w:rPr>
              <w:t>环境</w:t>
            </w:r>
          </w:p>
        </w:tc>
        <w:tc>
          <w:tcPr>
            <w:tcW w:w="4196" w:type="dxa"/>
            <w:vAlign w:val="center"/>
          </w:tcPr>
          <w:p>
            <w:pPr>
              <w:pStyle w:val="112"/>
              <w:rPr>
                <w:rFonts w:hAnsi="宋体"/>
                <w:kern w:val="2"/>
                <w:sz w:val="18"/>
                <w:szCs w:val="18"/>
              </w:rPr>
            </w:pPr>
            <w:r>
              <w:rPr>
                <w:rFonts w:hint="eastAsia"/>
                <w:sz w:val="18"/>
                <w:szCs w:val="18"/>
              </w:rPr>
              <w:t>项目总占地</w:t>
            </w:r>
            <w:r>
              <w:rPr>
                <w:sz w:val="18"/>
                <w:szCs w:val="18"/>
              </w:rPr>
              <w:t>33.37hm</w:t>
            </w:r>
            <w:r>
              <w:rPr>
                <w:sz w:val="18"/>
                <w:szCs w:val="18"/>
                <w:vertAlign w:val="superscript"/>
              </w:rPr>
              <w:t>2</w:t>
            </w:r>
            <w:r>
              <w:rPr>
                <w:rFonts w:hint="eastAsia" w:hAnsi="宋体"/>
                <w:sz w:val="18"/>
                <w:szCs w:val="18"/>
              </w:rPr>
              <w:t>（</w:t>
            </w:r>
            <w:r>
              <w:rPr>
                <w:sz w:val="18"/>
                <w:szCs w:val="18"/>
              </w:rPr>
              <w:t>≤2 km</w:t>
            </w:r>
            <w:r>
              <w:rPr>
                <w:sz w:val="18"/>
                <w:szCs w:val="18"/>
                <w:vertAlign w:val="superscript"/>
              </w:rPr>
              <w:t>2</w:t>
            </w:r>
            <w:r>
              <w:rPr>
                <w:rFonts w:hint="eastAsia" w:hAnsi="宋体"/>
                <w:sz w:val="18"/>
                <w:szCs w:val="18"/>
              </w:rPr>
              <w:t>）</w:t>
            </w:r>
            <w:r>
              <w:rPr>
                <w:rFonts w:hint="eastAsia"/>
                <w:sz w:val="18"/>
                <w:szCs w:val="18"/>
              </w:rPr>
              <w:t>，路线全长</w:t>
            </w:r>
            <w:r>
              <w:rPr>
                <w:sz w:val="18"/>
                <w:szCs w:val="18"/>
              </w:rPr>
              <w:t>8.369km</w:t>
            </w:r>
            <w:r>
              <w:rPr>
                <w:rFonts w:hint="eastAsia" w:hAnsi="宋体"/>
                <w:sz w:val="18"/>
                <w:szCs w:val="18"/>
              </w:rPr>
              <w:t>（</w:t>
            </w:r>
            <w:r>
              <w:rPr>
                <w:sz w:val="18"/>
                <w:szCs w:val="18"/>
              </w:rPr>
              <w:t>≤50km</w:t>
            </w:r>
            <w:r>
              <w:rPr>
                <w:rFonts w:hint="eastAsia" w:hAnsi="宋体"/>
                <w:sz w:val="18"/>
                <w:szCs w:val="18"/>
              </w:rPr>
              <w:t>），项目沿线不穿越自然保护区、风景名胜区、森林公园、湿地公园等特殊或重要生态敏感区，现状植被乔木以樟树、马尾松、杉树为主，农田植物主要包括柑橘、柚子等果树，水稻、棉花等经济作物及其他菜蔬为主，生态敏感程度相对较低，路线区生态敏感性均属一般区域</w:t>
            </w:r>
          </w:p>
        </w:tc>
        <w:tc>
          <w:tcPr>
            <w:tcW w:w="3141" w:type="dxa"/>
            <w:vAlign w:val="center"/>
          </w:tcPr>
          <w:p>
            <w:pPr>
              <w:pStyle w:val="112"/>
              <w:rPr>
                <w:kern w:val="2"/>
                <w:sz w:val="18"/>
                <w:szCs w:val="18"/>
              </w:rPr>
            </w:pPr>
            <w:r>
              <w:rPr>
                <w:rFonts w:hint="eastAsia"/>
                <w:kern w:val="2"/>
                <w:sz w:val="18"/>
                <w:szCs w:val="18"/>
              </w:rPr>
              <w:t>《环境影响评价技术导则生态影响》（</w:t>
            </w:r>
            <w:r>
              <w:rPr>
                <w:kern w:val="2"/>
                <w:sz w:val="18"/>
                <w:szCs w:val="18"/>
              </w:rPr>
              <w:t>HJ 19-2011</w:t>
            </w:r>
            <w:r>
              <w:rPr>
                <w:rFonts w:hint="eastAsia"/>
                <w:kern w:val="2"/>
                <w:sz w:val="18"/>
                <w:szCs w:val="18"/>
              </w:rPr>
              <w:t>）</w:t>
            </w:r>
            <w:r>
              <w:rPr>
                <w:kern w:val="2"/>
                <w:sz w:val="18"/>
                <w:szCs w:val="18"/>
              </w:rPr>
              <w:t>“</w:t>
            </w:r>
            <w:r>
              <w:rPr>
                <w:rFonts w:hint="eastAsia"/>
                <w:kern w:val="2"/>
                <w:sz w:val="18"/>
                <w:szCs w:val="18"/>
              </w:rPr>
              <w:t>表</w:t>
            </w:r>
            <w:r>
              <w:rPr>
                <w:kern w:val="2"/>
                <w:sz w:val="18"/>
                <w:szCs w:val="18"/>
              </w:rPr>
              <w:t xml:space="preserve">1 </w:t>
            </w:r>
            <w:r>
              <w:rPr>
                <w:rFonts w:hint="eastAsia"/>
                <w:kern w:val="2"/>
                <w:sz w:val="18"/>
                <w:szCs w:val="18"/>
              </w:rPr>
              <w:t>生态影响评价工作等级划分表</w:t>
            </w:r>
            <w:r>
              <w:rPr>
                <w:kern w:val="2"/>
                <w:sz w:val="18"/>
                <w:szCs w:val="18"/>
              </w:rPr>
              <w:t>”</w:t>
            </w:r>
          </w:p>
        </w:tc>
        <w:tc>
          <w:tcPr>
            <w:tcW w:w="708" w:type="dxa"/>
            <w:vAlign w:val="center"/>
          </w:tcPr>
          <w:p>
            <w:pPr>
              <w:pStyle w:val="112"/>
              <w:rPr>
                <w:kern w:val="2"/>
                <w:sz w:val="18"/>
                <w:szCs w:val="18"/>
              </w:rPr>
            </w:pPr>
            <w:r>
              <w:rPr>
                <w:rFonts w:hint="eastAsia"/>
                <w:kern w:val="2"/>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16" w:type="dxa"/>
            <w:vAlign w:val="center"/>
          </w:tcPr>
          <w:p>
            <w:pPr>
              <w:pStyle w:val="112"/>
              <w:rPr>
                <w:kern w:val="2"/>
                <w:sz w:val="18"/>
                <w:szCs w:val="18"/>
              </w:rPr>
            </w:pPr>
            <w:r>
              <w:rPr>
                <w:kern w:val="2"/>
                <w:sz w:val="18"/>
                <w:szCs w:val="18"/>
              </w:rPr>
              <w:t>5</w:t>
            </w:r>
          </w:p>
        </w:tc>
        <w:tc>
          <w:tcPr>
            <w:tcW w:w="626" w:type="dxa"/>
            <w:vAlign w:val="center"/>
          </w:tcPr>
          <w:p>
            <w:pPr>
              <w:pStyle w:val="112"/>
              <w:rPr>
                <w:kern w:val="2"/>
                <w:sz w:val="18"/>
                <w:szCs w:val="18"/>
              </w:rPr>
            </w:pPr>
            <w:r>
              <w:rPr>
                <w:rFonts w:hint="eastAsia"/>
                <w:kern w:val="2"/>
                <w:sz w:val="18"/>
                <w:szCs w:val="18"/>
              </w:rPr>
              <w:t>环境</w:t>
            </w:r>
          </w:p>
          <w:p>
            <w:pPr>
              <w:pStyle w:val="112"/>
              <w:rPr>
                <w:kern w:val="2"/>
                <w:sz w:val="18"/>
                <w:szCs w:val="18"/>
              </w:rPr>
            </w:pPr>
            <w:r>
              <w:rPr>
                <w:rFonts w:hint="eastAsia"/>
                <w:kern w:val="2"/>
                <w:sz w:val="18"/>
                <w:szCs w:val="18"/>
              </w:rPr>
              <w:t>风险</w:t>
            </w:r>
          </w:p>
        </w:tc>
        <w:tc>
          <w:tcPr>
            <w:tcW w:w="4196" w:type="dxa"/>
            <w:vAlign w:val="center"/>
          </w:tcPr>
          <w:p>
            <w:pPr>
              <w:pStyle w:val="112"/>
              <w:rPr>
                <w:kern w:val="2"/>
                <w:sz w:val="18"/>
                <w:szCs w:val="18"/>
              </w:rPr>
            </w:pPr>
            <w:r>
              <w:rPr>
                <w:rFonts w:hint="eastAsia"/>
                <w:kern w:val="2"/>
                <w:sz w:val="18"/>
                <w:szCs w:val="18"/>
              </w:rPr>
              <w:t>本工程环境风险主要为运营期交通事故产生的环境污染风险，其事故产生机率很小。</w:t>
            </w:r>
          </w:p>
        </w:tc>
        <w:tc>
          <w:tcPr>
            <w:tcW w:w="3141" w:type="dxa"/>
            <w:vAlign w:val="center"/>
          </w:tcPr>
          <w:p>
            <w:pPr>
              <w:pStyle w:val="112"/>
              <w:rPr>
                <w:kern w:val="2"/>
                <w:sz w:val="18"/>
                <w:szCs w:val="18"/>
              </w:rPr>
            </w:pPr>
            <w:r>
              <w:rPr>
                <w:rFonts w:hint="eastAsia"/>
                <w:kern w:val="2"/>
                <w:sz w:val="18"/>
                <w:szCs w:val="18"/>
              </w:rPr>
              <w:t>《建设项目环境风险评价技术导则》（</w:t>
            </w:r>
            <w:r>
              <w:rPr>
                <w:kern w:val="2"/>
                <w:sz w:val="18"/>
                <w:szCs w:val="18"/>
              </w:rPr>
              <w:t>HJ/T 169-2004</w:t>
            </w:r>
            <w:r>
              <w:rPr>
                <w:rFonts w:hint="eastAsia"/>
                <w:kern w:val="2"/>
                <w:sz w:val="18"/>
                <w:szCs w:val="18"/>
              </w:rPr>
              <w:t>）</w:t>
            </w:r>
            <w:r>
              <w:rPr>
                <w:kern w:val="2"/>
                <w:sz w:val="18"/>
                <w:szCs w:val="18"/>
              </w:rPr>
              <w:t>“</w:t>
            </w:r>
            <w:r>
              <w:rPr>
                <w:rFonts w:hint="eastAsia"/>
                <w:kern w:val="2"/>
                <w:sz w:val="18"/>
                <w:szCs w:val="18"/>
              </w:rPr>
              <w:t>表</w:t>
            </w:r>
            <w:r>
              <w:rPr>
                <w:kern w:val="2"/>
                <w:sz w:val="18"/>
                <w:szCs w:val="18"/>
              </w:rPr>
              <w:t xml:space="preserve">1 </w:t>
            </w:r>
            <w:r>
              <w:rPr>
                <w:rFonts w:hint="eastAsia"/>
                <w:kern w:val="2"/>
                <w:sz w:val="18"/>
                <w:szCs w:val="18"/>
              </w:rPr>
              <w:t>评价工作级别（一、二级）</w:t>
            </w:r>
            <w:r>
              <w:rPr>
                <w:kern w:val="2"/>
                <w:sz w:val="18"/>
                <w:szCs w:val="18"/>
              </w:rPr>
              <w:t>”</w:t>
            </w:r>
          </w:p>
        </w:tc>
        <w:tc>
          <w:tcPr>
            <w:tcW w:w="708" w:type="dxa"/>
            <w:vAlign w:val="center"/>
          </w:tcPr>
          <w:p>
            <w:pPr>
              <w:pStyle w:val="112"/>
              <w:rPr>
                <w:kern w:val="2"/>
                <w:sz w:val="18"/>
                <w:szCs w:val="18"/>
              </w:rPr>
            </w:pPr>
            <w:r>
              <w:rPr>
                <w:rFonts w:hint="eastAsia"/>
                <w:kern w:val="2"/>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16" w:type="dxa"/>
            <w:vAlign w:val="center"/>
          </w:tcPr>
          <w:p>
            <w:pPr>
              <w:pStyle w:val="112"/>
              <w:rPr>
                <w:kern w:val="2"/>
                <w:sz w:val="18"/>
                <w:szCs w:val="18"/>
              </w:rPr>
            </w:pPr>
            <w:r>
              <w:rPr>
                <w:kern w:val="2"/>
                <w:sz w:val="18"/>
                <w:szCs w:val="18"/>
              </w:rPr>
              <w:t>6</w:t>
            </w:r>
          </w:p>
        </w:tc>
        <w:tc>
          <w:tcPr>
            <w:tcW w:w="626" w:type="dxa"/>
            <w:vAlign w:val="center"/>
          </w:tcPr>
          <w:p>
            <w:pPr>
              <w:pStyle w:val="112"/>
              <w:rPr>
                <w:kern w:val="2"/>
                <w:sz w:val="18"/>
                <w:szCs w:val="18"/>
              </w:rPr>
            </w:pPr>
            <w:r>
              <w:rPr>
                <w:rFonts w:hint="eastAsia"/>
                <w:kern w:val="2"/>
                <w:sz w:val="18"/>
                <w:szCs w:val="18"/>
              </w:rPr>
              <w:t>地下水环境</w:t>
            </w:r>
          </w:p>
        </w:tc>
        <w:tc>
          <w:tcPr>
            <w:tcW w:w="4196" w:type="dxa"/>
            <w:vAlign w:val="center"/>
          </w:tcPr>
          <w:p>
            <w:pPr>
              <w:pStyle w:val="112"/>
              <w:rPr>
                <w:kern w:val="2"/>
                <w:sz w:val="18"/>
                <w:szCs w:val="18"/>
              </w:rPr>
            </w:pPr>
            <w:r>
              <w:rPr>
                <w:rFonts w:hint="eastAsia"/>
                <w:kern w:val="2"/>
                <w:sz w:val="18"/>
                <w:szCs w:val="18"/>
              </w:rPr>
              <w:t>本工程属于公路项目。</w:t>
            </w:r>
          </w:p>
        </w:tc>
        <w:tc>
          <w:tcPr>
            <w:tcW w:w="3141" w:type="dxa"/>
            <w:vAlign w:val="center"/>
          </w:tcPr>
          <w:p>
            <w:pPr>
              <w:pStyle w:val="112"/>
              <w:rPr>
                <w:kern w:val="2"/>
                <w:sz w:val="18"/>
                <w:szCs w:val="18"/>
              </w:rPr>
            </w:pPr>
            <w:r>
              <w:rPr>
                <w:rFonts w:hint="eastAsia"/>
                <w:kern w:val="2"/>
                <w:sz w:val="18"/>
                <w:szCs w:val="18"/>
              </w:rPr>
              <w:t>《环境影响评价技术导则地下水换境》（</w:t>
            </w:r>
            <w:r>
              <w:rPr>
                <w:kern w:val="2"/>
                <w:sz w:val="18"/>
                <w:szCs w:val="18"/>
              </w:rPr>
              <w:t>HJ 610-2016</w:t>
            </w:r>
            <w:r>
              <w:rPr>
                <w:rFonts w:hint="eastAsia"/>
                <w:kern w:val="2"/>
                <w:sz w:val="18"/>
                <w:szCs w:val="18"/>
              </w:rPr>
              <w:t>）“附录</w:t>
            </w:r>
            <w:r>
              <w:rPr>
                <w:kern w:val="2"/>
                <w:sz w:val="18"/>
                <w:szCs w:val="18"/>
              </w:rPr>
              <w:t xml:space="preserve">A </w:t>
            </w:r>
            <w:r>
              <w:rPr>
                <w:rFonts w:hint="eastAsia" w:ascii="宋体" w:hAnsi="宋体" w:cs="宋体"/>
                <w:kern w:val="2"/>
                <w:sz w:val="18"/>
                <w:szCs w:val="18"/>
              </w:rPr>
              <w:t>地下水环境影响评价行业分类表</w:t>
            </w:r>
            <w:r>
              <w:rPr>
                <w:rFonts w:ascii="宋体" w:hAnsi="宋体" w:cs="宋体"/>
                <w:kern w:val="2"/>
                <w:sz w:val="18"/>
                <w:szCs w:val="18"/>
              </w:rPr>
              <w:t xml:space="preserve"> P</w:t>
            </w:r>
            <w:r>
              <w:rPr>
                <w:rFonts w:hint="eastAsia" w:ascii="宋体" w:hAnsi="宋体" w:cs="宋体"/>
                <w:kern w:val="2"/>
                <w:sz w:val="18"/>
                <w:szCs w:val="18"/>
              </w:rPr>
              <w:t>公路”</w:t>
            </w:r>
            <w:r>
              <w:rPr>
                <w:rFonts w:hint="eastAsia"/>
                <w:kern w:val="2"/>
                <w:sz w:val="18"/>
                <w:szCs w:val="18"/>
              </w:rPr>
              <w:t>定义为</w:t>
            </w:r>
            <w:r>
              <w:rPr>
                <w:kern w:val="2"/>
                <w:sz w:val="18"/>
                <w:szCs w:val="18"/>
              </w:rPr>
              <w:t>IV</w:t>
            </w:r>
            <w:r>
              <w:rPr>
                <w:rFonts w:hint="eastAsia"/>
                <w:kern w:val="2"/>
                <w:sz w:val="18"/>
                <w:szCs w:val="18"/>
              </w:rPr>
              <w:t>类</w:t>
            </w:r>
          </w:p>
        </w:tc>
        <w:tc>
          <w:tcPr>
            <w:tcW w:w="708" w:type="dxa"/>
            <w:vAlign w:val="center"/>
          </w:tcPr>
          <w:p>
            <w:pPr>
              <w:pStyle w:val="112"/>
              <w:rPr>
                <w:kern w:val="2"/>
                <w:sz w:val="18"/>
                <w:szCs w:val="18"/>
                <w:highlight w:val="yellow"/>
              </w:rPr>
            </w:pPr>
            <w:r>
              <w:rPr>
                <w:rFonts w:hint="eastAsia"/>
                <w:kern w:val="2"/>
                <w:sz w:val="18"/>
                <w:szCs w:val="18"/>
              </w:rPr>
              <w:t>不开展地下水评价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16" w:type="dxa"/>
            <w:vAlign w:val="center"/>
          </w:tcPr>
          <w:p>
            <w:pPr>
              <w:pStyle w:val="112"/>
              <w:rPr>
                <w:kern w:val="2"/>
                <w:sz w:val="18"/>
                <w:szCs w:val="18"/>
                <w:u w:val="single"/>
              </w:rPr>
            </w:pPr>
            <w:r>
              <w:rPr>
                <w:kern w:val="2"/>
                <w:sz w:val="18"/>
                <w:szCs w:val="18"/>
                <w:u w:val="single"/>
              </w:rPr>
              <w:t>7</w:t>
            </w:r>
          </w:p>
        </w:tc>
        <w:tc>
          <w:tcPr>
            <w:tcW w:w="626" w:type="dxa"/>
            <w:vAlign w:val="center"/>
          </w:tcPr>
          <w:p>
            <w:pPr>
              <w:pStyle w:val="112"/>
              <w:rPr>
                <w:kern w:val="2"/>
                <w:sz w:val="18"/>
                <w:szCs w:val="18"/>
                <w:u w:val="single"/>
              </w:rPr>
            </w:pPr>
            <w:r>
              <w:rPr>
                <w:rFonts w:hint="eastAsia"/>
                <w:kern w:val="2"/>
                <w:sz w:val="18"/>
                <w:szCs w:val="18"/>
                <w:u w:val="single"/>
              </w:rPr>
              <w:t>社会</w:t>
            </w:r>
          </w:p>
          <w:p>
            <w:pPr>
              <w:pStyle w:val="112"/>
              <w:rPr>
                <w:kern w:val="2"/>
                <w:sz w:val="18"/>
                <w:szCs w:val="18"/>
                <w:u w:val="single"/>
              </w:rPr>
            </w:pPr>
            <w:r>
              <w:rPr>
                <w:rFonts w:hint="eastAsia"/>
                <w:kern w:val="2"/>
                <w:sz w:val="18"/>
                <w:szCs w:val="18"/>
                <w:u w:val="single"/>
              </w:rPr>
              <w:t>环境</w:t>
            </w:r>
          </w:p>
        </w:tc>
        <w:tc>
          <w:tcPr>
            <w:tcW w:w="4196" w:type="dxa"/>
            <w:vAlign w:val="center"/>
          </w:tcPr>
          <w:p>
            <w:pPr>
              <w:pStyle w:val="112"/>
              <w:rPr>
                <w:kern w:val="2"/>
                <w:sz w:val="18"/>
                <w:szCs w:val="18"/>
                <w:u w:val="single"/>
              </w:rPr>
            </w:pPr>
            <w:r>
              <w:rPr>
                <w:rFonts w:hint="eastAsia"/>
                <w:kern w:val="2"/>
                <w:sz w:val="18"/>
                <w:szCs w:val="18"/>
                <w:u w:val="single"/>
              </w:rPr>
              <w:t>本工程总永久占地面积</w:t>
            </w:r>
            <w:r>
              <w:rPr>
                <w:kern w:val="2"/>
                <w:sz w:val="18"/>
                <w:szCs w:val="18"/>
                <w:u w:val="single"/>
              </w:rPr>
              <w:t>33.37</w:t>
            </w:r>
            <w:r>
              <w:rPr>
                <w:sz w:val="18"/>
                <w:szCs w:val="18"/>
                <w:u w:val="single"/>
              </w:rPr>
              <w:t>hm</w:t>
            </w:r>
            <w:r>
              <w:rPr>
                <w:sz w:val="18"/>
                <w:szCs w:val="18"/>
                <w:u w:val="single"/>
                <w:vertAlign w:val="superscript"/>
              </w:rPr>
              <w:t>2</w:t>
            </w:r>
            <w:r>
              <w:rPr>
                <w:rFonts w:hint="eastAsia"/>
                <w:kern w:val="2"/>
                <w:sz w:val="18"/>
                <w:szCs w:val="18"/>
                <w:u w:val="single"/>
              </w:rPr>
              <w:t>，需拆迁建筑物共</w:t>
            </w:r>
            <w:r>
              <w:rPr>
                <w:kern w:val="2"/>
                <w:sz w:val="18"/>
                <w:szCs w:val="18"/>
                <w:u w:val="single"/>
              </w:rPr>
              <w:t>6124m</w:t>
            </w:r>
            <w:r>
              <w:rPr>
                <w:kern w:val="2"/>
                <w:sz w:val="18"/>
                <w:szCs w:val="18"/>
                <w:u w:val="single"/>
                <w:vertAlign w:val="superscript"/>
              </w:rPr>
              <w:t>2</w:t>
            </w:r>
            <w:r>
              <w:rPr>
                <w:rFonts w:hint="eastAsia"/>
                <w:kern w:val="2"/>
                <w:sz w:val="18"/>
                <w:szCs w:val="18"/>
                <w:u w:val="single"/>
              </w:rPr>
              <w:t>，需拆迁约</w:t>
            </w:r>
            <w:r>
              <w:rPr>
                <w:kern w:val="2"/>
                <w:sz w:val="18"/>
                <w:szCs w:val="18"/>
                <w:u w:val="single"/>
              </w:rPr>
              <w:t>65</w:t>
            </w:r>
            <w:r>
              <w:rPr>
                <w:rFonts w:hint="eastAsia"/>
                <w:kern w:val="2"/>
                <w:sz w:val="18"/>
                <w:szCs w:val="18"/>
                <w:u w:val="single"/>
              </w:rPr>
              <w:t>户居民</w:t>
            </w:r>
          </w:p>
        </w:tc>
        <w:tc>
          <w:tcPr>
            <w:tcW w:w="3141" w:type="dxa"/>
            <w:vAlign w:val="center"/>
          </w:tcPr>
          <w:p>
            <w:pPr>
              <w:pStyle w:val="112"/>
              <w:rPr>
                <w:kern w:val="2"/>
                <w:sz w:val="18"/>
                <w:szCs w:val="18"/>
                <w:u w:val="single"/>
              </w:rPr>
            </w:pPr>
            <w:r>
              <w:rPr>
                <w:rFonts w:hint="eastAsia"/>
                <w:kern w:val="2"/>
                <w:sz w:val="18"/>
                <w:szCs w:val="18"/>
                <w:u w:val="single"/>
              </w:rPr>
              <w:t>《公路建设项目环境影响评价规范》（</w:t>
            </w:r>
            <w:r>
              <w:rPr>
                <w:kern w:val="2"/>
                <w:sz w:val="18"/>
                <w:szCs w:val="18"/>
                <w:u w:val="single"/>
              </w:rPr>
              <w:t>JTG B03-2006</w:t>
            </w:r>
            <w:r>
              <w:rPr>
                <w:rFonts w:hint="eastAsia"/>
                <w:kern w:val="2"/>
                <w:sz w:val="18"/>
                <w:szCs w:val="18"/>
                <w:u w:val="single"/>
              </w:rPr>
              <w:t>）</w:t>
            </w:r>
          </w:p>
        </w:tc>
        <w:tc>
          <w:tcPr>
            <w:tcW w:w="708" w:type="dxa"/>
            <w:vAlign w:val="center"/>
          </w:tcPr>
          <w:p>
            <w:pPr>
              <w:pStyle w:val="112"/>
              <w:rPr>
                <w:kern w:val="2"/>
                <w:sz w:val="18"/>
                <w:szCs w:val="18"/>
                <w:u w:val="single"/>
              </w:rPr>
            </w:pPr>
            <w:r>
              <w:rPr>
                <w:rFonts w:hint="eastAsia"/>
                <w:kern w:val="2"/>
                <w:sz w:val="18"/>
                <w:szCs w:val="18"/>
                <w:u w:val="single"/>
              </w:rPr>
              <w:t>定性分析</w:t>
            </w:r>
          </w:p>
        </w:tc>
      </w:tr>
    </w:tbl>
    <w:p>
      <w:pPr>
        <w:pStyle w:val="5"/>
        <w:ind w:left="567" w:hanging="567"/>
      </w:pPr>
      <w:r>
        <w:rPr>
          <w:rFonts w:hint="eastAsia"/>
        </w:rPr>
        <w:t>评价范围</w:t>
      </w:r>
    </w:p>
    <w:p>
      <w:pPr>
        <w:pStyle w:val="3"/>
        <w:ind w:firstLine="482" w:firstLineChars="0"/>
      </w:pPr>
      <w:r>
        <w:rPr>
          <w:rFonts w:hint="eastAsia"/>
        </w:rPr>
        <w:t>根据本工程施工期、营运期对环境的影响特点和各路段的自然环境特征，本次环境影响评价的范围见表</w:t>
      </w:r>
      <w:r>
        <w:t>2.3-2</w:t>
      </w:r>
      <w:r>
        <w:rPr>
          <w:rFonts w:hint="eastAsia"/>
        </w:rPr>
        <w:t>。</w:t>
      </w:r>
    </w:p>
    <w:p>
      <w:pPr>
        <w:pStyle w:val="19"/>
        <w:jc w:val="center"/>
      </w:pPr>
      <w:r>
        <w:rPr>
          <w:rFonts w:hint="eastAsia"/>
        </w:rPr>
        <w:t>表</w:t>
      </w:r>
      <w:r>
        <w:t xml:space="preserve">2.3-2  </w:t>
      </w:r>
      <w:r>
        <w:rPr>
          <w:rFonts w:hint="eastAsia"/>
        </w:rPr>
        <w:t>环境影响评价范围</w:t>
      </w:r>
    </w:p>
    <w:tbl>
      <w:tblPr>
        <w:tblStyle w:val="6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504"/>
        <w:gridCol w:w="7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30" w:type="dxa"/>
            <w:vAlign w:val="center"/>
          </w:tcPr>
          <w:p>
            <w:pPr>
              <w:pStyle w:val="112"/>
              <w:rPr>
                <w:kern w:val="2"/>
              </w:rPr>
            </w:pPr>
            <w:r>
              <w:rPr>
                <w:rFonts w:hint="eastAsia"/>
                <w:kern w:val="2"/>
              </w:rPr>
              <w:t>序号</w:t>
            </w:r>
          </w:p>
        </w:tc>
        <w:tc>
          <w:tcPr>
            <w:tcW w:w="1504" w:type="dxa"/>
            <w:vAlign w:val="center"/>
          </w:tcPr>
          <w:p>
            <w:pPr>
              <w:pStyle w:val="112"/>
              <w:rPr>
                <w:kern w:val="2"/>
              </w:rPr>
            </w:pPr>
            <w:r>
              <w:rPr>
                <w:rFonts w:hint="eastAsia"/>
                <w:kern w:val="2"/>
              </w:rPr>
              <w:t>环境要素</w:t>
            </w:r>
          </w:p>
        </w:tc>
        <w:tc>
          <w:tcPr>
            <w:tcW w:w="7053" w:type="dxa"/>
            <w:vAlign w:val="center"/>
          </w:tcPr>
          <w:p>
            <w:pPr>
              <w:pStyle w:val="112"/>
              <w:rPr>
                <w:kern w:val="2"/>
              </w:rPr>
            </w:pPr>
            <w:r>
              <w:rPr>
                <w:rFonts w:hint="eastAsia"/>
                <w:kern w:val="2"/>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30" w:type="dxa"/>
            <w:vAlign w:val="center"/>
          </w:tcPr>
          <w:p>
            <w:pPr>
              <w:pStyle w:val="112"/>
              <w:rPr>
                <w:kern w:val="2"/>
              </w:rPr>
            </w:pPr>
            <w:r>
              <w:rPr>
                <w:kern w:val="2"/>
              </w:rPr>
              <w:t>1</w:t>
            </w:r>
          </w:p>
        </w:tc>
        <w:tc>
          <w:tcPr>
            <w:tcW w:w="1504" w:type="dxa"/>
            <w:vAlign w:val="center"/>
          </w:tcPr>
          <w:p>
            <w:pPr>
              <w:pStyle w:val="112"/>
              <w:rPr>
                <w:kern w:val="2"/>
              </w:rPr>
            </w:pPr>
            <w:r>
              <w:rPr>
                <w:rFonts w:hint="eastAsia"/>
                <w:kern w:val="2"/>
              </w:rPr>
              <w:t>大气环境</w:t>
            </w:r>
          </w:p>
        </w:tc>
        <w:tc>
          <w:tcPr>
            <w:tcW w:w="7053" w:type="dxa"/>
            <w:vAlign w:val="center"/>
          </w:tcPr>
          <w:p>
            <w:pPr>
              <w:pStyle w:val="112"/>
              <w:rPr>
                <w:kern w:val="2"/>
              </w:rPr>
            </w:pPr>
            <w:r>
              <w:rPr>
                <w:rFonts w:hint="eastAsia"/>
                <w:kern w:val="2"/>
              </w:rPr>
              <w:t>拟建工程中心线及施工便道两侧</w:t>
            </w:r>
            <w:r>
              <w:rPr>
                <w:kern w:val="2"/>
              </w:rPr>
              <w:t>200m</w:t>
            </w:r>
            <w:r>
              <w:rPr>
                <w:rFonts w:hint="eastAsia"/>
                <w:kern w:val="2"/>
              </w:rPr>
              <w:t>；取弃土场、施工生产生活区周边</w:t>
            </w:r>
            <w:r>
              <w:rPr>
                <w:kern w:val="2"/>
              </w:rPr>
              <w:t>200m</w:t>
            </w:r>
            <w:r>
              <w:rPr>
                <w:rFonts w:hint="eastAsia"/>
                <w:kern w:val="2"/>
              </w:rPr>
              <w:t>以内范围。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30" w:type="dxa"/>
            <w:vAlign w:val="center"/>
          </w:tcPr>
          <w:p>
            <w:pPr>
              <w:pStyle w:val="112"/>
              <w:rPr>
                <w:kern w:val="2"/>
              </w:rPr>
            </w:pPr>
            <w:r>
              <w:rPr>
                <w:kern w:val="2"/>
              </w:rPr>
              <w:t>2</w:t>
            </w:r>
          </w:p>
        </w:tc>
        <w:tc>
          <w:tcPr>
            <w:tcW w:w="1504" w:type="dxa"/>
            <w:vAlign w:val="center"/>
          </w:tcPr>
          <w:p>
            <w:pPr>
              <w:pStyle w:val="112"/>
              <w:rPr>
                <w:kern w:val="2"/>
              </w:rPr>
            </w:pPr>
            <w:r>
              <w:rPr>
                <w:rFonts w:hint="eastAsia"/>
                <w:kern w:val="2"/>
              </w:rPr>
              <w:t>声环境</w:t>
            </w:r>
          </w:p>
        </w:tc>
        <w:tc>
          <w:tcPr>
            <w:tcW w:w="7053" w:type="dxa"/>
            <w:vAlign w:val="center"/>
          </w:tcPr>
          <w:p>
            <w:pPr>
              <w:pStyle w:val="112"/>
              <w:rPr>
                <w:kern w:val="2"/>
              </w:rPr>
            </w:pPr>
            <w:r>
              <w:rPr>
                <w:rFonts w:hint="eastAsia"/>
                <w:kern w:val="2"/>
              </w:rPr>
              <w:t>拟建工程中心线及施工便道两侧</w:t>
            </w:r>
            <w:r>
              <w:rPr>
                <w:kern w:val="2"/>
              </w:rPr>
              <w:t>200m</w:t>
            </w:r>
            <w:r>
              <w:rPr>
                <w:rFonts w:hint="eastAsia"/>
                <w:kern w:val="2"/>
              </w:rPr>
              <w:t>；取弃土场、施工生产生活区周边</w:t>
            </w:r>
            <w:r>
              <w:rPr>
                <w:kern w:val="2"/>
              </w:rPr>
              <w:t>200m</w:t>
            </w:r>
            <w:r>
              <w:rPr>
                <w:rFonts w:hint="eastAsia"/>
                <w:kern w:val="2"/>
              </w:rPr>
              <w:t>以内范围。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30" w:type="dxa"/>
            <w:vAlign w:val="center"/>
          </w:tcPr>
          <w:p>
            <w:pPr>
              <w:pStyle w:val="112"/>
              <w:rPr>
                <w:kern w:val="2"/>
              </w:rPr>
            </w:pPr>
            <w:r>
              <w:rPr>
                <w:kern w:val="2"/>
              </w:rPr>
              <w:t>3</w:t>
            </w:r>
          </w:p>
        </w:tc>
        <w:tc>
          <w:tcPr>
            <w:tcW w:w="1504" w:type="dxa"/>
            <w:vAlign w:val="center"/>
          </w:tcPr>
          <w:p>
            <w:pPr>
              <w:pStyle w:val="112"/>
              <w:rPr>
                <w:kern w:val="2"/>
              </w:rPr>
            </w:pPr>
            <w:r>
              <w:rPr>
                <w:rFonts w:hint="eastAsia"/>
                <w:kern w:val="2"/>
              </w:rPr>
              <w:t>地表水环境</w:t>
            </w:r>
          </w:p>
        </w:tc>
        <w:tc>
          <w:tcPr>
            <w:tcW w:w="7053" w:type="dxa"/>
            <w:vAlign w:val="center"/>
          </w:tcPr>
          <w:p>
            <w:pPr>
              <w:pStyle w:val="112"/>
              <w:rPr>
                <w:kern w:val="2"/>
              </w:rPr>
            </w:pPr>
            <w:r>
              <w:rPr>
                <w:rFonts w:hint="eastAsia"/>
                <w:szCs w:val="21"/>
              </w:rPr>
              <w:t>工程无跨越河流，</w:t>
            </w:r>
            <w:r>
              <w:rPr>
                <w:rFonts w:hint="eastAsia"/>
              </w:rPr>
              <w:t>公路中心线两侧各</w:t>
            </w:r>
            <w:r>
              <w:t>200m</w:t>
            </w:r>
            <w:r>
              <w:rPr>
                <w:rFonts w:hint="eastAsia"/>
              </w:rPr>
              <w:t>以内范围水域，</w:t>
            </w:r>
            <w:r>
              <w:rPr>
                <w:rFonts w:hint="eastAsia"/>
                <w:szCs w:val="21"/>
              </w:rPr>
              <w:t>周边水体主要为农灌渠、水塘或者水库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30" w:type="dxa"/>
            <w:vAlign w:val="center"/>
          </w:tcPr>
          <w:p>
            <w:pPr>
              <w:pStyle w:val="112"/>
              <w:rPr>
                <w:kern w:val="2"/>
              </w:rPr>
            </w:pPr>
            <w:r>
              <w:rPr>
                <w:kern w:val="2"/>
              </w:rPr>
              <w:t>4</w:t>
            </w:r>
          </w:p>
        </w:tc>
        <w:tc>
          <w:tcPr>
            <w:tcW w:w="1504" w:type="dxa"/>
            <w:vAlign w:val="center"/>
          </w:tcPr>
          <w:p>
            <w:pPr>
              <w:pStyle w:val="112"/>
              <w:rPr>
                <w:kern w:val="2"/>
              </w:rPr>
            </w:pPr>
            <w:r>
              <w:rPr>
                <w:rFonts w:hint="eastAsia"/>
                <w:kern w:val="2"/>
              </w:rPr>
              <w:t>生态环境</w:t>
            </w:r>
          </w:p>
        </w:tc>
        <w:tc>
          <w:tcPr>
            <w:tcW w:w="7053" w:type="dxa"/>
            <w:vAlign w:val="center"/>
          </w:tcPr>
          <w:p>
            <w:pPr>
              <w:pStyle w:val="112"/>
              <w:rPr>
                <w:kern w:val="2"/>
              </w:rPr>
            </w:pPr>
            <w:r>
              <w:rPr>
                <w:rFonts w:hint="eastAsia"/>
                <w:kern w:val="2"/>
              </w:rPr>
              <w:t>拟建公路中心线两侧各</w:t>
            </w:r>
            <w:r>
              <w:rPr>
                <w:kern w:val="2"/>
              </w:rPr>
              <w:t>200m</w:t>
            </w:r>
            <w:r>
              <w:rPr>
                <w:rFonts w:hint="eastAsia"/>
                <w:kern w:val="2"/>
              </w:rPr>
              <w:t>以内区域及公路沿线动土范围（包括施工场地、施工便道及所涉取弃土场等）。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30" w:type="dxa"/>
            <w:vAlign w:val="center"/>
          </w:tcPr>
          <w:p>
            <w:pPr>
              <w:pStyle w:val="112"/>
              <w:rPr>
                <w:kern w:val="2"/>
              </w:rPr>
            </w:pPr>
            <w:r>
              <w:rPr>
                <w:kern w:val="2"/>
              </w:rPr>
              <w:t>5</w:t>
            </w:r>
          </w:p>
        </w:tc>
        <w:tc>
          <w:tcPr>
            <w:tcW w:w="1504" w:type="dxa"/>
            <w:vAlign w:val="center"/>
          </w:tcPr>
          <w:p>
            <w:pPr>
              <w:pStyle w:val="112"/>
              <w:rPr>
                <w:kern w:val="2"/>
              </w:rPr>
            </w:pPr>
            <w:r>
              <w:rPr>
                <w:rFonts w:hint="eastAsia"/>
                <w:kern w:val="2"/>
              </w:rPr>
              <w:t>社会环境</w:t>
            </w:r>
          </w:p>
        </w:tc>
        <w:tc>
          <w:tcPr>
            <w:tcW w:w="7053" w:type="dxa"/>
            <w:vAlign w:val="center"/>
          </w:tcPr>
          <w:p>
            <w:pPr>
              <w:pStyle w:val="112"/>
              <w:rPr>
                <w:kern w:val="2"/>
              </w:rPr>
            </w:pPr>
            <w:r>
              <w:rPr>
                <w:rFonts w:hint="eastAsia"/>
                <w:kern w:val="2"/>
              </w:rPr>
              <w:t>拟建公路中心线两侧各</w:t>
            </w:r>
            <w:r>
              <w:rPr>
                <w:kern w:val="2"/>
              </w:rPr>
              <w:t>200m</w:t>
            </w:r>
            <w:r>
              <w:rPr>
                <w:rFonts w:hint="eastAsia"/>
                <w:kern w:val="2"/>
              </w:rPr>
              <w:t>以内的敏感点﹙如学校、医院、居民点等）。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30" w:type="dxa"/>
            <w:vAlign w:val="center"/>
          </w:tcPr>
          <w:p>
            <w:pPr>
              <w:pStyle w:val="112"/>
              <w:rPr>
                <w:kern w:val="2"/>
              </w:rPr>
            </w:pPr>
            <w:r>
              <w:rPr>
                <w:kern w:val="2"/>
              </w:rPr>
              <w:t>6</w:t>
            </w:r>
          </w:p>
        </w:tc>
        <w:tc>
          <w:tcPr>
            <w:tcW w:w="1504" w:type="dxa"/>
            <w:vAlign w:val="center"/>
          </w:tcPr>
          <w:p>
            <w:pPr>
              <w:pStyle w:val="112"/>
              <w:rPr>
                <w:kern w:val="2"/>
              </w:rPr>
            </w:pPr>
            <w:r>
              <w:rPr>
                <w:rFonts w:hint="eastAsia"/>
                <w:kern w:val="2"/>
              </w:rPr>
              <w:t>环境风险</w:t>
            </w:r>
          </w:p>
        </w:tc>
        <w:tc>
          <w:tcPr>
            <w:tcW w:w="7053" w:type="dxa"/>
            <w:vAlign w:val="center"/>
          </w:tcPr>
          <w:p>
            <w:pPr>
              <w:pStyle w:val="112"/>
              <w:rPr>
                <w:kern w:val="2"/>
              </w:rPr>
            </w:pPr>
            <w:r>
              <w:rPr>
                <w:rFonts w:hint="eastAsia"/>
              </w:rPr>
              <w:t>公</w:t>
            </w:r>
            <w:r>
              <w:rPr>
                <w:rFonts w:hint="eastAsia"/>
                <w:kern w:val="2"/>
              </w:rPr>
              <w:t>路中心线两侧各</w:t>
            </w:r>
            <w:r>
              <w:rPr>
                <w:kern w:val="2"/>
              </w:rPr>
              <w:t>200m</w:t>
            </w:r>
            <w:r>
              <w:rPr>
                <w:rFonts w:hint="eastAsia"/>
                <w:kern w:val="2"/>
              </w:rPr>
              <w:t>以内范围水域</w:t>
            </w:r>
          </w:p>
        </w:tc>
      </w:tr>
    </w:tbl>
    <w:p>
      <w:pPr>
        <w:pStyle w:val="4"/>
        <w:ind w:left="567" w:hanging="567"/>
      </w:pPr>
      <w:bookmarkStart w:id="45" w:name="_Toc27220"/>
      <w:r>
        <w:rPr>
          <w:rFonts w:hint="eastAsia"/>
        </w:rPr>
        <w:t>评价内容和评价因子</w:t>
      </w:r>
      <w:bookmarkEnd w:id="35"/>
      <w:bookmarkEnd w:id="36"/>
      <w:bookmarkEnd w:id="37"/>
      <w:bookmarkEnd w:id="38"/>
      <w:bookmarkEnd w:id="39"/>
      <w:bookmarkEnd w:id="40"/>
      <w:bookmarkEnd w:id="41"/>
      <w:bookmarkEnd w:id="42"/>
      <w:bookmarkEnd w:id="43"/>
      <w:bookmarkEnd w:id="45"/>
    </w:p>
    <w:p>
      <w:pPr>
        <w:pStyle w:val="5"/>
        <w:ind w:left="567" w:hanging="567"/>
      </w:pPr>
      <w:bookmarkStart w:id="46" w:name="_Toc10122"/>
      <w:bookmarkStart w:id="47" w:name="_Toc219864500"/>
      <w:bookmarkStart w:id="48" w:name="_Toc29781"/>
      <w:bookmarkStart w:id="49" w:name="_Toc72202416"/>
      <w:bookmarkStart w:id="50" w:name="_Toc84146336"/>
      <w:bookmarkStart w:id="51" w:name="_Toc219864503"/>
      <w:bookmarkStart w:id="52" w:name="_Toc32200"/>
      <w:bookmarkStart w:id="53" w:name="_Toc10051"/>
      <w:bookmarkStart w:id="54" w:name="_Toc72202419"/>
      <w:r>
        <w:rPr>
          <w:rFonts w:hint="eastAsia"/>
        </w:rPr>
        <w:t>评价内容</w:t>
      </w:r>
      <w:bookmarkEnd w:id="46"/>
      <w:bookmarkEnd w:id="47"/>
      <w:bookmarkEnd w:id="48"/>
      <w:bookmarkEnd w:id="49"/>
      <w:bookmarkEnd w:id="50"/>
    </w:p>
    <w:p>
      <w:pPr>
        <w:pStyle w:val="3"/>
        <w:ind w:firstLine="31680"/>
      </w:pPr>
      <w:r>
        <w:rPr>
          <w:rFonts w:hint="eastAsia"/>
        </w:rPr>
        <w:t>根据工程活动特点和周边环境特征，本项目环境影响评价内容包括以下几个方面：</w:t>
      </w:r>
    </w:p>
    <w:p>
      <w:pPr>
        <w:pStyle w:val="3"/>
        <w:ind w:firstLine="31680"/>
      </w:pPr>
      <w:r>
        <w:t>a</w:t>
      </w:r>
      <w:r>
        <w:rPr>
          <w:rFonts w:hint="eastAsia"/>
        </w:rPr>
        <w:t>）工程建设对社会环境各因素包括区域社会经济发展、基础设施建设、居民生活质量等的影响评价；</w:t>
      </w:r>
    </w:p>
    <w:p>
      <w:pPr>
        <w:pStyle w:val="3"/>
        <w:ind w:firstLine="31680"/>
      </w:pPr>
      <w:r>
        <w:t>b</w:t>
      </w:r>
      <w:r>
        <w:rPr>
          <w:rFonts w:hint="eastAsia"/>
        </w:rPr>
        <w:t>）分析工程建设施工期和运营期对施工场区、临时占地区和公路沿线两侧大气环境及周围大气敏感目标的影响情况；</w:t>
      </w:r>
    </w:p>
    <w:p>
      <w:pPr>
        <w:pStyle w:val="3"/>
        <w:ind w:firstLine="31680"/>
      </w:pPr>
      <w:r>
        <w:t>c</w:t>
      </w:r>
      <w:r>
        <w:rPr>
          <w:rFonts w:hint="eastAsia"/>
        </w:rPr>
        <w:t>）分析工程建设施工期和运营期对施工场区、公路沿线两侧声环境及周围居民敏感点的影响情况；</w:t>
      </w:r>
    </w:p>
    <w:p>
      <w:pPr>
        <w:pStyle w:val="3"/>
        <w:ind w:firstLine="31680"/>
      </w:pPr>
      <w:r>
        <w:t>d</w:t>
      </w:r>
      <w:r>
        <w:rPr>
          <w:rFonts w:hint="eastAsia"/>
        </w:rPr>
        <w:t>）分析工程建设对周边水体的影响；</w:t>
      </w:r>
    </w:p>
    <w:p>
      <w:pPr>
        <w:pStyle w:val="3"/>
        <w:ind w:firstLine="31680"/>
      </w:pPr>
      <w:r>
        <w:t>e</w:t>
      </w:r>
      <w:r>
        <w:rPr>
          <w:rFonts w:hint="eastAsia"/>
        </w:rPr>
        <w:t>）分析工程建设对周边生态环境、景观的影响；</w:t>
      </w:r>
    </w:p>
    <w:p>
      <w:pPr>
        <w:pStyle w:val="3"/>
        <w:ind w:firstLine="31680"/>
      </w:pPr>
      <w:r>
        <w:t>f</w:t>
      </w:r>
      <w:r>
        <w:rPr>
          <w:rFonts w:hint="eastAsia"/>
        </w:rPr>
        <w:t>）广泛征询各有关部门、个人等利益相关方的意见，归纳总结并客观反映公众对工程建设的意见和建议，为工程设计、施工和管理提供参考；</w:t>
      </w:r>
    </w:p>
    <w:p>
      <w:pPr>
        <w:pStyle w:val="3"/>
        <w:ind w:firstLine="31680"/>
      </w:pPr>
      <w:r>
        <w:t>g</w:t>
      </w:r>
      <w:r>
        <w:rPr>
          <w:rFonts w:hint="eastAsia"/>
        </w:rPr>
        <w:t>）结合</w:t>
      </w:r>
      <w:r>
        <w:rPr>
          <w:rFonts w:hint="eastAsia"/>
          <w:lang w:val="en-US" w:eastAsia="zh-CN"/>
        </w:rPr>
        <w:t>汨罗</w:t>
      </w:r>
      <w:r>
        <w:rPr>
          <w:rFonts w:hint="eastAsia"/>
        </w:rPr>
        <w:t>市及项目沿线乡镇总体规划，分析工程建设方案的环境可行性；</w:t>
      </w:r>
    </w:p>
    <w:p>
      <w:pPr>
        <w:pStyle w:val="3"/>
        <w:ind w:firstLine="31680"/>
      </w:pPr>
      <w:r>
        <w:t>h</w:t>
      </w:r>
      <w:r>
        <w:rPr>
          <w:rFonts w:hint="eastAsia"/>
        </w:rPr>
        <w:t>）针对工程施工和运营期主要环境问题，提出减小环境影响的环保工程措施及对策建议；</w:t>
      </w:r>
    </w:p>
    <w:p>
      <w:pPr>
        <w:pStyle w:val="3"/>
        <w:ind w:firstLine="31680"/>
      </w:pPr>
      <w:r>
        <w:t>i</w:t>
      </w:r>
      <w:r>
        <w:rPr>
          <w:rFonts w:hint="eastAsia"/>
        </w:rPr>
        <w:t>）进行工程建设对环境影响的经济损益分析；</w:t>
      </w:r>
    </w:p>
    <w:p>
      <w:pPr>
        <w:pStyle w:val="3"/>
        <w:ind w:firstLine="31680"/>
      </w:pPr>
      <w:r>
        <w:t>j</w:t>
      </w:r>
      <w:r>
        <w:rPr>
          <w:rFonts w:hint="eastAsia"/>
        </w:rPr>
        <w:t>）提出施工期和运营期环境保护管理和环境监测计划。</w:t>
      </w:r>
    </w:p>
    <w:p>
      <w:pPr>
        <w:pStyle w:val="5"/>
        <w:ind w:left="567" w:hanging="567"/>
      </w:pPr>
      <w:bookmarkStart w:id="55" w:name="_Toc13403"/>
      <w:bookmarkStart w:id="56" w:name="_Toc25642"/>
      <w:bookmarkStart w:id="57" w:name="_Toc72202418"/>
      <w:bookmarkStart w:id="58" w:name="_Toc84146338"/>
      <w:bookmarkStart w:id="59" w:name="_Toc219864502"/>
      <w:r>
        <w:rPr>
          <w:rFonts w:hint="eastAsia"/>
        </w:rPr>
        <w:t>评价因子</w:t>
      </w:r>
      <w:bookmarkEnd w:id="55"/>
      <w:bookmarkEnd w:id="56"/>
      <w:bookmarkEnd w:id="57"/>
      <w:bookmarkEnd w:id="58"/>
      <w:bookmarkEnd w:id="59"/>
      <w:r>
        <w:rPr>
          <w:rFonts w:hint="eastAsia"/>
        </w:rPr>
        <w:t>筛选</w:t>
      </w:r>
    </w:p>
    <w:p>
      <w:pPr>
        <w:pStyle w:val="3"/>
        <w:ind w:firstLine="31680"/>
      </w:pPr>
      <w:r>
        <w:rPr>
          <w:rFonts w:hint="eastAsia"/>
        </w:rPr>
        <w:t>本工程环境质量现状评价和影响评价的因子筛选见表</w:t>
      </w:r>
      <w:r>
        <w:t>2.4-1</w:t>
      </w:r>
      <w:r>
        <w:rPr>
          <w:rFonts w:hint="eastAsia"/>
        </w:rPr>
        <w:t>。</w:t>
      </w:r>
    </w:p>
    <w:p>
      <w:pPr>
        <w:pStyle w:val="114"/>
        <w:rPr>
          <w:i w:val="0"/>
          <w:iCs w:val="0"/>
          <w:u w:val="single"/>
        </w:rPr>
      </w:pPr>
      <w:bookmarkStart w:id="60" w:name="_Ref356229966"/>
      <w:r>
        <w:rPr>
          <w:rFonts w:hint="eastAsia"/>
          <w:i w:val="0"/>
          <w:iCs w:val="0"/>
          <w:u w:val="single"/>
        </w:rPr>
        <w:t>表</w:t>
      </w:r>
      <w:bookmarkEnd w:id="60"/>
      <w:r>
        <w:rPr>
          <w:i w:val="0"/>
          <w:iCs w:val="0"/>
          <w:u w:val="single"/>
        </w:rPr>
        <w:t xml:space="preserve">2.4-1      </w:t>
      </w:r>
      <w:r>
        <w:rPr>
          <w:rFonts w:hint="eastAsia"/>
          <w:i w:val="0"/>
          <w:iCs w:val="0"/>
          <w:u w:val="single"/>
        </w:rPr>
        <w:t>评价因子筛选结果表</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827"/>
        <w:gridCol w:w="1894"/>
        <w:gridCol w:w="2728"/>
        <w:gridCol w:w="3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597" w:type="dxa"/>
            <w:vAlign w:val="center"/>
          </w:tcPr>
          <w:p>
            <w:pPr>
              <w:jc w:val="center"/>
              <w:rPr>
                <w:i w:val="0"/>
                <w:iCs w:val="0"/>
                <w:snapToGrid w:val="0"/>
                <w:sz w:val="21"/>
                <w:szCs w:val="21"/>
                <w:u w:val="single"/>
              </w:rPr>
            </w:pPr>
            <w:r>
              <w:rPr>
                <w:rFonts w:hint="eastAsia"/>
                <w:i w:val="0"/>
                <w:iCs w:val="0"/>
                <w:snapToGrid w:val="0"/>
                <w:sz w:val="21"/>
                <w:szCs w:val="21"/>
                <w:u w:val="single"/>
              </w:rPr>
              <w:t>序号</w:t>
            </w:r>
          </w:p>
        </w:tc>
        <w:tc>
          <w:tcPr>
            <w:tcW w:w="827" w:type="dxa"/>
            <w:vAlign w:val="center"/>
          </w:tcPr>
          <w:p>
            <w:pPr>
              <w:jc w:val="center"/>
              <w:rPr>
                <w:i w:val="0"/>
                <w:iCs w:val="0"/>
                <w:snapToGrid w:val="0"/>
                <w:sz w:val="21"/>
                <w:szCs w:val="21"/>
                <w:u w:val="single"/>
              </w:rPr>
            </w:pPr>
            <w:r>
              <w:rPr>
                <w:rFonts w:hint="eastAsia"/>
                <w:i w:val="0"/>
                <w:iCs w:val="0"/>
                <w:snapToGrid w:val="0"/>
                <w:sz w:val="21"/>
                <w:szCs w:val="21"/>
                <w:u w:val="single"/>
              </w:rPr>
              <w:t>环境</w:t>
            </w:r>
          </w:p>
          <w:p>
            <w:pPr>
              <w:jc w:val="center"/>
              <w:rPr>
                <w:i w:val="0"/>
                <w:iCs w:val="0"/>
                <w:snapToGrid w:val="0"/>
                <w:sz w:val="21"/>
                <w:szCs w:val="21"/>
                <w:u w:val="single"/>
              </w:rPr>
            </w:pPr>
            <w:r>
              <w:rPr>
                <w:rFonts w:hint="eastAsia"/>
                <w:i w:val="0"/>
                <w:iCs w:val="0"/>
                <w:snapToGrid w:val="0"/>
                <w:sz w:val="21"/>
                <w:szCs w:val="21"/>
                <w:u w:val="single"/>
              </w:rPr>
              <w:t>要素</w:t>
            </w:r>
          </w:p>
        </w:tc>
        <w:tc>
          <w:tcPr>
            <w:tcW w:w="1894" w:type="dxa"/>
            <w:vAlign w:val="center"/>
          </w:tcPr>
          <w:p>
            <w:pPr>
              <w:jc w:val="center"/>
              <w:rPr>
                <w:i w:val="0"/>
                <w:iCs w:val="0"/>
                <w:snapToGrid w:val="0"/>
                <w:sz w:val="21"/>
                <w:szCs w:val="21"/>
                <w:u w:val="single"/>
              </w:rPr>
            </w:pPr>
            <w:r>
              <w:rPr>
                <w:rFonts w:hint="eastAsia"/>
                <w:i w:val="0"/>
                <w:iCs w:val="0"/>
                <w:snapToGrid w:val="0"/>
                <w:sz w:val="21"/>
                <w:szCs w:val="21"/>
                <w:u w:val="single"/>
              </w:rPr>
              <w:t>现状评价因子</w:t>
            </w:r>
          </w:p>
        </w:tc>
        <w:tc>
          <w:tcPr>
            <w:tcW w:w="2728" w:type="dxa"/>
            <w:vAlign w:val="center"/>
          </w:tcPr>
          <w:p>
            <w:pPr>
              <w:jc w:val="center"/>
              <w:rPr>
                <w:i w:val="0"/>
                <w:iCs w:val="0"/>
                <w:snapToGrid w:val="0"/>
                <w:sz w:val="21"/>
                <w:szCs w:val="21"/>
                <w:u w:val="single"/>
              </w:rPr>
            </w:pPr>
            <w:r>
              <w:rPr>
                <w:rFonts w:hint="eastAsia"/>
                <w:i w:val="0"/>
                <w:iCs w:val="0"/>
                <w:sz w:val="21"/>
                <w:szCs w:val="21"/>
                <w:u w:val="single"/>
              </w:rPr>
              <w:t>建设期</w:t>
            </w:r>
            <w:r>
              <w:rPr>
                <w:rFonts w:hint="eastAsia"/>
                <w:i w:val="0"/>
                <w:iCs w:val="0"/>
                <w:snapToGrid w:val="0"/>
                <w:sz w:val="21"/>
                <w:szCs w:val="21"/>
                <w:u w:val="single"/>
              </w:rPr>
              <w:t>影响</w:t>
            </w:r>
            <w:r>
              <w:rPr>
                <w:rFonts w:hint="eastAsia" w:hAnsi="宋体"/>
                <w:i w:val="0"/>
                <w:iCs w:val="0"/>
                <w:kern w:val="40"/>
                <w:sz w:val="21"/>
                <w:szCs w:val="21"/>
                <w:u w:val="single"/>
              </w:rPr>
              <w:t>评价</w:t>
            </w:r>
            <w:r>
              <w:rPr>
                <w:rFonts w:hint="eastAsia"/>
                <w:i w:val="0"/>
                <w:iCs w:val="0"/>
                <w:snapToGrid w:val="0"/>
                <w:sz w:val="21"/>
                <w:szCs w:val="21"/>
                <w:u w:val="single"/>
              </w:rPr>
              <w:t>因子</w:t>
            </w:r>
          </w:p>
        </w:tc>
        <w:tc>
          <w:tcPr>
            <w:tcW w:w="3128" w:type="dxa"/>
            <w:vAlign w:val="center"/>
          </w:tcPr>
          <w:p>
            <w:pPr>
              <w:jc w:val="center"/>
              <w:rPr>
                <w:i w:val="0"/>
                <w:iCs w:val="0"/>
                <w:sz w:val="21"/>
                <w:szCs w:val="21"/>
                <w:u w:val="single"/>
              </w:rPr>
            </w:pPr>
            <w:r>
              <w:rPr>
                <w:rFonts w:hint="eastAsia"/>
                <w:i w:val="0"/>
                <w:iCs w:val="0"/>
                <w:sz w:val="21"/>
                <w:szCs w:val="21"/>
                <w:u w:val="single"/>
              </w:rPr>
              <w:t>营运期</w:t>
            </w:r>
            <w:r>
              <w:rPr>
                <w:rFonts w:hint="eastAsia"/>
                <w:i w:val="0"/>
                <w:iCs w:val="0"/>
                <w:snapToGrid w:val="0"/>
                <w:sz w:val="21"/>
                <w:szCs w:val="21"/>
                <w:u w:val="single"/>
              </w:rPr>
              <w:t>影响</w:t>
            </w:r>
            <w:r>
              <w:rPr>
                <w:rFonts w:hint="eastAsia" w:hAnsi="宋体"/>
                <w:i w:val="0"/>
                <w:iCs w:val="0"/>
                <w:kern w:val="40"/>
                <w:sz w:val="21"/>
                <w:szCs w:val="21"/>
                <w:u w:val="single"/>
              </w:rPr>
              <w:t>评价</w:t>
            </w:r>
            <w:r>
              <w:rPr>
                <w:rFonts w:hint="eastAsia"/>
                <w:i w:val="0"/>
                <w:iCs w:val="0"/>
                <w:snapToGrid w:val="0"/>
                <w:sz w:val="21"/>
                <w:szCs w:val="21"/>
                <w:u w:val="single"/>
              </w:rPr>
              <w:t>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97" w:type="dxa"/>
            <w:vAlign w:val="center"/>
          </w:tcPr>
          <w:p>
            <w:pPr>
              <w:jc w:val="center"/>
              <w:rPr>
                <w:i w:val="0"/>
                <w:iCs w:val="0"/>
                <w:snapToGrid w:val="0"/>
                <w:sz w:val="21"/>
                <w:szCs w:val="21"/>
                <w:u w:val="single"/>
              </w:rPr>
            </w:pPr>
            <w:r>
              <w:rPr>
                <w:i w:val="0"/>
                <w:iCs w:val="0"/>
                <w:snapToGrid w:val="0"/>
                <w:sz w:val="21"/>
                <w:szCs w:val="21"/>
                <w:u w:val="single"/>
              </w:rPr>
              <w:t>1</w:t>
            </w:r>
          </w:p>
        </w:tc>
        <w:tc>
          <w:tcPr>
            <w:tcW w:w="827" w:type="dxa"/>
            <w:vAlign w:val="center"/>
          </w:tcPr>
          <w:p>
            <w:pPr>
              <w:jc w:val="center"/>
              <w:rPr>
                <w:i w:val="0"/>
                <w:iCs w:val="0"/>
                <w:snapToGrid w:val="0"/>
                <w:sz w:val="21"/>
                <w:szCs w:val="21"/>
                <w:u w:val="single"/>
              </w:rPr>
            </w:pPr>
            <w:r>
              <w:rPr>
                <w:rFonts w:hint="eastAsia"/>
                <w:i w:val="0"/>
                <w:iCs w:val="0"/>
                <w:snapToGrid w:val="0"/>
                <w:sz w:val="21"/>
                <w:szCs w:val="21"/>
                <w:u w:val="single"/>
              </w:rPr>
              <w:t>水环境</w:t>
            </w:r>
          </w:p>
        </w:tc>
        <w:tc>
          <w:tcPr>
            <w:tcW w:w="1894" w:type="dxa"/>
            <w:vAlign w:val="center"/>
          </w:tcPr>
          <w:p>
            <w:pPr>
              <w:rPr>
                <w:i w:val="0"/>
                <w:iCs w:val="0"/>
                <w:sz w:val="21"/>
                <w:szCs w:val="21"/>
                <w:u w:val="single"/>
              </w:rPr>
            </w:pPr>
            <w:r>
              <w:rPr>
                <w:i w:val="0"/>
                <w:iCs w:val="0"/>
                <w:sz w:val="21"/>
                <w:szCs w:val="21"/>
                <w:u w:val="single"/>
              </w:rPr>
              <w:t>pH</w:t>
            </w:r>
            <w:r>
              <w:rPr>
                <w:rFonts w:hint="eastAsia"/>
                <w:i w:val="0"/>
                <w:iCs w:val="0"/>
                <w:sz w:val="21"/>
                <w:szCs w:val="21"/>
                <w:u w:val="single"/>
              </w:rPr>
              <w:t>、</w:t>
            </w:r>
            <w:r>
              <w:rPr>
                <w:i w:val="0"/>
                <w:iCs w:val="0"/>
                <w:sz w:val="21"/>
                <w:szCs w:val="21"/>
                <w:u w:val="single"/>
              </w:rPr>
              <w:t>SS</w:t>
            </w:r>
            <w:r>
              <w:rPr>
                <w:rFonts w:hint="eastAsia"/>
                <w:i w:val="0"/>
                <w:iCs w:val="0"/>
                <w:sz w:val="21"/>
                <w:szCs w:val="21"/>
                <w:u w:val="single"/>
              </w:rPr>
              <w:t>、</w:t>
            </w:r>
            <w:r>
              <w:rPr>
                <w:i w:val="0"/>
                <w:iCs w:val="0"/>
                <w:sz w:val="21"/>
                <w:szCs w:val="21"/>
                <w:u w:val="single"/>
              </w:rPr>
              <w:t>COD</w:t>
            </w:r>
            <w:r>
              <w:rPr>
                <w:i w:val="0"/>
                <w:iCs w:val="0"/>
                <w:sz w:val="21"/>
                <w:szCs w:val="21"/>
                <w:u w:val="single"/>
                <w:vertAlign w:val="subscript"/>
              </w:rPr>
              <w:t>Cr</w:t>
            </w:r>
            <w:r>
              <w:rPr>
                <w:rFonts w:hint="eastAsia"/>
                <w:i w:val="0"/>
                <w:iCs w:val="0"/>
                <w:sz w:val="21"/>
                <w:szCs w:val="21"/>
                <w:u w:val="single"/>
              </w:rPr>
              <w:t>、氨氮、总磷、石油类、粪大肠菌群</w:t>
            </w:r>
          </w:p>
        </w:tc>
        <w:tc>
          <w:tcPr>
            <w:tcW w:w="2728" w:type="dxa"/>
            <w:vAlign w:val="center"/>
          </w:tcPr>
          <w:p>
            <w:pPr>
              <w:rPr>
                <w:i w:val="0"/>
                <w:iCs w:val="0"/>
                <w:snapToGrid w:val="0"/>
                <w:sz w:val="21"/>
                <w:szCs w:val="21"/>
                <w:u w:val="single"/>
              </w:rPr>
            </w:pPr>
            <w:r>
              <w:rPr>
                <w:rFonts w:hint="eastAsia"/>
                <w:i w:val="0"/>
                <w:iCs w:val="0"/>
                <w:snapToGrid w:val="0"/>
                <w:sz w:val="21"/>
                <w:szCs w:val="21"/>
                <w:u w:val="single"/>
              </w:rPr>
              <w:t>施工现场及营地的生产生活污水：</w:t>
            </w:r>
            <w:r>
              <w:rPr>
                <w:i w:val="0"/>
                <w:iCs w:val="0"/>
                <w:snapToGrid w:val="0"/>
                <w:sz w:val="21"/>
                <w:szCs w:val="21"/>
                <w:u w:val="single"/>
              </w:rPr>
              <w:t>pH</w:t>
            </w:r>
            <w:r>
              <w:rPr>
                <w:rFonts w:hint="eastAsia"/>
                <w:i w:val="0"/>
                <w:iCs w:val="0"/>
                <w:snapToGrid w:val="0"/>
                <w:sz w:val="21"/>
                <w:szCs w:val="21"/>
                <w:u w:val="single"/>
              </w:rPr>
              <w:t>、</w:t>
            </w:r>
            <w:r>
              <w:rPr>
                <w:i w:val="0"/>
                <w:iCs w:val="0"/>
                <w:snapToGrid w:val="0"/>
                <w:sz w:val="21"/>
                <w:szCs w:val="21"/>
                <w:u w:val="single"/>
              </w:rPr>
              <w:t>SS</w:t>
            </w:r>
            <w:r>
              <w:rPr>
                <w:rFonts w:hint="eastAsia"/>
                <w:i w:val="0"/>
                <w:iCs w:val="0"/>
                <w:snapToGrid w:val="0"/>
                <w:sz w:val="21"/>
                <w:szCs w:val="21"/>
                <w:u w:val="single"/>
              </w:rPr>
              <w:t>、</w:t>
            </w:r>
            <w:r>
              <w:rPr>
                <w:i w:val="0"/>
                <w:iCs w:val="0"/>
                <w:snapToGrid w:val="0"/>
                <w:sz w:val="21"/>
                <w:szCs w:val="21"/>
                <w:u w:val="single"/>
              </w:rPr>
              <w:t>COD</w:t>
            </w:r>
            <w:r>
              <w:rPr>
                <w:rFonts w:hint="eastAsia"/>
                <w:i w:val="0"/>
                <w:iCs w:val="0"/>
                <w:snapToGrid w:val="0"/>
                <w:sz w:val="21"/>
                <w:szCs w:val="21"/>
                <w:u w:val="single"/>
              </w:rPr>
              <w:t>、石油类</w:t>
            </w:r>
          </w:p>
        </w:tc>
        <w:tc>
          <w:tcPr>
            <w:tcW w:w="3128" w:type="dxa"/>
            <w:vAlign w:val="center"/>
          </w:tcPr>
          <w:p>
            <w:pPr>
              <w:rPr>
                <w:i w:val="0"/>
                <w:iCs w:val="0"/>
                <w:snapToGrid w:val="0"/>
                <w:sz w:val="21"/>
                <w:szCs w:val="21"/>
                <w:u w:val="single"/>
              </w:rPr>
            </w:pPr>
            <w:r>
              <w:rPr>
                <w:rFonts w:hint="eastAsia"/>
                <w:i w:val="0"/>
                <w:iCs w:val="0"/>
                <w:snapToGrid w:val="0"/>
                <w:sz w:val="21"/>
                <w:szCs w:val="21"/>
                <w:u w:val="single"/>
              </w:rPr>
              <w:t>路面雨水径流：</w:t>
            </w:r>
            <w:r>
              <w:rPr>
                <w:i w:val="0"/>
                <w:iCs w:val="0"/>
                <w:snapToGrid w:val="0"/>
                <w:sz w:val="21"/>
                <w:szCs w:val="21"/>
                <w:u w:val="single"/>
              </w:rPr>
              <w:t>pH</w:t>
            </w:r>
            <w:r>
              <w:rPr>
                <w:rFonts w:hint="eastAsia"/>
                <w:i w:val="0"/>
                <w:iCs w:val="0"/>
                <w:snapToGrid w:val="0"/>
                <w:sz w:val="21"/>
                <w:szCs w:val="21"/>
                <w:u w:val="single"/>
              </w:rPr>
              <w:t>、</w:t>
            </w:r>
            <w:r>
              <w:rPr>
                <w:i w:val="0"/>
                <w:iCs w:val="0"/>
                <w:snapToGrid w:val="0"/>
                <w:sz w:val="21"/>
                <w:szCs w:val="21"/>
                <w:u w:val="single"/>
              </w:rPr>
              <w:t>SS</w:t>
            </w:r>
            <w:r>
              <w:rPr>
                <w:rFonts w:hint="eastAsia"/>
                <w:i w:val="0"/>
                <w:iCs w:val="0"/>
                <w:snapToGrid w:val="0"/>
                <w:sz w:val="21"/>
                <w:szCs w:val="21"/>
                <w:u w:val="single"/>
              </w:rPr>
              <w:t>、</w:t>
            </w:r>
            <w:r>
              <w:rPr>
                <w:i w:val="0"/>
                <w:iCs w:val="0"/>
                <w:snapToGrid w:val="0"/>
                <w:sz w:val="21"/>
                <w:szCs w:val="21"/>
                <w:u w:val="single"/>
              </w:rPr>
              <w:t>COD</w:t>
            </w:r>
            <w:r>
              <w:rPr>
                <w:rFonts w:hint="eastAsia"/>
                <w:i w:val="0"/>
                <w:iCs w:val="0"/>
                <w:snapToGrid w:val="0"/>
                <w:sz w:val="21"/>
                <w:szCs w:val="21"/>
                <w:u w:val="single"/>
              </w:rPr>
              <w:t>、石油类等，危险化学品水污染环境风险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97" w:type="dxa"/>
            <w:vAlign w:val="center"/>
          </w:tcPr>
          <w:p>
            <w:pPr>
              <w:jc w:val="center"/>
              <w:rPr>
                <w:i w:val="0"/>
                <w:iCs w:val="0"/>
                <w:snapToGrid w:val="0"/>
                <w:sz w:val="21"/>
                <w:szCs w:val="21"/>
                <w:u w:val="single"/>
              </w:rPr>
            </w:pPr>
            <w:r>
              <w:rPr>
                <w:i w:val="0"/>
                <w:iCs w:val="0"/>
                <w:snapToGrid w:val="0"/>
                <w:sz w:val="21"/>
                <w:szCs w:val="21"/>
                <w:u w:val="single"/>
              </w:rPr>
              <w:t>2</w:t>
            </w:r>
          </w:p>
        </w:tc>
        <w:tc>
          <w:tcPr>
            <w:tcW w:w="827" w:type="dxa"/>
            <w:vAlign w:val="center"/>
          </w:tcPr>
          <w:p>
            <w:pPr>
              <w:jc w:val="center"/>
              <w:rPr>
                <w:i w:val="0"/>
                <w:iCs w:val="0"/>
                <w:snapToGrid w:val="0"/>
                <w:sz w:val="21"/>
                <w:szCs w:val="21"/>
                <w:u w:val="single"/>
              </w:rPr>
            </w:pPr>
            <w:r>
              <w:rPr>
                <w:rFonts w:hint="eastAsia"/>
                <w:i w:val="0"/>
                <w:iCs w:val="0"/>
                <w:snapToGrid w:val="0"/>
                <w:sz w:val="21"/>
                <w:szCs w:val="21"/>
                <w:u w:val="single"/>
              </w:rPr>
              <w:t>大气</w:t>
            </w:r>
          </w:p>
          <w:p>
            <w:pPr>
              <w:jc w:val="center"/>
              <w:rPr>
                <w:i w:val="0"/>
                <w:iCs w:val="0"/>
                <w:snapToGrid w:val="0"/>
                <w:sz w:val="21"/>
                <w:szCs w:val="21"/>
                <w:u w:val="single"/>
              </w:rPr>
            </w:pPr>
            <w:r>
              <w:rPr>
                <w:rFonts w:hint="eastAsia"/>
                <w:i w:val="0"/>
                <w:iCs w:val="0"/>
                <w:snapToGrid w:val="0"/>
                <w:sz w:val="21"/>
                <w:szCs w:val="21"/>
                <w:u w:val="single"/>
              </w:rPr>
              <w:t>环境</w:t>
            </w:r>
          </w:p>
        </w:tc>
        <w:tc>
          <w:tcPr>
            <w:tcW w:w="1894" w:type="dxa"/>
            <w:vAlign w:val="center"/>
          </w:tcPr>
          <w:p>
            <w:pPr>
              <w:rPr>
                <w:i w:val="0"/>
                <w:iCs w:val="0"/>
                <w:snapToGrid w:val="0"/>
                <w:sz w:val="21"/>
                <w:szCs w:val="21"/>
                <w:u w:val="single"/>
              </w:rPr>
            </w:pPr>
            <w:r>
              <w:rPr>
                <w:i w:val="0"/>
                <w:iCs w:val="0"/>
                <w:sz w:val="21"/>
                <w:szCs w:val="21"/>
                <w:u w:val="single"/>
              </w:rPr>
              <w:t>TSP</w:t>
            </w:r>
            <w:r>
              <w:rPr>
                <w:rFonts w:hint="eastAsia"/>
                <w:i w:val="0"/>
                <w:iCs w:val="0"/>
                <w:sz w:val="21"/>
                <w:szCs w:val="21"/>
                <w:u w:val="single"/>
              </w:rPr>
              <w:t>、</w:t>
            </w:r>
            <w:r>
              <w:rPr>
                <w:i w:val="0"/>
                <w:iCs w:val="0"/>
                <w:sz w:val="21"/>
                <w:szCs w:val="21"/>
                <w:u w:val="single"/>
              </w:rPr>
              <w:t>NO</w:t>
            </w:r>
            <w:r>
              <w:rPr>
                <w:i w:val="0"/>
                <w:iCs w:val="0"/>
                <w:sz w:val="21"/>
                <w:szCs w:val="21"/>
                <w:u w:val="single"/>
                <w:vertAlign w:val="subscript"/>
              </w:rPr>
              <w:t>2</w:t>
            </w:r>
            <w:r>
              <w:rPr>
                <w:rFonts w:hint="eastAsia"/>
                <w:i w:val="0"/>
                <w:iCs w:val="0"/>
                <w:sz w:val="21"/>
                <w:szCs w:val="21"/>
                <w:u w:val="single"/>
                <w:vertAlign w:val="baseline"/>
                <w:lang w:eastAsia="zh-CN"/>
              </w:rPr>
              <w:t>、</w:t>
            </w:r>
            <w:r>
              <w:rPr>
                <w:rFonts w:hint="eastAsia"/>
                <w:i w:val="0"/>
                <w:iCs w:val="0"/>
                <w:sz w:val="21"/>
                <w:szCs w:val="21"/>
                <w:u w:val="single"/>
                <w:vertAlign w:val="baseline"/>
                <w:lang w:val="en-US" w:eastAsia="zh-CN"/>
              </w:rPr>
              <w:t>CO</w:t>
            </w:r>
          </w:p>
        </w:tc>
        <w:tc>
          <w:tcPr>
            <w:tcW w:w="2728" w:type="dxa"/>
            <w:vAlign w:val="center"/>
          </w:tcPr>
          <w:p>
            <w:pPr>
              <w:rPr>
                <w:i w:val="0"/>
                <w:iCs w:val="0"/>
                <w:sz w:val="21"/>
                <w:szCs w:val="21"/>
                <w:u w:val="single"/>
              </w:rPr>
            </w:pPr>
            <w:r>
              <w:rPr>
                <w:i w:val="0"/>
                <w:iCs w:val="0"/>
                <w:sz w:val="21"/>
                <w:szCs w:val="21"/>
                <w:u w:val="single"/>
              </w:rPr>
              <w:t>TSP</w:t>
            </w:r>
            <w:r>
              <w:rPr>
                <w:rFonts w:hint="eastAsia"/>
                <w:i w:val="0"/>
                <w:iCs w:val="0"/>
                <w:sz w:val="21"/>
                <w:szCs w:val="21"/>
                <w:u w:val="single"/>
              </w:rPr>
              <w:t>、</w:t>
            </w:r>
            <w:r>
              <w:rPr>
                <w:i w:val="0"/>
                <w:iCs w:val="0"/>
                <w:sz w:val="21"/>
                <w:szCs w:val="21"/>
                <w:u w:val="single"/>
              </w:rPr>
              <w:t>NO</w:t>
            </w:r>
            <w:r>
              <w:rPr>
                <w:i w:val="0"/>
                <w:iCs w:val="0"/>
                <w:sz w:val="21"/>
                <w:szCs w:val="21"/>
                <w:u w:val="single"/>
                <w:vertAlign w:val="subscript"/>
              </w:rPr>
              <w:t>2</w:t>
            </w:r>
            <w:r>
              <w:rPr>
                <w:rFonts w:hint="eastAsia"/>
                <w:i w:val="0"/>
                <w:iCs w:val="0"/>
                <w:sz w:val="21"/>
                <w:szCs w:val="21"/>
                <w:u w:val="single"/>
              </w:rPr>
              <w:t>、沥青烟</w:t>
            </w:r>
          </w:p>
        </w:tc>
        <w:tc>
          <w:tcPr>
            <w:tcW w:w="3128" w:type="dxa"/>
            <w:vAlign w:val="center"/>
          </w:tcPr>
          <w:p>
            <w:pPr>
              <w:rPr>
                <w:i w:val="0"/>
                <w:iCs w:val="0"/>
                <w:sz w:val="21"/>
                <w:szCs w:val="21"/>
                <w:u w:val="single"/>
              </w:rPr>
            </w:pPr>
            <w:r>
              <w:rPr>
                <w:i w:val="0"/>
                <w:iCs w:val="0"/>
                <w:sz w:val="21"/>
                <w:szCs w:val="21"/>
                <w:u w:val="single"/>
              </w:rPr>
              <w:t>TSP</w:t>
            </w:r>
            <w:r>
              <w:rPr>
                <w:rFonts w:hint="eastAsia"/>
                <w:i w:val="0"/>
                <w:iCs w:val="0"/>
                <w:sz w:val="21"/>
                <w:szCs w:val="21"/>
                <w:u w:val="single"/>
              </w:rPr>
              <w:t>、</w:t>
            </w:r>
            <w:r>
              <w:rPr>
                <w:i w:val="0"/>
                <w:iCs w:val="0"/>
                <w:sz w:val="21"/>
                <w:szCs w:val="21"/>
                <w:u w:val="single"/>
              </w:rPr>
              <w:t>NO</w:t>
            </w:r>
            <w:r>
              <w:rPr>
                <w:i w:val="0"/>
                <w:iCs w:val="0"/>
                <w:sz w:val="21"/>
                <w:szCs w:val="21"/>
                <w:u w:val="single"/>
                <w:vertAlign w:val="subscript"/>
              </w:rPr>
              <w:t>2</w:t>
            </w:r>
            <w:r>
              <w:rPr>
                <w:rFonts w:hint="eastAsia"/>
                <w:i w:val="0"/>
                <w:iCs w:val="0"/>
                <w:sz w:val="21"/>
                <w:szCs w:val="21"/>
                <w:u w:val="single"/>
                <w:vertAlign w:val="baseline"/>
                <w:lang w:eastAsia="zh-CN"/>
              </w:rPr>
              <w:t>、</w:t>
            </w:r>
            <w:r>
              <w:rPr>
                <w:rFonts w:hint="eastAsia"/>
                <w:i w:val="0"/>
                <w:iCs w:val="0"/>
                <w:sz w:val="21"/>
                <w:szCs w:val="21"/>
                <w:u w:val="single"/>
                <w:vertAlign w:val="baseline"/>
                <w:lang w:val="en-US" w:eastAsia="zh-CN"/>
              </w:rPr>
              <w:t>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97" w:type="dxa"/>
            <w:vAlign w:val="center"/>
          </w:tcPr>
          <w:p>
            <w:pPr>
              <w:jc w:val="center"/>
              <w:rPr>
                <w:i w:val="0"/>
                <w:iCs w:val="0"/>
                <w:snapToGrid w:val="0"/>
                <w:sz w:val="21"/>
                <w:szCs w:val="21"/>
                <w:u w:val="single"/>
              </w:rPr>
            </w:pPr>
            <w:r>
              <w:rPr>
                <w:i w:val="0"/>
                <w:iCs w:val="0"/>
                <w:snapToGrid w:val="0"/>
                <w:sz w:val="21"/>
                <w:szCs w:val="21"/>
                <w:u w:val="single"/>
              </w:rPr>
              <w:t>3</w:t>
            </w:r>
          </w:p>
        </w:tc>
        <w:tc>
          <w:tcPr>
            <w:tcW w:w="827" w:type="dxa"/>
            <w:vAlign w:val="center"/>
          </w:tcPr>
          <w:p>
            <w:pPr>
              <w:jc w:val="center"/>
              <w:rPr>
                <w:i w:val="0"/>
                <w:iCs w:val="0"/>
                <w:snapToGrid w:val="0"/>
                <w:sz w:val="21"/>
                <w:szCs w:val="21"/>
                <w:u w:val="single"/>
              </w:rPr>
            </w:pPr>
            <w:r>
              <w:rPr>
                <w:rFonts w:hint="eastAsia"/>
                <w:i w:val="0"/>
                <w:iCs w:val="0"/>
                <w:snapToGrid w:val="0"/>
                <w:sz w:val="21"/>
                <w:szCs w:val="21"/>
                <w:u w:val="single"/>
              </w:rPr>
              <w:t>声环境</w:t>
            </w:r>
          </w:p>
        </w:tc>
        <w:tc>
          <w:tcPr>
            <w:tcW w:w="1894" w:type="dxa"/>
            <w:vAlign w:val="center"/>
          </w:tcPr>
          <w:p>
            <w:pPr>
              <w:rPr>
                <w:i w:val="0"/>
                <w:iCs w:val="0"/>
                <w:sz w:val="21"/>
                <w:szCs w:val="21"/>
                <w:u w:val="single"/>
              </w:rPr>
            </w:pPr>
            <w:r>
              <w:rPr>
                <w:rFonts w:hint="eastAsia"/>
                <w:i w:val="0"/>
                <w:iCs w:val="0"/>
                <w:sz w:val="21"/>
                <w:szCs w:val="21"/>
                <w:u w:val="single"/>
              </w:rPr>
              <w:t>等效连续</w:t>
            </w:r>
            <w:r>
              <w:rPr>
                <w:i w:val="0"/>
                <w:iCs w:val="0"/>
                <w:sz w:val="21"/>
                <w:szCs w:val="21"/>
                <w:u w:val="single"/>
              </w:rPr>
              <w:t>A</w:t>
            </w:r>
            <w:r>
              <w:rPr>
                <w:rFonts w:hint="eastAsia"/>
                <w:i w:val="0"/>
                <w:iCs w:val="0"/>
                <w:sz w:val="21"/>
                <w:szCs w:val="21"/>
                <w:u w:val="single"/>
              </w:rPr>
              <w:t>声级</w:t>
            </w:r>
            <w:r>
              <w:rPr>
                <w:i w:val="0"/>
                <w:iCs w:val="0"/>
                <w:sz w:val="21"/>
                <w:szCs w:val="21"/>
                <w:u w:val="single"/>
              </w:rPr>
              <w:t>L</w:t>
            </w:r>
            <w:r>
              <w:rPr>
                <w:i w:val="0"/>
                <w:iCs w:val="0"/>
                <w:sz w:val="21"/>
                <w:szCs w:val="21"/>
                <w:u w:val="single"/>
                <w:vertAlign w:val="subscript"/>
              </w:rPr>
              <w:t>Aeq</w:t>
            </w:r>
          </w:p>
        </w:tc>
        <w:tc>
          <w:tcPr>
            <w:tcW w:w="2728" w:type="dxa"/>
            <w:vAlign w:val="center"/>
          </w:tcPr>
          <w:p>
            <w:pPr>
              <w:rPr>
                <w:i w:val="0"/>
                <w:iCs w:val="0"/>
                <w:sz w:val="21"/>
                <w:szCs w:val="21"/>
                <w:u w:val="single"/>
              </w:rPr>
            </w:pPr>
            <w:r>
              <w:rPr>
                <w:rFonts w:hint="eastAsia"/>
                <w:i w:val="0"/>
                <w:iCs w:val="0"/>
                <w:sz w:val="21"/>
                <w:szCs w:val="21"/>
                <w:u w:val="single"/>
              </w:rPr>
              <w:t>施工噪声；等效连续</w:t>
            </w:r>
            <w:r>
              <w:rPr>
                <w:i w:val="0"/>
                <w:iCs w:val="0"/>
                <w:sz w:val="21"/>
                <w:szCs w:val="21"/>
                <w:u w:val="single"/>
              </w:rPr>
              <w:t>A</w:t>
            </w:r>
            <w:r>
              <w:rPr>
                <w:rFonts w:hint="eastAsia"/>
                <w:i w:val="0"/>
                <w:iCs w:val="0"/>
                <w:sz w:val="21"/>
                <w:szCs w:val="21"/>
                <w:u w:val="single"/>
              </w:rPr>
              <w:t>声级</w:t>
            </w:r>
            <w:r>
              <w:rPr>
                <w:i w:val="0"/>
                <w:iCs w:val="0"/>
                <w:sz w:val="21"/>
                <w:szCs w:val="21"/>
                <w:u w:val="single"/>
              </w:rPr>
              <w:t>L</w:t>
            </w:r>
            <w:r>
              <w:rPr>
                <w:i w:val="0"/>
                <w:iCs w:val="0"/>
                <w:sz w:val="21"/>
                <w:szCs w:val="21"/>
                <w:u w:val="single"/>
                <w:vertAlign w:val="subscript"/>
              </w:rPr>
              <w:t>Aeq</w:t>
            </w:r>
          </w:p>
        </w:tc>
        <w:tc>
          <w:tcPr>
            <w:tcW w:w="3128" w:type="dxa"/>
            <w:vAlign w:val="center"/>
          </w:tcPr>
          <w:p>
            <w:pPr>
              <w:rPr>
                <w:i w:val="0"/>
                <w:iCs w:val="0"/>
                <w:sz w:val="21"/>
                <w:szCs w:val="21"/>
                <w:u w:val="single"/>
              </w:rPr>
            </w:pPr>
            <w:r>
              <w:rPr>
                <w:rFonts w:hint="eastAsia"/>
                <w:i w:val="0"/>
                <w:iCs w:val="0"/>
                <w:sz w:val="21"/>
                <w:szCs w:val="21"/>
                <w:u w:val="single"/>
              </w:rPr>
              <w:t>交通噪声；等效连续</w:t>
            </w:r>
            <w:r>
              <w:rPr>
                <w:i w:val="0"/>
                <w:iCs w:val="0"/>
                <w:sz w:val="21"/>
                <w:szCs w:val="21"/>
                <w:u w:val="single"/>
              </w:rPr>
              <w:t>A</w:t>
            </w:r>
            <w:r>
              <w:rPr>
                <w:rFonts w:hint="eastAsia"/>
                <w:i w:val="0"/>
                <w:iCs w:val="0"/>
                <w:sz w:val="21"/>
                <w:szCs w:val="21"/>
                <w:u w:val="single"/>
              </w:rPr>
              <w:t>声级</w:t>
            </w:r>
            <w:r>
              <w:rPr>
                <w:i w:val="0"/>
                <w:iCs w:val="0"/>
                <w:sz w:val="21"/>
                <w:szCs w:val="21"/>
                <w:u w:val="single"/>
              </w:rPr>
              <w:t>L</w:t>
            </w:r>
            <w:r>
              <w:rPr>
                <w:i w:val="0"/>
                <w:iCs w:val="0"/>
                <w:sz w:val="21"/>
                <w:szCs w:val="21"/>
                <w:u w:val="single"/>
                <w:vertAlign w:val="subscript"/>
              </w:rPr>
              <w:t>Aeq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97" w:type="dxa"/>
            <w:vAlign w:val="center"/>
          </w:tcPr>
          <w:p>
            <w:pPr>
              <w:jc w:val="center"/>
              <w:rPr>
                <w:i w:val="0"/>
                <w:iCs w:val="0"/>
                <w:snapToGrid w:val="0"/>
                <w:sz w:val="21"/>
                <w:szCs w:val="21"/>
                <w:u w:val="single"/>
              </w:rPr>
            </w:pPr>
            <w:r>
              <w:rPr>
                <w:i w:val="0"/>
                <w:iCs w:val="0"/>
                <w:snapToGrid w:val="0"/>
                <w:sz w:val="21"/>
                <w:szCs w:val="21"/>
                <w:u w:val="single"/>
              </w:rPr>
              <w:t>4</w:t>
            </w:r>
          </w:p>
        </w:tc>
        <w:tc>
          <w:tcPr>
            <w:tcW w:w="827" w:type="dxa"/>
            <w:vAlign w:val="center"/>
          </w:tcPr>
          <w:p>
            <w:pPr>
              <w:jc w:val="center"/>
              <w:rPr>
                <w:i w:val="0"/>
                <w:iCs w:val="0"/>
                <w:snapToGrid w:val="0"/>
                <w:sz w:val="21"/>
                <w:szCs w:val="21"/>
                <w:u w:val="single"/>
              </w:rPr>
            </w:pPr>
            <w:r>
              <w:rPr>
                <w:rFonts w:hint="eastAsia"/>
                <w:i w:val="0"/>
                <w:iCs w:val="0"/>
                <w:snapToGrid w:val="0"/>
                <w:sz w:val="21"/>
                <w:szCs w:val="21"/>
                <w:u w:val="single"/>
              </w:rPr>
              <w:t>生态</w:t>
            </w:r>
          </w:p>
          <w:p>
            <w:pPr>
              <w:jc w:val="center"/>
              <w:rPr>
                <w:i w:val="0"/>
                <w:iCs w:val="0"/>
                <w:snapToGrid w:val="0"/>
                <w:sz w:val="21"/>
                <w:szCs w:val="21"/>
                <w:u w:val="single"/>
              </w:rPr>
            </w:pPr>
            <w:r>
              <w:rPr>
                <w:rFonts w:hint="eastAsia"/>
                <w:i w:val="0"/>
                <w:iCs w:val="0"/>
                <w:snapToGrid w:val="0"/>
                <w:sz w:val="21"/>
                <w:szCs w:val="21"/>
                <w:u w:val="single"/>
              </w:rPr>
              <w:t>环境</w:t>
            </w:r>
          </w:p>
        </w:tc>
        <w:tc>
          <w:tcPr>
            <w:tcW w:w="1894" w:type="dxa"/>
            <w:vAlign w:val="center"/>
          </w:tcPr>
          <w:p>
            <w:pPr>
              <w:rPr>
                <w:i w:val="0"/>
                <w:iCs w:val="0"/>
                <w:sz w:val="21"/>
                <w:szCs w:val="21"/>
                <w:u w:val="single"/>
              </w:rPr>
            </w:pPr>
            <w:r>
              <w:rPr>
                <w:rFonts w:hint="eastAsia" w:hAnsi="宋体"/>
                <w:i w:val="0"/>
                <w:iCs w:val="0"/>
                <w:sz w:val="21"/>
                <w:szCs w:val="21"/>
                <w:u w:val="single"/>
              </w:rPr>
              <w:t>野生动植物、植被、耕地、水土流失</w:t>
            </w:r>
          </w:p>
        </w:tc>
        <w:tc>
          <w:tcPr>
            <w:tcW w:w="2728" w:type="dxa"/>
            <w:vAlign w:val="center"/>
          </w:tcPr>
          <w:p>
            <w:pPr>
              <w:rPr>
                <w:i w:val="0"/>
                <w:iCs w:val="0"/>
                <w:kern w:val="40"/>
                <w:sz w:val="21"/>
                <w:szCs w:val="21"/>
                <w:u w:val="single"/>
              </w:rPr>
            </w:pPr>
            <w:r>
              <w:rPr>
                <w:rFonts w:hint="eastAsia"/>
                <w:i w:val="0"/>
                <w:iCs w:val="0"/>
                <w:sz w:val="21"/>
                <w:szCs w:val="21"/>
                <w:u w:val="single"/>
              </w:rPr>
              <w:t>野生动物、植被、耕地、水土流失、</w:t>
            </w:r>
            <w:r>
              <w:rPr>
                <w:rFonts w:hint="eastAsia"/>
                <w:i w:val="0"/>
                <w:iCs w:val="0"/>
                <w:kern w:val="40"/>
                <w:sz w:val="21"/>
                <w:szCs w:val="21"/>
                <w:u w:val="single"/>
              </w:rPr>
              <w:t>景观、林地、土壤的影响、交通阻隔</w:t>
            </w:r>
          </w:p>
        </w:tc>
        <w:tc>
          <w:tcPr>
            <w:tcW w:w="3128" w:type="dxa"/>
            <w:vAlign w:val="center"/>
          </w:tcPr>
          <w:p>
            <w:pPr>
              <w:rPr>
                <w:i w:val="0"/>
                <w:iCs w:val="0"/>
                <w:sz w:val="21"/>
                <w:szCs w:val="21"/>
                <w:u w:val="single"/>
              </w:rPr>
            </w:pPr>
            <w:r>
              <w:rPr>
                <w:rFonts w:hint="eastAsia" w:hAnsi="宋体"/>
                <w:i w:val="0"/>
                <w:iCs w:val="0"/>
                <w:kern w:val="40"/>
                <w:sz w:val="21"/>
                <w:szCs w:val="21"/>
                <w:u w:val="single"/>
              </w:rPr>
              <w:t>植被、野生动物、土地复垦及防护工程、绿化工程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97" w:type="dxa"/>
            <w:vAlign w:val="center"/>
          </w:tcPr>
          <w:p>
            <w:pPr>
              <w:jc w:val="center"/>
              <w:rPr>
                <w:i w:val="0"/>
                <w:iCs w:val="0"/>
                <w:sz w:val="21"/>
                <w:szCs w:val="21"/>
                <w:u w:val="single"/>
              </w:rPr>
            </w:pPr>
            <w:r>
              <w:rPr>
                <w:i w:val="0"/>
                <w:iCs w:val="0"/>
                <w:sz w:val="21"/>
                <w:szCs w:val="21"/>
                <w:u w:val="single"/>
              </w:rPr>
              <w:t>5</w:t>
            </w:r>
          </w:p>
        </w:tc>
        <w:tc>
          <w:tcPr>
            <w:tcW w:w="827" w:type="dxa"/>
            <w:vAlign w:val="center"/>
          </w:tcPr>
          <w:p>
            <w:pPr>
              <w:jc w:val="center"/>
              <w:rPr>
                <w:i w:val="0"/>
                <w:iCs w:val="0"/>
                <w:sz w:val="21"/>
                <w:szCs w:val="21"/>
                <w:u w:val="single"/>
              </w:rPr>
            </w:pPr>
            <w:r>
              <w:rPr>
                <w:rFonts w:hint="eastAsia"/>
                <w:i w:val="0"/>
                <w:iCs w:val="0"/>
                <w:sz w:val="21"/>
                <w:szCs w:val="21"/>
                <w:u w:val="single"/>
              </w:rPr>
              <w:t>社会</w:t>
            </w:r>
          </w:p>
          <w:p>
            <w:pPr>
              <w:jc w:val="center"/>
              <w:rPr>
                <w:i w:val="0"/>
                <w:iCs w:val="0"/>
                <w:sz w:val="21"/>
                <w:szCs w:val="21"/>
                <w:u w:val="single"/>
              </w:rPr>
            </w:pPr>
            <w:r>
              <w:rPr>
                <w:rFonts w:hint="eastAsia"/>
                <w:i w:val="0"/>
                <w:iCs w:val="0"/>
                <w:sz w:val="21"/>
                <w:szCs w:val="21"/>
                <w:u w:val="single"/>
              </w:rPr>
              <w:t>环境</w:t>
            </w:r>
          </w:p>
        </w:tc>
        <w:tc>
          <w:tcPr>
            <w:tcW w:w="1894" w:type="dxa"/>
            <w:vAlign w:val="center"/>
          </w:tcPr>
          <w:p>
            <w:pPr>
              <w:rPr>
                <w:i w:val="0"/>
                <w:iCs w:val="0"/>
                <w:sz w:val="21"/>
                <w:szCs w:val="21"/>
                <w:u w:val="single"/>
              </w:rPr>
            </w:pPr>
            <w:r>
              <w:rPr>
                <w:rFonts w:hint="eastAsia"/>
                <w:i w:val="0"/>
                <w:iCs w:val="0"/>
                <w:sz w:val="21"/>
                <w:szCs w:val="21"/>
                <w:u w:val="single"/>
              </w:rPr>
              <w:t>社会经济、人口数量、生活质量、基础设施</w:t>
            </w:r>
          </w:p>
        </w:tc>
        <w:tc>
          <w:tcPr>
            <w:tcW w:w="2728" w:type="dxa"/>
            <w:vAlign w:val="center"/>
          </w:tcPr>
          <w:p>
            <w:pPr>
              <w:rPr>
                <w:i w:val="0"/>
                <w:iCs w:val="0"/>
                <w:kern w:val="40"/>
                <w:sz w:val="21"/>
                <w:szCs w:val="21"/>
                <w:u w:val="single"/>
              </w:rPr>
            </w:pPr>
            <w:r>
              <w:rPr>
                <w:rFonts w:hint="eastAsia"/>
                <w:i w:val="0"/>
                <w:iCs w:val="0"/>
                <w:sz w:val="21"/>
                <w:szCs w:val="21"/>
                <w:u w:val="single"/>
              </w:rPr>
              <w:t>社会经济、基础设施、</w:t>
            </w:r>
            <w:r>
              <w:rPr>
                <w:rFonts w:hint="eastAsia"/>
                <w:i w:val="0"/>
                <w:iCs w:val="0"/>
                <w:kern w:val="40"/>
                <w:sz w:val="21"/>
                <w:szCs w:val="21"/>
                <w:u w:val="single"/>
              </w:rPr>
              <w:t>交通运输、搬迁安置、经济发展、土地利用</w:t>
            </w:r>
          </w:p>
        </w:tc>
        <w:tc>
          <w:tcPr>
            <w:tcW w:w="3128" w:type="dxa"/>
            <w:vAlign w:val="center"/>
          </w:tcPr>
          <w:p>
            <w:pPr>
              <w:rPr>
                <w:i w:val="0"/>
                <w:iCs w:val="0"/>
                <w:sz w:val="21"/>
                <w:szCs w:val="21"/>
                <w:u w:val="single"/>
              </w:rPr>
            </w:pPr>
            <w:r>
              <w:rPr>
                <w:rFonts w:hint="eastAsia"/>
                <w:i w:val="0"/>
                <w:iCs w:val="0"/>
                <w:sz w:val="21"/>
                <w:szCs w:val="21"/>
                <w:u w:val="single"/>
              </w:rPr>
              <w:t>交通运输条件、社会经济发展、土地占用、土地利用</w:t>
            </w:r>
            <w:r>
              <w:rPr>
                <w:rFonts w:hint="eastAsia" w:hAnsi="宋体"/>
                <w:i w:val="0"/>
                <w:iCs w:val="0"/>
                <w:kern w:val="40"/>
                <w:sz w:val="21"/>
                <w:szCs w:val="21"/>
                <w:u w:val="single"/>
              </w:rPr>
              <w:t>等</w:t>
            </w:r>
          </w:p>
        </w:tc>
      </w:tr>
    </w:tbl>
    <w:p>
      <w:pPr>
        <w:pStyle w:val="5"/>
        <w:ind w:left="567" w:hanging="567"/>
      </w:pPr>
      <w:r>
        <w:rPr>
          <w:rFonts w:hint="eastAsia"/>
        </w:rPr>
        <w:t>评价重点</w:t>
      </w:r>
      <w:bookmarkEnd w:id="51"/>
      <w:bookmarkEnd w:id="52"/>
      <w:bookmarkEnd w:id="53"/>
    </w:p>
    <w:p>
      <w:pPr>
        <w:pStyle w:val="3"/>
        <w:ind w:firstLine="31680"/>
      </w:pPr>
      <w:r>
        <w:t>a</w:t>
      </w:r>
      <w:r>
        <w:rPr>
          <w:rFonts w:hint="eastAsia"/>
        </w:rPr>
        <w:t>）施工期环境影响及减缓措施；</w:t>
      </w:r>
    </w:p>
    <w:p>
      <w:pPr>
        <w:pStyle w:val="3"/>
        <w:ind w:firstLine="31680"/>
      </w:pPr>
      <w:r>
        <w:t>b</w:t>
      </w:r>
      <w:r>
        <w:rPr>
          <w:rFonts w:hint="eastAsia"/>
        </w:rPr>
        <w:t>）营运期交通噪声影响评价，交通运输风险评价；</w:t>
      </w:r>
    </w:p>
    <w:p>
      <w:pPr>
        <w:pStyle w:val="3"/>
        <w:ind w:firstLine="31680"/>
      </w:pPr>
      <w:r>
        <w:t>c</w:t>
      </w:r>
      <w:r>
        <w:rPr>
          <w:rFonts w:hint="eastAsia"/>
        </w:rPr>
        <w:t>）施工期和营运期对沿线生态环境的影响；</w:t>
      </w:r>
    </w:p>
    <w:p>
      <w:pPr>
        <w:pStyle w:val="3"/>
        <w:ind w:firstLine="31680"/>
      </w:pPr>
      <w:r>
        <w:t>d</w:t>
      </w:r>
      <w:r>
        <w:rPr>
          <w:rFonts w:hint="eastAsia"/>
        </w:rPr>
        <w:t>）施工期、营运期污染防治措施分析论证。</w:t>
      </w:r>
    </w:p>
    <w:p>
      <w:pPr>
        <w:pStyle w:val="4"/>
        <w:ind w:hanging="718"/>
      </w:pPr>
      <w:bookmarkStart w:id="61" w:name="_Toc317762446"/>
      <w:bookmarkStart w:id="62" w:name="_Toc243202351"/>
      <w:bookmarkStart w:id="63" w:name="_Toc9717"/>
      <w:bookmarkStart w:id="64" w:name="_Toc84146339"/>
      <w:bookmarkStart w:id="65" w:name="_Toc383248403"/>
      <w:bookmarkStart w:id="66" w:name="_Toc243276899"/>
      <w:bookmarkStart w:id="67" w:name="_Toc16366"/>
      <w:bookmarkStart w:id="68" w:name="_Toc219864504"/>
      <w:bookmarkStart w:id="69" w:name="_Toc20214"/>
      <w:r>
        <w:rPr>
          <w:rFonts w:hint="eastAsia"/>
        </w:rPr>
        <w:t>评价执行标准</w:t>
      </w:r>
      <w:bookmarkEnd w:id="54"/>
      <w:bookmarkEnd w:id="61"/>
      <w:bookmarkEnd w:id="62"/>
      <w:bookmarkEnd w:id="63"/>
      <w:bookmarkEnd w:id="64"/>
      <w:bookmarkEnd w:id="65"/>
      <w:bookmarkEnd w:id="66"/>
      <w:bookmarkEnd w:id="67"/>
      <w:bookmarkEnd w:id="68"/>
      <w:bookmarkEnd w:id="69"/>
    </w:p>
    <w:p>
      <w:pPr>
        <w:pStyle w:val="3"/>
        <w:ind w:firstLine="31680"/>
      </w:pPr>
      <w:bookmarkStart w:id="70" w:name="_Toc69616113"/>
      <w:bookmarkStart w:id="71" w:name="_Toc84146340"/>
      <w:bookmarkStart w:id="72" w:name="_Toc72202420"/>
      <w:r>
        <w:rPr>
          <w:rFonts w:hint="eastAsia"/>
        </w:rPr>
        <w:t>根据汨罗市环保局出具的环境影响评价执行标准，本工程环境影响评价过程中，环境质量标准及污染物排放执行标准如下：</w:t>
      </w:r>
    </w:p>
    <w:bookmarkEnd w:id="70"/>
    <w:bookmarkEnd w:id="71"/>
    <w:bookmarkEnd w:id="72"/>
    <w:p>
      <w:pPr>
        <w:pStyle w:val="5"/>
        <w:ind w:left="567" w:hanging="567"/>
      </w:pPr>
      <w:bookmarkStart w:id="73" w:name="_Toc219864505"/>
      <w:bookmarkStart w:id="74" w:name="_Toc12923"/>
      <w:bookmarkStart w:id="75" w:name="_Toc5630"/>
      <w:r>
        <w:rPr>
          <w:rFonts w:hint="eastAsia"/>
        </w:rPr>
        <w:t>环境质量标准</w:t>
      </w:r>
      <w:bookmarkEnd w:id="73"/>
      <w:bookmarkEnd w:id="74"/>
      <w:bookmarkEnd w:id="75"/>
    </w:p>
    <w:p>
      <w:pPr>
        <w:pStyle w:val="3"/>
        <w:ind w:firstLine="31680"/>
      </w:pPr>
      <w:r>
        <w:t>a</w:t>
      </w:r>
      <w:r>
        <w:rPr>
          <w:rFonts w:hint="eastAsia"/>
        </w:rPr>
        <w:t>）大气环境质量标准</w:t>
      </w:r>
    </w:p>
    <w:p>
      <w:pPr>
        <w:pStyle w:val="3"/>
        <w:ind w:firstLine="31680"/>
      </w:pPr>
      <w:r>
        <w:rPr>
          <w:rFonts w:hint="eastAsia"/>
        </w:rPr>
        <w:t>执行《环境空气质量标准》（</w:t>
      </w:r>
      <w:r>
        <w:t>GB3095-2012</w:t>
      </w:r>
      <w:r>
        <w:rPr>
          <w:rFonts w:hint="eastAsia"/>
        </w:rPr>
        <w:t>）二级标准。详见表</w:t>
      </w:r>
      <w:r>
        <w:t>2.5-1</w:t>
      </w:r>
      <w:r>
        <w:rPr>
          <w:rFonts w:hint="eastAsia"/>
        </w:rPr>
        <w:t>。</w:t>
      </w:r>
    </w:p>
    <w:p>
      <w:pPr>
        <w:pStyle w:val="114"/>
      </w:pPr>
      <w:bookmarkStart w:id="76" w:name="_Ref356230128"/>
      <w:bookmarkStart w:id="77" w:name="_Toc72202421"/>
      <w:bookmarkStart w:id="78" w:name="_Toc69616114"/>
      <w:r>
        <w:rPr>
          <w:rFonts w:hint="eastAsia"/>
        </w:rPr>
        <w:t>表</w:t>
      </w:r>
      <w:bookmarkEnd w:id="76"/>
      <w:r>
        <w:t xml:space="preserve">2.5-1      </w:t>
      </w:r>
      <w:r>
        <w:rPr>
          <w:rFonts w:hint="eastAsia" w:ascii="宋体" w:hAnsi="宋体"/>
        </w:rPr>
        <w:t>环境空气质量标准</w:t>
      </w:r>
      <w:r>
        <w:rPr>
          <w:rFonts w:ascii="宋体" w:hAnsi="宋体"/>
        </w:rPr>
        <w:t xml:space="preserve">    </w:t>
      </w:r>
      <w:r>
        <w:rPr>
          <w:rFonts w:hint="eastAsia" w:ascii="宋体" w:hAnsi="宋体"/>
        </w:rPr>
        <w:t>单位：</w:t>
      </w:r>
      <w:r>
        <w:rPr>
          <w:rFonts w:hint="eastAsia"/>
        </w:rPr>
        <w:t>μ</w:t>
      </w:r>
      <w:r>
        <w:t>g/m</w:t>
      </w:r>
      <w:r>
        <w:rPr>
          <w:vertAlign w:val="superscript"/>
        </w:rPr>
        <w:t>3</w:t>
      </w:r>
    </w:p>
    <w:tbl>
      <w:tblPr>
        <w:tblStyle w:val="65"/>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9"/>
        <w:gridCol w:w="2127"/>
        <w:gridCol w:w="2372"/>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659" w:type="dxa"/>
            <w:vAlign w:val="center"/>
          </w:tcPr>
          <w:p>
            <w:pPr>
              <w:pStyle w:val="112"/>
              <w:rPr>
                <w:kern w:val="2"/>
              </w:rPr>
            </w:pPr>
            <w:r>
              <w:rPr>
                <w:rFonts w:hint="eastAsia"/>
                <w:kern w:val="2"/>
              </w:rPr>
              <w:t>标准</w:t>
            </w:r>
          </w:p>
        </w:tc>
        <w:tc>
          <w:tcPr>
            <w:tcW w:w="2127" w:type="dxa"/>
            <w:vAlign w:val="center"/>
          </w:tcPr>
          <w:p>
            <w:pPr>
              <w:pStyle w:val="112"/>
              <w:rPr>
                <w:kern w:val="2"/>
              </w:rPr>
            </w:pPr>
            <w:r>
              <w:rPr>
                <w:rFonts w:hint="eastAsia"/>
                <w:kern w:val="2"/>
              </w:rPr>
              <w:t>污染物名称</w:t>
            </w:r>
          </w:p>
        </w:tc>
        <w:tc>
          <w:tcPr>
            <w:tcW w:w="2372" w:type="dxa"/>
            <w:vAlign w:val="center"/>
          </w:tcPr>
          <w:p>
            <w:pPr>
              <w:pStyle w:val="112"/>
              <w:rPr>
                <w:kern w:val="2"/>
              </w:rPr>
            </w:pPr>
            <w:r>
              <w:rPr>
                <w:rFonts w:hint="eastAsia"/>
                <w:kern w:val="2"/>
              </w:rPr>
              <w:t>取样时间</w:t>
            </w:r>
          </w:p>
        </w:tc>
        <w:tc>
          <w:tcPr>
            <w:tcW w:w="2129" w:type="dxa"/>
            <w:vAlign w:val="center"/>
          </w:tcPr>
          <w:p>
            <w:pPr>
              <w:pStyle w:val="112"/>
              <w:rPr>
                <w:kern w:val="2"/>
              </w:rPr>
            </w:pPr>
            <w:r>
              <w:rPr>
                <w:rFonts w:hint="eastAsia"/>
                <w:kern w:val="2"/>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659" w:type="dxa"/>
            <w:vMerge w:val="restart"/>
            <w:vAlign w:val="center"/>
          </w:tcPr>
          <w:p>
            <w:pPr>
              <w:pStyle w:val="112"/>
              <w:rPr>
                <w:kern w:val="2"/>
              </w:rPr>
            </w:pPr>
            <w:r>
              <w:rPr>
                <w:rFonts w:hint="eastAsia"/>
                <w:kern w:val="2"/>
              </w:rPr>
              <w:t>《环境空气质量标准》（</w:t>
            </w:r>
            <w:r>
              <w:rPr>
                <w:kern w:val="2"/>
              </w:rPr>
              <w:t>GB3095-2012</w:t>
            </w:r>
            <w:r>
              <w:rPr>
                <w:rFonts w:hint="eastAsia"/>
                <w:kern w:val="2"/>
              </w:rPr>
              <w:t>）二级标准</w:t>
            </w:r>
          </w:p>
        </w:tc>
        <w:tc>
          <w:tcPr>
            <w:tcW w:w="2127" w:type="dxa"/>
            <w:vMerge w:val="restart"/>
            <w:vAlign w:val="center"/>
          </w:tcPr>
          <w:p>
            <w:pPr>
              <w:pStyle w:val="112"/>
              <w:rPr>
                <w:kern w:val="2"/>
              </w:rPr>
            </w:pPr>
            <w:r>
              <w:rPr>
                <w:rFonts w:hint="eastAsia"/>
                <w:kern w:val="2"/>
              </w:rPr>
              <w:t>二氧化氮（</w:t>
            </w:r>
            <w:r>
              <w:rPr>
                <w:kern w:val="2"/>
              </w:rPr>
              <w:t>NO</w:t>
            </w:r>
            <w:r>
              <w:rPr>
                <w:kern w:val="2"/>
                <w:vertAlign w:val="subscript"/>
              </w:rPr>
              <w:t>2</w:t>
            </w:r>
            <w:r>
              <w:rPr>
                <w:rFonts w:hint="eastAsia"/>
                <w:kern w:val="2"/>
              </w:rPr>
              <w:t>）</w:t>
            </w:r>
          </w:p>
        </w:tc>
        <w:tc>
          <w:tcPr>
            <w:tcW w:w="2372" w:type="dxa"/>
            <w:vAlign w:val="center"/>
          </w:tcPr>
          <w:p>
            <w:pPr>
              <w:pStyle w:val="112"/>
              <w:rPr>
                <w:kern w:val="2"/>
              </w:rPr>
            </w:pPr>
            <w:r>
              <w:rPr>
                <w:rFonts w:hint="eastAsia"/>
                <w:kern w:val="2"/>
              </w:rPr>
              <w:t>小时平均</w:t>
            </w:r>
          </w:p>
        </w:tc>
        <w:tc>
          <w:tcPr>
            <w:tcW w:w="2129" w:type="dxa"/>
            <w:vAlign w:val="center"/>
          </w:tcPr>
          <w:p>
            <w:pPr>
              <w:pStyle w:val="112"/>
              <w:rPr>
                <w:kern w:val="2"/>
              </w:rPr>
            </w:pPr>
            <w:r>
              <w:rPr>
                <w:kern w:val="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659" w:type="dxa"/>
            <w:vMerge w:val="continue"/>
            <w:vAlign w:val="center"/>
          </w:tcPr>
          <w:p>
            <w:pPr>
              <w:pStyle w:val="112"/>
              <w:rPr>
                <w:kern w:val="2"/>
              </w:rPr>
            </w:pPr>
          </w:p>
        </w:tc>
        <w:tc>
          <w:tcPr>
            <w:tcW w:w="2127" w:type="dxa"/>
            <w:vMerge w:val="continue"/>
            <w:vAlign w:val="center"/>
          </w:tcPr>
          <w:p>
            <w:pPr>
              <w:pStyle w:val="112"/>
              <w:rPr>
                <w:kern w:val="2"/>
              </w:rPr>
            </w:pPr>
          </w:p>
        </w:tc>
        <w:tc>
          <w:tcPr>
            <w:tcW w:w="2372" w:type="dxa"/>
            <w:vAlign w:val="center"/>
          </w:tcPr>
          <w:p>
            <w:pPr>
              <w:pStyle w:val="112"/>
              <w:rPr>
                <w:kern w:val="2"/>
              </w:rPr>
            </w:pPr>
            <w:r>
              <w:rPr>
                <w:kern w:val="2"/>
              </w:rPr>
              <w:t>24</w:t>
            </w:r>
            <w:r>
              <w:rPr>
                <w:rFonts w:hint="eastAsia"/>
                <w:kern w:val="2"/>
              </w:rPr>
              <w:t>小时平均</w:t>
            </w:r>
          </w:p>
        </w:tc>
        <w:tc>
          <w:tcPr>
            <w:tcW w:w="2129" w:type="dxa"/>
            <w:vAlign w:val="center"/>
          </w:tcPr>
          <w:p>
            <w:pPr>
              <w:pStyle w:val="112"/>
              <w:rPr>
                <w:kern w:val="2"/>
              </w:rPr>
            </w:pPr>
            <w:r>
              <w:rPr>
                <w:kern w:val="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659" w:type="dxa"/>
            <w:vMerge w:val="continue"/>
            <w:vAlign w:val="center"/>
          </w:tcPr>
          <w:p>
            <w:pPr>
              <w:pStyle w:val="112"/>
              <w:rPr>
                <w:kern w:val="2"/>
              </w:rPr>
            </w:pPr>
          </w:p>
        </w:tc>
        <w:tc>
          <w:tcPr>
            <w:tcW w:w="2127" w:type="dxa"/>
            <w:vMerge w:val="continue"/>
            <w:vAlign w:val="center"/>
          </w:tcPr>
          <w:p>
            <w:pPr>
              <w:pStyle w:val="112"/>
              <w:rPr>
                <w:kern w:val="2"/>
              </w:rPr>
            </w:pPr>
          </w:p>
        </w:tc>
        <w:tc>
          <w:tcPr>
            <w:tcW w:w="2372" w:type="dxa"/>
            <w:vAlign w:val="center"/>
          </w:tcPr>
          <w:p>
            <w:pPr>
              <w:pStyle w:val="112"/>
              <w:rPr>
                <w:kern w:val="2"/>
              </w:rPr>
            </w:pPr>
            <w:r>
              <w:rPr>
                <w:rFonts w:hint="eastAsia"/>
                <w:kern w:val="2"/>
              </w:rPr>
              <w:t>年平均</w:t>
            </w:r>
          </w:p>
        </w:tc>
        <w:tc>
          <w:tcPr>
            <w:tcW w:w="2129" w:type="dxa"/>
            <w:vAlign w:val="center"/>
          </w:tcPr>
          <w:p>
            <w:pPr>
              <w:pStyle w:val="112"/>
              <w:rPr>
                <w:kern w:val="2"/>
              </w:rPr>
            </w:pPr>
            <w:r>
              <w:rPr>
                <w:kern w:val="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659" w:type="dxa"/>
            <w:vMerge w:val="continue"/>
            <w:vAlign w:val="center"/>
          </w:tcPr>
          <w:p>
            <w:pPr>
              <w:pStyle w:val="112"/>
              <w:rPr>
                <w:kern w:val="2"/>
              </w:rPr>
            </w:pPr>
          </w:p>
        </w:tc>
        <w:tc>
          <w:tcPr>
            <w:tcW w:w="2127" w:type="dxa"/>
            <w:vMerge w:val="restart"/>
            <w:vAlign w:val="center"/>
          </w:tcPr>
          <w:p>
            <w:pPr>
              <w:pStyle w:val="112"/>
              <w:rPr>
                <w:kern w:val="2"/>
              </w:rPr>
            </w:pPr>
            <w:r>
              <w:rPr>
                <w:rFonts w:hint="eastAsia"/>
                <w:kern w:val="2"/>
              </w:rPr>
              <w:t>总悬浮颗粒物（</w:t>
            </w:r>
            <w:r>
              <w:rPr>
                <w:kern w:val="2"/>
              </w:rPr>
              <w:t>TSP</w:t>
            </w:r>
            <w:r>
              <w:rPr>
                <w:rFonts w:hint="eastAsia"/>
                <w:kern w:val="2"/>
              </w:rPr>
              <w:t>）</w:t>
            </w:r>
          </w:p>
        </w:tc>
        <w:tc>
          <w:tcPr>
            <w:tcW w:w="2372" w:type="dxa"/>
            <w:vAlign w:val="center"/>
          </w:tcPr>
          <w:p>
            <w:pPr>
              <w:pStyle w:val="112"/>
              <w:rPr>
                <w:kern w:val="2"/>
              </w:rPr>
            </w:pPr>
            <w:r>
              <w:rPr>
                <w:kern w:val="2"/>
              </w:rPr>
              <w:t>24</w:t>
            </w:r>
            <w:r>
              <w:rPr>
                <w:rFonts w:hint="eastAsia"/>
                <w:kern w:val="2"/>
              </w:rPr>
              <w:t>小时平均</w:t>
            </w:r>
          </w:p>
        </w:tc>
        <w:tc>
          <w:tcPr>
            <w:tcW w:w="2129" w:type="dxa"/>
            <w:vAlign w:val="center"/>
          </w:tcPr>
          <w:p>
            <w:pPr>
              <w:pStyle w:val="112"/>
              <w:rPr>
                <w:kern w:val="2"/>
              </w:rPr>
            </w:pPr>
            <w:r>
              <w:rPr>
                <w:kern w:val="2"/>
              </w:rPr>
              <w:t>300</w:t>
            </w:r>
          </w:p>
        </w:tc>
      </w:tr>
      <w:tr>
        <w:tblPrEx>
          <w:tblLayout w:type="fixed"/>
          <w:tblCellMar>
            <w:top w:w="0" w:type="dxa"/>
            <w:left w:w="108" w:type="dxa"/>
            <w:bottom w:w="0" w:type="dxa"/>
            <w:right w:w="108" w:type="dxa"/>
          </w:tblCellMar>
        </w:tblPrEx>
        <w:trPr>
          <w:cantSplit/>
          <w:trHeight w:val="397" w:hRule="atLeast"/>
          <w:jc w:val="center"/>
        </w:trPr>
        <w:tc>
          <w:tcPr>
            <w:tcW w:w="2659" w:type="dxa"/>
            <w:vMerge w:val="continue"/>
            <w:vAlign w:val="center"/>
          </w:tcPr>
          <w:p>
            <w:pPr>
              <w:pStyle w:val="112"/>
              <w:rPr>
                <w:kern w:val="2"/>
              </w:rPr>
            </w:pPr>
          </w:p>
        </w:tc>
        <w:tc>
          <w:tcPr>
            <w:tcW w:w="2127" w:type="dxa"/>
            <w:vMerge w:val="continue"/>
            <w:vAlign w:val="center"/>
          </w:tcPr>
          <w:p>
            <w:pPr>
              <w:pStyle w:val="112"/>
              <w:rPr>
                <w:kern w:val="2"/>
              </w:rPr>
            </w:pPr>
          </w:p>
        </w:tc>
        <w:tc>
          <w:tcPr>
            <w:tcW w:w="2372" w:type="dxa"/>
            <w:vAlign w:val="center"/>
          </w:tcPr>
          <w:p>
            <w:pPr>
              <w:pStyle w:val="112"/>
              <w:rPr>
                <w:kern w:val="2"/>
              </w:rPr>
            </w:pPr>
            <w:r>
              <w:rPr>
                <w:rFonts w:hint="eastAsia"/>
                <w:kern w:val="2"/>
              </w:rPr>
              <w:t>年平均</w:t>
            </w:r>
          </w:p>
        </w:tc>
        <w:tc>
          <w:tcPr>
            <w:tcW w:w="2129" w:type="dxa"/>
            <w:vAlign w:val="center"/>
          </w:tcPr>
          <w:p>
            <w:pPr>
              <w:pStyle w:val="112"/>
              <w:rPr>
                <w:kern w:val="2"/>
              </w:rPr>
            </w:pPr>
            <w:r>
              <w:rPr>
                <w:kern w:val="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659" w:type="dxa"/>
            <w:vMerge w:val="continue"/>
            <w:vAlign w:val="center"/>
          </w:tcPr>
          <w:p>
            <w:pPr>
              <w:pStyle w:val="112"/>
              <w:rPr>
                <w:kern w:val="2"/>
              </w:rPr>
            </w:pPr>
          </w:p>
        </w:tc>
        <w:tc>
          <w:tcPr>
            <w:tcW w:w="2127" w:type="dxa"/>
            <w:vMerge w:val="restart"/>
            <w:vAlign w:val="center"/>
          </w:tcPr>
          <w:p>
            <w:pPr>
              <w:pStyle w:val="112"/>
              <w:rPr>
                <w:rFonts w:hint="eastAsia" w:eastAsia="宋体"/>
                <w:kern w:val="2"/>
                <w:lang w:val="en-US" w:eastAsia="zh-CN"/>
              </w:rPr>
            </w:pPr>
            <w:r>
              <w:rPr>
                <w:rFonts w:hint="eastAsia"/>
                <w:kern w:val="2"/>
                <w:lang w:val="en-US" w:eastAsia="zh-CN"/>
              </w:rPr>
              <w:t>一氧化碳（CO）</w:t>
            </w:r>
          </w:p>
        </w:tc>
        <w:tc>
          <w:tcPr>
            <w:tcW w:w="2372" w:type="dxa"/>
            <w:vAlign w:val="center"/>
          </w:tcPr>
          <w:p>
            <w:pPr>
              <w:pStyle w:val="112"/>
              <w:rPr>
                <w:rFonts w:hint="eastAsia" w:eastAsia="宋体"/>
                <w:kern w:val="2"/>
                <w:lang w:val="en-US" w:eastAsia="zh-CN"/>
              </w:rPr>
            </w:pPr>
            <w:r>
              <w:rPr>
                <w:rFonts w:hint="eastAsia"/>
                <w:kern w:val="2"/>
                <w:lang w:val="en-US" w:eastAsia="zh-CN"/>
              </w:rPr>
              <w:t>小时平均</w:t>
            </w:r>
          </w:p>
        </w:tc>
        <w:tc>
          <w:tcPr>
            <w:tcW w:w="2129" w:type="dxa"/>
            <w:vAlign w:val="center"/>
          </w:tcPr>
          <w:p>
            <w:pPr>
              <w:pStyle w:val="112"/>
              <w:rPr>
                <w:rFonts w:hint="eastAsia" w:eastAsia="宋体"/>
                <w:kern w:val="2"/>
                <w:lang w:val="en-US" w:eastAsia="zh-CN"/>
              </w:rPr>
            </w:pPr>
            <w:r>
              <w:rPr>
                <w:rFonts w:hint="eastAsia"/>
                <w:kern w:val="2"/>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659" w:type="dxa"/>
            <w:vMerge w:val="continue"/>
            <w:vAlign w:val="center"/>
          </w:tcPr>
          <w:p>
            <w:pPr>
              <w:pStyle w:val="112"/>
              <w:rPr>
                <w:kern w:val="2"/>
              </w:rPr>
            </w:pPr>
          </w:p>
        </w:tc>
        <w:tc>
          <w:tcPr>
            <w:tcW w:w="2127" w:type="dxa"/>
            <w:vMerge w:val="continue"/>
            <w:vAlign w:val="center"/>
          </w:tcPr>
          <w:p>
            <w:pPr>
              <w:pStyle w:val="112"/>
              <w:rPr>
                <w:kern w:val="2"/>
              </w:rPr>
            </w:pPr>
          </w:p>
        </w:tc>
        <w:tc>
          <w:tcPr>
            <w:tcW w:w="2372" w:type="dxa"/>
            <w:vAlign w:val="center"/>
          </w:tcPr>
          <w:p>
            <w:pPr>
              <w:pStyle w:val="112"/>
              <w:rPr>
                <w:rFonts w:hint="eastAsia" w:eastAsia="宋体"/>
                <w:kern w:val="2"/>
                <w:lang w:val="en-US" w:eastAsia="zh-CN"/>
              </w:rPr>
            </w:pPr>
            <w:r>
              <w:rPr>
                <w:rFonts w:hint="eastAsia"/>
                <w:kern w:val="2"/>
                <w:lang w:val="en-US" w:eastAsia="zh-CN"/>
              </w:rPr>
              <w:t>24小时平均</w:t>
            </w:r>
          </w:p>
        </w:tc>
        <w:tc>
          <w:tcPr>
            <w:tcW w:w="2129" w:type="dxa"/>
            <w:vAlign w:val="center"/>
          </w:tcPr>
          <w:p>
            <w:pPr>
              <w:pStyle w:val="112"/>
              <w:rPr>
                <w:rFonts w:hint="eastAsia" w:eastAsia="宋体"/>
                <w:kern w:val="2"/>
                <w:lang w:val="en-US" w:eastAsia="zh-CN"/>
              </w:rPr>
            </w:pPr>
            <w:r>
              <w:rPr>
                <w:rFonts w:hint="eastAsia"/>
                <w:kern w:val="2"/>
                <w:lang w:val="en-US" w:eastAsia="zh-CN"/>
              </w:rPr>
              <w:t>4</w:t>
            </w:r>
          </w:p>
        </w:tc>
      </w:tr>
    </w:tbl>
    <w:p>
      <w:pPr>
        <w:pStyle w:val="3"/>
        <w:ind w:firstLine="31680"/>
      </w:pPr>
      <w:r>
        <w:t>b</w:t>
      </w:r>
      <w:r>
        <w:rPr>
          <w:rFonts w:hint="eastAsia"/>
        </w:rPr>
        <w:t>）声环境质量标准</w:t>
      </w:r>
    </w:p>
    <w:p>
      <w:pPr>
        <w:pStyle w:val="3"/>
        <w:ind w:firstLine="31680"/>
      </w:pPr>
      <w:r>
        <w:rPr>
          <w:rFonts w:hint="eastAsia"/>
        </w:rPr>
        <w:t>沿线声环境敏感点现状质量评价执行</w:t>
      </w:r>
      <w:r>
        <w:t>2</w:t>
      </w:r>
      <w:r>
        <w:rPr>
          <w:rFonts w:hint="eastAsia"/>
        </w:rPr>
        <w:t>类标准；公路征地红线</w:t>
      </w:r>
      <w:r>
        <w:t>35m</w:t>
      </w:r>
      <w:r>
        <w:rPr>
          <w:rFonts w:hint="eastAsia"/>
        </w:rPr>
        <w:t>外执行《声环境质量标准》（</w:t>
      </w:r>
      <w:r>
        <w:t>GB3096-2008</w:t>
      </w:r>
      <w:r>
        <w:rPr>
          <w:rFonts w:hint="eastAsia"/>
        </w:rPr>
        <w:t>）中的</w:t>
      </w:r>
      <w:r>
        <w:t>2</w:t>
      </w:r>
      <w:r>
        <w:rPr>
          <w:rFonts w:hint="eastAsia"/>
        </w:rPr>
        <w:t>类标准；红线</w:t>
      </w:r>
      <w:r>
        <w:t>35m</w:t>
      </w:r>
      <w:r>
        <w:rPr>
          <w:rFonts w:hint="eastAsia"/>
        </w:rPr>
        <w:t>以内执行《声环境质量标准》（</w:t>
      </w:r>
      <w:r>
        <w:t>GB3096-2008</w:t>
      </w:r>
      <w:r>
        <w:rPr>
          <w:rFonts w:hint="eastAsia"/>
        </w:rPr>
        <w:t>）中的</w:t>
      </w:r>
      <w:r>
        <w:t>4a</w:t>
      </w:r>
      <w:r>
        <w:rPr>
          <w:rFonts w:hint="eastAsia"/>
        </w:rPr>
        <w:t>类标准；评价范围内的学校、医院等特殊敏感建筑执行《声环境质量标准》（</w:t>
      </w:r>
      <w:r>
        <w:t>GB3096-2008</w:t>
      </w:r>
      <w:r>
        <w:rPr>
          <w:rFonts w:hint="eastAsia"/>
        </w:rPr>
        <w:t>）中的</w:t>
      </w:r>
      <w:r>
        <w:t>2</w:t>
      </w:r>
      <w:r>
        <w:rPr>
          <w:rFonts w:hint="eastAsia"/>
        </w:rPr>
        <w:t>类标准，详见表</w:t>
      </w:r>
      <w:r>
        <w:t>2.5-2</w:t>
      </w:r>
      <w:r>
        <w:rPr>
          <w:rFonts w:hint="eastAsia"/>
        </w:rPr>
        <w:t>。</w:t>
      </w:r>
    </w:p>
    <w:p>
      <w:pPr>
        <w:pStyle w:val="114"/>
      </w:pPr>
      <w:bookmarkStart w:id="79" w:name="_Ref356230194"/>
      <w:r>
        <w:rPr>
          <w:rFonts w:hint="eastAsia"/>
        </w:rPr>
        <w:t>表</w:t>
      </w:r>
      <w:bookmarkEnd w:id="79"/>
      <w:r>
        <w:t xml:space="preserve">2.5-2      </w:t>
      </w:r>
      <w:r>
        <w:rPr>
          <w:rFonts w:hint="eastAsia" w:ascii="宋体" w:hAnsi="宋体"/>
        </w:rPr>
        <w:t>声环境质量标准</w:t>
      </w:r>
      <w:r>
        <w:rPr>
          <w:rFonts w:hint="eastAsia" w:hAnsi="宋体"/>
        </w:rPr>
        <w:t>（</w:t>
      </w:r>
      <w:r>
        <w:t>GB3096-2008</w:t>
      </w:r>
      <w:r>
        <w:rPr>
          <w:rFonts w:hint="eastAsia" w:hAnsi="宋体"/>
        </w:rPr>
        <w:t>）</w:t>
      </w:r>
    </w:p>
    <w:tbl>
      <w:tblPr>
        <w:tblStyle w:val="65"/>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2886"/>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3652" w:type="dxa"/>
            <w:vAlign w:val="center"/>
          </w:tcPr>
          <w:p>
            <w:pPr>
              <w:pStyle w:val="112"/>
              <w:rPr>
                <w:kern w:val="2"/>
              </w:rPr>
            </w:pPr>
            <w:r>
              <w:rPr>
                <w:rFonts w:hint="eastAsia"/>
                <w:kern w:val="2"/>
              </w:rPr>
              <w:t>级</w:t>
            </w:r>
            <w:r>
              <w:rPr>
                <w:kern w:val="2"/>
              </w:rPr>
              <w:t xml:space="preserve">  </w:t>
            </w:r>
            <w:r>
              <w:rPr>
                <w:rFonts w:hint="eastAsia"/>
                <w:kern w:val="2"/>
              </w:rPr>
              <w:t>别</w:t>
            </w:r>
          </w:p>
        </w:tc>
        <w:tc>
          <w:tcPr>
            <w:tcW w:w="2886" w:type="dxa"/>
            <w:vAlign w:val="center"/>
          </w:tcPr>
          <w:p>
            <w:pPr>
              <w:pStyle w:val="112"/>
              <w:rPr>
                <w:kern w:val="2"/>
              </w:rPr>
            </w:pPr>
            <w:r>
              <w:rPr>
                <w:rFonts w:hint="eastAsia"/>
                <w:kern w:val="2"/>
              </w:rPr>
              <w:t>时段</w:t>
            </w:r>
          </w:p>
        </w:tc>
        <w:tc>
          <w:tcPr>
            <w:tcW w:w="2749" w:type="dxa"/>
            <w:vAlign w:val="center"/>
          </w:tcPr>
          <w:p>
            <w:pPr>
              <w:pStyle w:val="112"/>
              <w:rPr>
                <w:kern w:val="2"/>
              </w:rPr>
            </w:pPr>
            <w:r>
              <w:rPr>
                <w:rFonts w:hint="eastAsia"/>
                <w:kern w:val="2"/>
              </w:rPr>
              <w:t>标准值（</w:t>
            </w:r>
            <w:r>
              <w:rPr>
                <w:kern w:val="2"/>
              </w:rPr>
              <w:t>dB</w:t>
            </w:r>
            <w:r>
              <w:rPr>
                <w:rFonts w:hint="eastAsia"/>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3652" w:type="dxa"/>
            <w:vMerge w:val="restart"/>
            <w:vAlign w:val="center"/>
          </w:tcPr>
          <w:p>
            <w:pPr>
              <w:pStyle w:val="112"/>
              <w:rPr>
                <w:kern w:val="2"/>
              </w:rPr>
            </w:pPr>
            <w:r>
              <w:t>2</w:t>
            </w:r>
            <w:r>
              <w:rPr>
                <w:rFonts w:hint="eastAsia"/>
              </w:rPr>
              <w:t>类（沿线区域现状评价；项目建成后距公路红线</w:t>
            </w:r>
            <w:r>
              <w:t>35</w:t>
            </w:r>
            <w:r>
              <w:rPr>
                <w:rFonts w:hint="eastAsia"/>
              </w:rPr>
              <w:t>至</w:t>
            </w:r>
            <w:r>
              <w:t>200m</w:t>
            </w:r>
            <w:r>
              <w:rPr>
                <w:rFonts w:hint="eastAsia"/>
              </w:rPr>
              <w:t>以内区域以及学校、医院等特殊敏感建筑）</w:t>
            </w:r>
          </w:p>
        </w:tc>
        <w:tc>
          <w:tcPr>
            <w:tcW w:w="2886" w:type="dxa"/>
            <w:vAlign w:val="center"/>
          </w:tcPr>
          <w:p>
            <w:pPr>
              <w:pStyle w:val="112"/>
              <w:rPr>
                <w:kern w:val="2"/>
              </w:rPr>
            </w:pPr>
            <w:r>
              <w:rPr>
                <w:rFonts w:hint="eastAsia"/>
                <w:kern w:val="2"/>
              </w:rPr>
              <w:t>昼间</w:t>
            </w:r>
          </w:p>
        </w:tc>
        <w:tc>
          <w:tcPr>
            <w:tcW w:w="2749" w:type="dxa"/>
            <w:vAlign w:val="center"/>
          </w:tcPr>
          <w:p>
            <w:pPr>
              <w:pStyle w:val="112"/>
              <w:rPr>
                <w:kern w:val="2"/>
              </w:rPr>
            </w:pPr>
            <w:r>
              <w:rPr>
                <w:kern w:val="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3652" w:type="dxa"/>
            <w:vMerge w:val="continue"/>
            <w:vAlign w:val="center"/>
          </w:tcPr>
          <w:p>
            <w:pPr>
              <w:pStyle w:val="112"/>
              <w:rPr>
                <w:kern w:val="2"/>
              </w:rPr>
            </w:pPr>
          </w:p>
        </w:tc>
        <w:tc>
          <w:tcPr>
            <w:tcW w:w="2886" w:type="dxa"/>
            <w:vAlign w:val="center"/>
          </w:tcPr>
          <w:p>
            <w:pPr>
              <w:pStyle w:val="112"/>
              <w:rPr>
                <w:kern w:val="2"/>
              </w:rPr>
            </w:pPr>
            <w:r>
              <w:rPr>
                <w:rFonts w:hint="eastAsia"/>
                <w:kern w:val="2"/>
              </w:rPr>
              <w:t>夜间</w:t>
            </w:r>
          </w:p>
        </w:tc>
        <w:tc>
          <w:tcPr>
            <w:tcW w:w="2749" w:type="dxa"/>
            <w:vAlign w:val="center"/>
          </w:tcPr>
          <w:p>
            <w:pPr>
              <w:pStyle w:val="112"/>
              <w:rPr>
                <w:kern w:val="2"/>
              </w:rPr>
            </w:pPr>
            <w:r>
              <w:rPr>
                <w:kern w:val="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3652" w:type="dxa"/>
            <w:vMerge w:val="restart"/>
            <w:vAlign w:val="center"/>
          </w:tcPr>
          <w:p>
            <w:pPr>
              <w:pStyle w:val="112"/>
              <w:rPr>
                <w:kern w:val="2"/>
              </w:rPr>
            </w:pPr>
            <w:r>
              <w:rPr>
                <w:kern w:val="2"/>
              </w:rPr>
              <w:t>4a</w:t>
            </w:r>
            <w:r>
              <w:rPr>
                <w:rFonts w:hint="eastAsia"/>
                <w:kern w:val="2"/>
              </w:rPr>
              <w:t>类（公路两侧距公路红线</w:t>
            </w:r>
            <w:r>
              <w:rPr>
                <w:kern w:val="2"/>
              </w:rPr>
              <w:t>35m</w:t>
            </w:r>
            <w:r>
              <w:rPr>
                <w:rFonts w:hint="eastAsia"/>
                <w:kern w:val="2"/>
              </w:rPr>
              <w:t>以内区域）</w:t>
            </w:r>
          </w:p>
        </w:tc>
        <w:tc>
          <w:tcPr>
            <w:tcW w:w="2886" w:type="dxa"/>
            <w:vAlign w:val="center"/>
          </w:tcPr>
          <w:p>
            <w:pPr>
              <w:pStyle w:val="112"/>
              <w:rPr>
                <w:kern w:val="2"/>
              </w:rPr>
            </w:pPr>
            <w:r>
              <w:rPr>
                <w:rFonts w:hint="eastAsia"/>
                <w:kern w:val="2"/>
              </w:rPr>
              <w:t>昼间</w:t>
            </w:r>
          </w:p>
        </w:tc>
        <w:tc>
          <w:tcPr>
            <w:tcW w:w="2749" w:type="dxa"/>
            <w:vAlign w:val="center"/>
          </w:tcPr>
          <w:p>
            <w:pPr>
              <w:pStyle w:val="112"/>
              <w:rPr>
                <w:kern w:val="2"/>
              </w:rPr>
            </w:pPr>
            <w:r>
              <w:rPr>
                <w:kern w:val="2"/>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3652" w:type="dxa"/>
            <w:vMerge w:val="continue"/>
            <w:vAlign w:val="center"/>
          </w:tcPr>
          <w:p>
            <w:pPr>
              <w:pStyle w:val="112"/>
              <w:rPr>
                <w:kern w:val="2"/>
              </w:rPr>
            </w:pPr>
          </w:p>
        </w:tc>
        <w:tc>
          <w:tcPr>
            <w:tcW w:w="2886" w:type="dxa"/>
            <w:vAlign w:val="center"/>
          </w:tcPr>
          <w:p>
            <w:pPr>
              <w:pStyle w:val="112"/>
              <w:rPr>
                <w:kern w:val="2"/>
              </w:rPr>
            </w:pPr>
            <w:r>
              <w:rPr>
                <w:rFonts w:hint="eastAsia"/>
                <w:kern w:val="2"/>
              </w:rPr>
              <w:t>夜间</w:t>
            </w:r>
          </w:p>
        </w:tc>
        <w:tc>
          <w:tcPr>
            <w:tcW w:w="2749" w:type="dxa"/>
            <w:vAlign w:val="center"/>
          </w:tcPr>
          <w:p>
            <w:pPr>
              <w:pStyle w:val="112"/>
              <w:rPr>
                <w:kern w:val="2"/>
              </w:rPr>
            </w:pPr>
            <w:r>
              <w:rPr>
                <w:kern w:val="2"/>
              </w:rPr>
              <w:t>55</w:t>
            </w:r>
          </w:p>
        </w:tc>
      </w:tr>
    </w:tbl>
    <w:p>
      <w:pPr>
        <w:pStyle w:val="3"/>
        <w:ind w:firstLine="31680"/>
      </w:pPr>
      <w:r>
        <w:t>c</w:t>
      </w:r>
      <w:r>
        <w:rPr>
          <w:rFonts w:hint="eastAsia"/>
        </w:rPr>
        <w:t>）水环境质量标准</w:t>
      </w:r>
    </w:p>
    <w:p>
      <w:pPr>
        <w:adjustRightInd w:val="0"/>
        <w:snapToGrid w:val="0"/>
        <w:spacing w:line="360" w:lineRule="auto"/>
        <w:ind w:firstLine="31680" w:firstLineChars="177"/>
        <w:rPr>
          <w:kern w:val="0"/>
          <w:sz w:val="24"/>
        </w:rPr>
      </w:pPr>
      <w:bookmarkStart w:id="80" w:name="OLE_LINK26"/>
      <w:bookmarkStart w:id="81" w:name="OLE_LINK20"/>
      <w:bookmarkStart w:id="82" w:name="OLE_LINK21"/>
      <w:r>
        <w:rPr>
          <w:rFonts w:hint="eastAsia"/>
          <w:kern w:val="0"/>
          <w:sz w:val="24"/>
        </w:rPr>
        <w:t>水环境质量标准：根据汨罗市环保局出具的关于本项目评价执行标准的函，本工程沿线的地表水体大里塘水库为饮用水源保护区，执行《地表水环境质量标准》（</w:t>
      </w:r>
      <w:r>
        <w:rPr>
          <w:kern w:val="0"/>
          <w:sz w:val="24"/>
        </w:rPr>
        <w:t>GB 3838-2002</w:t>
      </w:r>
      <w:r>
        <w:rPr>
          <w:rFonts w:hint="eastAsia"/>
          <w:kern w:val="0"/>
          <w:sz w:val="24"/>
        </w:rPr>
        <w:t>）</w:t>
      </w:r>
      <w:r>
        <w:rPr>
          <w:rFonts w:hint="eastAsia" w:ascii="宋体" w:hAnsi="宋体" w:cs="宋体"/>
          <w:kern w:val="0"/>
          <w:sz w:val="24"/>
        </w:rPr>
        <w:t>Ⅱ</w:t>
      </w:r>
      <w:r>
        <w:rPr>
          <w:rFonts w:hint="eastAsia"/>
          <w:kern w:val="0"/>
          <w:sz w:val="24"/>
        </w:rPr>
        <w:t>类标准；沿线的小溪、水塘及水库均执行《地表水环境质量标准》（</w:t>
      </w:r>
      <w:r>
        <w:rPr>
          <w:kern w:val="0"/>
          <w:sz w:val="24"/>
        </w:rPr>
        <w:t>GB 3838-2002</w:t>
      </w:r>
      <w:r>
        <w:rPr>
          <w:rFonts w:hint="eastAsia"/>
          <w:kern w:val="0"/>
          <w:sz w:val="24"/>
        </w:rPr>
        <w:t>）Ⅲ类标准。地表水质量标准部分指标详见</w:t>
      </w:r>
      <w:bookmarkEnd w:id="80"/>
      <w:bookmarkEnd w:id="81"/>
      <w:bookmarkEnd w:id="82"/>
      <w:r>
        <w:rPr>
          <w:rFonts w:hint="eastAsia"/>
          <w:kern w:val="0"/>
          <w:sz w:val="24"/>
        </w:rPr>
        <w:t>表</w:t>
      </w:r>
      <w:r>
        <w:rPr>
          <w:kern w:val="0"/>
          <w:sz w:val="24"/>
        </w:rPr>
        <w:t>2.5-3</w:t>
      </w:r>
      <w:r>
        <w:rPr>
          <w:rFonts w:hint="eastAsia"/>
          <w:kern w:val="0"/>
          <w:sz w:val="24"/>
        </w:rPr>
        <w:t>。</w:t>
      </w:r>
    </w:p>
    <w:p>
      <w:pPr>
        <w:widowControl/>
        <w:jc w:val="left"/>
        <w:rPr>
          <w:rFonts w:eastAsia="黑体"/>
          <w:kern w:val="0"/>
          <w:sz w:val="24"/>
        </w:rPr>
      </w:pPr>
      <w:bookmarkStart w:id="83" w:name="_Ref356230415"/>
      <w:r>
        <w:br w:type="page"/>
      </w:r>
    </w:p>
    <w:p>
      <w:pPr>
        <w:pStyle w:val="114"/>
        <w:rPr>
          <w:rFonts w:ascii="宋体"/>
          <w:bCs/>
        </w:rPr>
      </w:pPr>
      <w:r>
        <w:rPr>
          <w:rFonts w:hint="eastAsia"/>
        </w:rPr>
        <w:t>表</w:t>
      </w:r>
      <w:bookmarkEnd w:id="83"/>
      <w:r>
        <w:t xml:space="preserve">2.5-3      </w:t>
      </w:r>
      <w:r>
        <w:rPr>
          <w:rFonts w:hint="eastAsia" w:ascii="宋体" w:hAnsi="宋体"/>
        </w:rPr>
        <w:t>地表水环境质量标准</w:t>
      </w:r>
      <w:r>
        <w:rPr>
          <w:rFonts w:hint="eastAsia"/>
        </w:rPr>
        <w:t>（</w:t>
      </w:r>
      <w:r>
        <w:t>GB3838-2002</w:t>
      </w:r>
      <w:r>
        <w:rPr>
          <w:rFonts w:hint="eastAsia"/>
        </w:rPr>
        <w:t>）</w:t>
      </w:r>
      <w:r>
        <w:rPr>
          <w:rFonts w:ascii="宋体" w:hAnsi="宋体"/>
        </w:rPr>
        <w:t xml:space="preserve">      </w:t>
      </w:r>
      <w:r>
        <w:rPr>
          <w:rFonts w:hint="eastAsia" w:ascii="宋体"/>
          <w:bCs/>
        </w:rPr>
        <w:t>单位：</w:t>
      </w:r>
      <w:r>
        <w:rPr>
          <w:bCs/>
        </w:rPr>
        <w:t>mg/L</w:t>
      </w:r>
      <w:r>
        <w:rPr>
          <w:rFonts w:hint="eastAsia"/>
          <w:bCs/>
        </w:rPr>
        <w:t>，</w:t>
      </w:r>
      <w:r>
        <w:rPr>
          <w:bCs/>
        </w:rPr>
        <w:t>pH</w:t>
      </w:r>
      <w:r>
        <w:rPr>
          <w:rFonts w:hint="eastAsia"/>
          <w:bCs/>
        </w:rPr>
        <w:t>除</w:t>
      </w:r>
      <w:r>
        <w:rPr>
          <w:rFonts w:hint="eastAsia" w:ascii="宋体"/>
          <w:bCs/>
        </w:rPr>
        <w:t>外</w:t>
      </w:r>
    </w:p>
    <w:tbl>
      <w:tblPr>
        <w:tblStyle w:val="65"/>
        <w:tblW w:w="98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965"/>
        <w:gridCol w:w="1241"/>
        <w:gridCol w:w="1274"/>
        <w:gridCol w:w="1419"/>
        <w:gridCol w:w="1308"/>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129" w:type="dxa"/>
            <w:vAlign w:val="center"/>
          </w:tcPr>
          <w:p>
            <w:pPr>
              <w:adjustRightInd w:val="0"/>
              <w:snapToGrid w:val="0"/>
              <w:jc w:val="center"/>
              <w:rPr>
                <w:sz w:val="21"/>
                <w:szCs w:val="21"/>
              </w:rPr>
            </w:pPr>
            <w:r>
              <w:rPr>
                <w:rFonts w:hint="eastAsia"/>
                <w:sz w:val="21"/>
                <w:szCs w:val="21"/>
              </w:rPr>
              <w:t>项</w:t>
            </w:r>
            <w:r>
              <w:rPr>
                <w:sz w:val="21"/>
                <w:szCs w:val="21"/>
              </w:rPr>
              <w:t xml:space="preserve"> </w:t>
            </w:r>
            <w:r>
              <w:rPr>
                <w:rFonts w:hint="eastAsia"/>
                <w:sz w:val="21"/>
                <w:szCs w:val="21"/>
              </w:rPr>
              <w:t>目</w:t>
            </w:r>
          </w:p>
        </w:tc>
        <w:tc>
          <w:tcPr>
            <w:tcW w:w="965" w:type="dxa"/>
            <w:vAlign w:val="center"/>
          </w:tcPr>
          <w:p>
            <w:pPr>
              <w:adjustRightInd w:val="0"/>
              <w:snapToGrid w:val="0"/>
              <w:jc w:val="center"/>
              <w:rPr>
                <w:sz w:val="21"/>
                <w:szCs w:val="21"/>
              </w:rPr>
            </w:pPr>
            <w:r>
              <w:rPr>
                <w:sz w:val="21"/>
                <w:szCs w:val="21"/>
              </w:rPr>
              <w:t>pH</w:t>
            </w:r>
          </w:p>
        </w:tc>
        <w:tc>
          <w:tcPr>
            <w:tcW w:w="1241" w:type="dxa"/>
            <w:vAlign w:val="center"/>
          </w:tcPr>
          <w:p>
            <w:pPr>
              <w:adjustRightInd w:val="0"/>
              <w:snapToGrid w:val="0"/>
              <w:jc w:val="center"/>
              <w:rPr>
                <w:sz w:val="21"/>
                <w:szCs w:val="21"/>
                <w:vertAlign w:val="subscript"/>
              </w:rPr>
            </w:pPr>
            <w:r>
              <w:rPr>
                <w:sz w:val="21"/>
                <w:szCs w:val="21"/>
              </w:rPr>
              <w:t>COD</w:t>
            </w:r>
            <w:r>
              <w:rPr>
                <w:sz w:val="21"/>
                <w:szCs w:val="21"/>
                <w:vertAlign w:val="subscript"/>
              </w:rPr>
              <w:t>Mn</w:t>
            </w:r>
          </w:p>
        </w:tc>
        <w:tc>
          <w:tcPr>
            <w:tcW w:w="1274" w:type="dxa"/>
            <w:vAlign w:val="center"/>
          </w:tcPr>
          <w:p>
            <w:pPr>
              <w:adjustRightInd w:val="0"/>
              <w:snapToGrid w:val="0"/>
              <w:jc w:val="center"/>
              <w:rPr>
                <w:sz w:val="21"/>
                <w:szCs w:val="21"/>
              </w:rPr>
            </w:pPr>
            <w:r>
              <w:rPr>
                <w:kern w:val="0"/>
                <w:sz w:val="21"/>
                <w:szCs w:val="21"/>
              </w:rPr>
              <w:t>NH</w:t>
            </w:r>
            <w:r>
              <w:rPr>
                <w:kern w:val="0"/>
                <w:sz w:val="21"/>
                <w:szCs w:val="21"/>
                <w:vertAlign w:val="subscript"/>
              </w:rPr>
              <w:t>3</w:t>
            </w:r>
            <w:r>
              <w:rPr>
                <w:kern w:val="0"/>
                <w:sz w:val="21"/>
                <w:szCs w:val="21"/>
              </w:rPr>
              <w:t>-N</w:t>
            </w:r>
          </w:p>
        </w:tc>
        <w:tc>
          <w:tcPr>
            <w:tcW w:w="1419" w:type="dxa"/>
            <w:vAlign w:val="center"/>
          </w:tcPr>
          <w:p>
            <w:pPr>
              <w:widowControl/>
              <w:adjustRightInd w:val="0"/>
              <w:snapToGrid w:val="0"/>
              <w:jc w:val="center"/>
              <w:rPr>
                <w:sz w:val="21"/>
                <w:szCs w:val="21"/>
              </w:rPr>
            </w:pPr>
            <w:r>
              <w:rPr>
                <w:rFonts w:hint="eastAsia"/>
                <w:sz w:val="21"/>
                <w:szCs w:val="21"/>
              </w:rPr>
              <w:t>总磷</w:t>
            </w:r>
          </w:p>
        </w:tc>
        <w:tc>
          <w:tcPr>
            <w:tcW w:w="1308" w:type="dxa"/>
            <w:vAlign w:val="center"/>
          </w:tcPr>
          <w:p>
            <w:pPr>
              <w:widowControl/>
              <w:adjustRightInd w:val="0"/>
              <w:snapToGrid w:val="0"/>
              <w:jc w:val="center"/>
              <w:rPr>
                <w:sz w:val="21"/>
                <w:szCs w:val="21"/>
              </w:rPr>
            </w:pPr>
            <w:r>
              <w:rPr>
                <w:sz w:val="21"/>
                <w:szCs w:val="21"/>
              </w:rPr>
              <w:t>COD</w:t>
            </w:r>
          </w:p>
        </w:tc>
        <w:tc>
          <w:tcPr>
            <w:tcW w:w="1467" w:type="dxa"/>
            <w:vAlign w:val="center"/>
          </w:tcPr>
          <w:p>
            <w:pPr>
              <w:adjustRightInd w:val="0"/>
              <w:snapToGrid w:val="0"/>
              <w:jc w:val="center"/>
              <w:rPr>
                <w:sz w:val="21"/>
                <w:szCs w:val="21"/>
              </w:rPr>
            </w:pPr>
            <w:r>
              <w:rPr>
                <w:rFonts w:hint="eastAsia"/>
                <w:sz w:val="21"/>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9" w:type="dxa"/>
            <w:vAlign w:val="center"/>
          </w:tcPr>
          <w:p>
            <w:pPr>
              <w:adjustRightInd w:val="0"/>
              <w:snapToGrid w:val="0"/>
              <w:jc w:val="center"/>
              <w:rPr>
                <w:sz w:val="21"/>
                <w:szCs w:val="21"/>
              </w:rPr>
            </w:pPr>
            <w:r>
              <w:rPr>
                <w:rFonts w:hint="eastAsia"/>
                <w:sz w:val="21"/>
                <w:szCs w:val="21"/>
              </w:rPr>
              <w:t>Ⅲ类标准值</w:t>
            </w:r>
          </w:p>
        </w:tc>
        <w:tc>
          <w:tcPr>
            <w:tcW w:w="965" w:type="dxa"/>
            <w:vAlign w:val="center"/>
          </w:tcPr>
          <w:p>
            <w:pPr>
              <w:adjustRightInd w:val="0"/>
              <w:snapToGrid w:val="0"/>
              <w:jc w:val="center"/>
              <w:rPr>
                <w:sz w:val="21"/>
                <w:szCs w:val="21"/>
              </w:rPr>
            </w:pPr>
            <w:r>
              <w:rPr>
                <w:sz w:val="21"/>
                <w:szCs w:val="21"/>
              </w:rPr>
              <w:t>6~9</w:t>
            </w:r>
          </w:p>
        </w:tc>
        <w:tc>
          <w:tcPr>
            <w:tcW w:w="1241" w:type="dxa"/>
            <w:vAlign w:val="center"/>
          </w:tcPr>
          <w:p>
            <w:pPr>
              <w:adjustRightInd w:val="0"/>
              <w:snapToGrid w:val="0"/>
              <w:jc w:val="center"/>
              <w:rPr>
                <w:sz w:val="21"/>
                <w:szCs w:val="21"/>
              </w:rPr>
            </w:pPr>
            <w:r>
              <w:rPr>
                <w:sz w:val="21"/>
                <w:szCs w:val="21"/>
              </w:rPr>
              <w:t>≤6</w:t>
            </w:r>
          </w:p>
        </w:tc>
        <w:tc>
          <w:tcPr>
            <w:tcW w:w="1274" w:type="dxa"/>
            <w:vAlign w:val="center"/>
          </w:tcPr>
          <w:p>
            <w:pPr>
              <w:adjustRightInd w:val="0"/>
              <w:snapToGrid w:val="0"/>
              <w:jc w:val="center"/>
              <w:rPr>
                <w:sz w:val="21"/>
                <w:szCs w:val="21"/>
              </w:rPr>
            </w:pPr>
            <w:r>
              <w:rPr>
                <w:sz w:val="21"/>
                <w:szCs w:val="21"/>
              </w:rPr>
              <w:t>≤1.0</w:t>
            </w:r>
          </w:p>
        </w:tc>
        <w:tc>
          <w:tcPr>
            <w:tcW w:w="1419" w:type="dxa"/>
            <w:vAlign w:val="center"/>
          </w:tcPr>
          <w:p>
            <w:pPr>
              <w:adjustRightInd w:val="0"/>
              <w:snapToGrid w:val="0"/>
              <w:jc w:val="center"/>
              <w:rPr>
                <w:sz w:val="21"/>
                <w:szCs w:val="21"/>
              </w:rPr>
            </w:pPr>
            <w:r>
              <w:rPr>
                <w:sz w:val="21"/>
                <w:szCs w:val="21"/>
              </w:rPr>
              <w:t>≤0.05</w:t>
            </w:r>
          </w:p>
        </w:tc>
        <w:tc>
          <w:tcPr>
            <w:tcW w:w="1308" w:type="dxa"/>
            <w:vAlign w:val="center"/>
          </w:tcPr>
          <w:p>
            <w:pPr>
              <w:adjustRightInd w:val="0"/>
              <w:snapToGrid w:val="0"/>
              <w:jc w:val="center"/>
              <w:rPr>
                <w:sz w:val="21"/>
                <w:szCs w:val="21"/>
              </w:rPr>
            </w:pPr>
            <w:r>
              <w:rPr>
                <w:sz w:val="21"/>
                <w:szCs w:val="21"/>
              </w:rPr>
              <w:t>≤20</w:t>
            </w:r>
          </w:p>
        </w:tc>
        <w:tc>
          <w:tcPr>
            <w:tcW w:w="1467" w:type="dxa"/>
            <w:vAlign w:val="center"/>
          </w:tcPr>
          <w:p>
            <w:pPr>
              <w:adjustRightInd w:val="0"/>
              <w:snapToGrid w:val="0"/>
              <w:jc w:val="center"/>
              <w:rPr>
                <w:sz w:val="21"/>
                <w:szCs w:val="21"/>
              </w:rPr>
            </w:pPr>
            <w:r>
              <w:rPr>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9" w:type="dxa"/>
            <w:vAlign w:val="center"/>
          </w:tcPr>
          <w:p>
            <w:pPr>
              <w:adjustRightInd w:val="0"/>
              <w:snapToGrid w:val="0"/>
              <w:jc w:val="center"/>
              <w:rPr>
                <w:sz w:val="21"/>
                <w:szCs w:val="21"/>
              </w:rPr>
            </w:pPr>
            <w:r>
              <w:rPr>
                <w:rFonts w:hint="eastAsia"/>
                <w:sz w:val="21"/>
                <w:szCs w:val="21"/>
              </w:rPr>
              <w:t>Ⅱ类标准值</w:t>
            </w:r>
          </w:p>
        </w:tc>
        <w:tc>
          <w:tcPr>
            <w:tcW w:w="965" w:type="dxa"/>
            <w:vAlign w:val="center"/>
          </w:tcPr>
          <w:p>
            <w:pPr>
              <w:adjustRightInd w:val="0"/>
              <w:snapToGrid w:val="0"/>
              <w:jc w:val="center"/>
              <w:rPr>
                <w:sz w:val="21"/>
                <w:szCs w:val="21"/>
              </w:rPr>
            </w:pPr>
            <w:r>
              <w:rPr>
                <w:sz w:val="21"/>
                <w:szCs w:val="21"/>
              </w:rPr>
              <w:t>6~9</w:t>
            </w:r>
          </w:p>
        </w:tc>
        <w:tc>
          <w:tcPr>
            <w:tcW w:w="1241" w:type="dxa"/>
            <w:vAlign w:val="center"/>
          </w:tcPr>
          <w:p>
            <w:pPr>
              <w:adjustRightInd w:val="0"/>
              <w:snapToGrid w:val="0"/>
              <w:jc w:val="center"/>
              <w:rPr>
                <w:sz w:val="21"/>
                <w:szCs w:val="21"/>
              </w:rPr>
            </w:pPr>
            <w:r>
              <w:rPr>
                <w:sz w:val="21"/>
                <w:szCs w:val="21"/>
              </w:rPr>
              <w:t>≤4</w:t>
            </w:r>
          </w:p>
        </w:tc>
        <w:tc>
          <w:tcPr>
            <w:tcW w:w="1274" w:type="dxa"/>
            <w:vAlign w:val="center"/>
          </w:tcPr>
          <w:p>
            <w:pPr>
              <w:adjustRightInd w:val="0"/>
              <w:snapToGrid w:val="0"/>
              <w:jc w:val="center"/>
              <w:rPr>
                <w:sz w:val="21"/>
                <w:szCs w:val="21"/>
              </w:rPr>
            </w:pPr>
            <w:r>
              <w:rPr>
                <w:sz w:val="21"/>
                <w:szCs w:val="21"/>
              </w:rPr>
              <w:t>≤0.5</w:t>
            </w:r>
          </w:p>
        </w:tc>
        <w:tc>
          <w:tcPr>
            <w:tcW w:w="1419" w:type="dxa"/>
            <w:vAlign w:val="center"/>
          </w:tcPr>
          <w:p>
            <w:pPr>
              <w:adjustRightInd w:val="0"/>
              <w:snapToGrid w:val="0"/>
              <w:jc w:val="center"/>
              <w:rPr>
                <w:sz w:val="21"/>
                <w:szCs w:val="21"/>
              </w:rPr>
            </w:pPr>
            <w:r>
              <w:rPr>
                <w:sz w:val="21"/>
                <w:szCs w:val="21"/>
              </w:rPr>
              <w:t>≤0.025</w:t>
            </w:r>
          </w:p>
        </w:tc>
        <w:tc>
          <w:tcPr>
            <w:tcW w:w="1308" w:type="dxa"/>
            <w:vAlign w:val="center"/>
          </w:tcPr>
          <w:p>
            <w:pPr>
              <w:adjustRightInd w:val="0"/>
              <w:snapToGrid w:val="0"/>
              <w:jc w:val="center"/>
              <w:rPr>
                <w:sz w:val="21"/>
                <w:szCs w:val="21"/>
              </w:rPr>
            </w:pPr>
            <w:r>
              <w:rPr>
                <w:sz w:val="21"/>
                <w:szCs w:val="21"/>
              </w:rPr>
              <w:t>≤15</w:t>
            </w:r>
          </w:p>
        </w:tc>
        <w:tc>
          <w:tcPr>
            <w:tcW w:w="1467" w:type="dxa"/>
            <w:vAlign w:val="center"/>
          </w:tcPr>
          <w:p>
            <w:pPr>
              <w:adjustRightInd w:val="0"/>
              <w:snapToGrid w:val="0"/>
              <w:jc w:val="center"/>
              <w:rPr>
                <w:sz w:val="21"/>
                <w:szCs w:val="21"/>
              </w:rPr>
            </w:pPr>
            <w:r>
              <w:rPr>
                <w:sz w:val="21"/>
                <w:szCs w:val="21"/>
              </w:rPr>
              <w:t>≤0.05</w:t>
            </w:r>
          </w:p>
        </w:tc>
      </w:tr>
    </w:tbl>
    <w:p>
      <w:pPr>
        <w:pStyle w:val="5"/>
        <w:ind w:left="567" w:hanging="567"/>
        <w:rPr>
          <w:u w:val="single"/>
        </w:rPr>
      </w:pPr>
      <w:bookmarkStart w:id="84" w:name="_Toc84146341"/>
      <w:bookmarkStart w:id="85" w:name="_Toc2138"/>
      <w:bookmarkStart w:id="86" w:name="_Toc219864506"/>
      <w:bookmarkStart w:id="87" w:name="_Toc15832"/>
      <w:r>
        <w:rPr>
          <w:rFonts w:hint="eastAsia"/>
          <w:u w:val="single"/>
        </w:rPr>
        <w:t>污染物排放标准</w:t>
      </w:r>
      <w:bookmarkEnd w:id="77"/>
      <w:bookmarkEnd w:id="78"/>
      <w:bookmarkEnd w:id="84"/>
      <w:bookmarkEnd w:id="85"/>
      <w:bookmarkEnd w:id="86"/>
      <w:bookmarkEnd w:id="87"/>
    </w:p>
    <w:p>
      <w:pPr>
        <w:pStyle w:val="3"/>
        <w:ind w:firstLine="31680"/>
        <w:rPr>
          <w:u w:val="single"/>
        </w:rPr>
      </w:pPr>
      <w:r>
        <w:rPr>
          <w:u w:val="single"/>
        </w:rPr>
        <w:t>a</w:t>
      </w:r>
      <w:r>
        <w:rPr>
          <w:rFonts w:hint="eastAsia"/>
          <w:u w:val="single"/>
        </w:rPr>
        <w:t>）大气污染物排放标准</w:t>
      </w:r>
    </w:p>
    <w:p>
      <w:pPr>
        <w:pStyle w:val="3"/>
        <w:ind w:firstLine="31680"/>
        <w:rPr>
          <w:u w:val="single"/>
        </w:rPr>
      </w:pPr>
      <w:r>
        <w:rPr>
          <w:rFonts w:hint="eastAsia"/>
          <w:u w:val="single"/>
        </w:rPr>
        <w:t>大气污染物排放标准执行</w:t>
      </w:r>
      <w:r>
        <w:rPr>
          <w:u w:val="single"/>
        </w:rPr>
        <w:t>GB16297-1996</w:t>
      </w:r>
      <w:r>
        <w:rPr>
          <w:rFonts w:hint="eastAsia"/>
          <w:u w:val="single"/>
        </w:rPr>
        <w:t>《大气污染物综合排放标准》中表</w:t>
      </w:r>
      <w:r>
        <w:rPr>
          <w:u w:val="single"/>
        </w:rPr>
        <w:t>2</w:t>
      </w:r>
      <w:r>
        <w:rPr>
          <w:rFonts w:hint="eastAsia"/>
          <w:u w:val="single"/>
        </w:rPr>
        <w:t>二级排放标准及无组织排放监控浓度限值标准，详见表</w:t>
      </w:r>
      <w:r>
        <w:rPr>
          <w:u w:val="single"/>
        </w:rPr>
        <w:t>2.5-5</w:t>
      </w:r>
      <w:r>
        <w:rPr>
          <w:rFonts w:hint="eastAsia"/>
          <w:u w:val="single"/>
        </w:rPr>
        <w:t>。</w:t>
      </w:r>
    </w:p>
    <w:p>
      <w:pPr>
        <w:pStyle w:val="114"/>
        <w:rPr>
          <w:u w:val="single"/>
        </w:rPr>
      </w:pPr>
      <w:bookmarkStart w:id="88" w:name="_Ref358647734"/>
      <w:r>
        <w:rPr>
          <w:rFonts w:hint="eastAsia"/>
          <w:u w:val="single"/>
        </w:rPr>
        <w:t>表</w:t>
      </w:r>
      <w:bookmarkEnd w:id="88"/>
      <w:r>
        <w:rPr>
          <w:u w:val="single"/>
        </w:rPr>
        <w:t xml:space="preserve">2.5-5      </w:t>
      </w:r>
      <w:r>
        <w:rPr>
          <w:rFonts w:hint="eastAsia"/>
          <w:u w:val="single"/>
        </w:rPr>
        <w:t>大气污染物排放标准</w:t>
      </w:r>
    </w:p>
    <w:tbl>
      <w:tblPr>
        <w:tblStyle w:val="65"/>
        <w:tblW w:w="9287"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87"/>
        <w:gridCol w:w="2457"/>
        <w:gridCol w:w="1846"/>
        <w:gridCol w:w="1490"/>
        <w:gridCol w:w="300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487" w:type="dxa"/>
            <w:vMerge w:val="restart"/>
            <w:tcBorders>
              <w:top w:val="single" w:color="auto" w:sz="8" w:space="0"/>
              <w:right w:val="single" w:color="auto" w:sz="4" w:space="0"/>
            </w:tcBorders>
            <w:vAlign w:val="center"/>
          </w:tcPr>
          <w:p>
            <w:pPr>
              <w:pStyle w:val="112"/>
              <w:rPr>
                <w:kern w:val="2"/>
                <w:u w:val="single"/>
              </w:rPr>
            </w:pPr>
            <w:r>
              <w:rPr>
                <w:rFonts w:hint="eastAsia"/>
                <w:kern w:val="2"/>
                <w:u w:val="single"/>
              </w:rPr>
              <w:t>废气</w:t>
            </w:r>
          </w:p>
        </w:tc>
        <w:tc>
          <w:tcPr>
            <w:tcW w:w="2457" w:type="dxa"/>
            <w:vMerge w:val="restart"/>
            <w:tcBorders>
              <w:top w:val="single" w:color="auto" w:sz="8" w:space="0"/>
              <w:left w:val="single" w:color="auto" w:sz="4" w:space="0"/>
            </w:tcBorders>
            <w:vAlign w:val="center"/>
          </w:tcPr>
          <w:p>
            <w:pPr>
              <w:pStyle w:val="112"/>
              <w:rPr>
                <w:kern w:val="2"/>
                <w:u w:val="single"/>
              </w:rPr>
            </w:pPr>
            <w:r>
              <w:rPr>
                <w:rFonts w:hint="eastAsia"/>
                <w:kern w:val="2"/>
                <w:u w:val="single"/>
              </w:rPr>
              <w:t>污染物</w:t>
            </w:r>
          </w:p>
        </w:tc>
        <w:tc>
          <w:tcPr>
            <w:tcW w:w="3336" w:type="dxa"/>
            <w:gridSpan w:val="2"/>
            <w:tcBorders>
              <w:top w:val="single" w:color="auto" w:sz="8" w:space="0"/>
              <w:bottom w:val="single" w:color="auto" w:sz="8" w:space="0"/>
              <w:right w:val="single" w:color="auto" w:sz="4" w:space="0"/>
            </w:tcBorders>
            <w:vAlign w:val="center"/>
          </w:tcPr>
          <w:p>
            <w:pPr>
              <w:pStyle w:val="112"/>
              <w:rPr>
                <w:kern w:val="2"/>
                <w:u w:val="single"/>
              </w:rPr>
            </w:pPr>
            <w:r>
              <w:rPr>
                <w:rFonts w:hint="eastAsia"/>
                <w:kern w:val="2"/>
                <w:u w:val="single"/>
              </w:rPr>
              <w:t>无组织排放监控浓度限值</w:t>
            </w:r>
          </w:p>
        </w:tc>
        <w:tc>
          <w:tcPr>
            <w:tcW w:w="3007" w:type="dxa"/>
            <w:tcBorders>
              <w:top w:val="single" w:color="auto" w:sz="8" w:space="0"/>
              <w:left w:val="single" w:color="auto" w:sz="4" w:space="0"/>
              <w:bottom w:val="single" w:color="auto" w:sz="8" w:space="0"/>
            </w:tcBorders>
            <w:vAlign w:val="center"/>
          </w:tcPr>
          <w:p>
            <w:pPr>
              <w:pStyle w:val="112"/>
              <w:rPr>
                <w:kern w:val="2"/>
                <w:u w:val="single"/>
              </w:rPr>
            </w:pPr>
            <w:r>
              <w:rPr>
                <w:rFonts w:hint="eastAsia"/>
                <w:kern w:val="2"/>
                <w:u w:val="single"/>
              </w:rPr>
              <w:t>依据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487" w:type="dxa"/>
            <w:vMerge w:val="continue"/>
            <w:tcBorders>
              <w:right w:val="single" w:color="auto" w:sz="4" w:space="0"/>
            </w:tcBorders>
            <w:vAlign w:val="center"/>
          </w:tcPr>
          <w:p>
            <w:pPr>
              <w:pStyle w:val="112"/>
              <w:rPr>
                <w:kern w:val="2"/>
                <w:u w:val="single"/>
              </w:rPr>
            </w:pPr>
          </w:p>
        </w:tc>
        <w:tc>
          <w:tcPr>
            <w:tcW w:w="2457" w:type="dxa"/>
            <w:vMerge w:val="continue"/>
            <w:tcBorders>
              <w:left w:val="single" w:color="auto" w:sz="4" w:space="0"/>
              <w:bottom w:val="single" w:color="auto" w:sz="4" w:space="0"/>
            </w:tcBorders>
            <w:vAlign w:val="center"/>
          </w:tcPr>
          <w:p>
            <w:pPr>
              <w:pStyle w:val="112"/>
              <w:rPr>
                <w:kern w:val="2"/>
                <w:u w:val="single"/>
              </w:rPr>
            </w:pPr>
          </w:p>
        </w:tc>
        <w:tc>
          <w:tcPr>
            <w:tcW w:w="1846" w:type="dxa"/>
            <w:tcBorders>
              <w:bottom w:val="single" w:color="auto" w:sz="8" w:space="0"/>
              <w:right w:val="single" w:color="auto" w:sz="4" w:space="0"/>
            </w:tcBorders>
            <w:vAlign w:val="center"/>
          </w:tcPr>
          <w:p>
            <w:pPr>
              <w:pStyle w:val="112"/>
              <w:rPr>
                <w:kern w:val="2"/>
                <w:u w:val="single"/>
              </w:rPr>
            </w:pPr>
            <w:r>
              <w:rPr>
                <w:rFonts w:hint="eastAsia"/>
                <w:kern w:val="2"/>
                <w:u w:val="single"/>
              </w:rPr>
              <w:t>监控点</w:t>
            </w:r>
          </w:p>
        </w:tc>
        <w:tc>
          <w:tcPr>
            <w:tcW w:w="1490" w:type="dxa"/>
            <w:tcBorders>
              <w:left w:val="single" w:color="auto" w:sz="4" w:space="0"/>
              <w:bottom w:val="single" w:color="auto" w:sz="8" w:space="0"/>
            </w:tcBorders>
            <w:vAlign w:val="center"/>
          </w:tcPr>
          <w:p>
            <w:pPr>
              <w:pStyle w:val="112"/>
              <w:rPr>
                <w:kern w:val="2"/>
                <w:u w:val="single"/>
              </w:rPr>
            </w:pPr>
            <w:r>
              <w:rPr>
                <w:rFonts w:hint="eastAsia"/>
                <w:kern w:val="2"/>
                <w:u w:val="single"/>
              </w:rPr>
              <w:t>浓度</w:t>
            </w:r>
            <w:r>
              <w:rPr>
                <w:kern w:val="2"/>
                <w:u w:val="single"/>
              </w:rPr>
              <w:t>(mg/m</w:t>
            </w:r>
            <w:r>
              <w:rPr>
                <w:kern w:val="2"/>
                <w:u w:val="single"/>
                <w:vertAlign w:val="superscript"/>
              </w:rPr>
              <w:t>3</w:t>
            </w:r>
            <w:r>
              <w:rPr>
                <w:kern w:val="2"/>
                <w:u w:val="single"/>
              </w:rPr>
              <w:t>)</w:t>
            </w:r>
          </w:p>
        </w:tc>
        <w:tc>
          <w:tcPr>
            <w:tcW w:w="3007" w:type="dxa"/>
            <w:vMerge w:val="restart"/>
            <w:tcBorders>
              <w:top w:val="single" w:color="auto" w:sz="4" w:space="0"/>
            </w:tcBorders>
            <w:vAlign w:val="center"/>
          </w:tcPr>
          <w:p>
            <w:pPr>
              <w:pStyle w:val="112"/>
              <w:rPr>
                <w:kern w:val="2"/>
                <w:u w:val="single"/>
              </w:rPr>
            </w:pPr>
            <w:r>
              <w:rPr>
                <w:rFonts w:hint="eastAsia"/>
                <w:bCs/>
                <w:u w:val="single"/>
              </w:rPr>
              <w:t>《大气污染物综合排放标准》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487" w:type="dxa"/>
            <w:vMerge w:val="continue"/>
            <w:tcBorders>
              <w:right w:val="single" w:color="auto" w:sz="4" w:space="0"/>
            </w:tcBorders>
            <w:vAlign w:val="center"/>
          </w:tcPr>
          <w:p>
            <w:pPr>
              <w:pStyle w:val="112"/>
              <w:rPr>
                <w:kern w:val="2"/>
                <w:u w:val="single"/>
              </w:rPr>
            </w:pPr>
          </w:p>
        </w:tc>
        <w:tc>
          <w:tcPr>
            <w:tcW w:w="2457" w:type="dxa"/>
            <w:tcBorders>
              <w:top w:val="single" w:color="auto" w:sz="4" w:space="0"/>
              <w:left w:val="single" w:color="auto" w:sz="4" w:space="0"/>
              <w:bottom w:val="single" w:color="auto" w:sz="8" w:space="0"/>
            </w:tcBorders>
            <w:vAlign w:val="center"/>
          </w:tcPr>
          <w:p>
            <w:pPr>
              <w:pStyle w:val="112"/>
              <w:rPr>
                <w:u w:val="single"/>
              </w:rPr>
            </w:pPr>
            <w:r>
              <w:rPr>
                <w:u w:val="single"/>
              </w:rPr>
              <w:t>TSP</w:t>
            </w:r>
          </w:p>
        </w:tc>
        <w:tc>
          <w:tcPr>
            <w:tcW w:w="1846" w:type="dxa"/>
            <w:vMerge w:val="restart"/>
            <w:tcBorders>
              <w:right w:val="single" w:color="auto" w:sz="4" w:space="0"/>
            </w:tcBorders>
            <w:vAlign w:val="center"/>
          </w:tcPr>
          <w:p>
            <w:pPr>
              <w:pStyle w:val="112"/>
              <w:rPr>
                <w:kern w:val="2"/>
                <w:u w:val="single"/>
              </w:rPr>
            </w:pPr>
            <w:r>
              <w:rPr>
                <w:rFonts w:hint="eastAsia"/>
                <w:kern w:val="2"/>
                <w:u w:val="single"/>
              </w:rPr>
              <w:t>无组织监控点</w:t>
            </w:r>
          </w:p>
        </w:tc>
        <w:tc>
          <w:tcPr>
            <w:tcW w:w="1490" w:type="dxa"/>
            <w:tcBorders>
              <w:left w:val="single" w:color="auto" w:sz="4" w:space="0"/>
              <w:bottom w:val="single" w:color="auto" w:sz="8" w:space="0"/>
            </w:tcBorders>
            <w:vAlign w:val="center"/>
          </w:tcPr>
          <w:p>
            <w:pPr>
              <w:pStyle w:val="112"/>
              <w:rPr>
                <w:kern w:val="2"/>
                <w:u w:val="single"/>
              </w:rPr>
            </w:pPr>
            <w:r>
              <w:rPr>
                <w:kern w:val="2"/>
                <w:u w:val="single"/>
              </w:rPr>
              <w:t>1.0</w:t>
            </w:r>
          </w:p>
        </w:tc>
        <w:tc>
          <w:tcPr>
            <w:tcW w:w="3007" w:type="dxa"/>
            <w:vMerge w:val="continue"/>
            <w:vAlign w:val="center"/>
          </w:tcPr>
          <w:p>
            <w:pPr>
              <w:pStyle w:val="112"/>
              <w:rPr>
                <w:kern w:val="2"/>
                <w:u w:val="singl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487" w:type="dxa"/>
            <w:vMerge w:val="continue"/>
            <w:tcBorders>
              <w:right w:val="single" w:color="auto" w:sz="4" w:space="0"/>
            </w:tcBorders>
            <w:vAlign w:val="center"/>
          </w:tcPr>
          <w:p>
            <w:pPr>
              <w:pStyle w:val="112"/>
              <w:rPr>
                <w:kern w:val="2"/>
                <w:u w:val="single"/>
              </w:rPr>
            </w:pPr>
          </w:p>
        </w:tc>
        <w:tc>
          <w:tcPr>
            <w:tcW w:w="2457" w:type="dxa"/>
            <w:tcBorders>
              <w:left w:val="single" w:color="auto" w:sz="4" w:space="0"/>
            </w:tcBorders>
            <w:vAlign w:val="center"/>
          </w:tcPr>
          <w:p>
            <w:pPr>
              <w:pStyle w:val="112"/>
              <w:rPr>
                <w:u w:val="single"/>
              </w:rPr>
            </w:pPr>
            <w:r>
              <w:rPr>
                <w:u w:val="single"/>
              </w:rPr>
              <w:t>NO</w:t>
            </w:r>
            <w:r>
              <w:rPr>
                <w:u w:val="single"/>
                <w:vertAlign w:val="subscript"/>
              </w:rPr>
              <w:t>2</w:t>
            </w:r>
          </w:p>
        </w:tc>
        <w:tc>
          <w:tcPr>
            <w:tcW w:w="1846" w:type="dxa"/>
            <w:vMerge w:val="continue"/>
            <w:tcBorders>
              <w:right w:val="single" w:color="auto" w:sz="4" w:space="0"/>
            </w:tcBorders>
            <w:vAlign w:val="center"/>
          </w:tcPr>
          <w:p>
            <w:pPr>
              <w:pStyle w:val="112"/>
              <w:rPr>
                <w:kern w:val="2"/>
                <w:u w:val="single"/>
              </w:rPr>
            </w:pPr>
          </w:p>
        </w:tc>
        <w:tc>
          <w:tcPr>
            <w:tcW w:w="1490" w:type="dxa"/>
            <w:tcBorders>
              <w:left w:val="single" w:color="auto" w:sz="4" w:space="0"/>
            </w:tcBorders>
            <w:vAlign w:val="center"/>
          </w:tcPr>
          <w:p>
            <w:pPr>
              <w:pStyle w:val="112"/>
              <w:rPr>
                <w:kern w:val="2"/>
                <w:u w:val="single"/>
              </w:rPr>
            </w:pPr>
            <w:r>
              <w:rPr>
                <w:kern w:val="2"/>
                <w:u w:val="single"/>
              </w:rPr>
              <w:t>0.12</w:t>
            </w:r>
          </w:p>
        </w:tc>
        <w:tc>
          <w:tcPr>
            <w:tcW w:w="3007" w:type="dxa"/>
            <w:vMerge w:val="continue"/>
            <w:vAlign w:val="center"/>
          </w:tcPr>
          <w:p>
            <w:pPr>
              <w:pStyle w:val="112"/>
              <w:rPr>
                <w:kern w:val="2"/>
                <w:u w:val="singl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487" w:type="dxa"/>
            <w:vMerge w:val="continue"/>
            <w:tcBorders>
              <w:bottom w:val="single" w:color="auto" w:sz="8" w:space="0"/>
              <w:right w:val="single" w:color="auto" w:sz="4" w:space="0"/>
            </w:tcBorders>
            <w:vAlign w:val="center"/>
          </w:tcPr>
          <w:p>
            <w:pPr>
              <w:pStyle w:val="112"/>
              <w:rPr>
                <w:kern w:val="2"/>
                <w:u w:val="single"/>
              </w:rPr>
            </w:pPr>
          </w:p>
        </w:tc>
        <w:tc>
          <w:tcPr>
            <w:tcW w:w="2457" w:type="dxa"/>
            <w:tcBorders>
              <w:left w:val="single" w:color="auto" w:sz="4" w:space="0"/>
              <w:bottom w:val="single" w:color="auto" w:sz="8" w:space="0"/>
            </w:tcBorders>
            <w:vAlign w:val="center"/>
          </w:tcPr>
          <w:p>
            <w:pPr>
              <w:pStyle w:val="112"/>
              <w:rPr>
                <w:w w:val="80"/>
                <w:kern w:val="2"/>
                <w:u w:val="single"/>
              </w:rPr>
            </w:pPr>
            <w:r>
              <w:rPr>
                <w:rFonts w:hint="eastAsia"/>
                <w:kern w:val="2"/>
                <w:u w:val="single"/>
              </w:rPr>
              <w:t>沥青烟（沥青摊铺）</w:t>
            </w:r>
          </w:p>
        </w:tc>
        <w:tc>
          <w:tcPr>
            <w:tcW w:w="6343" w:type="dxa"/>
            <w:gridSpan w:val="3"/>
            <w:tcBorders>
              <w:bottom w:val="single" w:color="auto" w:sz="8" w:space="0"/>
            </w:tcBorders>
            <w:vAlign w:val="center"/>
          </w:tcPr>
          <w:p>
            <w:pPr>
              <w:pStyle w:val="112"/>
              <w:rPr>
                <w:kern w:val="2"/>
                <w:u w:val="single"/>
              </w:rPr>
            </w:pPr>
            <w:r>
              <w:rPr>
                <w:rFonts w:hint="eastAsia"/>
                <w:u w:val="single"/>
              </w:rPr>
              <w:t>熔炼、浸涂、建筑搅拌最高允许排放浓度</w:t>
            </w:r>
            <w:r>
              <w:rPr>
                <w:u w:val="single"/>
              </w:rPr>
              <w:t>40~75mg/m</w:t>
            </w:r>
            <w:r>
              <w:rPr>
                <w:u w:val="single"/>
                <w:vertAlign w:val="superscript"/>
              </w:rPr>
              <w:t>3</w:t>
            </w:r>
            <w:r>
              <w:rPr>
                <w:rFonts w:hint="eastAsia"/>
                <w:u w:val="single"/>
              </w:rPr>
              <w:t>，生产设备不得有明显的无组织排放存在。</w:t>
            </w:r>
          </w:p>
        </w:tc>
      </w:tr>
    </w:tbl>
    <w:p>
      <w:pPr>
        <w:pStyle w:val="3"/>
        <w:ind w:firstLine="31680"/>
        <w:rPr>
          <w:u w:val="single"/>
        </w:rPr>
      </w:pPr>
      <w:r>
        <w:rPr>
          <w:u w:val="single"/>
        </w:rPr>
        <w:t>b</w:t>
      </w:r>
      <w:r>
        <w:rPr>
          <w:rFonts w:hint="eastAsia"/>
          <w:u w:val="single"/>
        </w:rPr>
        <w:t>）噪声排放控制标准</w:t>
      </w:r>
    </w:p>
    <w:p>
      <w:pPr>
        <w:pStyle w:val="3"/>
        <w:ind w:firstLine="31680"/>
        <w:rPr>
          <w:u w:val="single"/>
        </w:rPr>
      </w:pPr>
      <w:r>
        <w:rPr>
          <w:rFonts w:hint="eastAsia"/>
          <w:u w:val="single"/>
        </w:rPr>
        <w:t>施工期施工场界执行《建筑施工场界环境噪声排放标准》（</w:t>
      </w:r>
      <w:r>
        <w:rPr>
          <w:u w:val="single"/>
        </w:rPr>
        <w:t>GB12523-2011</w:t>
      </w:r>
      <w:r>
        <w:rPr>
          <w:rFonts w:hint="eastAsia"/>
          <w:u w:val="single"/>
        </w:rPr>
        <w:t>），详见表</w:t>
      </w:r>
      <w:r>
        <w:rPr>
          <w:u w:val="single"/>
        </w:rPr>
        <w:t>2.5-6</w:t>
      </w:r>
      <w:r>
        <w:rPr>
          <w:rFonts w:hint="eastAsia"/>
          <w:u w:val="single"/>
        </w:rPr>
        <w:t>。</w:t>
      </w:r>
    </w:p>
    <w:p>
      <w:pPr>
        <w:pStyle w:val="114"/>
        <w:rPr>
          <w:rFonts w:ascii="宋体" w:eastAsia="宋体"/>
          <w:u w:val="single"/>
        </w:rPr>
      </w:pPr>
      <w:bookmarkStart w:id="89" w:name="_Ref356230501"/>
      <w:r>
        <w:rPr>
          <w:rFonts w:hint="eastAsia"/>
          <w:u w:val="single"/>
        </w:rPr>
        <w:t>表</w:t>
      </w:r>
      <w:bookmarkEnd w:id="89"/>
      <w:r>
        <w:rPr>
          <w:u w:val="single"/>
        </w:rPr>
        <w:t xml:space="preserve">2.5-6      </w:t>
      </w:r>
      <w:r>
        <w:rPr>
          <w:rFonts w:hint="eastAsia"/>
          <w:u w:val="single"/>
        </w:rPr>
        <w:t>建筑施工场界环境噪声排放标准</w:t>
      </w:r>
      <w:r>
        <w:rPr>
          <w:rFonts w:hint="eastAsia" w:hAnsi="宋体"/>
          <w:u w:val="single"/>
        </w:rPr>
        <w:t>（</w:t>
      </w:r>
      <w:r>
        <w:rPr>
          <w:u w:val="single"/>
        </w:rPr>
        <w:t>GB12523-2011</w:t>
      </w:r>
      <w:r>
        <w:rPr>
          <w:rFonts w:hint="eastAsia" w:hAnsi="宋体"/>
          <w:u w:val="single"/>
        </w:rPr>
        <w:t>）</w:t>
      </w:r>
      <w:r>
        <w:rPr>
          <w:rFonts w:hAnsi="宋体"/>
          <w:u w:val="single"/>
        </w:rPr>
        <w:t xml:space="preserve">  </w:t>
      </w:r>
      <w:r>
        <w:rPr>
          <w:rFonts w:hint="eastAsia" w:hAnsi="宋体"/>
          <w:u w:val="single"/>
        </w:rPr>
        <w:t>单位：</w:t>
      </w:r>
      <w:r>
        <w:rPr>
          <w:rFonts w:hAnsi="宋体"/>
          <w:u w:val="single"/>
        </w:rPr>
        <w:t>dB(A)</w:t>
      </w:r>
    </w:p>
    <w:tbl>
      <w:tblPr>
        <w:tblStyle w:val="6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6"/>
        <w:gridCol w:w="4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816" w:type="dxa"/>
            <w:vAlign w:val="center"/>
          </w:tcPr>
          <w:p>
            <w:pPr>
              <w:pStyle w:val="112"/>
              <w:rPr>
                <w:kern w:val="2"/>
                <w:szCs w:val="21"/>
                <w:u w:val="single"/>
              </w:rPr>
            </w:pPr>
            <w:r>
              <w:rPr>
                <w:rFonts w:hint="eastAsia"/>
                <w:kern w:val="2"/>
                <w:szCs w:val="21"/>
                <w:u w:val="single"/>
              </w:rPr>
              <w:t>昼间</w:t>
            </w:r>
          </w:p>
        </w:tc>
        <w:tc>
          <w:tcPr>
            <w:tcW w:w="4471" w:type="dxa"/>
            <w:vAlign w:val="center"/>
          </w:tcPr>
          <w:p>
            <w:pPr>
              <w:pStyle w:val="112"/>
              <w:rPr>
                <w:kern w:val="2"/>
                <w:szCs w:val="21"/>
                <w:u w:val="single"/>
              </w:rPr>
            </w:pPr>
            <w:r>
              <w:rPr>
                <w:rFonts w:hint="eastAsia"/>
                <w:kern w:val="2"/>
                <w:szCs w:val="21"/>
                <w:u w:val="singl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816" w:type="dxa"/>
            <w:vAlign w:val="center"/>
          </w:tcPr>
          <w:p>
            <w:pPr>
              <w:pStyle w:val="112"/>
              <w:rPr>
                <w:kern w:val="2"/>
                <w:szCs w:val="21"/>
                <w:u w:val="single"/>
              </w:rPr>
            </w:pPr>
            <w:r>
              <w:rPr>
                <w:kern w:val="2"/>
                <w:szCs w:val="21"/>
                <w:u w:val="single"/>
              </w:rPr>
              <w:t>70</w:t>
            </w:r>
          </w:p>
        </w:tc>
        <w:tc>
          <w:tcPr>
            <w:tcW w:w="4471" w:type="dxa"/>
            <w:vAlign w:val="center"/>
          </w:tcPr>
          <w:p>
            <w:pPr>
              <w:pStyle w:val="112"/>
              <w:rPr>
                <w:kern w:val="2"/>
                <w:szCs w:val="21"/>
                <w:u w:val="single"/>
              </w:rPr>
            </w:pPr>
            <w:r>
              <w:rPr>
                <w:kern w:val="2"/>
                <w:szCs w:val="21"/>
                <w:u w:val="single"/>
              </w:rPr>
              <w:t>55</w:t>
            </w:r>
          </w:p>
        </w:tc>
      </w:tr>
    </w:tbl>
    <w:p>
      <w:pPr>
        <w:pStyle w:val="3"/>
        <w:ind w:firstLine="31680"/>
        <w:rPr>
          <w:u w:val="single"/>
        </w:rPr>
      </w:pPr>
      <w:r>
        <w:rPr>
          <w:u w:val="single"/>
        </w:rPr>
        <w:t>c</w:t>
      </w:r>
      <w:r>
        <w:rPr>
          <w:rFonts w:hint="eastAsia"/>
          <w:u w:val="single"/>
        </w:rPr>
        <w:t>）水污染物排放标准</w:t>
      </w:r>
    </w:p>
    <w:p>
      <w:pPr>
        <w:pStyle w:val="3"/>
        <w:ind w:firstLine="31680"/>
        <w:rPr>
          <w:u w:val="single"/>
        </w:rPr>
      </w:pPr>
      <w:r>
        <w:rPr>
          <w:rFonts w:hint="eastAsia"/>
          <w:u w:val="single"/>
        </w:rPr>
        <w:t>施工废水排放执行《污水综合排放标准》（</w:t>
      </w:r>
      <w:r>
        <w:rPr>
          <w:u w:val="single"/>
        </w:rPr>
        <w:t>GB8978-1996</w:t>
      </w:r>
      <w:r>
        <w:rPr>
          <w:rFonts w:hint="eastAsia"/>
          <w:u w:val="single"/>
        </w:rPr>
        <w:t>）表</w:t>
      </w:r>
      <w:r>
        <w:rPr>
          <w:u w:val="single"/>
        </w:rPr>
        <w:t>4</w:t>
      </w:r>
      <w:r>
        <w:rPr>
          <w:rFonts w:hint="eastAsia"/>
          <w:u w:val="single"/>
        </w:rPr>
        <w:t>中三级标准，详见表</w:t>
      </w:r>
      <w:r>
        <w:rPr>
          <w:u w:val="single"/>
        </w:rPr>
        <w:t>2.5-7</w:t>
      </w:r>
      <w:r>
        <w:rPr>
          <w:rFonts w:hint="eastAsia"/>
          <w:u w:val="single"/>
        </w:rPr>
        <w:t>。</w:t>
      </w:r>
      <w:r>
        <w:rPr>
          <w:u w:val="single"/>
        </w:rPr>
        <w:t xml:space="preserve"> </w:t>
      </w:r>
    </w:p>
    <w:p>
      <w:pPr>
        <w:pStyle w:val="114"/>
        <w:rPr>
          <w:u w:val="single"/>
        </w:rPr>
      </w:pPr>
      <w:bookmarkStart w:id="90" w:name="_Ref356230540"/>
      <w:r>
        <w:rPr>
          <w:rFonts w:hint="eastAsia" w:hAnsi="宋体"/>
          <w:u w:val="single"/>
        </w:rPr>
        <w:t>表</w:t>
      </w:r>
      <w:bookmarkEnd w:id="90"/>
      <w:r>
        <w:rPr>
          <w:u w:val="single"/>
        </w:rPr>
        <w:t xml:space="preserve">2.5-7      </w:t>
      </w:r>
      <w:r>
        <w:rPr>
          <w:rFonts w:hint="eastAsia" w:hAnsi="宋体"/>
          <w:u w:val="single"/>
        </w:rPr>
        <w:t>污水综合排放标准（</w:t>
      </w:r>
      <w:r>
        <w:rPr>
          <w:u w:val="single"/>
        </w:rPr>
        <w:t>GB8978-1996</w:t>
      </w:r>
      <w:r>
        <w:rPr>
          <w:rFonts w:hint="eastAsia" w:hAnsi="宋体"/>
          <w:u w:val="single"/>
        </w:rPr>
        <w:t>）</w:t>
      </w:r>
      <w:r>
        <w:rPr>
          <w:u w:val="single"/>
        </w:rPr>
        <w:t xml:space="preserve">      </w:t>
      </w:r>
      <w:r>
        <w:rPr>
          <w:rFonts w:hint="eastAsia" w:hAnsi="宋体"/>
          <w:u w:val="single"/>
        </w:rPr>
        <w:t>单位：</w:t>
      </w:r>
      <w:r>
        <w:rPr>
          <w:u w:val="single"/>
        </w:rPr>
        <w:t>mg/L</w:t>
      </w:r>
      <w:r>
        <w:rPr>
          <w:rFonts w:hint="eastAsia" w:hAnsi="宋体"/>
          <w:u w:val="single"/>
        </w:rPr>
        <w:t>（</w:t>
      </w:r>
      <w:r>
        <w:rPr>
          <w:u w:val="single"/>
        </w:rPr>
        <w:t>pH</w:t>
      </w:r>
      <w:r>
        <w:rPr>
          <w:rFonts w:hint="eastAsia" w:hAnsi="宋体"/>
          <w:u w:val="single"/>
        </w:rPr>
        <w:t>除外）</w:t>
      </w:r>
    </w:p>
    <w:tbl>
      <w:tblPr>
        <w:tblStyle w:val="65"/>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9"/>
        <w:gridCol w:w="1135"/>
        <w:gridCol w:w="1681"/>
        <w:gridCol w:w="1335"/>
        <w:gridCol w:w="1139"/>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19" w:type="dxa"/>
            <w:vAlign w:val="center"/>
          </w:tcPr>
          <w:p>
            <w:pPr>
              <w:pStyle w:val="112"/>
              <w:rPr>
                <w:kern w:val="2"/>
                <w:u w:val="single"/>
              </w:rPr>
            </w:pPr>
            <w:r>
              <w:rPr>
                <w:rFonts w:hint="eastAsia" w:hAnsi="宋体"/>
                <w:kern w:val="2"/>
                <w:u w:val="single"/>
              </w:rPr>
              <w:t>项</w:t>
            </w:r>
            <w:r>
              <w:rPr>
                <w:kern w:val="2"/>
                <w:u w:val="single"/>
              </w:rPr>
              <w:t xml:space="preserve">  </w:t>
            </w:r>
            <w:r>
              <w:rPr>
                <w:rFonts w:hint="eastAsia" w:hAnsi="宋体"/>
                <w:kern w:val="2"/>
                <w:u w:val="single"/>
              </w:rPr>
              <w:t>目</w:t>
            </w:r>
          </w:p>
        </w:tc>
        <w:tc>
          <w:tcPr>
            <w:tcW w:w="1135" w:type="dxa"/>
            <w:vAlign w:val="center"/>
          </w:tcPr>
          <w:p>
            <w:pPr>
              <w:pStyle w:val="112"/>
              <w:rPr>
                <w:kern w:val="2"/>
                <w:u w:val="single"/>
              </w:rPr>
            </w:pPr>
            <w:r>
              <w:rPr>
                <w:kern w:val="2"/>
                <w:u w:val="single"/>
              </w:rPr>
              <w:t>pH</w:t>
            </w:r>
          </w:p>
        </w:tc>
        <w:tc>
          <w:tcPr>
            <w:tcW w:w="1681" w:type="dxa"/>
            <w:vAlign w:val="center"/>
          </w:tcPr>
          <w:p>
            <w:pPr>
              <w:pStyle w:val="112"/>
              <w:rPr>
                <w:kern w:val="2"/>
                <w:u w:val="single"/>
              </w:rPr>
            </w:pPr>
            <w:r>
              <w:rPr>
                <w:kern w:val="2"/>
                <w:u w:val="single"/>
              </w:rPr>
              <w:t>COD</w:t>
            </w:r>
            <w:r>
              <w:rPr>
                <w:kern w:val="2"/>
                <w:u w:val="single"/>
                <w:vertAlign w:val="subscript"/>
              </w:rPr>
              <w:t>Cr</w:t>
            </w:r>
          </w:p>
        </w:tc>
        <w:tc>
          <w:tcPr>
            <w:tcW w:w="1335" w:type="dxa"/>
            <w:vAlign w:val="center"/>
          </w:tcPr>
          <w:p>
            <w:pPr>
              <w:pStyle w:val="112"/>
              <w:rPr>
                <w:kern w:val="2"/>
                <w:u w:val="single"/>
              </w:rPr>
            </w:pPr>
            <w:r>
              <w:rPr>
                <w:rFonts w:hint="eastAsia"/>
                <w:kern w:val="2"/>
                <w:u w:val="single"/>
              </w:rPr>
              <w:t>氨氮</w:t>
            </w:r>
          </w:p>
        </w:tc>
        <w:tc>
          <w:tcPr>
            <w:tcW w:w="1139" w:type="dxa"/>
            <w:vAlign w:val="center"/>
          </w:tcPr>
          <w:p>
            <w:pPr>
              <w:pStyle w:val="112"/>
              <w:rPr>
                <w:kern w:val="2"/>
                <w:u w:val="single"/>
              </w:rPr>
            </w:pPr>
            <w:r>
              <w:rPr>
                <w:kern w:val="2"/>
                <w:u w:val="single"/>
              </w:rPr>
              <w:t>SS</w:t>
            </w:r>
          </w:p>
        </w:tc>
        <w:tc>
          <w:tcPr>
            <w:tcW w:w="1778" w:type="dxa"/>
            <w:vAlign w:val="center"/>
          </w:tcPr>
          <w:p>
            <w:pPr>
              <w:pStyle w:val="112"/>
              <w:rPr>
                <w:kern w:val="2"/>
                <w:u w:val="single"/>
              </w:rPr>
            </w:pPr>
            <w:r>
              <w:rPr>
                <w:rFonts w:hint="eastAsia" w:hAnsi="宋体"/>
                <w:kern w:val="2"/>
                <w:u w:val="singl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19" w:type="dxa"/>
            <w:vAlign w:val="center"/>
          </w:tcPr>
          <w:p>
            <w:pPr>
              <w:pStyle w:val="112"/>
              <w:rPr>
                <w:kern w:val="2"/>
                <w:u w:val="single"/>
              </w:rPr>
            </w:pPr>
            <w:r>
              <w:rPr>
                <w:rFonts w:hint="eastAsia" w:hAnsi="宋体"/>
                <w:kern w:val="2"/>
                <w:u w:val="single"/>
              </w:rPr>
              <w:t>三级标准</w:t>
            </w:r>
          </w:p>
        </w:tc>
        <w:tc>
          <w:tcPr>
            <w:tcW w:w="1135" w:type="dxa"/>
            <w:vAlign w:val="center"/>
          </w:tcPr>
          <w:p>
            <w:pPr>
              <w:pStyle w:val="112"/>
              <w:rPr>
                <w:kern w:val="2"/>
                <w:u w:val="single"/>
              </w:rPr>
            </w:pPr>
            <w:r>
              <w:rPr>
                <w:kern w:val="2"/>
                <w:u w:val="single"/>
              </w:rPr>
              <w:t>6</w:t>
            </w:r>
            <w:r>
              <w:rPr>
                <w:rFonts w:hAnsi="宋体"/>
                <w:kern w:val="2"/>
                <w:u w:val="single"/>
              </w:rPr>
              <w:t>~</w:t>
            </w:r>
            <w:r>
              <w:rPr>
                <w:kern w:val="2"/>
                <w:u w:val="single"/>
              </w:rPr>
              <w:t>9</w:t>
            </w:r>
          </w:p>
        </w:tc>
        <w:tc>
          <w:tcPr>
            <w:tcW w:w="1681" w:type="dxa"/>
            <w:vAlign w:val="center"/>
          </w:tcPr>
          <w:p>
            <w:pPr>
              <w:pStyle w:val="112"/>
              <w:rPr>
                <w:kern w:val="2"/>
                <w:u w:val="single"/>
              </w:rPr>
            </w:pPr>
            <w:r>
              <w:rPr>
                <w:kern w:val="2"/>
                <w:u w:val="single"/>
              </w:rPr>
              <w:t>≤500</w:t>
            </w:r>
          </w:p>
        </w:tc>
        <w:tc>
          <w:tcPr>
            <w:tcW w:w="1335" w:type="dxa"/>
            <w:vAlign w:val="center"/>
          </w:tcPr>
          <w:p>
            <w:pPr>
              <w:pStyle w:val="112"/>
              <w:rPr>
                <w:kern w:val="2"/>
                <w:u w:val="single"/>
              </w:rPr>
            </w:pPr>
            <w:r>
              <w:rPr>
                <w:kern w:val="2"/>
                <w:u w:val="single"/>
              </w:rPr>
              <w:t>≤-</w:t>
            </w:r>
          </w:p>
        </w:tc>
        <w:tc>
          <w:tcPr>
            <w:tcW w:w="1139" w:type="dxa"/>
            <w:vAlign w:val="center"/>
          </w:tcPr>
          <w:p>
            <w:pPr>
              <w:pStyle w:val="112"/>
              <w:rPr>
                <w:kern w:val="2"/>
                <w:u w:val="single"/>
              </w:rPr>
            </w:pPr>
            <w:r>
              <w:rPr>
                <w:kern w:val="2"/>
                <w:u w:val="single"/>
              </w:rPr>
              <w:t>≤400</w:t>
            </w:r>
          </w:p>
        </w:tc>
        <w:tc>
          <w:tcPr>
            <w:tcW w:w="1778" w:type="dxa"/>
            <w:vAlign w:val="center"/>
          </w:tcPr>
          <w:p>
            <w:pPr>
              <w:pStyle w:val="112"/>
              <w:rPr>
                <w:kern w:val="2"/>
                <w:u w:val="single"/>
              </w:rPr>
            </w:pPr>
            <w:r>
              <w:rPr>
                <w:kern w:val="2"/>
                <w:u w:val="single"/>
              </w:rPr>
              <w:t>≤20</w:t>
            </w:r>
          </w:p>
        </w:tc>
      </w:tr>
    </w:tbl>
    <w:p>
      <w:pPr>
        <w:pStyle w:val="3"/>
        <w:ind w:firstLine="31680"/>
        <w:rPr>
          <w:u w:val="single"/>
        </w:rPr>
      </w:pPr>
      <w:r>
        <w:rPr>
          <w:rFonts w:hint="eastAsia"/>
          <w:u w:val="single"/>
        </w:rPr>
        <w:t>项目施工生活污水经化粪池处理后回用于农田灌溉，不外排。</w:t>
      </w:r>
    </w:p>
    <w:p>
      <w:pPr>
        <w:pStyle w:val="3"/>
        <w:ind w:firstLine="31680"/>
        <w:rPr>
          <w:u w:val="single"/>
        </w:rPr>
      </w:pPr>
      <w:r>
        <w:rPr>
          <w:u w:val="single"/>
        </w:rPr>
        <w:t>d</w:t>
      </w:r>
      <w:r>
        <w:rPr>
          <w:rFonts w:hint="eastAsia"/>
          <w:u w:val="single"/>
        </w:rPr>
        <w:t>）固体废物处置标准</w:t>
      </w:r>
    </w:p>
    <w:p>
      <w:pPr>
        <w:pStyle w:val="3"/>
        <w:ind w:firstLine="482" w:firstLineChars="0"/>
        <w:rPr>
          <w:u w:val="single"/>
        </w:rPr>
      </w:pPr>
      <w:r>
        <w:rPr>
          <w:rFonts w:hint="eastAsia"/>
          <w:u w:val="single"/>
        </w:rPr>
        <w:t>施工期产生的固体废物处置执行《一般工业固体废物贮存、处置场污染控制标准》（</w:t>
      </w:r>
      <w:r>
        <w:rPr>
          <w:u w:val="single"/>
        </w:rPr>
        <w:t>GB18599-2001</w:t>
      </w:r>
      <w:r>
        <w:rPr>
          <w:rFonts w:hint="eastAsia"/>
          <w:u w:val="single"/>
        </w:rPr>
        <w:t>）（</w:t>
      </w:r>
      <w:r>
        <w:rPr>
          <w:u w:val="single"/>
        </w:rPr>
        <w:t>2013</w:t>
      </w:r>
      <w:r>
        <w:rPr>
          <w:rFonts w:hint="eastAsia"/>
          <w:u w:val="single"/>
        </w:rPr>
        <w:t>年修订版）中的Ⅰ类场标准；施工人员生活垃圾执行《生活垃圾填埋污染控制标准》（</w:t>
      </w:r>
      <w:r>
        <w:rPr>
          <w:u w:val="single"/>
        </w:rPr>
        <w:t>GB16889-1997</w:t>
      </w:r>
      <w:r>
        <w:rPr>
          <w:rFonts w:hint="eastAsia"/>
          <w:u w:val="single"/>
        </w:rPr>
        <w:t>）。</w:t>
      </w:r>
    </w:p>
    <w:p>
      <w:pPr>
        <w:pStyle w:val="4"/>
        <w:ind w:hanging="718"/>
      </w:pPr>
      <w:bookmarkStart w:id="91" w:name="_Toc243202352"/>
      <w:bookmarkStart w:id="92" w:name="_Toc84146342"/>
      <w:bookmarkStart w:id="93" w:name="_Toc219864507"/>
      <w:bookmarkStart w:id="94" w:name="_Toc317762447"/>
      <w:bookmarkStart w:id="95" w:name="_Toc383248404"/>
      <w:bookmarkStart w:id="96" w:name="_Toc13660"/>
      <w:bookmarkStart w:id="97" w:name="_Toc20537"/>
      <w:bookmarkStart w:id="98" w:name="_Toc26786"/>
      <w:bookmarkStart w:id="99" w:name="_Toc243276900"/>
      <w:bookmarkStart w:id="100" w:name="_Toc72202422"/>
      <w:r>
        <w:rPr>
          <w:rFonts w:hint="eastAsia"/>
        </w:rPr>
        <w:t>环境保护目标</w:t>
      </w:r>
      <w:bookmarkEnd w:id="91"/>
      <w:bookmarkEnd w:id="92"/>
      <w:bookmarkEnd w:id="93"/>
      <w:bookmarkEnd w:id="94"/>
      <w:bookmarkEnd w:id="95"/>
      <w:bookmarkEnd w:id="96"/>
      <w:bookmarkEnd w:id="97"/>
      <w:bookmarkEnd w:id="98"/>
      <w:bookmarkEnd w:id="99"/>
      <w:bookmarkEnd w:id="100"/>
    </w:p>
    <w:p>
      <w:pPr>
        <w:pStyle w:val="3"/>
        <w:ind w:firstLine="482" w:firstLineChars="0"/>
      </w:pPr>
      <w:bookmarkStart w:id="101" w:name="_Ref356230673"/>
      <w:r>
        <w:rPr>
          <w:rFonts w:hint="eastAsia"/>
        </w:rPr>
        <w:t>经现场踏勘，经建设单位提供的初步用地图纸和最新的谷歌地图卫星照片，确定工程沿线主要环境保护目标。</w:t>
      </w:r>
    </w:p>
    <w:p>
      <w:pPr>
        <w:pStyle w:val="5"/>
        <w:ind w:left="567" w:hanging="567"/>
      </w:pPr>
      <w:r>
        <w:rPr>
          <w:rFonts w:hint="eastAsia"/>
        </w:rPr>
        <w:t>水环境保护目标</w:t>
      </w:r>
    </w:p>
    <w:p>
      <w:pPr>
        <w:pStyle w:val="3"/>
        <w:ind w:firstLine="482" w:firstLineChars="0"/>
        <w:rPr>
          <w:color w:val="auto"/>
        </w:rPr>
      </w:pPr>
      <w:r>
        <w:rPr>
          <w:color w:val="auto"/>
        </w:rPr>
        <w:t>a</w:t>
      </w:r>
      <w:r>
        <w:rPr>
          <w:rFonts w:hint="eastAsia"/>
          <w:color w:val="auto"/>
        </w:rPr>
        <w:t>）地表水环境保护目标</w:t>
      </w:r>
    </w:p>
    <w:p>
      <w:pPr>
        <w:pStyle w:val="3"/>
        <w:ind w:firstLine="482" w:firstLineChars="0"/>
        <w:rPr>
          <w:rFonts w:hint="eastAsia"/>
        </w:rPr>
      </w:pPr>
      <w:r>
        <w:rPr>
          <w:rFonts w:hint="eastAsia"/>
        </w:rPr>
        <w:t>拟建工程沿线涉及的水体主要有：两条无名小溪及沿线的水库、鱼塘、沟渠及项目终点西边</w:t>
      </w:r>
      <w:r>
        <w:t>93m</w:t>
      </w:r>
      <w:r>
        <w:rPr>
          <w:rFonts w:hint="eastAsia"/>
        </w:rPr>
        <w:t>处的大里塘水库（该水库属于一级饮用水源）。项目地表水环境保护目标具体见表</w:t>
      </w:r>
      <w:r>
        <w:t>2.6-1</w:t>
      </w:r>
      <w:r>
        <w:rPr>
          <w:rFonts w:hint="eastAsia"/>
        </w:rPr>
        <w:t>。</w:t>
      </w:r>
    </w:p>
    <w:p>
      <w:pPr>
        <w:pStyle w:val="114"/>
        <w:rPr>
          <w:rFonts w:ascii="宋体" w:eastAsia="宋体"/>
        </w:rPr>
      </w:pPr>
      <w:bookmarkStart w:id="102" w:name="_Ref356230629"/>
      <w:r>
        <w:rPr>
          <w:rFonts w:hint="eastAsia"/>
        </w:rPr>
        <w:t>表</w:t>
      </w:r>
      <w:bookmarkEnd w:id="102"/>
      <w:r>
        <w:t xml:space="preserve">2.6-1      </w:t>
      </w:r>
      <w:r>
        <w:rPr>
          <w:rFonts w:hint="eastAsia"/>
        </w:rPr>
        <w:t>地表</w:t>
      </w:r>
      <w:r>
        <w:rPr>
          <w:rFonts w:hint="eastAsia" w:ascii="宋体" w:hAnsi="宋体"/>
        </w:rPr>
        <w:t>水环境主要保护目标</w:t>
      </w:r>
    </w:p>
    <w:tbl>
      <w:tblPr>
        <w:tblStyle w:val="65"/>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672"/>
        <w:gridCol w:w="1991"/>
        <w:gridCol w:w="851"/>
        <w:gridCol w:w="1135"/>
        <w:gridCol w:w="1274"/>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422" w:type="dxa"/>
            <w:vAlign w:val="center"/>
          </w:tcPr>
          <w:p>
            <w:pPr>
              <w:pStyle w:val="112"/>
              <w:rPr>
                <w:kern w:val="2"/>
                <w:sz w:val="18"/>
                <w:szCs w:val="18"/>
              </w:rPr>
            </w:pPr>
            <w:r>
              <w:rPr>
                <w:rFonts w:hint="eastAsia"/>
                <w:kern w:val="2"/>
                <w:sz w:val="18"/>
                <w:szCs w:val="18"/>
              </w:rPr>
              <w:t>序号</w:t>
            </w:r>
          </w:p>
        </w:tc>
        <w:tc>
          <w:tcPr>
            <w:tcW w:w="672" w:type="dxa"/>
            <w:vAlign w:val="center"/>
          </w:tcPr>
          <w:p>
            <w:pPr>
              <w:pStyle w:val="112"/>
              <w:rPr>
                <w:kern w:val="2"/>
                <w:sz w:val="18"/>
                <w:szCs w:val="18"/>
              </w:rPr>
            </w:pPr>
            <w:r>
              <w:rPr>
                <w:rFonts w:hint="eastAsia"/>
                <w:kern w:val="2"/>
                <w:sz w:val="18"/>
                <w:szCs w:val="18"/>
              </w:rPr>
              <w:t>保护目标</w:t>
            </w:r>
          </w:p>
        </w:tc>
        <w:tc>
          <w:tcPr>
            <w:tcW w:w="1991" w:type="dxa"/>
            <w:vAlign w:val="center"/>
          </w:tcPr>
          <w:p>
            <w:pPr>
              <w:pStyle w:val="112"/>
              <w:rPr>
                <w:kern w:val="2"/>
                <w:sz w:val="18"/>
                <w:szCs w:val="18"/>
              </w:rPr>
            </w:pPr>
            <w:r>
              <w:rPr>
                <w:rFonts w:hint="eastAsia"/>
                <w:kern w:val="2"/>
                <w:sz w:val="18"/>
                <w:szCs w:val="18"/>
              </w:rPr>
              <w:t>规模与项目关系</w:t>
            </w:r>
          </w:p>
        </w:tc>
        <w:tc>
          <w:tcPr>
            <w:tcW w:w="851" w:type="dxa"/>
            <w:vAlign w:val="center"/>
          </w:tcPr>
          <w:p>
            <w:pPr>
              <w:pStyle w:val="112"/>
              <w:rPr>
                <w:kern w:val="2"/>
                <w:sz w:val="18"/>
                <w:szCs w:val="18"/>
              </w:rPr>
            </w:pPr>
            <w:r>
              <w:rPr>
                <w:rFonts w:hint="eastAsia"/>
                <w:kern w:val="2"/>
                <w:sz w:val="18"/>
                <w:szCs w:val="18"/>
              </w:rPr>
              <w:t>功能</w:t>
            </w:r>
          </w:p>
        </w:tc>
        <w:tc>
          <w:tcPr>
            <w:tcW w:w="1135" w:type="dxa"/>
            <w:vAlign w:val="center"/>
          </w:tcPr>
          <w:p>
            <w:pPr>
              <w:pStyle w:val="112"/>
              <w:rPr>
                <w:kern w:val="2"/>
                <w:sz w:val="18"/>
                <w:szCs w:val="18"/>
              </w:rPr>
            </w:pPr>
            <w:r>
              <w:rPr>
                <w:rFonts w:hint="eastAsia"/>
                <w:kern w:val="2"/>
                <w:sz w:val="18"/>
                <w:szCs w:val="18"/>
              </w:rPr>
              <w:t>水域概况</w:t>
            </w:r>
          </w:p>
        </w:tc>
        <w:tc>
          <w:tcPr>
            <w:tcW w:w="1274" w:type="dxa"/>
            <w:vAlign w:val="center"/>
          </w:tcPr>
          <w:p>
            <w:pPr>
              <w:pStyle w:val="112"/>
              <w:rPr>
                <w:kern w:val="2"/>
                <w:sz w:val="18"/>
                <w:szCs w:val="18"/>
              </w:rPr>
            </w:pPr>
            <w:r>
              <w:rPr>
                <w:rFonts w:hint="eastAsia"/>
                <w:kern w:val="2"/>
                <w:sz w:val="18"/>
                <w:szCs w:val="18"/>
              </w:rPr>
              <w:t>保护要求</w:t>
            </w:r>
          </w:p>
        </w:tc>
        <w:tc>
          <w:tcPr>
            <w:tcW w:w="2942" w:type="dxa"/>
            <w:vAlign w:val="center"/>
          </w:tcPr>
          <w:p>
            <w:pPr>
              <w:pStyle w:val="112"/>
              <w:rPr>
                <w:kern w:val="2"/>
                <w:sz w:val="18"/>
                <w:szCs w:val="18"/>
              </w:rPr>
            </w:pPr>
            <w:r>
              <w:rPr>
                <w:rFonts w:hint="eastAsia"/>
                <w:kern w:val="2"/>
                <w:sz w:val="18"/>
                <w:szCs w:val="18"/>
              </w:rPr>
              <w:t>现场照片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2" w:type="dxa"/>
            <w:vAlign w:val="center"/>
          </w:tcPr>
          <w:p>
            <w:pPr>
              <w:pStyle w:val="259"/>
              <w:adjustRightInd w:val="0"/>
              <w:snapToGrid w:val="0"/>
              <w:rPr>
                <w:rFonts w:hAnsi="宋体"/>
                <w:sz w:val="18"/>
                <w:szCs w:val="18"/>
              </w:rPr>
            </w:pPr>
            <w:r>
              <w:rPr>
                <w:rFonts w:hAnsi="宋体"/>
                <w:sz w:val="18"/>
                <w:szCs w:val="18"/>
              </w:rPr>
              <w:t>1</w:t>
            </w:r>
          </w:p>
        </w:tc>
        <w:tc>
          <w:tcPr>
            <w:tcW w:w="672" w:type="dxa"/>
            <w:vAlign w:val="center"/>
          </w:tcPr>
          <w:p>
            <w:pPr>
              <w:pStyle w:val="112"/>
              <w:rPr>
                <w:kern w:val="2"/>
                <w:sz w:val="18"/>
                <w:szCs w:val="18"/>
              </w:rPr>
            </w:pPr>
            <w:r>
              <w:rPr>
                <w:rFonts w:hint="eastAsia"/>
                <w:sz w:val="18"/>
                <w:szCs w:val="18"/>
              </w:rPr>
              <w:t>无名小溪</w:t>
            </w:r>
            <w:r>
              <w:rPr>
                <w:sz w:val="18"/>
                <w:szCs w:val="18"/>
              </w:rPr>
              <w:t>1</w:t>
            </w:r>
          </w:p>
        </w:tc>
        <w:tc>
          <w:tcPr>
            <w:tcW w:w="1991" w:type="dxa"/>
            <w:vAlign w:val="center"/>
          </w:tcPr>
          <w:p>
            <w:pPr>
              <w:pStyle w:val="112"/>
              <w:rPr>
                <w:sz w:val="18"/>
                <w:szCs w:val="18"/>
              </w:rPr>
            </w:pPr>
            <w:r>
              <w:rPr>
                <w:rFonts w:hint="eastAsia"/>
                <w:sz w:val="18"/>
                <w:szCs w:val="18"/>
              </w:rPr>
              <w:t>樟树塘桥</w:t>
            </w:r>
          </w:p>
          <w:p>
            <w:pPr>
              <w:pStyle w:val="112"/>
              <w:rPr>
                <w:kern w:val="2"/>
                <w:sz w:val="18"/>
                <w:szCs w:val="18"/>
              </w:rPr>
            </w:pPr>
            <w:r>
              <w:rPr>
                <w:rFonts w:hint="eastAsia"/>
                <w:sz w:val="18"/>
                <w:szCs w:val="18"/>
              </w:rPr>
              <w:t>本项目于</w:t>
            </w:r>
            <w:r>
              <w:rPr>
                <w:sz w:val="18"/>
                <w:szCs w:val="18"/>
              </w:rPr>
              <w:t>K1+180</w:t>
            </w:r>
            <w:r>
              <w:rPr>
                <w:rFonts w:hint="eastAsia"/>
                <w:sz w:val="18"/>
                <w:szCs w:val="18"/>
              </w:rPr>
              <w:t>处跨越该小溪，此桥梁为新建，桩结构不涉及水下桥墩施工</w:t>
            </w:r>
          </w:p>
        </w:tc>
        <w:tc>
          <w:tcPr>
            <w:tcW w:w="851" w:type="dxa"/>
            <w:vAlign w:val="center"/>
          </w:tcPr>
          <w:p>
            <w:pPr>
              <w:pStyle w:val="112"/>
              <w:rPr>
                <w:sz w:val="18"/>
                <w:szCs w:val="18"/>
              </w:rPr>
            </w:pPr>
            <w:r>
              <w:rPr>
                <w:rFonts w:hint="eastAsia"/>
                <w:kern w:val="2"/>
                <w:sz w:val="18"/>
                <w:szCs w:val="18"/>
              </w:rPr>
              <w:t>农田灌溉用水区</w:t>
            </w:r>
          </w:p>
        </w:tc>
        <w:tc>
          <w:tcPr>
            <w:tcW w:w="1135" w:type="dxa"/>
            <w:vAlign w:val="center"/>
          </w:tcPr>
          <w:p>
            <w:pPr>
              <w:pStyle w:val="112"/>
              <w:rPr>
                <w:kern w:val="2"/>
                <w:sz w:val="18"/>
                <w:szCs w:val="18"/>
              </w:rPr>
            </w:pPr>
            <w:r>
              <w:rPr>
                <w:rFonts w:hint="eastAsia"/>
                <w:sz w:val="18"/>
                <w:szCs w:val="18"/>
              </w:rPr>
              <w:t>小溪流，多年平均流量</w:t>
            </w:r>
            <w:r>
              <w:rPr>
                <w:sz w:val="18"/>
                <w:szCs w:val="18"/>
              </w:rPr>
              <w:t>0.8m</w:t>
            </w:r>
            <w:r>
              <w:rPr>
                <w:sz w:val="18"/>
                <w:szCs w:val="18"/>
                <w:vertAlign w:val="superscript"/>
              </w:rPr>
              <w:t>3</w:t>
            </w:r>
            <w:r>
              <w:rPr>
                <w:sz w:val="18"/>
                <w:szCs w:val="18"/>
              </w:rPr>
              <w:t>/s</w:t>
            </w:r>
            <w:r>
              <w:rPr>
                <w:rFonts w:hint="eastAsia"/>
                <w:sz w:val="18"/>
                <w:szCs w:val="18"/>
              </w:rPr>
              <w:t>，河流宽约</w:t>
            </w:r>
            <w:r>
              <w:rPr>
                <w:sz w:val="18"/>
                <w:szCs w:val="18"/>
              </w:rPr>
              <w:t>3.0~5.0m</w:t>
            </w:r>
            <w:r>
              <w:rPr>
                <w:rFonts w:hint="eastAsia"/>
                <w:sz w:val="18"/>
                <w:szCs w:val="18"/>
              </w:rPr>
              <w:t>，水深约</w:t>
            </w:r>
            <w:r>
              <w:rPr>
                <w:sz w:val="18"/>
                <w:szCs w:val="18"/>
              </w:rPr>
              <w:t>0.2~1.0m</w:t>
            </w:r>
          </w:p>
        </w:tc>
        <w:tc>
          <w:tcPr>
            <w:tcW w:w="1274" w:type="dxa"/>
            <w:vAlign w:val="center"/>
          </w:tcPr>
          <w:p>
            <w:pPr>
              <w:pStyle w:val="112"/>
              <w:rPr>
                <w:kern w:val="2"/>
                <w:sz w:val="18"/>
                <w:szCs w:val="18"/>
              </w:rPr>
            </w:pPr>
            <w:r>
              <w:rPr>
                <w:rFonts w:hint="eastAsia"/>
                <w:kern w:val="2"/>
                <w:sz w:val="18"/>
                <w:szCs w:val="18"/>
              </w:rPr>
              <w:t>《地表水环境质量标准》（</w:t>
            </w:r>
            <w:r>
              <w:rPr>
                <w:kern w:val="2"/>
                <w:sz w:val="18"/>
                <w:szCs w:val="18"/>
              </w:rPr>
              <w:t>GB3838-2002</w:t>
            </w:r>
            <w:r>
              <w:rPr>
                <w:rFonts w:hint="eastAsia"/>
                <w:kern w:val="2"/>
                <w:sz w:val="18"/>
                <w:szCs w:val="18"/>
              </w:rPr>
              <w:t>）Ⅲ类标准</w:t>
            </w:r>
          </w:p>
        </w:tc>
        <w:tc>
          <w:tcPr>
            <w:tcW w:w="2942" w:type="dxa"/>
            <w:vAlign w:val="center"/>
          </w:tcPr>
          <w:p>
            <w:pPr>
              <w:pStyle w:val="112"/>
              <w:ind w:left="31680" w:leftChars="-54" w:right="31680" w:rightChars="-71"/>
              <w:rPr>
                <w:kern w:val="2"/>
                <w:sz w:val="18"/>
                <w:szCs w:val="18"/>
              </w:rPr>
            </w:pPr>
            <w:r>
              <w:rPr>
                <w:kern w:val="2"/>
                <w:sz w:val="18"/>
                <w:szCs w:val="18"/>
              </w:rPr>
              <w:pict>
                <v:shape id="_x0000_i1026" o:spt="75" alt="B9BD6B5D7400E3E2B8B378AECEFCB8F5" type="#_x0000_t75" style="height:126.75pt;width:105pt;rotation:5898240f;" filled="f" o:preferrelative="t" stroked="f" coordsize="21600,21600">
                  <v:path/>
                  <v:fill on="f" focussize="0,0"/>
                  <v:stroke on="f" joinstyle="miter"/>
                  <v:imagedata r:id="rId16" cropleft="8217f" cropright="5412f"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7" w:hRule="atLeast"/>
          <w:jc w:val="center"/>
        </w:trPr>
        <w:tc>
          <w:tcPr>
            <w:tcW w:w="422" w:type="dxa"/>
            <w:vAlign w:val="center"/>
          </w:tcPr>
          <w:p>
            <w:pPr>
              <w:pStyle w:val="259"/>
              <w:adjustRightInd w:val="0"/>
              <w:snapToGrid w:val="0"/>
              <w:rPr>
                <w:rFonts w:hAnsi="宋体"/>
                <w:sz w:val="18"/>
                <w:szCs w:val="18"/>
              </w:rPr>
            </w:pPr>
            <w:r>
              <w:rPr>
                <w:sz w:val="18"/>
                <w:szCs w:val="18"/>
              </w:rPr>
              <w:t>2</w:t>
            </w:r>
          </w:p>
        </w:tc>
        <w:tc>
          <w:tcPr>
            <w:tcW w:w="672" w:type="dxa"/>
            <w:vAlign w:val="center"/>
          </w:tcPr>
          <w:p>
            <w:pPr>
              <w:pStyle w:val="112"/>
              <w:rPr>
                <w:sz w:val="18"/>
                <w:szCs w:val="18"/>
              </w:rPr>
            </w:pPr>
            <w:r>
              <w:rPr>
                <w:rFonts w:hint="eastAsia"/>
                <w:sz w:val="18"/>
                <w:szCs w:val="18"/>
              </w:rPr>
              <w:t>无名小溪</w:t>
            </w:r>
            <w:r>
              <w:rPr>
                <w:sz w:val="18"/>
                <w:szCs w:val="18"/>
              </w:rPr>
              <w:t>2</w:t>
            </w:r>
          </w:p>
        </w:tc>
        <w:tc>
          <w:tcPr>
            <w:tcW w:w="1991" w:type="dxa"/>
            <w:vAlign w:val="center"/>
          </w:tcPr>
          <w:p>
            <w:pPr>
              <w:pStyle w:val="112"/>
              <w:rPr>
                <w:sz w:val="18"/>
                <w:szCs w:val="18"/>
              </w:rPr>
            </w:pPr>
            <w:r>
              <w:rPr>
                <w:rFonts w:hint="eastAsia"/>
                <w:sz w:val="18"/>
                <w:szCs w:val="18"/>
              </w:rPr>
              <w:t>范家屋场桥</w:t>
            </w:r>
          </w:p>
          <w:p>
            <w:pPr>
              <w:pStyle w:val="112"/>
              <w:rPr>
                <w:sz w:val="18"/>
                <w:szCs w:val="18"/>
              </w:rPr>
            </w:pPr>
            <w:r>
              <w:rPr>
                <w:rFonts w:hint="eastAsia"/>
                <w:sz w:val="18"/>
                <w:szCs w:val="18"/>
              </w:rPr>
              <w:t>本项目于</w:t>
            </w:r>
            <w:r>
              <w:rPr>
                <w:sz w:val="18"/>
                <w:szCs w:val="18"/>
              </w:rPr>
              <w:t>K2+330</w:t>
            </w:r>
            <w:r>
              <w:rPr>
                <w:rFonts w:hint="eastAsia"/>
                <w:sz w:val="18"/>
                <w:szCs w:val="18"/>
              </w:rPr>
              <w:t>处跨越该小溪，此桥梁为新建，桩结构不涉及水下桥墩施工</w:t>
            </w:r>
          </w:p>
        </w:tc>
        <w:tc>
          <w:tcPr>
            <w:tcW w:w="851" w:type="dxa"/>
            <w:vAlign w:val="center"/>
          </w:tcPr>
          <w:p>
            <w:pPr>
              <w:pStyle w:val="112"/>
              <w:rPr>
                <w:sz w:val="18"/>
                <w:szCs w:val="18"/>
              </w:rPr>
            </w:pPr>
            <w:r>
              <w:rPr>
                <w:rFonts w:hint="eastAsia"/>
                <w:kern w:val="2"/>
                <w:sz w:val="18"/>
                <w:szCs w:val="18"/>
              </w:rPr>
              <w:t>农田灌溉用水区</w:t>
            </w:r>
          </w:p>
        </w:tc>
        <w:tc>
          <w:tcPr>
            <w:tcW w:w="1135" w:type="dxa"/>
            <w:vAlign w:val="center"/>
          </w:tcPr>
          <w:p>
            <w:pPr>
              <w:pStyle w:val="112"/>
              <w:rPr>
                <w:kern w:val="2"/>
                <w:sz w:val="18"/>
                <w:szCs w:val="18"/>
              </w:rPr>
            </w:pPr>
            <w:r>
              <w:rPr>
                <w:rFonts w:hint="eastAsia"/>
                <w:sz w:val="18"/>
                <w:szCs w:val="18"/>
              </w:rPr>
              <w:t>小溪流，多年平均流量</w:t>
            </w:r>
            <w:r>
              <w:rPr>
                <w:sz w:val="18"/>
                <w:szCs w:val="18"/>
              </w:rPr>
              <w:t>0.8m</w:t>
            </w:r>
            <w:r>
              <w:rPr>
                <w:sz w:val="18"/>
                <w:szCs w:val="18"/>
                <w:vertAlign w:val="superscript"/>
              </w:rPr>
              <w:t>3</w:t>
            </w:r>
            <w:r>
              <w:rPr>
                <w:sz w:val="18"/>
                <w:szCs w:val="18"/>
              </w:rPr>
              <w:t>/s</w:t>
            </w:r>
            <w:r>
              <w:rPr>
                <w:rFonts w:hint="eastAsia"/>
                <w:sz w:val="18"/>
                <w:szCs w:val="18"/>
              </w:rPr>
              <w:t>，河流宽约</w:t>
            </w:r>
            <w:r>
              <w:rPr>
                <w:sz w:val="18"/>
                <w:szCs w:val="18"/>
              </w:rPr>
              <w:t>3.0~5.0m</w:t>
            </w:r>
            <w:r>
              <w:rPr>
                <w:rFonts w:hint="eastAsia"/>
                <w:sz w:val="18"/>
                <w:szCs w:val="18"/>
              </w:rPr>
              <w:t>，水深约</w:t>
            </w:r>
            <w:r>
              <w:rPr>
                <w:sz w:val="18"/>
                <w:szCs w:val="18"/>
              </w:rPr>
              <w:t>0.2~1.0m</w:t>
            </w:r>
          </w:p>
        </w:tc>
        <w:tc>
          <w:tcPr>
            <w:tcW w:w="1274" w:type="dxa"/>
            <w:vAlign w:val="center"/>
          </w:tcPr>
          <w:p>
            <w:pPr>
              <w:pStyle w:val="112"/>
              <w:rPr>
                <w:kern w:val="2"/>
                <w:sz w:val="18"/>
                <w:szCs w:val="18"/>
              </w:rPr>
            </w:pPr>
            <w:r>
              <w:rPr>
                <w:rFonts w:hint="eastAsia"/>
                <w:kern w:val="2"/>
                <w:sz w:val="18"/>
                <w:szCs w:val="18"/>
              </w:rPr>
              <w:t>《地表水环境质量标准》（</w:t>
            </w:r>
            <w:r>
              <w:rPr>
                <w:kern w:val="2"/>
                <w:sz w:val="18"/>
                <w:szCs w:val="18"/>
              </w:rPr>
              <w:t>GB3838-2002</w:t>
            </w:r>
            <w:r>
              <w:rPr>
                <w:rFonts w:hint="eastAsia"/>
                <w:kern w:val="2"/>
                <w:sz w:val="18"/>
                <w:szCs w:val="18"/>
              </w:rPr>
              <w:t>）Ⅲ类标准</w:t>
            </w:r>
          </w:p>
        </w:tc>
        <w:tc>
          <w:tcPr>
            <w:tcW w:w="2942" w:type="dxa"/>
            <w:vAlign w:val="center"/>
          </w:tcPr>
          <w:p>
            <w:pPr>
              <w:pStyle w:val="112"/>
              <w:ind w:left="31680" w:leftChars="-54" w:right="31680" w:rightChars="-71"/>
              <w:rPr>
                <w:kern w:val="2"/>
                <w:sz w:val="18"/>
                <w:szCs w:val="18"/>
              </w:rPr>
            </w:pPr>
            <w:r>
              <w:rPr>
                <w:kern w:val="2"/>
                <w:sz w:val="18"/>
                <w:szCs w:val="18"/>
              </w:rPr>
              <w:pict>
                <v:shape id="_x0000_i1027" o:spt="75" alt="mmexport1484102598781" type="#_x0000_t75" style="height:98.75pt;width:130.9pt;" filled="f" o:preferrelative="t" stroked="f" coordsize="21600,21600">
                  <v:path/>
                  <v:fill on="f" focussize="0,0"/>
                  <v:stroke on="f"/>
                  <v:imagedata r:id="rId17"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8" w:hRule="atLeast"/>
          <w:jc w:val="center"/>
        </w:trPr>
        <w:tc>
          <w:tcPr>
            <w:tcW w:w="422" w:type="dxa"/>
            <w:vAlign w:val="center"/>
          </w:tcPr>
          <w:p>
            <w:pPr>
              <w:pStyle w:val="259"/>
              <w:adjustRightInd w:val="0"/>
              <w:snapToGrid w:val="0"/>
              <w:rPr>
                <w:sz w:val="18"/>
                <w:szCs w:val="18"/>
              </w:rPr>
            </w:pPr>
            <w:r>
              <w:rPr>
                <w:sz w:val="18"/>
                <w:szCs w:val="18"/>
              </w:rPr>
              <w:t>3</w:t>
            </w:r>
          </w:p>
        </w:tc>
        <w:tc>
          <w:tcPr>
            <w:tcW w:w="672" w:type="dxa"/>
            <w:vAlign w:val="center"/>
          </w:tcPr>
          <w:p>
            <w:pPr>
              <w:pStyle w:val="112"/>
              <w:rPr>
                <w:color w:val="auto"/>
                <w:sz w:val="18"/>
                <w:szCs w:val="18"/>
              </w:rPr>
            </w:pPr>
            <w:r>
              <w:rPr>
                <w:rFonts w:hint="eastAsia"/>
                <w:color w:val="auto"/>
                <w:sz w:val="18"/>
                <w:szCs w:val="18"/>
              </w:rPr>
              <w:t>大里塘水库</w:t>
            </w:r>
          </w:p>
        </w:tc>
        <w:tc>
          <w:tcPr>
            <w:tcW w:w="1991" w:type="dxa"/>
            <w:vAlign w:val="center"/>
          </w:tcPr>
          <w:p>
            <w:pPr>
              <w:pStyle w:val="112"/>
              <w:rPr>
                <w:color w:val="auto"/>
                <w:sz w:val="18"/>
                <w:szCs w:val="18"/>
              </w:rPr>
            </w:pPr>
            <w:r>
              <w:rPr>
                <w:rFonts w:hint="eastAsia"/>
                <w:color w:val="auto"/>
                <w:sz w:val="18"/>
                <w:szCs w:val="18"/>
              </w:rPr>
              <w:t>本项目终点桩号为</w:t>
            </w:r>
            <w:r>
              <w:rPr>
                <w:color w:val="auto"/>
                <w:sz w:val="18"/>
                <w:szCs w:val="18"/>
              </w:rPr>
              <w:t>K8+369</w:t>
            </w:r>
            <w:r>
              <w:rPr>
                <w:rFonts w:hint="eastAsia"/>
                <w:color w:val="auto"/>
                <w:sz w:val="18"/>
                <w:szCs w:val="18"/>
              </w:rPr>
              <w:t>处西边距离大里塘水库正常水位线最小距离</w:t>
            </w:r>
            <w:r>
              <w:rPr>
                <w:color w:val="auto"/>
                <w:sz w:val="18"/>
                <w:szCs w:val="18"/>
              </w:rPr>
              <w:t>93m</w:t>
            </w:r>
            <w:r>
              <w:rPr>
                <w:rFonts w:hint="eastAsia"/>
                <w:color w:val="auto"/>
                <w:sz w:val="18"/>
                <w:szCs w:val="18"/>
              </w:rPr>
              <w:t>。</w:t>
            </w:r>
          </w:p>
        </w:tc>
        <w:tc>
          <w:tcPr>
            <w:tcW w:w="851" w:type="dxa"/>
            <w:vAlign w:val="center"/>
          </w:tcPr>
          <w:p>
            <w:pPr>
              <w:pStyle w:val="112"/>
              <w:rPr>
                <w:kern w:val="2"/>
                <w:sz w:val="18"/>
                <w:szCs w:val="18"/>
              </w:rPr>
            </w:pPr>
            <w:r>
              <w:rPr>
                <w:rFonts w:hint="eastAsia"/>
                <w:kern w:val="2"/>
                <w:sz w:val="18"/>
                <w:szCs w:val="18"/>
              </w:rPr>
              <w:t>饮用水源一级保护区</w:t>
            </w:r>
          </w:p>
        </w:tc>
        <w:tc>
          <w:tcPr>
            <w:tcW w:w="1135" w:type="dxa"/>
            <w:vAlign w:val="center"/>
          </w:tcPr>
          <w:p>
            <w:pPr>
              <w:pStyle w:val="112"/>
              <w:rPr>
                <w:kern w:val="2"/>
                <w:sz w:val="18"/>
                <w:szCs w:val="18"/>
              </w:rPr>
            </w:pPr>
            <w:r>
              <w:rPr>
                <w:rFonts w:hint="eastAsia"/>
                <w:kern w:val="2"/>
                <w:sz w:val="18"/>
                <w:szCs w:val="18"/>
              </w:rPr>
              <w:t>集雨面积</w:t>
            </w:r>
            <w:r>
              <w:rPr>
                <w:kern w:val="2"/>
                <w:sz w:val="18"/>
                <w:szCs w:val="18"/>
              </w:rPr>
              <w:t>4.1km</w:t>
            </w:r>
            <w:r>
              <w:rPr>
                <w:kern w:val="2"/>
                <w:sz w:val="18"/>
                <w:szCs w:val="18"/>
                <w:vertAlign w:val="superscript"/>
              </w:rPr>
              <w:t>2</w:t>
            </w:r>
            <w:r>
              <w:rPr>
                <w:rFonts w:hint="eastAsia"/>
                <w:kern w:val="2"/>
                <w:sz w:val="18"/>
                <w:szCs w:val="18"/>
              </w:rPr>
              <w:t>，总库容</w:t>
            </w:r>
            <w:r>
              <w:rPr>
                <w:kern w:val="2"/>
                <w:sz w:val="18"/>
                <w:szCs w:val="18"/>
              </w:rPr>
              <w:t>266</w:t>
            </w:r>
            <w:r>
              <w:rPr>
                <w:rFonts w:hint="eastAsia"/>
                <w:kern w:val="2"/>
                <w:sz w:val="18"/>
                <w:szCs w:val="18"/>
              </w:rPr>
              <w:t>万</w:t>
            </w:r>
            <w:r>
              <w:rPr>
                <w:kern w:val="2"/>
                <w:sz w:val="18"/>
                <w:szCs w:val="18"/>
              </w:rPr>
              <w:t>m</w:t>
            </w:r>
            <w:r>
              <w:rPr>
                <w:kern w:val="2"/>
                <w:sz w:val="18"/>
                <w:szCs w:val="18"/>
                <w:vertAlign w:val="superscript"/>
              </w:rPr>
              <w:t>3</w:t>
            </w:r>
            <w:r>
              <w:rPr>
                <w:rFonts w:hint="eastAsia"/>
                <w:kern w:val="2"/>
                <w:sz w:val="18"/>
                <w:szCs w:val="18"/>
              </w:rPr>
              <w:t>，正常蓄水位</w:t>
            </w:r>
            <w:r>
              <w:rPr>
                <w:kern w:val="2"/>
                <w:sz w:val="18"/>
                <w:szCs w:val="18"/>
              </w:rPr>
              <w:t>78.0m</w:t>
            </w:r>
            <w:r>
              <w:rPr>
                <w:rFonts w:hint="eastAsia"/>
                <w:kern w:val="2"/>
                <w:sz w:val="18"/>
                <w:szCs w:val="18"/>
              </w:rPr>
              <w:t>，正常库容</w:t>
            </w:r>
            <w:r>
              <w:rPr>
                <w:kern w:val="2"/>
                <w:sz w:val="18"/>
                <w:szCs w:val="18"/>
              </w:rPr>
              <w:t>198</w:t>
            </w:r>
            <w:r>
              <w:rPr>
                <w:rFonts w:hint="eastAsia"/>
                <w:kern w:val="2"/>
                <w:sz w:val="18"/>
                <w:szCs w:val="18"/>
              </w:rPr>
              <w:t>万</w:t>
            </w:r>
            <w:r>
              <w:rPr>
                <w:kern w:val="2"/>
                <w:sz w:val="18"/>
                <w:szCs w:val="18"/>
              </w:rPr>
              <w:t>m</w:t>
            </w:r>
            <w:r>
              <w:rPr>
                <w:kern w:val="2"/>
                <w:sz w:val="18"/>
                <w:szCs w:val="18"/>
                <w:vertAlign w:val="superscript"/>
              </w:rPr>
              <w:t>3</w:t>
            </w:r>
          </w:p>
        </w:tc>
        <w:tc>
          <w:tcPr>
            <w:tcW w:w="1274" w:type="dxa"/>
            <w:vAlign w:val="center"/>
          </w:tcPr>
          <w:p>
            <w:pPr>
              <w:pStyle w:val="112"/>
              <w:rPr>
                <w:kern w:val="2"/>
                <w:sz w:val="18"/>
                <w:szCs w:val="18"/>
              </w:rPr>
            </w:pPr>
            <w:r>
              <w:rPr>
                <w:rFonts w:hint="eastAsia"/>
                <w:kern w:val="2"/>
                <w:sz w:val="18"/>
                <w:szCs w:val="18"/>
              </w:rPr>
              <w:t>《地表水环境质量标准》（</w:t>
            </w:r>
            <w:r>
              <w:rPr>
                <w:kern w:val="2"/>
                <w:sz w:val="18"/>
                <w:szCs w:val="18"/>
              </w:rPr>
              <w:t>GB3838-2002</w:t>
            </w:r>
            <w:r>
              <w:rPr>
                <w:rFonts w:hint="eastAsia"/>
                <w:kern w:val="2"/>
                <w:sz w:val="18"/>
                <w:szCs w:val="18"/>
              </w:rPr>
              <w:t>）Ⅱ类标准</w:t>
            </w:r>
          </w:p>
        </w:tc>
        <w:tc>
          <w:tcPr>
            <w:tcW w:w="2942" w:type="dxa"/>
            <w:vAlign w:val="center"/>
          </w:tcPr>
          <w:p>
            <w:pPr>
              <w:pStyle w:val="112"/>
              <w:ind w:left="31680" w:leftChars="-54" w:right="31680" w:rightChars="-71"/>
              <w:rPr>
                <w:kern w:val="2"/>
                <w:sz w:val="18"/>
                <w:szCs w:val="18"/>
              </w:rPr>
            </w:pPr>
            <w:r>
              <w:pict>
                <v:line id="_x0000_s1026" o:spid="_x0000_s1026" o:spt="20" style="position:absolute;left:0pt;margin-left:113.8pt;margin-top:29.5pt;height:11.5pt;width:28.25pt;z-index:251652096;mso-width-relative:page;mso-height-relative:page;" filled="t" stroked="t" coordsize="21600,21600">
                  <v:path arrowok="t"/>
                  <v:fill on="t" focussize="0,0"/>
                  <v:stroke weight="2.25pt" color="#FFFF00" endarrow="open"/>
                  <v:imagedata o:title=""/>
                  <o:lock v:ext="edit"/>
                </v:line>
              </w:pict>
            </w:r>
            <w:r>
              <w:rPr>
                <w:kern w:val="2"/>
                <w:sz w:val="18"/>
                <w:szCs w:val="18"/>
              </w:rPr>
              <w:pict>
                <v:shape id="_x0000_i1028" o:spt="75" alt="20170110_132340" type="#_x0000_t75" style="height:143.25pt;width:101.25pt;rotation:5898240f;" filled="f" o:preferrelative="t" stroked="f" coordsize="21600,21600">
                  <v:path/>
                  <v:fill on="f" focussize="0,0"/>
                  <v:stroke on="f" joinstyle="miter"/>
                  <v:imagedata r:id="rId18" cropleft="14669f" cropright="7663f"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4" w:hRule="atLeast"/>
          <w:jc w:val="center"/>
        </w:trPr>
        <w:tc>
          <w:tcPr>
            <w:tcW w:w="422" w:type="dxa"/>
            <w:vAlign w:val="center"/>
          </w:tcPr>
          <w:p>
            <w:pPr>
              <w:pStyle w:val="259"/>
              <w:adjustRightInd w:val="0"/>
              <w:snapToGrid w:val="0"/>
              <w:rPr>
                <w:sz w:val="18"/>
                <w:szCs w:val="18"/>
                <w:u w:val="single"/>
              </w:rPr>
            </w:pPr>
            <w:r>
              <w:rPr>
                <w:sz w:val="18"/>
                <w:szCs w:val="18"/>
                <w:u w:val="single"/>
              </w:rPr>
              <w:t>4</w:t>
            </w:r>
          </w:p>
        </w:tc>
        <w:tc>
          <w:tcPr>
            <w:tcW w:w="2663" w:type="dxa"/>
            <w:gridSpan w:val="2"/>
            <w:vAlign w:val="center"/>
          </w:tcPr>
          <w:p>
            <w:pPr>
              <w:pStyle w:val="112"/>
              <w:rPr>
                <w:sz w:val="18"/>
                <w:szCs w:val="18"/>
                <w:u w:val="single"/>
              </w:rPr>
            </w:pPr>
            <w:r>
              <w:rPr>
                <w:rFonts w:hint="eastAsia"/>
                <w:sz w:val="18"/>
                <w:szCs w:val="18"/>
                <w:u w:val="single"/>
              </w:rPr>
              <w:t>沿线水库、水塘、鱼塘</w:t>
            </w:r>
            <w:r>
              <w:rPr>
                <w:rFonts w:hint="eastAsia"/>
                <w:sz w:val="18"/>
                <w:szCs w:val="18"/>
                <w:u w:val="single"/>
                <w:lang w:eastAsia="zh-CN"/>
              </w:rPr>
              <w:t>、</w:t>
            </w:r>
            <w:r>
              <w:rPr>
                <w:rFonts w:hint="eastAsia"/>
                <w:sz w:val="18"/>
                <w:szCs w:val="18"/>
                <w:u w:val="single"/>
                <w:lang w:val="en-US" w:eastAsia="zh-CN"/>
              </w:rPr>
              <w:t>沟渠、湖泊</w:t>
            </w:r>
          </w:p>
        </w:tc>
        <w:tc>
          <w:tcPr>
            <w:tcW w:w="851" w:type="dxa"/>
            <w:vAlign w:val="center"/>
          </w:tcPr>
          <w:p>
            <w:pPr>
              <w:pStyle w:val="112"/>
              <w:rPr>
                <w:kern w:val="2"/>
                <w:sz w:val="18"/>
                <w:szCs w:val="18"/>
                <w:u w:val="single"/>
              </w:rPr>
            </w:pPr>
            <w:r>
              <w:rPr>
                <w:kern w:val="2"/>
                <w:sz w:val="18"/>
                <w:szCs w:val="18"/>
                <w:u w:val="single"/>
              </w:rPr>
              <w:t>/</w:t>
            </w:r>
          </w:p>
        </w:tc>
        <w:tc>
          <w:tcPr>
            <w:tcW w:w="1135" w:type="dxa"/>
            <w:vAlign w:val="center"/>
          </w:tcPr>
          <w:p>
            <w:pPr>
              <w:pStyle w:val="112"/>
              <w:rPr>
                <w:sz w:val="18"/>
                <w:szCs w:val="18"/>
                <w:u w:val="single"/>
              </w:rPr>
            </w:pPr>
            <w:r>
              <w:rPr>
                <w:sz w:val="18"/>
                <w:szCs w:val="18"/>
                <w:u w:val="single"/>
              </w:rPr>
              <w:t>/</w:t>
            </w:r>
          </w:p>
        </w:tc>
        <w:tc>
          <w:tcPr>
            <w:tcW w:w="1274" w:type="dxa"/>
            <w:vAlign w:val="center"/>
          </w:tcPr>
          <w:p>
            <w:pPr>
              <w:pStyle w:val="112"/>
              <w:rPr>
                <w:kern w:val="2"/>
                <w:sz w:val="18"/>
                <w:szCs w:val="18"/>
                <w:u w:val="single"/>
              </w:rPr>
            </w:pPr>
            <w:r>
              <w:rPr>
                <w:rFonts w:hint="eastAsia"/>
                <w:kern w:val="2"/>
                <w:sz w:val="18"/>
                <w:szCs w:val="18"/>
                <w:u w:val="single"/>
              </w:rPr>
              <w:t>《地表水环境质量标准》（</w:t>
            </w:r>
            <w:r>
              <w:rPr>
                <w:kern w:val="2"/>
                <w:sz w:val="18"/>
                <w:szCs w:val="18"/>
                <w:u w:val="single"/>
              </w:rPr>
              <w:t>GB3838-2002</w:t>
            </w:r>
            <w:r>
              <w:rPr>
                <w:rFonts w:hint="eastAsia"/>
                <w:kern w:val="2"/>
                <w:sz w:val="18"/>
                <w:szCs w:val="18"/>
                <w:u w:val="single"/>
              </w:rPr>
              <w:t>）Ⅲ类标准</w:t>
            </w:r>
            <w:r>
              <w:rPr>
                <w:rFonts w:hint="eastAsia" w:cs="宋体"/>
                <w:sz w:val="18"/>
                <w:szCs w:val="18"/>
                <w:u w:val="single"/>
              </w:rPr>
              <w:t>确保水体功能、水质不发生变化</w:t>
            </w:r>
          </w:p>
        </w:tc>
        <w:tc>
          <w:tcPr>
            <w:tcW w:w="2942" w:type="dxa"/>
            <w:vAlign w:val="center"/>
          </w:tcPr>
          <w:p>
            <w:pPr>
              <w:pStyle w:val="112"/>
              <w:ind w:left="31680" w:leftChars="-54" w:right="31680" w:rightChars="-71"/>
              <w:rPr>
                <w:kern w:val="2"/>
                <w:sz w:val="18"/>
                <w:szCs w:val="18"/>
              </w:rPr>
            </w:pPr>
            <w:r>
              <w:rPr>
                <w:kern w:val="2"/>
                <w:sz w:val="18"/>
                <w:szCs w:val="18"/>
              </w:rPr>
              <w:pict>
                <v:shape id="_x0000_i1029" o:spt="75" alt="白莲塘水库" type="#_x0000_t75" style="height:101.25pt;width:134.25pt;" filled="f" o:preferrelative="t" stroked="f" coordsize="21600,21600">
                  <v:path/>
                  <v:fill on="f" focussize="0,0"/>
                  <v:stroke on="f" joinstyle="miter"/>
                  <v:imagedata r:id="rId19"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9287" w:type="dxa"/>
            <w:gridSpan w:val="7"/>
            <w:vAlign w:val="center"/>
          </w:tcPr>
          <w:p>
            <w:pPr>
              <w:pStyle w:val="112"/>
              <w:ind w:left="31680" w:leftChars="-54" w:right="31680" w:rightChars="-71"/>
              <w:rPr>
                <w:sz w:val="18"/>
                <w:szCs w:val="18"/>
              </w:rPr>
            </w:pPr>
            <w:r>
              <w:rPr>
                <w:rFonts w:hint="eastAsia" w:ascii="宋体" w:hAnsi="宋体" w:cs="宋体"/>
                <w:bCs/>
                <w:sz w:val="18"/>
                <w:szCs w:val="18"/>
                <w:u w:val="single"/>
              </w:rPr>
              <w:t>备注：</w:t>
            </w:r>
            <w:r>
              <w:rPr>
                <w:rFonts w:hint="eastAsia" w:ascii="宋体" w:hAnsi="宋体" w:cs="宋体"/>
                <w:bCs/>
                <w:sz w:val="18"/>
                <w:szCs w:val="18"/>
                <w:u w:val="single"/>
                <w:lang w:val="en-US" w:eastAsia="zh-CN"/>
              </w:rPr>
              <w:t>本环评根据《饮用水源保护区划分技术规范》(HJ/T338-2007)划分大里塘水库饮用水源一级保护区范围为正常水位线以下的全部水域面积（小型湖泊、中型水库水域范围为取水口半径300米范围内的区域），湖泊、水库沿岸陆域一级保护区范围（小型湖泊、中型水库为取水口侧正常水位线以上200米范围内的陆域）。本项目大里塘水库暂未定取水口的具体方位，本环评建议取水口定为本项目公路的相反一侧。因此，本工程评价范围内项目终点距离大里塘水库为93m不在大里塘水库饮用水源一级保护区范围内。</w:t>
            </w:r>
          </w:p>
        </w:tc>
      </w:tr>
    </w:tbl>
    <w:p>
      <w:pPr>
        <w:pStyle w:val="5"/>
        <w:ind w:left="567" w:hanging="567"/>
      </w:pPr>
      <w:r>
        <w:rPr>
          <w:rFonts w:hint="eastAsia"/>
        </w:rPr>
        <w:t>社会环境保护目标</w:t>
      </w:r>
    </w:p>
    <w:p>
      <w:pPr>
        <w:pStyle w:val="3"/>
        <w:ind w:firstLine="31680"/>
      </w:pPr>
      <w:r>
        <w:rPr>
          <w:rFonts w:hint="eastAsia"/>
        </w:rPr>
        <w:t>项目沿线主要社会保护目标见表</w:t>
      </w:r>
      <w:r>
        <w:t>2.6-2</w:t>
      </w:r>
      <w:r>
        <w:rPr>
          <w:rFonts w:hint="eastAsia"/>
        </w:rPr>
        <w:t>。</w:t>
      </w:r>
    </w:p>
    <w:p>
      <w:pPr>
        <w:pStyle w:val="19"/>
        <w:jc w:val="center"/>
      </w:pPr>
      <w:r>
        <w:rPr>
          <w:rFonts w:hint="eastAsia"/>
        </w:rPr>
        <w:t>表</w:t>
      </w:r>
      <w:r>
        <w:t xml:space="preserve">2.6-2      </w:t>
      </w:r>
      <w:r>
        <w:rPr>
          <w:rFonts w:hint="eastAsia"/>
        </w:rPr>
        <w:t>社会环境保护目标</w:t>
      </w:r>
    </w:p>
    <w:tbl>
      <w:tblPr>
        <w:tblStyle w:val="65"/>
        <w:tblW w:w="9174"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20"/>
        <w:gridCol w:w="2870"/>
        <w:gridCol w:w="2655"/>
        <w:gridCol w:w="302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blHeader/>
          <w:jc w:val="center"/>
        </w:trPr>
        <w:tc>
          <w:tcPr>
            <w:tcW w:w="620" w:type="dxa"/>
            <w:vAlign w:val="center"/>
          </w:tcPr>
          <w:p>
            <w:pPr>
              <w:pStyle w:val="112"/>
              <w:rPr>
                <w:kern w:val="2"/>
                <w:sz w:val="18"/>
                <w:szCs w:val="18"/>
              </w:rPr>
            </w:pPr>
            <w:r>
              <w:rPr>
                <w:rFonts w:hint="eastAsia" w:hAnsi="宋体"/>
                <w:kern w:val="2"/>
                <w:sz w:val="18"/>
                <w:szCs w:val="18"/>
              </w:rPr>
              <w:t>编号</w:t>
            </w:r>
          </w:p>
        </w:tc>
        <w:tc>
          <w:tcPr>
            <w:tcW w:w="2870" w:type="dxa"/>
            <w:vAlign w:val="center"/>
          </w:tcPr>
          <w:p>
            <w:pPr>
              <w:pStyle w:val="112"/>
              <w:rPr>
                <w:kern w:val="2"/>
                <w:sz w:val="18"/>
                <w:szCs w:val="18"/>
              </w:rPr>
            </w:pPr>
            <w:r>
              <w:rPr>
                <w:rFonts w:hint="eastAsia" w:hAnsi="宋体"/>
                <w:kern w:val="2"/>
                <w:sz w:val="18"/>
                <w:szCs w:val="18"/>
              </w:rPr>
              <w:t>主要保护对象</w:t>
            </w:r>
          </w:p>
        </w:tc>
        <w:tc>
          <w:tcPr>
            <w:tcW w:w="2655" w:type="dxa"/>
            <w:vAlign w:val="center"/>
          </w:tcPr>
          <w:p>
            <w:pPr>
              <w:pStyle w:val="112"/>
              <w:rPr>
                <w:kern w:val="2"/>
                <w:sz w:val="18"/>
                <w:szCs w:val="18"/>
              </w:rPr>
            </w:pPr>
            <w:r>
              <w:rPr>
                <w:rFonts w:hint="eastAsia" w:hAnsi="宋体"/>
                <w:kern w:val="2"/>
                <w:sz w:val="18"/>
                <w:szCs w:val="18"/>
              </w:rPr>
              <w:t>影响因素</w:t>
            </w:r>
          </w:p>
        </w:tc>
        <w:tc>
          <w:tcPr>
            <w:tcW w:w="3029" w:type="dxa"/>
            <w:vAlign w:val="center"/>
          </w:tcPr>
          <w:p>
            <w:pPr>
              <w:pStyle w:val="112"/>
              <w:rPr>
                <w:kern w:val="2"/>
                <w:sz w:val="18"/>
                <w:szCs w:val="18"/>
              </w:rPr>
            </w:pPr>
            <w:r>
              <w:rPr>
                <w:rFonts w:hint="eastAsia" w:hAnsi="宋体"/>
                <w:kern w:val="2"/>
                <w:sz w:val="18"/>
                <w:szCs w:val="18"/>
              </w:rPr>
              <w:t>保护要求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620" w:type="dxa"/>
            <w:vAlign w:val="center"/>
          </w:tcPr>
          <w:p>
            <w:pPr>
              <w:pStyle w:val="112"/>
              <w:rPr>
                <w:kern w:val="2"/>
                <w:sz w:val="18"/>
                <w:szCs w:val="18"/>
              </w:rPr>
            </w:pPr>
            <w:r>
              <w:rPr>
                <w:kern w:val="2"/>
                <w:sz w:val="18"/>
                <w:szCs w:val="18"/>
              </w:rPr>
              <w:t>1</w:t>
            </w:r>
          </w:p>
        </w:tc>
        <w:tc>
          <w:tcPr>
            <w:tcW w:w="2870" w:type="dxa"/>
            <w:vAlign w:val="center"/>
          </w:tcPr>
          <w:p>
            <w:pPr>
              <w:pStyle w:val="112"/>
              <w:rPr>
                <w:kern w:val="2"/>
                <w:sz w:val="18"/>
                <w:szCs w:val="18"/>
              </w:rPr>
            </w:pPr>
            <w:r>
              <w:rPr>
                <w:rFonts w:hint="eastAsia" w:hAnsi="宋体"/>
                <w:kern w:val="2"/>
                <w:sz w:val="18"/>
                <w:szCs w:val="18"/>
              </w:rPr>
              <w:t>征地拆迁户</w:t>
            </w:r>
          </w:p>
        </w:tc>
        <w:tc>
          <w:tcPr>
            <w:tcW w:w="2655" w:type="dxa"/>
            <w:vAlign w:val="center"/>
          </w:tcPr>
          <w:p>
            <w:pPr>
              <w:pStyle w:val="112"/>
              <w:rPr>
                <w:kern w:val="2"/>
                <w:sz w:val="18"/>
                <w:szCs w:val="18"/>
              </w:rPr>
            </w:pPr>
            <w:r>
              <w:rPr>
                <w:rFonts w:hint="eastAsia" w:hAnsi="宋体"/>
                <w:kern w:val="2"/>
                <w:sz w:val="18"/>
                <w:szCs w:val="18"/>
              </w:rPr>
              <w:t>居民生活质量受工程拆迁的影响</w:t>
            </w:r>
          </w:p>
        </w:tc>
        <w:tc>
          <w:tcPr>
            <w:tcW w:w="3029" w:type="dxa"/>
            <w:vAlign w:val="center"/>
          </w:tcPr>
          <w:p>
            <w:pPr>
              <w:pStyle w:val="112"/>
              <w:rPr>
                <w:kern w:val="2"/>
                <w:sz w:val="18"/>
                <w:szCs w:val="18"/>
              </w:rPr>
            </w:pPr>
            <w:r>
              <w:rPr>
                <w:rFonts w:hint="eastAsia" w:hAnsi="宋体"/>
                <w:kern w:val="2"/>
                <w:sz w:val="18"/>
                <w:szCs w:val="18"/>
              </w:rPr>
              <w:t>做好拆迁安置，及时、妥善安置拆迁住户，不降低拆迁居民的生活质量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620" w:type="dxa"/>
            <w:vAlign w:val="center"/>
          </w:tcPr>
          <w:p>
            <w:pPr>
              <w:pStyle w:val="112"/>
              <w:rPr>
                <w:kern w:val="2"/>
                <w:sz w:val="18"/>
                <w:szCs w:val="18"/>
              </w:rPr>
            </w:pPr>
            <w:r>
              <w:rPr>
                <w:kern w:val="2"/>
                <w:sz w:val="18"/>
                <w:szCs w:val="18"/>
              </w:rPr>
              <w:t>2</w:t>
            </w:r>
          </w:p>
        </w:tc>
        <w:tc>
          <w:tcPr>
            <w:tcW w:w="2870" w:type="dxa"/>
            <w:vAlign w:val="center"/>
          </w:tcPr>
          <w:p>
            <w:pPr>
              <w:pStyle w:val="112"/>
              <w:rPr>
                <w:rFonts w:hAnsi="宋体"/>
                <w:kern w:val="2"/>
                <w:sz w:val="18"/>
                <w:szCs w:val="18"/>
              </w:rPr>
            </w:pPr>
            <w:r>
              <w:rPr>
                <w:rFonts w:hint="eastAsia" w:hAnsi="宋体"/>
                <w:kern w:val="2"/>
                <w:sz w:val="18"/>
                <w:szCs w:val="18"/>
              </w:rPr>
              <w:t>公路沿线村庄、社区</w:t>
            </w:r>
          </w:p>
        </w:tc>
        <w:tc>
          <w:tcPr>
            <w:tcW w:w="2655" w:type="dxa"/>
            <w:vAlign w:val="center"/>
          </w:tcPr>
          <w:p>
            <w:pPr>
              <w:pStyle w:val="112"/>
              <w:rPr>
                <w:rFonts w:hAnsi="宋体"/>
                <w:kern w:val="2"/>
                <w:sz w:val="18"/>
                <w:szCs w:val="18"/>
              </w:rPr>
            </w:pPr>
            <w:r>
              <w:rPr>
                <w:rFonts w:hint="eastAsia" w:hAnsi="宋体"/>
                <w:kern w:val="2"/>
                <w:sz w:val="18"/>
                <w:szCs w:val="18"/>
              </w:rPr>
              <w:t>工程施工产生的施工扬尘、汽车尾气等</w:t>
            </w:r>
          </w:p>
        </w:tc>
        <w:tc>
          <w:tcPr>
            <w:tcW w:w="3029" w:type="dxa"/>
            <w:vAlign w:val="center"/>
          </w:tcPr>
          <w:p>
            <w:pPr>
              <w:pStyle w:val="112"/>
              <w:rPr>
                <w:rFonts w:hAnsi="宋体"/>
                <w:kern w:val="2"/>
                <w:sz w:val="18"/>
                <w:szCs w:val="18"/>
              </w:rPr>
            </w:pPr>
            <w:r>
              <w:rPr>
                <w:rFonts w:hint="eastAsia" w:hAnsi="宋体"/>
                <w:kern w:val="2"/>
                <w:sz w:val="18"/>
                <w:szCs w:val="18"/>
              </w:rPr>
              <w:t>尽量采取措施，减少施工扬尘及汽车尾气所带来的影响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743" w:hRule="atLeast"/>
          <w:jc w:val="center"/>
        </w:trPr>
        <w:tc>
          <w:tcPr>
            <w:tcW w:w="620" w:type="dxa"/>
            <w:vAlign w:val="center"/>
          </w:tcPr>
          <w:p>
            <w:pPr>
              <w:pStyle w:val="112"/>
              <w:rPr>
                <w:kern w:val="2"/>
                <w:sz w:val="18"/>
                <w:szCs w:val="18"/>
              </w:rPr>
            </w:pPr>
            <w:r>
              <w:rPr>
                <w:kern w:val="2"/>
                <w:sz w:val="18"/>
                <w:szCs w:val="18"/>
              </w:rPr>
              <w:t>3</w:t>
            </w:r>
          </w:p>
        </w:tc>
        <w:tc>
          <w:tcPr>
            <w:tcW w:w="2870" w:type="dxa"/>
            <w:vAlign w:val="center"/>
          </w:tcPr>
          <w:p>
            <w:pPr>
              <w:pStyle w:val="112"/>
              <w:rPr>
                <w:kern w:val="2"/>
                <w:sz w:val="18"/>
                <w:szCs w:val="18"/>
              </w:rPr>
            </w:pPr>
            <w:r>
              <w:rPr>
                <w:rFonts w:hint="eastAsia" w:hAnsi="宋体"/>
                <w:kern w:val="2"/>
                <w:sz w:val="18"/>
                <w:szCs w:val="18"/>
              </w:rPr>
              <w:t>公路沿线的城镇发展规划及土地利用</w:t>
            </w:r>
          </w:p>
        </w:tc>
        <w:tc>
          <w:tcPr>
            <w:tcW w:w="2655" w:type="dxa"/>
            <w:vAlign w:val="center"/>
          </w:tcPr>
          <w:p>
            <w:pPr>
              <w:pStyle w:val="112"/>
              <w:rPr>
                <w:kern w:val="2"/>
                <w:sz w:val="18"/>
                <w:szCs w:val="18"/>
              </w:rPr>
            </w:pPr>
            <w:r>
              <w:rPr>
                <w:rFonts w:hint="eastAsia" w:hAnsi="宋体"/>
                <w:kern w:val="2"/>
                <w:sz w:val="18"/>
                <w:szCs w:val="18"/>
              </w:rPr>
              <w:t>项目选址及走线与城镇规划的符合性和对土地利用的影响</w:t>
            </w:r>
          </w:p>
        </w:tc>
        <w:tc>
          <w:tcPr>
            <w:tcW w:w="3029" w:type="dxa"/>
            <w:vAlign w:val="center"/>
          </w:tcPr>
          <w:p>
            <w:pPr>
              <w:pStyle w:val="112"/>
              <w:rPr>
                <w:kern w:val="2"/>
                <w:sz w:val="18"/>
                <w:szCs w:val="18"/>
              </w:rPr>
            </w:pPr>
            <w:r>
              <w:rPr>
                <w:rFonts w:hint="eastAsia" w:hAnsi="宋体"/>
                <w:kern w:val="2"/>
                <w:sz w:val="18"/>
                <w:szCs w:val="18"/>
              </w:rPr>
              <w:t>尽量减少对耕地、林地的占用，确保项目建设与城镇发展与土地利用规划相符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620" w:type="dxa"/>
            <w:vAlign w:val="center"/>
          </w:tcPr>
          <w:p>
            <w:pPr>
              <w:pStyle w:val="112"/>
              <w:rPr>
                <w:kern w:val="2"/>
                <w:sz w:val="18"/>
                <w:szCs w:val="18"/>
              </w:rPr>
            </w:pPr>
            <w:r>
              <w:rPr>
                <w:kern w:val="2"/>
                <w:sz w:val="18"/>
                <w:szCs w:val="18"/>
              </w:rPr>
              <w:t>4</w:t>
            </w:r>
          </w:p>
        </w:tc>
        <w:tc>
          <w:tcPr>
            <w:tcW w:w="2870" w:type="dxa"/>
            <w:vAlign w:val="center"/>
          </w:tcPr>
          <w:p>
            <w:pPr>
              <w:pStyle w:val="112"/>
              <w:rPr>
                <w:kern w:val="2"/>
                <w:sz w:val="18"/>
                <w:szCs w:val="18"/>
              </w:rPr>
            </w:pPr>
            <w:r>
              <w:rPr>
                <w:rFonts w:hint="eastAsia"/>
                <w:kern w:val="2"/>
                <w:sz w:val="18"/>
                <w:szCs w:val="18"/>
              </w:rPr>
              <w:t>其余沿线乡村道路</w:t>
            </w:r>
          </w:p>
        </w:tc>
        <w:tc>
          <w:tcPr>
            <w:tcW w:w="2655" w:type="dxa"/>
            <w:vAlign w:val="center"/>
          </w:tcPr>
          <w:p>
            <w:pPr>
              <w:pStyle w:val="112"/>
              <w:rPr>
                <w:rFonts w:hAnsi="宋体"/>
                <w:kern w:val="2"/>
                <w:sz w:val="18"/>
                <w:szCs w:val="18"/>
              </w:rPr>
            </w:pPr>
            <w:r>
              <w:rPr>
                <w:rFonts w:hint="eastAsia" w:hAnsi="宋体"/>
                <w:kern w:val="2"/>
                <w:sz w:val="18"/>
                <w:szCs w:val="18"/>
              </w:rPr>
              <w:t>本工程与</w:t>
            </w:r>
            <w:r>
              <w:rPr>
                <w:rFonts w:hint="eastAsia"/>
                <w:kern w:val="2"/>
                <w:sz w:val="18"/>
                <w:szCs w:val="18"/>
              </w:rPr>
              <w:t>沿线乡村道路</w:t>
            </w:r>
            <w:r>
              <w:rPr>
                <w:rFonts w:hint="eastAsia" w:hAnsi="宋体"/>
                <w:kern w:val="2"/>
                <w:sz w:val="18"/>
                <w:szCs w:val="18"/>
              </w:rPr>
              <w:t>相交</w:t>
            </w:r>
            <w:r>
              <w:rPr>
                <w:rFonts w:hAnsi="宋体"/>
                <w:kern w:val="2"/>
                <w:sz w:val="18"/>
                <w:szCs w:val="18"/>
              </w:rPr>
              <w:t>6</w:t>
            </w:r>
            <w:r>
              <w:rPr>
                <w:rFonts w:hint="eastAsia" w:hAnsi="宋体"/>
                <w:kern w:val="2"/>
                <w:sz w:val="18"/>
                <w:szCs w:val="18"/>
              </w:rPr>
              <w:t>次，均为平面交叉。</w:t>
            </w:r>
          </w:p>
        </w:tc>
        <w:tc>
          <w:tcPr>
            <w:tcW w:w="3029" w:type="dxa"/>
            <w:vAlign w:val="center"/>
          </w:tcPr>
          <w:p>
            <w:pPr>
              <w:pStyle w:val="112"/>
              <w:rPr>
                <w:rFonts w:hAnsi="宋体"/>
                <w:kern w:val="2"/>
                <w:sz w:val="18"/>
                <w:szCs w:val="18"/>
              </w:rPr>
            </w:pPr>
            <w:r>
              <w:rPr>
                <w:rFonts w:hint="eastAsia" w:hAnsi="宋体"/>
                <w:kern w:val="2"/>
                <w:sz w:val="18"/>
                <w:szCs w:val="18"/>
              </w:rPr>
              <w:t>合理安排施工时段，加强管理，确保工程建设不对</w:t>
            </w:r>
            <w:r>
              <w:rPr>
                <w:rFonts w:hint="eastAsia"/>
                <w:kern w:val="2"/>
                <w:sz w:val="18"/>
                <w:szCs w:val="18"/>
              </w:rPr>
              <w:t>沿线乡村道路</w:t>
            </w:r>
            <w:r>
              <w:rPr>
                <w:rFonts w:hint="eastAsia" w:hAnsi="宋体"/>
                <w:kern w:val="2"/>
                <w:sz w:val="18"/>
                <w:szCs w:val="18"/>
              </w:rPr>
              <w:t>的正常交通运行造成阻隔影响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620" w:type="dxa"/>
            <w:vAlign w:val="center"/>
          </w:tcPr>
          <w:p>
            <w:pPr>
              <w:pStyle w:val="112"/>
              <w:rPr>
                <w:kern w:val="2"/>
                <w:sz w:val="18"/>
                <w:szCs w:val="18"/>
                <w:u w:val="single"/>
              </w:rPr>
            </w:pPr>
            <w:r>
              <w:rPr>
                <w:kern w:val="2"/>
                <w:sz w:val="18"/>
                <w:szCs w:val="18"/>
                <w:u w:val="single"/>
              </w:rPr>
              <w:t>5</w:t>
            </w:r>
          </w:p>
        </w:tc>
        <w:tc>
          <w:tcPr>
            <w:tcW w:w="2870" w:type="dxa"/>
            <w:vAlign w:val="center"/>
          </w:tcPr>
          <w:p>
            <w:pPr>
              <w:pStyle w:val="112"/>
              <w:rPr>
                <w:sz w:val="18"/>
                <w:szCs w:val="18"/>
                <w:u w:val="single"/>
              </w:rPr>
            </w:pPr>
            <w:r>
              <w:rPr>
                <w:rFonts w:hint="eastAsia"/>
                <w:sz w:val="18"/>
                <w:szCs w:val="18"/>
                <w:u w:val="single"/>
              </w:rPr>
              <w:t>沿线农灌区及灌溉沟渠等水利设施、电力设施、通讯设施等基础设施</w:t>
            </w:r>
          </w:p>
        </w:tc>
        <w:tc>
          <w:tcPr>
            <w:tcW w:w="2655" w:type="dxa"/>
            <w:vAlign w:val="center"/>
          </w:tcPr>
          <w:p>
            <w:pPr>
              <w:pStyle w:val="112"/>
              <w:jc w:val="both"/>
              <w:rPr>
                <w:sz w:val="18"/>
                <w:szCs w:val="18"/>
                <w:u w:val="single"/>
              </w:rPr>
            </w:pPr>
            <w:r>
              <w:rPr>
                <w:rFonts w:hint="eastAsia"/>
                <w:sz w:val="18"/>
                <w:szCs w:val="18"/>
                <w:u w:val="single"/>
              </w:rPr>
              <w:t>工程施工可能对其造成一定程度的破坏影响</w:t>
            </w:r>
          </w:p>
        </w:tc>
        <w:tc>
          <w:tcPr>
            <w:tcW w:w="3029" w:type="dxa"/>
            <w:vAlign w:val="center"/>
          </w:tcPr>
          <w:p>
            <w:pPr>
              <w:pStyle w:val="112"/>
              <w:jc w:val="both"/>
              <w:rPr>
                <w:sz w:val="18"/>
                <w:szCs w:val="18"/>
                <w:u w:val="single"/>
              </w:rPr>
            </w:pPr>
            <w:r>
              <w:rPr>
                <w:rFonts w:hint="eastAsia"/>
                <w:sz w:val="18"/>
                <w:szCs w:val="18"/>
                <w:u w:val="single"/>
              </w:rPr>
              <w:t>保障区域农田灌溉用水及供电、用电安全，</w:t>
            </w:r>
            <w:r>
              <w:rPr>
                <w:rFonts w:hint="eastAsia"/>
                <w:sz w:val="18"/>
                <w:szCs w:val="18"/>
                <w:u w:val="single"/>
                <w:lang w:val="en-US" w:eastAsia="zh-CN"/>
              </w:rPr>
              <w:t>避免施工人为破坏沿线农村基础设施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620" w:type="dxa"/>
            <w:vAlign w:val="center"/>
          </w:tcPr>
          <w:p>
            <w:pPr>
              <w:pStyle w:val="112"/>
              <w:rPr>
                <w:kern w:val="2"/>
                <w:sz w:val="18"/>
                <w:szCs w:val="18"/>
              </w:rPr>
            </w:pPr>
            <w:r>
              <w:rPr>
                <w:kern w:val="2"/>
                <w:sz w:val="18"/>
                <w:szCs w:val="18"/>
              </w:rPr>
              <w:t>6</w:t>
            </w:r>
          </w:p>
        </w:tc>
        <w:tc>
          <w:tcPr>
            <w:tcW w:w="2870" w:type="dxa"/>
            <w:vAlign w:val="center"/>
          </w:tcPr>
          <w:p>
            <w:pPr>
              <w:pStyle w:val="112"/>
              <w:rPr>
                <w:sz w:val="18"/>
                <w:szCs w:val="18"/>
              </w:rPr>
            </w:pPr>
            <w:r>
              <w:rPr>
                <w:rFonts w:hint="eastAsia"/>
                <w:sz w:val="18"/>
                <w:szCs w:val="18"/>
              </w:rPr>
              <w:t>项目经过乡镇规划的居住区</w:t>
            </w:r>
          </w:p>
        </w:tc>
        <w:tc>
          <w:tcPr>
            <w:tcW w:w="2655" w:type="dxa"/>
            <w:vAlign w:val="center"/>
          </w:tcPr>
          <w:p>
            <w:pPr>
              <w:pStyle w:val="112"/>
              <w:jc w:val="both"/>
              <w:rPr>
                <w:sz w:val="18"/>
                <w:szCs w:val="18"/>
              </w:rPr>
            </w:pPr>
            <w:r>
              <w:rPr>
                <w:rFonts w:hint="eastAsia"/>
                <w:sz w:val="18"/>
                <w:szCs w:val="18"/>
              </w:rPr>
              <w:t>项目经过沿线乡镇的规划居住区，营运期将会对规划的居住区产生一定的不利影响。</w:t>
            </w:r>
          </w:p>
        </w:tc>
        <w:tc>
          <w:tcPr>
            <w:tcW w:w="3029" w:type="dxa"/>
            <w:vAlign w:val="center"/>
          </w:tcPr>
          <w:p>
            <w:pPr>
              <w:pStyle w:val="112"/>
              <w:jc w:val="both"/>
              <w:rPr>
                <w:sz w:val="18"/>
                <w:szCs w:val="18"/>
              </w:rPr>
            </w:pPr>
            <w:r>
              <w:rPr>
                <w:rFonts w:hint="eastAsia"/>
                <w:sz w:val="18"/>
                <w:szCs w:val="18"/>
              </w:rPr>
              <w:t>沿线乡镇的规划的新建城镇、开发区以及医院、学校、集贸市场，其边缘与项目红线的距离不得少于</w:t>
            </w:r>
            <w:r>
              <w:rPr>
                <w:sz w:val="18"/>
                <w:szCs w:val="18"/>
              </w:rPr>
              <w:t>50m</w:t>
            </w:r>
            <w:r>
              <w:rPr>
                <w:rFonts w:hint="eastAsia"/>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54" w:hRule="atLeast"/>
          <w:jc w:val="center"/>
        </w:trPr>
        <w:tc>
          <w:tcPr>
            <w:tcW w:w="620" w:type="dxa"/>
            <w:vAlign w:val="center"/>
          </w:tcPr>
          <w:p>
            <w:pPr>
              <w:pStyle w:val="112"/>
              <w:rPr>
                <w:rFonts w:hint="eastAsia" w:eastAsia="宋体"/>
                <w:color w:val="auto"/>
                <w:kern w:val="2"/>
                <w:sz w:val="18"/>
                <w:szCs w:val="18"/>
                <w:u w:val="single"/>
                <w:lang w:val="en-US" w:eastAsia="zh-CN"/>
              </w:rPr>
            </w:pPr>
            <w:r>
              <w:rPr>
                <w:rFonts w:hint="eastAsia"/>
                <w:color w:val="auto"/>
                <w:kern w:val="2"/>
                <w:sz w:val="18"/>
                <w:szCs w:val="18"/>
                <w:u w:val="single"/>
                <w:lang w:val="en-US" w:eastAsia="zh-CN"/>
              </w:rPr>
              <w:t>7</w:t>
            </w:r>
          </w:p>
        </w:tc>
        <w:tc>
          <w:tcPr>
            <w:tcW w:w="2870" w:type="dxa"/>
            <w:vAlign w:val="center"/>
          </w:tcPr>
          <w:p>
            <w:pPr>
              <w:pStyle w:val="112"/>
              <w:rPr>
                <w:rFonts w:hint="eastAsia"/>
                <w:color w:val="auto"/>
                <w:sz w:val="18"/>
                <w:szCs w:val="18"/>
                <w:u w:val="single"/>
                <w:lang w:val="en-US" w:eastAsia="zh-CN"/>
              </w:rPr>
            </w:pPr>
            <w:r>
              <w:rPr>
                <w:rFonts w:hint="eastAsia"/>
                <w:color w:val="auto"/>
                <w:sz w:val="18"/>
                <w:szCs w:val="18"/>
                <w:u w:val="single"/>
                <w:lang w:val="en-US" w:eastAsia="zh-CN"/>
              </w:rPr>
              <w:t>沿途涉及的各种地下管线（如输油管线，燃气管线及电缆光缆</w:t>
            </w:r>
            <w:bookmarkStart w:id="390" w:name="_GoBack"/>
            <w:bookmarkEnd w:id="390"/>
            <w:r>
              <w:rPr>
                <w:rFonts w:hint="eastAsia"/>
                <w:color w:val="auto"/>
                <w:sz w:val="18"/>
                <w:szCs w:val="18"/>
                <w:u w:val="single"/>
                <w:lang w:val="en-US" w:eastAsia="zh-CN"/>
              </w:rPr>
              <w:t>等）</w:t>
            </w:r>
          </w:p>
        </w:tc>
        <w:tc>
          <w:tcPr>
            <w:tcW w:w="2655" w:type="dxa"/>
            <w:vAlign w:val="center"/>
          </w:tcPr>
          <w:p>
            <w:pPr>
              <w:pStyle w:val="112"/>
              <w:rPr>
                <w:rFonts w:hint="eastAsia"/>
                <w:color w:val="auto"/>
                <w:sz w:val="18"/>
                <w:szCs w:val="18"/>
                <w:u w:val="single"/>
                <w:lang w:val="en-US" w:eastAsia="zh-CN"/>
              </w:rPr>
            </w:pPr>
            <w:r>
              <w:rPr>
                <w:rFonts w:hint="eastAsia"/>
                <w:color w:val="auto"/>
                <w:sz w:val="18"/>
                <w:szCs w:val="18"/>
                <w:u w:val="single"/>
                <w:lang w:val="en-US" w:eastAsia="zh-CN"/>
              </w:rPr>
              <w:t>工程施工可能对其造成一定程度的破坏影响</w:t>
            </w:r>
          </w:p>
        </w:tc>
        <w:tc>
          <w:tcPr>
            <w:tcW w:w="3029" w:type="dxa"/>
            <w:vAlign w:val="center"/>
          </w:tcPr>
          <w:p>
            <w:pPr>
              <w:pStyle w:val="112"/>
              <w:jc w:val="both"/>
              <w:rPr>
                <w:rFonts w:hint="eastAsia" w:eastAsia="宋体"/>
                <w:color w:val="auto"/>
                <w:sz w:val="18"/>
                <w:szCs w:val="18"/>
                <w:u w:val="single"/>
                <w:lang w:val="en-US" w:eastAsia="zh-CN"/>
              </w:rPr>
            </w:pPr>
            <w:r>
              <w:rPr>
                <w:rFonts w:hint="eastAsia"/>
                <w:color w:val="auto"/>
                <w:sz w:val="18"/>
                <w:szCs w:val="18"/>
                <w:u w:val="single"/>
                <w:lang w:val="en-US" w:eastAsia="zh-CN"/>
              </w:rPr>
              <w:t>保障地下管线的安全，避免施工人为破坏地下管线</w:t>
            </w:r>
          </w:p>
        </w:tc>
      </w:tr>
    </w:tbl>
    <w:p>
      <w:pPr>
        <w:pStyle w:val="5"/>
        <w:numPr>
          <w:ilvl w:val="2"/>
          <w:numId w:val="0"/>
        </w:numPr>
      </w:pPr>
      <w:r>
        <w:t xml:space="preserve">    </w:t>
      </w:r>
      <w:r>
        <w:rPr>
          <w:rFonts w:hint="eastAsia"/>
        </w:rPr>
        <w:t>拟建项目距离任弼时纪念馆最近为</w:t>
      </w:r>
      <w:r>
        <w:t>1.4km</w:t>
      </w:r>
      <w:r>
        <w:rPr>
          <w:rFonts w:hint="eastAsia"/>
        </w:rPr>
        <w:t>，开慧乡为</w:t>
      </w:r>
      <w:r>
        <w:t>5.9km</w:t>
      </w:r>
      <w:r>
        <w:rPr>
          <w:rFonts w:hint="eastAsia"/>
        </w:rPr>
        <w:t>。</w:t>
      </w:r>
    </w:p>
    <w:p>
      <w:pPr>
        <w:pStyle w:val="5"/>
        <w:ind w:left="567" w:hanging="567"/>
      </w:pPr>
      <w:r>
        <w:rPr>
          <w:rFonts w:hint="eastAsia"/>
        </w:rPr>
        <w:t>生态环境保护目标</w:t>
      </w:r>
    </w:p>
    <w:p>
      <w:pPr>
        <w:pStyle w:val="3"/>
        <w:ind w:firstLine="482" w:firstLineChars="0"/>
      </w:pPr>
      <w:r>
        <w:rPr>
          <w:rFonts w:hint="eastAsia"/>
        </w:rPr>
        <w:t>拟建项目生态环境保护目标包括沿线植被、野生动植物资源、沿线公路动土范围内（路基、取弃土场、施工便道）的水土保持设施以及公路用地范围内的耕地</w:t>
      </w:r>
      <w:r>
        <w:rPr>
          <w:rFonts w:hint="eastAsia"/>
          <w:lang w:eastAsia="zh-CN"/>
        </w:rPr>
        <w:t>、</w:t>
      </w:r>
      <w:r>
        <w:rPr>
          <w:rFonts w:hint="eastAsia"/>
          <w:lang w:val="en-US" w:eastAsia="zh-CN"/>
        </w:rPr>
        <w:t>基本农田</w:t>
      </w:r>
      <w:r>
        <w:rPr>
          <w:rFonts w:hint="eastAsia"/>
        </w:rPr>
        <w:t>，具体见表</w:t>
      </w:r>
      <w:r>
        <w:t>2.6-3</w:t>
      </w:r>
      <w:r>
        <w:rPr>
          <w:rFonts w:hint="eastAsia"/>
        </w:rPr>
        <w:t>。</w:t>
      </w:r>
    </w:p>
    <w:p>
      <w:pPr>
        <w:pStyle w:val="3"/>
        <w:ind w:firstLine="482" w:firstLineChars="0"/>
        <w:rPr>
          <w:color w:val="FF0000"/>
        </w:rPr>
      </w:pPr>
      <w:r>
        <w:rPr>
          <w:rFonts w:hint="eastAsia"/>
        </w:rPr>
        <w:t>拟建项目与弼时镇的生态敏感区最近距离如下：本项目距玉池山风景名胜区最近距离约</w:t>
      </w:r>
      <w:r>
        <w:t>3.2km</w:t>
      </w:r>
      <w:r>
        <w:rPr>
          <w:rFonts w:hint="eastAsia"/>
        </w:rPr>
        <w:t>，神鼎山省级森林公园为</w:t>
      </w:r>
      <w:r>
        <w:t>15km</w:t>
      </w:r>
      <w:r>
        <w:rPr>
          <w:rFonts w:hint="eastAsia"/>
        </w:rPr>
        <w:t>。</w:t>
      </w:r>
    </w:p>
    <w:p>
      <w:pPr>
        <w:pStyle w:val="5"/>
        <w:ind w:left="567" w:hanging="567"/>
      </w:pPr>
      <w:r>
        <w:rPr>
          <w:rFonts w:hint="eastAsia"/>
        </w:rPr>
        <w:t>声、大气环境保护目标</w:t>
      </w:r>
    </w:p>
    <w:p>
      <w:pPr>
        <w:pStyle w:val="3"/>
        <w:ind w:firstLine="482" w:firstLineChars="0"/>
      </w:pPr>
      <w:r>
        <w:rPr>
          <w:rFonts w:hint="eastAsia"/>
        </w:rPr>
        <w:t>经现场调查，本项目的主要声、大气敏感点共</w:t>
      </w:r>
      <w:r>
        <w:t>5</w:t>
      </w:r>
      <w:r>
        <w:rPr>
          <w:rFonts w:hint="eastAsia"/>
        </w:rPr>
        <w:t>处。本项目涉及到的大气与声环境保护敏感点详见表</w:t>
      </w:r>
      <w:r>
        <w:t>2.6-4</w:t>
      </w:r>
      <w:r>
        <w:rPr>
          <w:rFonts w:hint="eastAsia"/>
        </w:rPr>
        <w:t>。</w:t>
      </w:r>
    </w:p>
    <w:p>
      <w:pPr>
        <w:pStyle w:val="3"/>
        <w:ind w:firstLine="31680"/>
        <w:sectPr>
          <w:headerReference r:id="rId4" w:type="default"/>
          <w:pgSz w:w="11906" w:h="16838"/>
          <w:pgMar w:top="1588" w:right="1361" w:bottom="1474" w:left="1474" w:header="1021" w:footer="851" w:gutter="0"/>
          <w:pgBorders>
            <w:top w:val="none" w:sz="0" w:space="0"/>
            <w:left w:val="none" w:sz="0" w:space="0"/>
            <w:bottom w:val="none" w:sz="0" w:space="0"/>
            <w:right w:val="none" w:sz="0" w:space="0"/>
          </w:pgBorders>
          <w:pgNumType w:start="1"/>
          <w:cols w:space="720" w:num="1"/>
          <w:docGrid w:linePitch="312" w:charSpace="0"/>
        </w:sectPr>
      </w:pPr>
    </w:p>
    <w:p>
      <w:pPr>
        <w:pStyle w:val="114"/>
        <w:rPr>
          <w:rFonts w:hAnsi="宋体"/>
          <w:u w:val="single"/>
        </w:rPr>
      </w:pPr>
      <w:bookmarkStart w:id="103" w:name="_Ref357982336"/>
      <w:r>
        <w:rPr>
          <w:rFonts w:hint="eastAsia"/>
          <w:u w:val="single"/>
        </w:rPr>
        <w:t>表</w:t>
      </w:r>
      <w:bookmarkEnd w:id="103"/>
      <w:r>
        <w:rPr>
          <w:u w:val="single"/>
        </w:rPr>
        <w:t xml:space="preserve">2.6-3      </w:t>
      </w:r>
      <w:r>
        <w:rPr>
          <w:rFonts w:hint="eastAsia" w:hAnsi="宋体"/>
          <w:u w:val="single"/>
        </w:rPr>
        <w:t>生态环境保护目标一览表</w:t>
      </w:r>
    </w:p>
    <w:tbl>
      <w:tblPr>
        <w:tblStyle w:val="65"/>
        <w:tblW w:w="140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3"/>
        <w:gridCol w:w="3519"/>
        <w:gridCol w:w="2849"/>
        <w:gridCol w:w="1398"/>
        <w:gridCol w:w="2360"/>
        <w:gridCol w:w="3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blHeader/>
        </w:trPr>
        <w:tc>
          <w:tcPr>
            <w:tcW w:w="723" w:type="dxa"/>
            <w:vAlign w:val="center"/>
          </w:tcPr>
          <w:p>
            <w:pPr>
              <w:pStyle w:val="112"/>
              <w:rPr>
                <w:kern w:val="2"/>
                <w:sz w:val="18"/>
                <w:szCs w:val="18"/>
                <w:u w:val="single"/>
              </w:rPr>
            </w:pPr>
            <w:r>
              <w:rPr>
                <w:rFonts w:hint="eastAsia"/>
                <w:kern w:val="2"/>
                <w:sz w:val="18"/>
                <w:szCs w:val="18"/>
                <w:u w:val="single"/>
              </w:rPr>
              <w:t>环保目标</w:t>
            </w:r>
          </w:p>
        </w:tc>
        <w:tc>
          <w:tcPr>
            <w:tcW w:w="3519" w:type="dxa"/>
            <w:vAlign w:val="center"/>
          </w:tcPr>
          <w:p>
            <w:pPr>
              <w:pStyle w:val="112"/>
              <w:rPr>
                <w:kern w:val="2"/>
                <w:sz w:val="18"/>
                <w:szCs w:val="18"/>
                <w:u w:val="single"/>
              </w:rPr>
            </w:pPr>
            <w:r>
              <w:rPr>
                <w:rFonts w:hint="eastAsia"/>
                <w:kern w:val="2"/>
                <w:sz w:val="18"/>
                <w:szCs w:val="18"/>
                <w:u w:val="single"/>
              </w:rPr>
              <w:t>位置</w:t>
            </w:r>
          </w:p>
        </w:tc>
        <w:tc>
          <w:tcPr>
            <w:tcW w:w="2849" w:type="dxa"/>
            <w:vAlign w:val="center"/>
          </w:tcPr>
          <w:p>
            <w:pPr>
              <w:pStyle w:val="112"/>
              <w:rPr>
                <w:kern w:val="2"/>
                <w:sz w:val="18"/>
                <w:szCs w:val="18"/>
                <w:u w:val="single"/>
              </w:rPr>
            </w:pPr>
            <w:r>
              <w:rPr>
                <w:rFonts w:hint="eastAsia"/>
                <w:kern w:val="2"/>
                <w:sz w:val="18"/>
                <w:szCs w:val="18"/>
                <w:u w:val="single"/>
              </w:rPr>
              <w:t>环境概况</w:t>
            </w:r>
          </w:p>
        </w:tc>
        <w:tc>
          <w:tcPr>
            <w:tcW w:w="1398" w:type="dxa"/>
            <w:vAlign w:val="center"/>
          </w:tcPr>
          <w:p>
            <w:pPr>
              <w:pStyle w:val="112"/>
              <w:rPr>
                <w:kern w:val="2"/>
                <w:sz w:val="18"/>
                <w:szCs w:val="18"/>
                <w:u w:val="single"/>
              </w:rPr>
            </w:pPr>
            <w:r>
              <w:rPr>
                <w:rFonts w:hint="eastAsia"/>
                <w:kern w:val="2"/>
                <w:sz w:val="18"/>
                <w:szCs w:val="18"/>
                <w:u w:val="single"/>
              </w:rPr>
              <w:t>影响因素</w:t>
            </w:r>
          </w:p>
        </w:tc>
        <w:tc>
          <w:tcPr>
            <w:tcW w:w="2360" w:type="dxa"/>
            <w:vAlign w:val="center"/>
          </w:tcPr>
          <w:p>
            <w:pPr>
              <w:pStyle w:val="112"/>
              <w:rPr>
                <w:kern w:val="2"/>
                <w:sz w:val="18"/>
                <w:szCs w:val="18"/>
                <w:u w:val="single"/>
              </w:rPr>
            </w:pPr>
            <w:r>
              <w:rPr>
                <w:rFonts w:hint="eastAsia"/>
                <w:kern w:val="2"/>
                <w:sz w:val="18"/>
                <w:szCs w:val="18"/>
                <w:u w:val="single"/>
              </w:rPr>
              <w:t>保护要求</w:t>
            </w:r>
          </w:p>
        </w:tc>
        <w:tc>
          <w:tcPr>
            <w:tcW w:w="3164" w:type="dxa"/>
            <w:vAlign w:val="center"/>
          </w:tcPr>
          <w:p>
            <w:pPr>
              <w:pStyle w:val="112"/>
              <w:rPr>
                <w:kern w:val="2"/>
                <w:sz w:val="18"/>
                <w:szCs w:val="18"/>
                <w:u w:val="single"/>
              </w:rPr>
            </w:pPr>
            <w:r>
              <w:rPr>
                <w:rFonts w:hint="eastAsia"/>
                <w:kern w:val="2"/>
                <w:sz w:val="18"/>
                <w:szCs w:val="18"/>
                <w:u w:val="single"/>
              </w:rPr>
              <w:t>实景照片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723" w:type="dxa"/>
            <w:vAlign w:val="center"/>
          </w:tcPr>
          <w:p>
            <w:pPr>
              <w:pStyle w:val="112"/>
              <w:rPr>
                <w:kern w:val="2"/>
                <w:sz w:val="18"/>
                <w:szCs w:val="18"/>
                <w:u w:val="single"/>
              </w:rPr>
            </w:pPr>
            <w:r>
              <w:rPr>
                <w:rFonts w:hint="eastAsia"/>
                <w:kern w:val="2"/>
                <w:sz w:val="18"/>
                <w:szCs w:val="18"/>
                <w:u w:val="single"/>
              </w:rPr>
              <w:t>耕地</w:t>
            </w:r>
          </w:p>
        </w:tc>
        <w:tc>
          <w:tcPr>
            <w:tcW w:w="3519" w:type="dxa"/>
            <w:vAlign w:val="center"/>
          </w:tcPr>
          <w:p>
            <w:pPr>
              <w:pStyle w:val="112"/>
              <w:rPr>
                <w:sz w:val="18"/>
                <w:szCs w:val="18"/>
                <w:u w:val="single"/>
              </w:rPr>
            </w:pPr>
            <w:r>
              <w:rPr>
                <w:rFonts w:hint="eastAsia"/>
                <w:sz w:val="18"/>
                <w:szCs w:val="21"/>
                <w:u w:val="single"/>
              </w:rPr>
              <w:t>本项目永久占地中占用耕地</w:t>
            </w:r>
            <w:r>
              <w:rPr>
                <w:sz w:val="18"/>
                <w:szCs w:val="21"/>
                <w:u w:val="single"/>
              </w:rPr>
              <w:t>33.41hm</w:t>
            </w:r>
            <w:r>
              <w:rPr>
                <w:sz w:val="18"/>
                <w:szCs w:val="21"/>
                <w:u w:val="single"/>
                <w:vertAlign w:val="superscript"/>
              </w:rPr>
              <w:t>2</w:t>
            </w:r>
            <w:r>
              <w:rPr>
                <w:rFonts w:hint="eastAsia"/>
                <w:sz w:val="18"/>
                <w:szCs w:val="21"/>
                <w:u w:val="single"/>
              </w:rPr>
              <w:t>，包括水田</w:t>
            </w:r>
            <w:r>
              <w:rPr>
                <w:sz w:val="18"/>
                <w:szCs w:val="21"/>
                <w:u w:val="single"/>
              </w:rPr>
              <w:t>6.34hm</w:t>
            </w:r>
            <w:r>
              <w:rPr>
                <w:sz w:val="18"/>
                <w:szCs w:val="21"/>
                <w:u w:val="single"/>
                <w:vertAlign w:val="superscript"/>
              </w:rPr>
              <w:t>2</w:t>
            </w:r>
            <w:r>
              <w:rPr>
                <w:rFonts w:hint="eastAsia"/>
                <w:sz w:val="18"/>
                <w:szCs w:val="21"/>
                <w:u w:val="single"/>
              </w:rPr>
              <w:t>，旱地</w:t>
            </w:r>
            <w:r>
              <w:rPr>
                <w:sz w:val="18"/>
                <w:szCs w:val="21"/>
                <w:u w:val="single"/>
              </w:rPr>
              <w:t>2.34hm</w:t>
            </w:r>
            <w:r>
              <w:rPr>
                <w:sz w:val="18"/>
                <w:szCs w:val="21"/>
                <w:u w:val="single"/>
                <w:vertAlign w:val="superscript"/>
              </w:rPr>
              <w:t>2</w:t>
            </w:r>
            <w:r>
              <w:rPr>
                <w:rFonts w:hint="eastAsia"/>
                <w:sz w:val="18"/>
                <w:szCs w:val="21"/>
                <w:u w:val="single"/>
              </w:rPr>
              <w:t>，林地</w:t>
            </w:r>
            <w:r>
              <w:rPr>
                <w:sz w:val="18"/>
                <w:szCs w:val="21"/>
                <w:u w:val="single"/>
              </w:rPr>
              <w:t>16.07hm</w:t>
            </w:r>
            <w:r>
              <w:rPr>
                <w:sz w:val="18"/>
                <w:szCs w:val="21"/>
                <w:u w:val="single"/>
                <w:vertAlign w:val="superscript"/>
              </w:rPr>
              <w:t>2</w:t>
            </w:r>
            <w:r>
              <w:rPr>
                <w:rFonts w:hint="eastAsia"/>
                <w:sz w:val="18"/>
                <w:szCs w:val="21"/>
                <w:u w:val="single"/>
              </w:rPr>
              <w:t>，荒地</w:t>
            </w:r>
            <w:r>
              <w:rPr>
                <w:sz w:val="18"/>
                <w:szCs w:val="21"/>
                <w:u w:val="single"/>
              </w:rPr>
              <w:t>4.69hm</w:t>
            </w:r>
            <w:r>
              <w:rPr>
                <w:sz w:val="18"/>
                <w:szCs w:val="21"/>
                <w:u w:val="single"/>
                <w:vertAlign w:val="superscript"/>
              </w:rPr>
              <w:t>2</w:t>
            </w:r>
            <w:r>
              <w:rPr>
                <w:rFonts w:hint="eastAsia"/>
                <w:sz w:val="18"/>
                <w:szCs w:val="21"/>
                <w:u w:val="single"/>
              </w:rPr>
              <w:t>，水塘</w:t>
            </w:r>
            <w:r>
              <w:rPr>
                <w:sz w:val="18"/>
                <w:szCs w:val="21"/>
                <w:u w:val="single"/>
              </w:rPr>
              <w:t>0.67hm</w:t>
            </w:r>
            <w:r>
              <w:rPr>
                <w:sz w:val="18"/>
                <w:szCs w:val="21"/>
                <w:u w:val="single"/>
                <w:vertAlign w:val="superscript"/>
              </w:rPr>
              <w:t>2</w:t>
            </w:r>
            <w:r>
              <w:rPr>
                <w:rFonts w:hint="eastAsia"/>
                <w:sz w:val="18"/>
                <w:szCs w:val="21"/>
                <w:u w:val="single"/>
              </w:rPr>
              <w:t>，宅基地</w:t>
            </w:r>
            <w:r>
              <w:rPr>
                <w:sz w:val="18"/>
                <w:szCs w:val="21"/>
                <w:u w:val="single"/>
              </w:rPr>
              <w:t>2.01hm</w:t>
            </w:r>
            <w:r>
              <w:rPr>
                <w:sz w:val="18"/>
                <w:szCs w:val="21"/>
                <w:u w:val="single"/>
                <w:vertAlign w:val="superscript"/>
              </w:rPr>
              <w:t>2</w:t>
            </w:r>
            <w:r>
              <w:rPr>
                <w:rFonts w:hint="eastAsia"/>
                <w:sz w:val="18"/>
                <w:szCs w:val="21"/>
                <w:u w:val="single"/>
              </w:rPr>
              <w:t>，老路</w:t>
            </w:r>
            <w:r>
              <w:rPr>
                <w:sz w:val="18"/>
                <w:szCs w:val="21"/>
                <w:u w:val="single"/>
              </w:rPr>
              <w:t>1.0hm</w:t>
            </w:r>
            <w:r>
              <w:rPr>
                <w:sz w:val="18"/>
                <w:szCs w:val="21"/>
                <w:u w:val="single"/>
                <w:vertAlign w:val="superscript"/>
              </w:rPr>
              <w:t>2</w:t>
            </w:r>
            <w:r>
              <w:rPr>
                <w:rFonts w:hint="eastAsia"/>
                <w:sz w:val="18"/>
                <w:szCs w:val="21"/>
                <w:u w:val="single"/>
              </w:rPr>
              <w:t>，河流</w:t>
            </w:r>
            <w:r>
              <w:rPr>
                <w:sz w:val="18"/>
                <w:szCs w:val="21"/>
                <w:u w:val="single"/>
              </w:rPr>
              <w:t>0.27hm</w:t>
            </w:r>
            <w:r>
              <w:rPr>
                <w:sz w:val="18"/>
                <w:szCs w:val="21"/>
                <w:u w:val="single"/>
                <w:vertAlign w:val="superscript"/>
              </w:rPr>
              <w:t>2</w:t>
            </w:r>
            <w:r>
              <w:rPr>
                <w:rFonts w:hint="eastAsia"/>
                <w:sz w:val="18"/>
                <w:szCs w:val="21"/>
                <w:u w:val="single"/>
              </w:rPr>
              <w:t>。</w:t>
            </w:r>
            <w:r>
              <w:rPr>
                <w:rFonts w:hint="eastAsia"/>
                <w:sz w:val="18"/>
                <w:szCs w:val="18"/>
                <w:u w:val="single"/>
              </w:rPr>
              <w:t>目前项目正在办理土地调规手续，根据</w:t>
            </w:r>
            <w:r>
              <w:rPr>
                <w:sz w:val="18"/>
                <w:szCs w:val="18"/>
                <w:u w:val="single"/>
              </w:rPr>
              <w:t>“</w:t>
            </w:r>
            <w:r>
              <w:rPr>
                <w:rFonts w:hint="eastAsia"/>
                <w:sz w:val="18"/>
                <w:szCs w:val="18"/>
                <w:u w:val="single"/>
              </w:rPr>
              <w:t>占一补一、占补平衡</w:t>
            </w:r>
            <w:r>
              <w:rPr>
                <w:sz w:val="18"/>
                <w:szCs w:val="18"/>
                <w:u w:val="single"/>
              </w:rPr>
              <w:t>”</w:t>
            </w:r>
            <w:r>
              <w:rPr>
                <w:rFonts w:hint="eastAsia"/>
                <w:sz w:val="18"/>
                <w:szCs w:val="18"/>
                <w:u w:val="single"/>
              </w:rPr>
              <w:t>要求进行。</w:t>
            </w:r>
            <w:r>
              <w:rPr>
                <w:rFonts w:hint="eastAsia" w:cs="宋体"/>
                <w:sz w:val="18"/>
                <w:szCs w:val="18"/>
                <w:u w:val="single"/>
              </w:rPr>
              <w:t>项目沿线水田主要分布在工程沿线：</w:t>
            </w:r>
            <w:r>
              <w:rPr>
                <w:rFonts w:cs="宋体"/>
                <w:sz w:val="18"/>
                <w:szCs w:val="18"/>
                <w:u w:val="single"/>
              </w:rPr>
              <w:t>K0+200~K5+900</w:t>
            </w:r>
            <w:r>
              <w:rPr>
                <w:rFonts w:hint="eastAsia" w:cs="宋体"/>
                <w:sz w:val="18"/>
                <w:szCs w:val="18"/>
                <w:u w:val="single"/>
              </w:rPr>
              <w:t>两侧</w:t>
            </w:r>
            <w:r>
              <w:rPr>
                <w:rFonts w:cs="宋体"/>
                <w:sz w:val="18"/>
                <w:szCs w:val="18"/>
                <w:u w:val="single"/>
              </w:rPr>
              <w:t>200m</w:t>
            </w:r>
            <w:r>
              <w:rPr>
                <w:rFonts w:hint="eastAsia" w:cs="宋体"/>
                <w:sz w:val="18"/>
                <w:szCs w:val="18"/>
                <w:u w:val="single"/>
              </w:rPr>
              <w:t>范围</w:t>
            </w:r>
            <w:r>
              <w:rPr>
                <w:rFonts w:hint="eastAsia"/>
                <w:sz w:val="18"/>
                <w:szCs w:val="18"/>
                <w:u w:val="single"/>
              </w:rPr>
              <w:t>公路沿线两侧。</w:t>
            </w:r>
          </w:p>
        </w:tc>
        <w:tc>
          <w:tcPr>
            <w:tcW w:w="2849" w:type="dxa"/>
            <w:vAlign w:val="center"/>
          </w:tcPr>
          <w:p>
            <w:pPr>
              <w:adjustRightInd w:val="0"/>
              <w:snapToGrid w:val="0"/>
              <w:rPr>
                <w:kern w:val="0"/>
                <w:sz w:val="18"/>
                <w:szCs w:val="18"/>
                <w:u w:val="single"/>
              </w:rPr>
            </w:pPr>
            <w:r>
              <w:rPr>
                <w:rFonts w:hint="eastAsia" w:cs="宋体"/>
                <w:kern w:val="0"/>
                <w:sz w:val="18"/>
                <w:szCs w:val="18"/>
                <w:u w:val="single"/>
              </w:rPr>
              <w:t>沿线分布的耕地有稻田、菜地以及花卉、苗木用地等，农作物以水稻、油菜、花卉、苗木为主。</w:t>
            </w:r>
          </w:p>
        </w:tc>
        <w:tc>
          <w:tcPr>
            <w:tcW w:w="1398" w:type="dxa"/>
            <w:vAlign w:val="center"/>
          </w:tcPr>
          <w:p>
            <w:pPr>
              <w:pStyle w:val="112"/>
              <w:rPr>
                <w:kern w:val="2"/>
                <w:sz w:val="18"/>
                <w:szCs w:val="18"/>
                <w:u w:val="single"/>
              </w:rPr>
            </w:pPr>
            <w:r>
              <w:rPr>
                <w:rFonts w:hint="eastAsia"/>
                <w:kern w:val="2"/>
                <w:sz w:val="18"/>
                <w:szCs w:val="18"/>
                <w:u w:val="single"/>
              </w:rPr>
              <w:t>公路永久占地造成农田、耕地的减少，公路临时用地占用耕地，禁止施工方越界施工</w:t>
            </w:r>
          </w:p>
        </w:tc>
        <w:tc>
          <w:tcPr>
            <w:tcW w:w="2360" w:type="dxa"/>
            <w:vAlign w:val="center"/>
          </w:tcPr>
          <w:p>
            <w:pPr>
              <w:pStyle w:val="112"/>
              <w:rPr>
                <w:kern w:val="2"/>
                <w:sz w:val="18"/>
                <w:szCs w:val="18"/>
                <w:u w:val="single"/>
              </w:rPr>
            </w:pPr>
            <w:r>
              <w:rPr>
                <w:rFonts w:hint="eastAsia"/>
                <w:kern w:val="2"/>
                <w:sz w:val="18"/>
                <w:szCs w:val="18"/>
                <w:u w:val="single"/>
              </w:rPr>
              <w:t>尽量减少农田的占用，确保临时占用耕地的复耕</w:t>
            </w:r>
          </w:p>
        </w:tc>
        <w:tc>
          <w:tcPr>
            <w:tcW w:w="3164" w:type="dxa"/>
            <w:vAlign w:val="center"/>
          </w:tcPr>
          <w:p>
            <w:pPr>
              <w:pStyle w:val="112"/>
              <w:rPr>
                <w:color w:val="FF0000"/>
                <w:kern w:val="2"/>
                <w:sz w:val="18"/>
                <w:szCs w:val="18"/>
                <w:u w:val="single"/>
              </w:rPr>
            </w:pPr>
            <w:r>
              <w:rPr>
                <w:color w:val="FF0000"/>
                <w:kern w:val="2"/>
                <w:sz w:val="18"/>
                <w:szCs w:val="18"/>
                <w:u w:val="single"/>
              </w:rPr>
              <w:pict>
                <v:shape id="_x0000_i1030" o:spt="75" alt="mmexport1484120093188" type="#_x0000_t75" style="height:105.95pt;width:140.85pt;" filled="f" o:preferrelative="t" stroked="f" coordsize="21600,21600">
                  <v:path/>
                  <v:fill on="f" focussize="0,0"/>
                  <v:stroke on="f"/>
                  <v:imagedata r:id="rId20"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723" w:type="dxa"/>
            <w:vAlign w:val="center"/>
          </w:tcPr>
          <w:p>
            <w:pPr>
              <w:pStyle w:val="112"/>
              <w:rPr>
                <w:kern w:val="2"/>
                <w:sz w:val="18"/>
                <w:szCs w:val="18"/>
                <w:u w:val="single"/>
              </w:rPr>
            </w:pPr>
            <w:r>
              <w:rPr>
                <w:rFonts w:hint="eastAsia"/>
                <w:kern w:val="2"/>
                <w:sz w:val="18"/>
                <w:szCs w:val="18"/>
                <w:u w:val="single"/>
              </w:rPr>
              <w:t>林地植被</w:t>
            </w:r>
          </w:p>
        </w:tc>
        <w:tc>
          <w:tcPr>
            <w:tcW w:w="3519" w:type="dxa"/>
            <w:vAlign w:val="center"/>
          </w:tcPr>
          <w:p>
            <w:pPr>
              <w:pStyle w:val="112"/>
              <w:rPr>
                <w:kern w:val="2"/>
                <w:sz w:val="18"/>
                <w:szCs w:val="18"/>
                <w:u w:val="single"/>
              </w:rPr>
            </w:pPr>
            <w:r>
              <w:rPr>
                <w:rFonts w:hint="eastAsia"/>
                <w:sz w:val="18"/>
                <w:szCs w:val="18"/>
                <w:u w:val="single"/>
              </w:rPr>
              <w:t>工程沿线、取土场、弃渣场、施工生产生活区及施工便道</w:t>
            </w:r>
            <w:r>
              <w:rPr>
                <w:sz w:val="18"/>
                <w:szCs w:val="18"/>
                <w:u w:val="single"/>
              </w:rPr>
              <w:t>200m</w:t>
            </w:r>
            <w:r>
              <w:rPr>
                <w:rFonts w:hint="eastAsia"/>
                <w:sz w:val="18"/>
                <w:szCs w:val="18"/>
                <w:u w:val="single"/>
              </w:rPr>
              <w:t>范围</w:t>
            </w:r>
          </w:p>
        </w:tc>
        <w:tc>
          <w:tcPr>
            <w:tcW w:w="2849" w:type="dxa"/>
            <w:vAlign w:val="center"/>
          </w:tcPr>
          <w:p>
            <w:pPr>
              <w:adjustRightInd w:val="0"/>
              <w:snapToGrid w:val="0"/>
              <w:rPr>
                <w:sz w:val="18"/>
                <w:szCs w:val="18"/>
                <w:u w:val="single"/>
              </w:rPr>
            </w:pPr>
            <w:r>
              <w:rPr>
                <w:rFonts w:hint="eastAsia"/>
                <w:sz w:val="18"/>
                <w:szCs w:val="18"/>
                <w:u w:val="single"/>
              </w:rPr>
              <w:t>沿线主要植被为马尾松、樟树、麻栎、紫穗槐、杜鹃花和竹林等生态敏感程度相对较低。评价范围内除水杉、银杏、杜仲等湖南广布的保护植物外，无其它濒危珍稀保护野生植物物种分布、无古树名木分布。工程不涉及生态公益林，不涉及自然保护区、森林公园等生态敏感区。</w:t>
            </w:r>
          </w:p>
        </w:tc>
        <w:tc>
          <w:tcPr>
            <w:tcW w:w="1398" w:type="dxa"/>
            <w:vAlign w:val="center"/>
          </w:tcPr>
          <w:p>
            <w:pPr>
              <w:pStyle w:val="112"/>
              <w:rPr>
                <w:kern w:val="2"/>
                <w:sz w:val="18"/>
                <w:szCs w:val="18"/>
                <w:u w:val="single"/>
              </w:rPr>
            </w:pPr>
            <w:r>
              <w:rPr>
                <w:rFonts w:hint="eastAsia"/>
                <w:kern w:val="2"/>
                <w:sz w:val="18"/>
                <w:szCs w:val="18"/>
                <w:u w:val="single"/>
              </w:rPr>
              <w:t>施工期挖填方及取弃土对植被的破坏</w:t>
            </w:r>
          </w:p>
        </w:tc>
        <w:tc>
          <w:tcPr>
            <w:tcW w:w="2360" w:type="dxa"/>
            <w:vAlign w:val="center"/>
          </w:tcPr>
          <w:p>
            <w:pPr>
              <w:pStyle w:val="112"/>
              <w:rPr>
                <w:kern w:val="2"/>
                <w:sz w:val="18"/>
                <w:szCs w:val="18"/>
                <w:u w:val="single"/>
              </w:rPr>
            </w:pPr>
            <w:r>
              <w:rPr>
                <w:rFonts w:hint="eastAsia"/>
                <w:kern w:val="2"/>
                <w:sz w:val="18"/>
                <w:szCs w:val="18"/>
                <w:u w:val="single"/>
              </w:rPr>
              <w:t>尽量减少对沿线植被的破坏，确保临时占地的生态恢复</w:t>
            </w:r>
          </w:p>
        </w:tc>
        <w:tc>
          <w:tcPr>
            <w:tcW w:w="3164" w:type="dxa"/>
            <w:vAlign w:val="center"/>
          </w:tcPr>
          <w:p>
            <w:pPr>
              <w:pStyle w:val="112"/>
              <w:rPr>
                <w:color w:val="FF0000"/>
                <w:kern w:val="2"/>
                <w:sz w:val="18"/>
                <w:szCs w:val="18"/>
                <w:u w:val="single"/>
              </w:rPr>
            </w:pPr>
            <w:r>
              <w:rPr>
                <w:color w:val="FF0000"/>
                <w:kern w:val="2"/>
                <w:sz w:val="18"/>
                <w:szCs w:val="18"/>
                <w:u w:val="single"/>
              </w:rPr>
              <w:pict>
                <v:shape id="_x0000_i1031" o:spt="75" alt="mmexport1484102564270" type="#_x0000_t75" style="height:107.85pt;width:142.5pt;" filled="f" o:preferrelative="t" stroked="f" coordsize="21600,21600">
                  <v:path/>
                  <v:fill on="f" focussize="0,0"/>
                  <v:stroke on="f"/>
                  <v:imagedata r:id="rId21"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723" w:type="dxa"/>
            <w:vAlign w:val="center"/>
          </w:tcPr>
          <w:p>
            <w:pPr>
              <w:pStyle w:val="112"/>
              <w:rPr>
                <w:rFonts w:hint="eastAsia" w:eastAsia="宋体"/>
                <w:kern w:val="2"/>
                <w:sz w:val="18"/>
                <w:szCs w:val="18"/>
                <w:u w:val="single"/>
                <w:lang w:val="en-US" w:eastAsia="zh-CN"/>
              </w:rPr>
            </w:pPr>
            <w:r>
              <w:rPr>
                <w:rFonts w:hint="eastAsia"/>
                <w:kern w:val="2"/>
                <w:sz w:val="18"/>
                <w:szCs w:val="18"/>
                <w:u w:val="single"/>
                <w:lang w:val="en-US" w:eastAsia="zh-CN"/>
              </w:rPr>
              <w:t>基本农田</w:t>
            </w:r>
          </w:p>
        </w:tc>
        <w:tc>
          <w:tcPr>
            <w:tcW w:w="3519" w:type="dxa"/>
            <w:vAlign w:val="center"/>
          </w:tcPr>
          <w:p>
            <w:pPr>
              <w:pStyle w:val="112"/>
              <w:rPr>
                <w:rFonts w:hint="eastAsia" w:eastAsia="宋体"/>
                <w:sz w:val="18"/>
                <w:szCs w:val="18"/>
                <w:u w:val="single"/>
                <w:lang w:val="en-US" w:eastAsia="zh-CN"/>
              </w:rPr>
            </w:pPr>
            <w:r>
              <w:rPr>
                <w:rFonts w:hint="eastAsia"/>
                <w:sz w:val="18"/>
                <w:szCs w:val="18"/>
                <w:u w:val="single"/>
              </w:rPr>
              <w:t>目前项目正在办理土地调规手续，根据</w:t>
            </w:r>
            <w:r>
              <w:rPr>
                <w:sz w:val="18"/>
                <w:szCs w:val="18"/>
                <w:u w:val="single"/>
              </w:rPr>
              <w:t>“</w:t>
            </w:r>
            <w:r>
              <w:rPr>
                <w:rFonts w:hint="eastAsia"/>
                <w:sz w:val="18"/>
                <w:szCs w:val="18"/>
                <w:u w:val="single"/>
              </w:rPr>
              <w:t>占一补一、占补平衡</w:t>
            </w:r>
            <w:r>
              <w:rPr>
                <w:sz w:val="18"/>
                <w:szCs w:val="18"/>
                <w:u w:val="single"/>
              </w:rPr>
              <w:t>”</w:t>
            </w:r>
            <w:r>
              <w:rPr>
                <w:rFonts w:hint="eastAsia"/>
                <w:sz w:val="18"/>
                <w:szCs w:val="18"/>
                <w:u w:val="single"/>
              </w:rPr>
              <w:t>要求进行。</w:t>
            </w:r>
            <w:r>
              <w:rPr>
                <w:rFonts w:hint="eastAsia" w:cs="宋体"/>
                <w:sz w:val="18"/>
                <w:szCs w:val="18"/>
                <w:u w:val="single"/>
              </w:rPr>
              <w:t>项目沿线</w:t>
            </w:r>
            <w:r>
              <w:rPr>
                <w:rFonts w:hint="eastAsia" w:cs="宋体"/>
                <w:sz w:val="18"/>
                <w:szCs w:val="18"/>
                <w:u w:val="single"/>
                <w:lang w:val="en-US" w:eastAsia="zh-CN"/>
              </w:rPr>
              <w:t>基本农田</w:t>
            </w:r>
            <w:r>
              <w:rPr>
                <w:rFonts w:hint="eastAsia" w:cs="宋体"/>
                <w:sz w:val="18"/>
                <w:szCs w:val="18"/>
                <w:u w:val="single"/>
              </w:rPr>
              <w:t>主要分布在工程沿线：</w:t>
            </w:r>
            <w:r>
              <w:rPr>
                <w:rFonts w:cs="宋体"/>
                <w:sz w:val="18"/>
                <w:szCs w:val="18"/>
                <w:u w:val="single"/>
              </w:rPr>
              <w:t>K0+200~K5+900</w:t>
            </w:r>
            <w:r>
              <w:rPr>
                <w:rFonts w:hint="eastAsia" w:cs="宋体"/>
                <w:sz w:val="18"/>
                <w:szCs w:val="18"/>
                <w:u w:val="single"/>
              </w:rPr>
              <w:t>两侧</w:t>
            </w:r>
            <w:r>
              <w:rPr>
                <w:rFonts w:cs="宋体"/>
                <w:sz w:val="18"/>
                <w:szCs w:val="18"/>
                <w:u w:val="single"/>
              </w:rPr>
              <w:t>200m</w:t>
            </w:r>
            <w:r>
              <w:rPr>
                <w:rFonts w:hint="eastAsia" w:cs="宋体"/>
                <w:sz w:val="18"/>
                <w:szCs w:val="18"/>
                <w:u w:val="single"/>
              </w:rPr>
              <w:t>范围</w:t>
            </w:r>
            <w:r>
              <w:rPr>
                <w:rFonts w:hint="eastAsia"/>
                <w:sz w:val="18"/>
                <w:szCs w:val="18"/>
                <w:u w:val="single"/>
              </w:rPr>
              <w:t>公路沿线两侧。</w:t>
            </w:r>
          </w:p>
        </w:tc>
        <w:tc>
          <w:tcPr>
            <w:tcW w:w="2849" w:type="dxa"/>
            <w:vAlign w:val="center"/>
          </w:tcPr>
          <w:p>
            <w:pPr>
              <w:adjustRightInd w:val="0"/>
              <w:snapToGrid w:val="0"/>
              <w:jc w:val="center"/>
              <w:rPr>
                <w:rFonts w:hint="eastAsia" w:eastAsia="宋体"/>
                <w:sz w:val="18"/>
                <w:szCs w:val="18"/>
                <w:u w:val="single"/>
                <w:lang w:val="en-US" w:eastAsia="zh-CN"/>
              </w:rPr>
            </w:pPr>
            <w:r>
              <w:rPr>
                <w:rFonts w:hint="eastAsia"/>
                <w:sz w:val="18"/>
                <w:szCs w:val="18"/>
                <w:u w:val="single"/>
                <w:lang w:val="en-US" w:eastAsia="zh-CN"/>
              </w:rPr>
              <w:t>/</w:t>
            </w:r>
          </w:p>
        </w:tc>
        <w:tc>
          <w:tcPr>
            <w:tcW w:w="1398" w:type="dxa"/>
            <w:vAlign w:val="center"/>
          </w:tcPr>
          <w:p>
            <w:pPr>
              <w:pStyle w:val="112"/>
              <w:rPr>
                <w:rFonts w:hint="eastAsia"/>
                <w:kern w:val="2"/>
                <w:sz w:val="18"/>
                <w:szCs w:val="18"/>
                <w:u w:val="single"/>
              </w:rPr>
            </w:pPr>
            <w:r>
              <w:rPr>
                <w:rFonts w:hint="eastAsia"/>
                <w:kern w:val="2"/>
                <w:sz w:val="18"/>
                <w:szCs w:val="18"/>
                <w:u w:val="single"/>
              </w:rPr>
              <w:t>公路永久占地造成</w:t>
            </w:r>
            <w:r>
              <w:rPr>
                <w:rFonts w:hint="eastAsia"/>
                <w:kern w:val="2"/>
                <w:sz w:val="18"/>
                <w:szCs w:val="18"/>
                <w:u w:val="single"/>
                <w:lang w:val="en-US" w:eastAsia="zh-CN"/>
              </w:rPr>
              <w:t>基本农田受影响</w:t>
            </w:r>
          </w:p>
        </w:tc>
        <w:tc>
          <w:tcPr>
            <w:tcW w:w="2360" w:type="dxa"/>
            <w:vAlign w:val="center"/>
          </w:tcPr>
          <w:p>
            <w:pPr>
              <w:pStyle w:val="112"/>
              <w:rPr>
                <w:rFonts w:hint="eastAsia"/>
                <w:kern w:val="2"/>
                <w:sz w:val="18"/>
                <w:szCs w:val="18"/>
                <w:u w:val="single"/>
                <w:lang w:val="en-US" w:eastAsia="zh-CN"/>
              </w:rPr>
            </w:pPr>
            <w:r>
              <w:rPr>
                <w:rFonts w:hint="eastAsia"/>
                <w:kern w:val="2"/>
                <w:sz w:val="18"/>
                <w:szCs w:val="18"/>
                <w:u w:val="single"/>
              </w:rPr>
              <w:t>项目用地现正在进行土地利用性质调整，土地性质调整后不涉及基本农田。</w:t>
            </w:r>
          </w:p>
        </w:tc>
        <w:tc>
          <w:tcPr>
            <w:tcW w:w="3164" w:type="dxa"/>
            <w:vAlign w:val="center"/>
          </w:tcPr>
          <w:p>
            <w:pPr>
              <w:pStyle w:val="112"/>
              <w:rPr>
                <w:rFonts w:hint="eastAsia" w:eastAsia="宋体"/>
                <w:color w:val="FF0000"/>
                <w:kern w:val="2"/>
                <w:sz w:val="18"/>
                <w:szCs w:val="18"/>
                <w:u w:val="single"/>
                <w:lang w:val="en-US" w:eastAsia="zh-CN"/>
              </w:rPr>
            </w:pPr>
            <w:r>
              <w:rPr>
                <w:rFonts w:hint="eastAsia"/>
                <w:color w:val="auto"/>
                <w:kern w:val="2"/>
                <w:sz w:val="18"/>
                <w:szCs w:val="18"/>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723" w:type="dxa"/>
            <w:vAlign w:val="center"/>
          </w:tcPr>
          <w:p>
            <w:pPr>
              <w:pStyle w:val="112"/>
              <w:rPr>
                <w:kern w:val="2"/>
                <w:sz w:val="18"/>
                <w:szCs w:val="18"/>
                <w:u w:val="single"/>
              </w:rPr>
            </w:pPr>
            <w:r>
              <w:rPr>
                <w:rFonts w:hint="eastAsia"/>
                <w:kern w:val="2"/>
                <w:sz w:val="18"/>
                <w:szCs w:val="18"/>
                <w:u w:val="single"/>
              </w:rPr>
              <w:t>野生动物</w:t>
            </w:r>
          </w:p>
        </w:tc>
        <w:tc>
          <w:tcPr>
            <w:tcW w:w="3519" w:type="dxa"/>
            <w:vAlign w:val="center"/>
          </w:tcPr>
          <w:p>
            <w:pPr>
              <w:adjustRightInd w:val="0"/>
              <w:snapToGrid w:val="0"/>
              <w:jc w:val="center"/>
              <w:rPr>
                <w:kern w:val="0"/>
                <w:sz w:val="18"/>
                <w:szCs w:val="18"/>
                <w:u w:val="single"/>
              </w:rPr>
            </w:pPr>
            <w:r>
              <w:rPr>
                <w:rFonts w:hint="eastAsia" w:cs="宋体"/>
                <w:kern w:val="0"/>
                <w:sz w:val="18"/>
                <w:szCs w:val="18"/>
                <w:u w:val="single"/>
              </w:rPr>
              <w:t>工程沿线</w:t>
            </w:r>
            <w:r>
              <w:rPr>
                <w:kern w:val="0"/>
                <w:sz w:val="18"/>
                <w:szCs w:val="18"/>
                <w:u w:val="single"/>
              </w:rPr>
              <w:t>200m</w:t>
            </w:r>
            <w:r>
              <w:rPr>
                <w:rFonts w:hint="eastAsia" w:cs="宋体"/>
                <w:kern w:val="0"/>
                <w:sz w:val="18"/>
                <w:szCs w:val="18"/>
                <w:u w:val="single"/>
              </w:rPr>
              <w:t>范围</w:t>
            </w:r>
          </w:p>
        </w:tc>
        <w:tc>
          <w:tcPr>
            <w:tcW w:w="2849" w:type="dxa"/>
            <w:vAlign w:val="center"/>
          </w:tcPr>
          <w:p>
            <w:pPr>
              <w:adjustRightInd w:val="0"/>
              <w:snapToGrid w:val="0"/>
              <w:rPr>
                <w:kern w:val="0"/>
                <w:sz w:val="18"/>
                <w:szCs w:val="18"/>
                <w:u w:val="single"/>
              </w:rPr>
            </w:pPr>
            <w:r>
              <w:rPr>
                <w:rFonts w:hint="eastAsia" w:cs="宋体"/>
                <w:kern w:val="0"/>
                <w:sz w:val="18"/>
                <w:szCs w:val="18"/>
                <w:u w:val="single"/>
              </w:rPr>
              <w:t>野生动物分布较少，无大型野生动物分布，主要为常见小型啮齿类动物以及蛇类、蛙类、鸟类为主。</w:t>
            </w:r>
          </w:p>
        </w:tc>
        <w:tc>
          <w:tcPr>
            <w:tcW w:w="1398" w:type="dxa"/>
            <w:vAlign w:val="center"/>
          </w:tcPr>
          <w:p>
            <w:pPr>
              <w:adjustRightInd w:val="0"/>
              <w:snapToGrid w:val="0"/>
              <w:rPr>
                <w:kern w:val="0"/>
                <w:sz w:val="18"/>
                <w:szCs w:val="18"/>
                <w:u w:val="single"/>
              </w:rPr>
            </w:pPr>
            <w:r>
              <w:rPr>
                <w:rFonts w:hint="eastAsia" w:cs="宋体"/>
                <w:kern w:val="0"/>
                <w:sz w:val="18"/>
                <w:szCs w:val="18"/>
                <w:u w:val="single"/>
              </w:rPr>
              <w:t>施工期的对其生境的扰动，公路建成后对动物的阻隔作用</w:t>
            </w:r>
          </w:p>
        </w:tc>
        <w:tc>
          <w:tcPr>
            <w:tcW w:w="2360" w:type="dxa"/>
            <w:vAlign w:val="center"/>
          </w:tcPr>
          <w:p>
            <w:pPr>
              <w:adjustRightInd w:val="0"/>
              <w:snapToGrid w:val="0"/>
              <w:rPr>
                <w:kern w:val="0"/>
                <w:sz w:val="18"/>
                <w:szCs w:val="18"/>
                <w:u w:val="single"/>
              </w:rPr>
            </w:pPr>
            <w:r>
              <w:rPr>
                <w:rFonts w:hint="eastAsia" w:cs="宋体"/>
                <w:kern w:val="0"/>
                <w:sz w:val="18"/>
                <w:szCs w:val="18"/>
                <w:u w:val="single"/>
              </w:rPr>
              <w:t>减少对沿线野生动物的影响</w:t>
            </w:r>
          </w:p>
        </w:tc>
        <w:tc>
          <w:tcPr>
            <w:tcW w:w="3164" w:type="dxa"/>
            <w:vAlign w:val="center"/>
          </w:tcPr>
          <w:p>
            <w:pPr>
              <w:pStyle w:val="112"/>
              <w:rPr>
                <w:kern w:val="2"/>
                <w:sz w:val="18"/>
                <w:szCs w:val="18"/>
                <w:u w:val="single"/>
              </w:rPr>
            </w:pPr>
            <w:r>
              <w:rPr>
                <w:kern w:val="2"/>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723" w:type="dxa"/>
            <w:vAlign w:val="center"/>
          </w:tcPr>
          <w:p>
            <w:pPr>
              <w:pStyle w:val="112"/>
              <w:rPr>
                <w:kern w:val="2"/>
                <w:sz w:val="18"/>
                <w:szCs w:val="18"/>
                <w:u w:val="single"/>
              </w:rPr>
            </w:pPr>
            <w:r>
              <w:rPr>
                <w:rFonts w:hint="eastAsia"/>
                <w:kern w:val="2"/>
                <w:sz w:val="18"/>
                <w:szCs w:val="18"/>
                <w:u w:val="single"/>
              </w:rPr>
              <w:t>生态景观</w:t>
            </w:r>
          </w:p>
        </w:tc>
        <w:tc>
          <w:tcPr>
            <w:tcW w:w="3519" w:type="dxa"/>
            <w:vAlign w:val="center"/>
          </w:tcPr>
          <w:p>
            <w:pPr>
              <w:adjustRightInd w:val="0"/>
              <w:snapToGrid w:val="0"/>
              <w:jc w:val="center"/>
              <w:rPr>
                <w:rFonts w:cs="宋体"/>
                <w:kern w:val="0"/>
                <w:sz w:val="18"/>
                <w:szCs w:val="18"/>
                <w:u w:val="single"/>
              </w:rPr>
            </w:pPr>
            <w:r>
              <w:rPr>
                <w:rFonts w:hint="eastAsia" w:cs="宋体"/>
                <w:kern w:val="0"/>
                <w:sz w:val="18"/>
                <w:szCs w:val="18"/>
                <w:u w:val="single"/>
              </w:rPr>
              <w:t>工程沿线</w:t>
            </w:r>
          </w:p>
        </w:tc>
        <w:tc>
          <w:tcPr>
            <w:tcW w:w="2849" w:type="dxa"/>
            <w:vAlign w:val="center"/>
          </w:tcPr>
          <w:p>
            <w:pPr>
              <w:adjustRightInd w:val="0"/>
              <w:snapToGrid w:val="0"/>
              <w:rPr>
                <w:rFonts w:cs="宋体"/>
                <w:kern w:val="0"/>
                <w:sz w:val="18"/>
                <w:szCs w:val="18"/>
                <w:u w:val="single"/>
              </w:rPr>
            </w:pPr>
            <w:r>
              <w:rPr>
                <w:rFonts w:hint="eastAsia" w:cs="宋体"/>
                <w:kern w:val="0"/>
                <w:sz w:val="18"/>
                <w:szCs w:val="18"/>
                <w:u w:val="single"/>
              </w:rPr>
              <w:t>沿线分布的生态景观包括：林地景观、农田景观、城镇景观、农村居民点等景观</w:t>
            </w:r>
          </w:p>
        </w:tc>
        <w:tc>
          <w:tcPr>
            <w:tcW w:w="1398" w:type="dxa"/>
            <w:vAlign w:val="center"/>
          </w:tcPr>
          <w:p>
            <w:pPr>
              <w:adjustRightInd w:val="0"/>
              <w:snapToGrid w:val="0"/>
              <w:rPr>
                <w:rFonts w:cs="宋体"/>
                <w:kern w:val="0"/>
                <w:sz w:val="18"/>
                <w:szCs w:val="18"/>
                <w:u w:val="single"/>
              </w:rPr>
            </w:pPr>
            <w:r>
              <w:rPr>
                <w:rFonts w:hint="eastAsia" w:cs="宋体"/>
                <w:kern w:val="0"/>
                <w:sz w:val="18"/>
                <w:szCs w:val="18"/>
                <w:u w:val="single"/>
              </w:rPr>
              <w:t>工地占用，施工期造成植被破坏和景观破坏</w:t>
            </w:r>
          </w:p>
        </w:tc>
        <w:tc>
          <w:tcPr>
            <w:tcW w:w="2360" w:type="dxa"/>
            <w:vAlign w:val="center"/>
          </w:tcPr>
          <w:p>
            <w:pPr>
              <w:adjustRightInd w:val="0"/>
              <w:snapToGrid w:val="0"/>
              <w:rPr>
                <w:rFonts w:cs="宋体"/>
                <w:kern w:val="0"/>
                <w:sz w:val="18"/>
                <w:szCs w:val="18"/>
                <w:u w:val="single"/>
              </w:rPr>
            </w:pPr>
            <w:r>
              <w:rPr>
                <w:rFonts w:hint="eastAsia" w:cs="宋体"/>
                <w:kern w:val="0"/>
                <w:sz w:val="18"/>
                <w:szCs w:val="18"/>
                <w:u w:val="single"/>
              </w:rPr>
              <w:t>尽量减少土地占用，对受影响的植被和景观的恢复</w:t>
            </w:r>
          </w:p>
        </w:tc>
        <w:tc>
          <w:tcPr>
            <w:tcW w:w="3164" w:type="dxa"/>
            <w:vAlign w:val="center"/>
          </w:tcPr>
          <w:p>
            <w:pPr>
              <w:pStyle w:val="112"/>
              <w:rPr>
                <w:kern w:val="2"/>
                <w:sz w:val="18"/>
                <w:szCs w:val="18"/>
                <w:u w:val="single"/>
              </w:rPr>
            </w:pPr>
            <w:r>
              <w:rPr>
                <w:kern w:val="2"/>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723" w:type="dxa"/>
            <w:vAlign w:val="center"/>
          </w:tcPr>
          <w:p>
            <w:pPr>
              <w:pStyle w:val="112"/>
              <w:rPr>
                <w:kern w:val="2"/>
                <w:sz w:val="18"/>
                <w:szCs w:val="18"/>
                <w:u w:val="single"/>
              </w:rPr>
            </w:pPr>
            <w:r>
              <w:rPr>
                <w:rFonts w:hint="eastAsia"/>
                <w:kern w:val="2"/>
                <w:sz w:val="18"/>
                <w:szCs w:val="18"/>
                <w:u w:val="single"/>
              </w:rPr>
              <w:t>水土保持</w:t>
            </w:r>
          </w:p>
        </w:tc>
        <w:tc>
          <w:tcPr>
            <w:tcW w:w="3519" w:type="dxa"/>
            <w:vAlign w:val="center"/>
          </w:tcPr>
          <w:p>
            <w:pPr>
              <w:pStyle w:val="112"/>
              <w:rPr>
                <w:kern w:val="2"/>
                <w:sz w:val="18"/>
                <w:szCs w:val="18"/>
                <w:u w:val="single"/>
              </w:rPr>
            </w:pPr>
            <w:r>
              <w:rPr>
                <w:rFonts w:hint="eastAsia"/>
                <w:kern w:val="2"/>
                <w:sz w:val="18"/>
                <w:szCs w:val="18"/>
                <w:u w:val="single"/>
              </w:rPr>
              <w:t>主体工程区、施工生产生活区、取土场、弃渣场、施工便道及其它临时用地</w:t>
            </w:r>
          </w:p>
        </w:tc>
        <w:tc>
          <w:tcPr>
            <w:tcW w:w="2849" w:type="dxa"/>
            <w:vAlign w:val="center"/>
          </w:tcPr>
          <w:p>
            <w:pPr>
              <w:pStyle w:val="112"/>
              <w:rPr>
                <w:kern w:val="2"/>
                <w:sz w:val="18"/>
                <w:szCs w:val="18"/>
                <w:highlight w:val="yellow"/>
                <w:u w:val="single"/>
              </w:rPr>
            </w:pPr>
            <w:r>
              <w:rPr>
                <w:rFonts w:hint="eastAsia"/>
                <w:kern w:val="2"/>
                <w:sz w:val="18"/>
                <w:szCs w:val="18"/>
                <w:u w:val="single"/>
              </w:rPr>
              <w:t>根据项目水保资料，沿线规划</w:t>
            </w:r>
            <w:r>
              <w:rPr>
                <w:kern w:val="2"/>
                <w:sz w:val="18"/>
                <w:szCs w:val="18"/>
                <w:u w:val="single"/>
              </w:rPr>
              <w:t>3</w:t>
            </w:r>
            <w:r>
              <w:rPr>
                <w:rFonts w:hint="eastAsia"/>
                <w:kern w:val="2"/>
                <w:sz w:val="18"/>
                <w:szCs w:val="18"/>
                <w:u w:val="single"/>
              </w:rPr>
              <w:t>处施工生产生活区、</w:t>
            </w:r>
            <w:r>
              <w:rPr>
                <w:kern w:val="2"/>
                <w:sz w:val="18"/>
                <w:szCs w:val="18"/>
                <w:u w:val="single"/>
              </w:rPr>
              <w:t>3</w:t>
            </w:r>
            <w:r>
              <w:rPr>
                <w:rFonts w:hint="eastAsia"/>
                <w:kern w:val="2"/>
                <w:sz w:val="18"/>
                <w:szCs w:val="18"/>
                <w:u w:val="single"/>
              </w:rPr>
              <w:t>处弃渣场，新修施工便道</w:t>
            </w:r>
            <w:r>
              <w:rPr>
                <w:kern w:val="2"/>
                <w:sz w:val="18"/>
                <w:szCs w:val="18"/>
                <w:u w:val="single"/>
              </w:rPr>
              <w:t>4.185km</w:t>
            </w:r>
            <w:r>
              <w:rPr>
                <w:rFonts w:hint="eastAsia"/>
                <w:kern w:val="2"/>
                <w:sz w:val="18"/>
                <w:szCs w:val="18"/>
                <w:u w:val="single"/>
              </w:rPr>
              <w:t>。</w:t>
            </w:r>
          </w:p>
        </w:tc>
        <w:tc>
          <w:tcPr>
            <w:tcW w:w="1398" w:type="dxa"/>
            <w:vAlign w:val="center"/>
          </w:tcPr>
          <w:p>
            <w:pPr>
              <w:pStyle w:val="112"/>
              <w:jc w:val="both"/>
              <w:rPr>
                <w:kern w:val="2"/>
                <w:sz w:val="18"/>
                <w:szCs w:val="18"/>
                <w:u w:val="single"/>
              </w:rPr>
            </w:pPr>
            <w:r>
              <w:rPr>
                <w:rFonts w:hint="eastAsia"/>
                <w:kern w:val="2"/>
                <w:sz w:val="18"/>
                <w:szCs w:val="18"/>
                <w:u w:val="single"/>
              </w:rPr>
              <w:t>施工造成植被损坏、景观破坏，产生次生水土流失。</w:t>
            </w:r>
          </w:p>
        </w:tc>
        <w:tc>
          <w:tcPr>
            <w:tcW w:w="2360" w:type="dxa"/>
            <w:vAlign w:val="center"/>
          </w:tcPr>
          <w:p>
            <w:pPr>
              <w:pStyle w:val="112"/>
              <w:rPr>
                <w:kern w:val="2"/>
                <w:sz w:val="18"/>
                <w:szCs w:val="18"/>
                <w:u w:val="single"/>
              </w:rPr>
            </w:pPr>
            <w:r>
              <w:rPr>
                <w:rFonts w:hint="eastAsia"/>
                <w:kern w:val="2"/>
                <w:sz w:val="18"/>
                <w:szCs w:val="18"/>
                <w:u w:val="single"/>
              </w:rPr>
              <w:t>控制水土流失规模，减少取弃土量，使评价范围内的生态环境质量基本保持现有情况</w:t>
            </w:r>
          </w:p>
        </w:tc>
        <w:tc>
          <w:tcPr>
            <w:tcW w:w="3164" w:type="dxa"/>
            <w:vAlign w:val="center"/>
          </w:tcPr>
          <w:p>
            <w:pPr>
              <w:pStyle w:val="112"/>
              <w:rPr>
                <w:kern w:val="2"/>
                <w:sz w:val="18"/>
                <w:szCs w:val="18"/>
                <w:u w:val="single"/>
              </w:rPr>
            </w:pPr>
            <w:r>
              <w:rPr>
                <w:kern w:val="2"/>
                <w:sz w:val="18"/>
                <w:szCs w:val="18"/>
                <w:u w:val="single"/>
              </w:rPr>
              <w:t>/</w:t>
            </w:r>
          </w:p>
        </w:tc>
      </w:tr>
    </w:tbl>
    <w:p>
      <w:pPr>
        <w:pStyle w:val="114"/>
        <w:rPr>
          <w:rFonts w:ascii="宋体" w:eastAsia="宋体"/>
          <w:u w:val="single"/>
        </w:rPr>
      </w:pPr>
      <w:r>
        <w:rPr>
          <w:color w:val="FF0000"/>
        </w:rPr>
        <w:br w:type="page"/>
      </w:r>
      <w:bookmarkEnd w:id="101"/>
      <w:bookmarkStart w:id="104" w:name="_Ref356230745"/>
      <w:r>
        <w:rPr>
          <w:rFonts w:hint="eastAsia"/>
          <w:u w:val="single"/>
        </w:rPr>
        <w:t>表</w:t>
      </w:r>
      <w:bookmarkEnd w:id="104"/>
      <w:r>
        <w:rPr>
          <w:u w:val="single"/>
        </w:rPr>
        <w:t xml:space="preserve">2.6-4      </w:t>
      </w:r>
      <w:r>
        <w:rPr>
          <w:rFonts w:hint="eastAsia" w:ascii="宋体" w:hAnsi="宋体"/>
          <w:u w:val="single"/>
        </w:rPr>
        <w:t>拟建道路沿线大气、噪声主要保护目标</w:t>
      </w:r>
    </w:p>
    <w:tbl>
      <w:tblPr>
        <w:tblStyle w:val="65"/>
        <w:tblW w:w="1401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10"/>
        <w:gridCol w:w="1296"/>
        <w:gridCol w:w="1374"/>
        <w:gridCol w:w="961"/>
        <w:gridCol w:w="701"/>
        <w:gridCol w:w="1410"/>
        <w:gridCol w:w="656"/>
        <w:gridCol w:w="426"/>
        <w:gridCol w:w="398"/>
        <w:gridCol w:w="1410"/>
        <w:gridCol w:w="1101"/>
        <w:gridCol w:w="38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blHeader/>
        </w:trPr>
        <w:tc>
          <w:tcPr>
            <w:tcW w:w="410"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序号</w:t>
            </w:r>
          </w:p>
        </w:tc>
        <w:tc>
          <w:tcPr>
            <w:tcW w:w="1296"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保护目标</w:t>
            </w:r>
          </w:p>
          <w:p>
            <w:pPr>
              <w:jc w:val="center"/>
              <w:rPr>
                <w:sz w:val="18"/>
                <w:szCs w:val="18"/>
                <w:u w:val="single"/>
              </w:rPr>
            </w:pPr>
            <w:r>
              <w:rPr>
                <w:rFonts w:hint="eastAsia"/>
                <w:sz w:val="18"/>
                <w:szCs w:val="18"/>
                <w:u w:val="single"/>
              </w:rPr>
              <w:t>名称</w:t>
            </w:r>
          </w:p>
        </w:tc>
        <w:tc>
          <w:tcPr>
            <w:tcW w:w="1374"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桩号</w:t>
            </w:r>
          </w:p>
        </w:tc>
        <w:tc>
          <w:tcPr>
            <w:tcW w:w="961" w:type="dxa"/>
            <w:vMerge w:val="restart"/>
            <w:tcBorders>
              <w:top w:val="single" w:color="auto" w:sz="4" w:space="0"/>
              <w:left w:val="single" w:color="auto" w:sz="4" w:space="0"/>
              <w:bottom w:val="single" w:color="auto" w:sz="4" w:space="0"/>
              <w:right w:val="single" w:color="auto" w:sz="4" w:space="0"/>
            </w:tcBorders>
            <w:vAlign w:val="center"/>
          </w:tcPr>
          <w:p>
            <w:pPr>
              <w:rPr>
                <w:sz w:val="18"/>
                <w:szCs w:val="18"/>
                <w:u w:val="single"/>
              </w:rPr>
            </w:pPr>
            <w:r>
              <w:rPr>
                <w:rFonts w:hint="eastAsia"/>
                <w:sz w:val="18"/>
                <w:szCs w:val="18"/>
                <w:u w:val="single"/>
              </w:rPr>
              <w:t>首排房距中心线</w:t>
            </w:r>
            <w:r>
              <w:rPr>
                <w:sz w:val="18"/>
                <w:szCs w:val="18"/>
                <w:u w:val="single"/>
              </w:rPr>
              <w:t>/</w:t>
            </w:r>
            <w:r>
              <w:rPr>
                <w:rFonts w:hint="eastAsia"/>
                <w:sz w:val="18"/>
                <w:szCs w:val="18"/>
                <w:u w:val="single"/>
              </w:rPr>
              <w:t>红线最近距离（</w:t>
            </w:r>
            <w:r>
              <w:rPr>
                <w:sz w:val="18"/>
                <w:szCs w:val="18"/>
                <w:u w:val="single"/>
              </w:rPr>
              <w:t>m</w:t>
            </w:r>
            <w:r>
              <w:rPr>
                <w:rFonts w:hint="eastAsia"/>
                <w:sz w:val="18"/>
                <w:szCs w:val="18"/>
                <w:u w:val="single"/>
              </w:rPr>
              <w:t>）</w:t>
            </w:r>
          </w:p>
        </w:tc>
        <w:tc>
          <w:tcPr>
            <w:tcW w:w="701"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与路面高差（</w:t>
            </w:r>
            <w:r>
              <w:rPr>
                <w:sz w:val="18"/>
                <w:szCs w:val="18"/>
                <w:u w:val="single"/>
              </w:rPr>
              <w:t>m</w:t>
            </w:r>
            <w:r>
              <w:rPr>
                <w:rFonts w:hint="eastAsia"/>
                <w:sz w:val="18"/>
                <w:szCs w:val="18"/>
                <w:u w:val="single"/>
              </w:rPr>
              <w:t>）</w:t>
            </w:r>
          </w:p>
        </w:tc>
        <w:tc>
          <w:tcPr>
            <w:tcW w:w="1410"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距红线</w:t>
            </w:r>
            <w:r>
              <w:rPr>
                <w:sz w:val="18"/>
                <w:szCs w:val="18"/>
                <w:u w:val="single"/>
              </w:rPr>
              <w:t>35m</w:t>
            </w:r>
            <w:r>
              <w:rPr>
                <w:rFonts w:hint="eastAsia"/>
                <w:sz w:val="18"/>
                <w:szCs w:val="18"/>
                <w:u w:val="single"/>
              </w:rPr>
              <w:t>内首排房户数</w:t>
            </w:r>
            <w:r>
              <w:rPr>
                <w:sz w:val="18"/>
                <w:szCs w:val="18"/>
                <w:u w:val="single"/>
              </w:rPr>
              <w:t>/</w:t>
            </w:r>
            <w:r>
              <w:rPr>
                <w:rFonts w:hint="eastAsia"/>
                <w:sz w:val="18"/>
                <w:szCs w:val="18"/>
                <w:u w:val="single"/>
              </w:rPr>
              <w:t>首排至距红线</w:t>
            </w:r>
            <w:r>
              <w:rPr>
                <w:sz w:val="18"/>
                <w:szCs w:val="18"/>
                <w:u w:val="single"/>
              </w:rPr>
              <w:t>35m</w:t>
            </w:r>
            <w:r>
              <w:rPr>
                <w:rFonts w:hint="eastAsia"/>
                <w:sz w:val="18"/>
                <w:szCs w:val="18"/>
                <w:u w:val="single"/>
              </w:rPr>
              <w:t>内户数</w:t>
            </w:r>
            <w:r>
              <w:rPr>
                <w:sz w:val="18"/>
                <w:szCs w:val="18"/>
                <w:u w:val="single"/>
              </w:rPr>
              <w:t>/</w:t>
            </w:r>
            <w:r>
              <w:rPr>
                <w:rFonts w:hint="eastAsia"/>
                <w:sz w:val="18"/>
                <w:szCs w:val="18"/>
                <w:u w:val="single"/>
              </w:rPr>
              <w:t>距红线</w:t>
            </w:r>
            <w:r>
              <w:rPr>
                <w:sz w:val="18"/>
                <w:szCs w:val="18"/>
                <w:u w:val="single"/>
              </w:rPr>
              <w:t>35m~200m</w:t>
            </w:r>
            <w:r>
              <w:rPr>
                <w:rFonts w:hint="eastAsia"/>
                <w:sz w:val="18"/>
                <w:szCs w:val="18"/>
                <w:u w:val="single"/>
              </w:rPr>
              <w:t>范围内户数</w:t>
            </w:r>
          </w:p>
        </w:tc>
        <w:tc>
          <w:tcPr>
            <w:tcW w:w="656"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与路</w:t>
            </w:r>
          </w:p>
          <w:p>
            <w:pPr>
              <w:jc w:val="center"/>
              <w:rPr>
                <w:sz w:val="18"/>
                <w:szCs w:val="18"/>
                <w:u w:val="single"/>
              </w:rPr>
            </w:pPr>
            <w:r>
              <w:rPr>
                <w:rFonts w:hint="eastAsia"/>
                <w:sz w:val="18"/>
                <w:szCs w:val="18"/>
                <w:u w:val="single"/>
              </w:rPr>
              <w:t>关系</w:t>
            </w:r>
          </w:p>
        </w:tc>
        <w:tc>
          <w:tcPr>
            <w:tcW w:w="824" w:type="dxa"/>
            <w:gridSpan w:val="2"/>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户数</w:t>
            </w:r>
          </w:p>
        </w:tc>
        <w:tc>
          <w:tcPr>
            <w:tcW w:w="1410"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环境特征</w:t>
            </w:r>
          </w:p>
        </w:tc>
        <w:tc>
          <w:tcPr>
            <w:tcW w:w="1101"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营运期环境空气</w:t>
            </w:r>
            <w:r>
              <w:rPr>
                <w:sz w:val="18"/>
                <w:szCs w:val="18"/>
                <w:u w:val="single"/>
              </w:rPr>
              <w:t>/</w:t>
            </w:r>
            <w:r>
              <w:rPr>
                <w:rFonts w:hint="eastAsia"/>
                <w:sz w:val="18"/>
                <w:szCs w:val="18"/>
                <w:u w:val="single"/>
              </w:rPr>
              <w:t>声环境</w:t>
            </w:r>
          </w:p>
          <w:p>
            <w:pPr>
              <w:jc w:val="center"/>
              <w:rPr>
                <w:sz w:val="18"/>
                <w:szCs w:val="18"/>
                <w:u w:val="single"/>
              </w:rPr>
            </w:pPr>
            <w:r>
              <w:rPr>
                <w:rFonts w:hint="eastAsia"/>
                <w:sz w:val="18"/>
                <w:szCs w:val="18"/>
                <w:u w:val="single"/>
              </w:rPr>
              <w:t>执行标准</w:t>
            </w:r>
          </w:p>
        </w:tc>
        <w:tc>
          <w:tcPr>
            <w:tcW w:w="3870"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现场照片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1" w:hRule="atLeast"/>
          <w:tblHeader/>
        </w:trPr>
        <w:tc>
          <w:tcPr>
            <w:tcW w:w="410"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p>
        </w:tc>
        <w:tc>
          <w:tcPr>
            <w:tcW w:w="1374"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p>
        </w:tc>
        <w:tc>
          <w:tcPr>
            <w:tcW w:w="961"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p>
        </w:tc>
        <w:tc>
          <w:tcPr>
            <w:tcW w:w="1410"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p>
        </w:tc>
        <w:tc>
          <w:tcPr>
            <w:tcW w:w="656"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p>
        </w:tc>
        <w:tc>
          <w:tcPr>
            <w:tcW w:w="42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4a</w:t>
            </w:r>
            <w:r>
              <w:rPr>
                <w:rFonts w:hint="eastAsia"/>
                <w:sz w:val="18"/>
                <w:szCs w:val="18"/>
                <w:u w:val="single"/>
              </w:rPr>
              <w:t>类</w:t>
            </w:r>
          </w:p>
        </w:tc>
        <w:tc>
          <w:tcPr>
            <w:tcW w:w="398"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2</w:t>
            </w:r>
            <w:r>
              <w:rPr>
                <w:rFonts w:hint="eastAsia"/>
                <w:sz w:val="18"/>
                <w:szCs w:val="18"/>
                <w:u w:val="single"/>
              </w:rPr>
              <w:t>类</w:t>
            </w:r>
          </w:p>
        </w:tc>
        <w:tc>
          <w:tcPr>
            <w:tcW w:w="1410"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p>
        </w:tc>
        <w:tc>
          <w:tcPr>
            <w:tcW w:w="1101"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p>
        </w:tc>
        <w:tc>
          <w:tcPr>
            <w:tcW w:w="3870" w:type="dxa"/>
            <w:vMerge w:val="continue"/>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410" w:type="dxa"/>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u w:val="single"/>
              </w:rPr>
            </w:pPr>
            <w:r>
              <w:rPr>
                <w:sz w:val="18"/>
                <w:szCs w:val="18"/>
                <w:u w:val="single"/>
              </w:rPr>
              <w:t>1</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弼时镇铜盆村居民点（起点）</w:t>
            </w:r>
          </w:p>
        </w:tc>
        <w:tc>
          <w:tcPr>
            <w:tcW w:w="1374"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K0+000~K0+850</w:t>
            </w:r>
            <w:r>
              <w:rPr>
                <w:rFonts w:hint="eastAsia"/>
                <w:sz w:val="18"/>
                <w:szCs w:val="18"/>
                <w:u w:val="single"/>
                <w:lang w:eastAsia="zh-CN"/>
              </w:rPr>
              <w:t>（</w:t>
            </w:r>
            <w:r>
              <w:rPr>
                <w:rFonts w:hint="eastAsia"/>
                <w:sz w:val="18"/>
                <w:szCs w:val="18"/>
                <w:u w:val="single"/>
                <w:lang w:val="en-US" w:eastAsia="zh-CN"/>
              </w:rPr>
              <w:t>新建</w:t>
            </w:r>
            <w:r>
              <w:rPr>
                <w:rFonts w:hint="eastAsia"/>
                <w:sz w:val="18"/>
                <w:szCs w:val="18"/>
                <w:u w:val="single"/>
                <w:lang w:eastAsia="zh-CN"/>
              </w:rPr>
              <w:t>）</w:t>
            </w:r>
          </w:p>
          <w:p>
            <w:pPr>
              <w:jc w:val="center"/>
              <w:rPr>
                <w:sz w:val="18"/>
                <w:szCs w:val="18"/>
                <w:u w:val="single"/>
              </w:rPr>
            </w:pPr>
          </w:p>
        </w:tc>
        <w:tc>
          <w:tcPr>
            <w:tcW w:w="96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18.75/</w:t>
            </w:r>
            <w:r>
              <w:rPr>
                <w:rFonts w:hint="eastAsia"/>
                <w:sz w:val="18"/>
                <w:szCs w:val="18"/>
                <w:u w:val="single"/>
                <w:lang w:val="en-US" w:eastAsia="zh-CN"/>
              </w:rPr>
              <w:t>5</w:t>
            </w: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0</w:t>
            </w:r>
          </w:p>
        </w:tc>
        <w:tc>
          <w:tcPr>
            <w:tcW w:w="1410" w:type="dxa"/>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yellow"/>
                <w:u w:val="single"/>
              </w:rPr>
            </w:pPr>
            <w:r>
              <w:rPr>
                <w:sz w:val="18"/>
                <w:szCs w:val="18"/>
                <w:u w:val="single"/>
              </w:rPr>
              <w:t>5/0/30</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路两侧；侧对</w:t>
            </w:r>
          </w:p>
        </w:tc>
        <w:tc>
          <w:tcPr>
            <w:tcW w:w="42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5</w:t>
            </w:r>
          </w:p>
        </w:tc>
        <w:tc>
          <w:tcPr>
            <w:tcW w:w="398"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30</w:t>
            </w:r>
          </w:p>
        </w:tc>
        <w:tc>
          <w:tcPr>
            <w:tcW w:w="141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kern w:val="0"/>
                <w:sz w:val="18"/>
                <w:szCs w:val="18"/>
                <w:u w:val="single"/>
              </w:rPr>
              <w:t>项目起</w:t>
            </w:r>
            <w:r>
              <w:rPr>
                <w:rFonts w:hint="eastAsia"/>
                <w:sz w:val="18"/>
                <w:szCs w:val="18"/>
                <w:u w:val="single"/>
              </w:rPr>
              <w:t>点</w:t>
            </w:r>
            <w:r>
              <w:rPr>
                <w:rFonts w:hint="eastAsia"/>
                <w:kern w:val="0"/>
                <w:sz w:val="18"/>
                <w:szCs w:val="18"/>
                <w:u w:val="single"/>
              </w:rPr>
              <w:t>位于汨罗市弼时镇铜盆村</w:t>
            </w:r>
            <w:r>
              <w:rPr>
                <w:rFonts w:hint="eastAsia"/>
                <w:sz w:val="18"/>
                <w:szCs w:val="18"/>
                <w:u w:val="single"/>
              </w:rPr>
              <w:t>。现有居民楼多为</w:t>
            </w:r>
            <w:r>
              <w:rPr>
                <w:sz w:val="18"/>
                <w:szCs w:val="18"/>
                <w:u w:val="single"/>
              </w:rPr>
              <w:t>1~3</w:t>
            </w:r>
            <w:r>
              <w:rPr>
                <w:rFonts w:hint="eastAsia"/>
                <w:sz w:val="18"/>
                <w:szCs w:val="18"/>
                <w:u w:val="single"/>
              </w:rPr>
              <w:t>层砖混结构房，房屋质量较好</w:t>
            </w:r>
          </w:p>
        </w:tc>
        <w:tc>
          <w:tcPr>
            <w:tcW w:w="110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二级</w:t>
            </w:r>
            <w:r>
              <w:rPr>
                <w:sz w:val="18"/>
                <w:szCs w:val="18"/>
                <w:u w:val="single"/>
              </w:rPr>
              <w:t>/4a</w:t>
            </w:r>
            <w:r>
              <w:rPr>
                <w:rFonts w:hint="eastAsia"/>
                <w:sz w:val="18"/>
                <w:szCs w:val="18"/>
                <w:u w:val="single"/>
              </w:rPr>
              <w:t>类、</w:t>
            </w:r>
          </w:p>
          <w:p>
            <w:pPr>
              <w:jc w:val="center"/>
              <w:rPr>
                <w:sz w:val="18"/>
                <w:szCs w:val="18"/>
                <w:u w:val="single"/>
              </w:rPr>
            </w:pPr>
            <w:r>
              <w:rPr>
                <w:sz w:val="18"/>
                <w:szCs w:val="18"/>
                <w:u w:val="single"/>
              </w:rPr>
              <w:t>2</w:t>
            </w:r>
            <w:r>
              <w:rPr>
                <w:rFonts w:hint="eastAsia"/>
                <w:sz w:val="18"/>
                <w:szCs w:val="18"/>
                <w:u w:val="single"/>
              </w:rPr>
              <w:t>类</w:t>
            </w:r>
          </w:p>
        </w:tc>
        <w:tc>
          <w:tcPr>
            <w:tcW w:w="387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u w:val="single"/>
              </w:rPr>
              <w:pict>
                <v:shape id="文本框 127" o:spid="_x0000_s1027" o:spt="202" type="#_x0000_t202" style="position:absolute;left:0pt;margin-left:62.4pt;margin-top:116.25pt;height:21.65pt;width:96.05pt;z-index:251640832;mso-width-relative:page;mso-height-relative:page;" filled="f" stroked="f" coordsize="21600,21600">
                  <v:path/>
                  <v:fill on="f" focussize="0,0"/>
                  <v:stroke on="f" joinstyle="miter"/>
                  <v:imagedata o:title=""/>
                  <o:lock v:ext="edit"/>
                  <v:textbox inset="7.19992125984252pt,1.27mm,7.19992125984252pt,1.27mm">
                    <w:txbxContent>
                      <w:p>
                        <w:pPr>
                          <w:rPr>
                            <w:color w:val="FF0000"/>
                          </w:rPr>
                        </w:pPr>
                        <w:r>
                          <w:rPr>
                            <w:rFonts w:hint="eastAsia"/>
                            <w:color w:val="FF0000"/>
                          </w:rPr>
                          <w:t>项目线路走向</w:t>
                        </w:r>
                      </w:p>
                    </w:txbxContent>
                  </v:textbox>
                </v:shape>
              </w:pict>
            </w:r>
            <w:r>
              <w:rPr>
                <w:u w:val="single"/>
              </w:rPr>
              <w:pict>
                <v:shape id="_x0000_s1028" o:spid="_x0000_s1028" o:spt="13" type="#_x0000_t13" style="position:absolute;left:0pt;margin-left:107.85pt;margin-top:106.15pt;height:7.6pt;width:38.4pt;rotation:-7239988f;z-index:251646976;mso-width-relative:page;mso-height-relative:page;" fillcolor="#FF0000" filled="t" stroked="t" coordsize="21600,21600">
                  <v:path/>
                  <v:fill on="t" focussize="0,0"/>
                  <v:stroke weight="1.25pt" color="#8DB3E2" joinstyle="miter"/>
                  <v:imagedata o:title=""/>
                  <o:lock v:ext="edit"/>
                </v:shape>
              </w:pict>
            </w:r>
            <w:r>
              <w:rPr>
                <w:sz w:val="18"/>
                <w:szCs w:val="18"/>
                <w:u w:val="single"/>
              </w:rPr>
              <w:pict>
                <v:shape id="_x0000_i1032" o:spt="75" alt="06CBCEFB9F19D0BF47A2DA6786550AD2" type="#_x0000_t75" style="height:171pt;width:139.5pt;rotation:5898240f;" filled="f" o:preferrelative="t" stroked="f" coordsize="21600,21600">
                  <v:path/>
                  <v:fill on="f" focussize="0,0"/>
                  <v:stroke on="f" joinstyle="miter"/>
                  <v:imagedata r:id="rId22" cropright="25872f" o:title=""/>
                  <o:lock v:ext="edit" aspectratio="t"/>
                  <w10:wrap type="none"/>
                  <w10:anchorlock/>
                </v:shape>
              </w:pic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41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2</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弼时镇桃花村居民点</w:t>
            </w:r>
          </w:p>
        </w:tc>
        <w:tc>
          <w:tcPr>
            <w:tcW w:w="1374"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K0+850~K3+956</w:t>
            </w:r>
            <w:r>
              <w:rPr>
                <w:rFonts w:hint="eastAsia"/>
                <w:sz w:val="18"/>
                <w:szCs w:val="18"/>
                <w:u w:val="single"/>
                <w:lang w:eastAsia="zh-CN"/>
              </w:rPr>
              <w:t>（</w:t>
            </w:r>
            <w:r>
              <w:rPr>
                <w:rFonts w:hint="eastAsia"/>
                <w:sz w:val="18"/>
                <w:szCs w:val="18"/>
                <w:u w:val="single"/>
                <w:lang w:val="en-US" w:eastAsia="zh-CN"/>
              </w:rPr>
              <w:t>新建</w:t>
            </w:r>
            <w:r>
              <w:rPr>
                <w:rFonts w:hint="eastAsia"/>
                <w:sz w:val="18"/>
                <w:szCs w:val="18"/>
                <w:u w:val="single"/>
                <w:lang w:eastAsia="zh-CN"/>
              </w:rPr>
              <w:t>）</w:t>
            </w:r>
          </w:p>
        </w:tc>
        <w:tc>
          <w:tcPr>
            <w:tcW w:w="96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18.75/</w:t>
            </w:r>
            <w:r>
              <w:rPr>
                <w:rFonts w:hint="eastAsia"/>
                <w:sz w:val="18"/>
                <w:szCs w:val="18"/>
                <w:u w:val="single"/>
                <w:lang w:val="en-US" w:eastAsia="zh-CN"/>
              </w:rPr>
              <w:t>5</w:t>
            </w: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0</w:t>
            </w:r>
          </w:p>
        </w:tc>
        <w:tc>
          <w:tcPr>
            <w:tcW w:w="1410" w:type="dxa"/>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yellow"/>
                <w:u w:val="single"/>
              </w:rPr>
            </w:pPr>
            <w:r>
              <w:rPr>
                <w:sz w:val="18"/>
                <w:szCs w:val="18"/>
                <w:u w:val="single"/>
              </w:rPr>
              <w:t>30/0/100</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路两侧；面对</w:t>
            </w:r>
          </w:p>
        </w:tc>
        <w:tc>
          <w:tcPr>
            <w:tcW w:w="426" w:type="dxa"/>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yellow"/>
                <w:u w:val="single"/>
              </w:rPr>
            </w:pPr>
            <w:r>
              <w:rPr>
                <w:sz w:val="18"/>
                <w:szCs w:val="18"/>
                <w:u w:val="single"/>
              </w:rPr>
              <w:t>30</w:t>
            </w:r>
          </w:p>
        </w:tc>
        <w:tc>
          <w:tcPr>
            <w:tcW w:w="398" w:type="dxa"/>
            <w:tcBorders>
              <w:top w:val="single" w:color="auto" w:sz="4" w:space="0"/>
              <w:left w:val="single" w:color="auto" w:sz="4" w:space="0"/>
              <w:bottom w:val="single" w:color="auto" w:sz="4" w:space="0"/>
              <w:right w:val="single" w:color="auto" w:sz="4" w:space="0"/>
            </w:tcBorders>
            <w:vAlign w:val="center"/>
          </w:tcPr>
          <w:p>
            <w:pPr>
              <w:jc w:val="center"/>
              <w:rPr>
                <w:sz w:val="18"/>
                <w:szCs w:val="18"/>
                <w:highlight w:val="yellow"/>
                <w:u w:val="single"/>
              </w:rPr>
            </w:pPr>
            <w:r>
              <w:rPr>
                <w:sz w:val="18"/>
                <w:szCs w:val="18"/>
                <w:u w:val="single"/>
              </w:rPr>
              <w:t>100</w:t>
            </w:r>
          </w:p>
        </w:tc>
        <w:tc>
          <w:tcPr>
            <w:tcW w:w="141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弼时镇桃花村居民，现有居民楼</w:t>
            </w:r>
            <w:r>
              <w:rPr>
                <w:rFonts w:hint="eastAsia" w:hAnsi="宋体"/>
                <w:sz w:val="18"/>
                <w:szCs w:val="18"/>
                <w:u w:val="single"/>
              </w:rPr>
              <w:t>大多为</w:t>
            </w:r>
            <w:r>
              <w:rPr>
                <w:sz w:val="18"/>
                <w:szCs w:val="18"/>
                <w:u w:val="single"/>
              </w:rPr>
              <w:t>1~3</w:t>
            </w:r>
            <w:r>
              <w:rPr>
                <w:rFonts w:hint="eastAsia"/>
                <w:sz w:val="18"/>
                <w:szCs w:val="18"/>
                <w:u w:val="single"/>
              </w:rPr>
              <w:t>层</w:t>
            </w:r>
            <w:r>
              <w:rPr>
                <w:rFonts w:hint="eastAsia" w:hAnsi="宋体"/>
                <w:sz w:val="18"/>
                <w:szCs w:val="18"/>
                <w:u w:val="single"/>
              </w:rPr>
              <w:t>砖混结构</w:t>
            </w:r>
            <w:r>
              <w:rPr>
                <w:rFonts w:hint="eastAsia"/>
                <w:sz w:val="18"/>
                <w:szCs w:val="18"/>
                <w:u w:val="single"/>
              </w:rPr>
              <w:t>房，房屋质量较好</w:t>
            </w:r>
          </w:p>
        </w:tc>
        <w:tc>
          <w:tcPr>
            <w:tcW w:w="110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二级</w:t>
            </w:r>
            <w:r>
              <w:rPr>
                <w:sz w:val="18"/>
                <w:szCs w:val="18"/>
                <w:u w:val="single"/>
              </w:rPr>
              <w:t>/4a</w:t>
            </w:r>
            <w:r>
              <w:rPr>
                <w:rFonts w:hint="eastAsia"/>
                <w:sz w:val="18"/>
                <w:szCs w:val="18"/>
                <w:u w:val="single"/>
              </w:rPr>
              <w:t>类、</w:t>
            </w:r>
            <w:r>
              <w:rPr>
                <w:sz w:val="18"/>
                <w:szCs w:val="18"/>
                <w:u w:val="single"/>
              </w:rPr>
              <w:t>2</w:t>
            </w:r>
            <w:r>
              <w:rPr>
                <w:rFonts w:hint="eastAsia"/>
                <w:sz w:val="18"/>
                <w:szCs w:val="18"/>
                <w:u w:val="single"/>
              </w:rPr>
              <w:t>类</w:t>
            </w:r>
          </w:p>
        </w:tc>
        <w:tc>
          <w:tcPr>
            <w:tcW w:w="3870" w:type="dxa"/>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u w:val="single"/>
              </w:rPr>
            </w:pPr>
            <w:r>
              <w:rPr>
                <w:u w:val="single"/>
              </w:rPr>
              <w:pict>
                <v:shape id="_x0000_s1029" o:spid="_x0000_s1029" o:spt="202" type="#_x0000_t202" style="position:absolute;left:0pt;margin-left:44.85pt;margin-top:66.7pt;height:21.65pt;width:96.05pt;z-index:251641856;mso-width-relative:page;mso-height-relative:page;" filled="f" stroked="f" coordsize="21600,21600">
                  <v:path/>
                  <v:fill on="f" focussize="0,0"/>
                  <v:stroke on="f" joinstyle="miter"/>
                  <v:imagedata o:title=""/>
                  <o:lock v:ext="edit"/>
                  <v:textbox inset="7.19992125984252pt,1.27mm,7.19992125984252pt,1.27mm">
                    <w:txbxContent>
                      <w:p>
                        <w:pPr>
                          <w:rPr>
                            <w:color w:val="FF0000"/>
                          </w:rPr>
                        </w:pPr>
                        <w:r>
                          <w:rPr>
                            <w:rFonts w:hint="eastAsia"/>
                            <w:color w:val="FF0000"/>
                          </w:rPr>
                          <w:t>项目线路走向</w:t>
                        </w:r>
                      </w:p>
                    </w:txbxContent>
                  </v:textbox>
                </v:shape>
              </w:pict>
            </w:r>
            <w:r>
              <w:rPr>
                <w:u w:val="single"/>
              </w:rPr>
              <w:pict>
                <v:shape id="_x0000_s1030" o:spid="_x0000_s1030" o:spt="13" type="#_x0000_t13" style="position:absolute;left:0pt;margin-left:47.05pt;margin-top:50.55pt;height:7.15pt;width:36.05pt;rotation:-11075584f;z-index:251642880;mso-width-relative:page;mso-height-relative:page;" fillcolor="#FF0000" filled="t" stroked="t" coordsize="21600,21600">
                  <v:path/>
                  <v:fill on="t" focussize="0,0"/>
                  <v:stroke weight="1.25pt" color="#8DB3E2" joinstyle="miter"/>
                  <v:imagedata o:title=""/>
                  <o:lock v:ext="edit"/>
                </v:shape>
              </w:pict>
            </w:r>
            <w:r>
              <w:rPr>
                <w:color w:val="FF0000"/>
                <w:sz w:val="18"/>
                <w:szCs w:val="18"/>
                <w:u w:val="single"/>
              </w:rPr>
              <w:pict>
                <v:shape id="_x0000_i1033" o:spt="75" alt="拆迁居民" type="#_x0000_t75" style="height:141pt;width:189pt;rotation:11796480f;" filled="f" o:preferrelative="t" stroked="f" coordsize="21600,21600">
                  <v:path/>
                  <v:fill on="f" focussize="0,0"/>
                  <v:stroke on="f" joinstyle="miter"/>
                  <v:imagedata r:id="rId23" o:title=""/>
                  <o:lock v:ext="edit" aspectratio="t"/>
                  <w10:wrap type="none"/>
                  <w10:anchorlock/>
                </v:shape>
              </w:pic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41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3</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u w:val="single"/>
              </w:rPr>
            </w:pPr>
            <w:r>
              <w:rPr>
                <w:rFonts w:hint="eastAsia"/>
                <w:sz w:val="18"/>
                <w:szCs w:val="18"/>
                <w:u w:val="single"/>
              </w:rPr>
              <w:t>弼时镇大陆村居民点</w:t>
            </w:r>
          </w:p>
        </w:tc>
        <w:tc>
          <w:tcPr>
            <w:tcW w:w="1374"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K3+956~K4+960</w:t>
            </w:r>
            <w:r>
              <w:rPr>
                <w:rFonts w:hint="eastAsia"/>
                <w:sz w:val="18"/>
                <w:szCs w:val="18"/>
                <w:u w:val="single"/>
                <w:lang w:eastAsia="zh-CN"/>
              </w:rPr>
              <w:t>（</w:t>
            </w:r>
            <w:r>
              <w:rPr>
                <w:rFonts w:hint="eastAsia"/>
                <w:sz w:val="18"/>
                <w:szCs w:val="18"/>
                <w:u w:val="single"/>
                <w:lang w:val="en-US" w:eastAsia="zh-CN"/>
              </w:rPr>
              <w:t>新建</w:t>
            </w:r>
            <w:r>
              <w:rPr>
                <w:rFonts w:hint="eastAsia"/>
                <w:sz w:val="18"/>
                <w:szCs w:val="18"/>
                <w:u w:val="single"/>
                <w:lang w:eastAsia="zh-CN"/>
              </w:rPr>
              <w:t>）</w:t>
            </w:r>
          </w:p>
        </w:tc>
        <w:tc>
          <w:tcPr>
            <w:tcW w:w="96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19.75/</w:t>
            </w:r>
            <w:r>
              <w:rPr>
                <w:rFonts w:hint="eastAsia"/>
                <w:sz w:val="18"/>
                <w:szCs w:val="18"/>
                <w:u w:val="single"/>
                <w:lang w:val="en-US" w:eastAsia="zh-CN"/>
              </w:rPr>
              <w:t>6</w:t>
            </w: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0</w:t>
            </w:r>
          </w:p>
        </w:tc>
        <w:tc>
          <w:tcPr>
            <w:tcW w:w="141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14/0/30</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路两侧；侧对</w:t>
            </w:r>
          </w:p>
        </w:tc>
        <w:tc>
          <w:tcPr>
            <w:tcW w:w="42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14</w:t>
            </w:r>
          </w:p>
        </w:tc>
        <w:tc>
          <w:tcPr>
            <w:tcW w:w="398"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30</w:t>
            </w:r>
          </w:p>
        </w:tc>
        <w:tc>
          <w:tcPr>
            <w:tcW w:w="141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弼时镇大陆村居民，现有居民楼</w:t>
            </w:r>
            <w:r>
              <w:rPr>
                <w:rFonts w:hint="eastAsia" w:hAnsi="宋体"/>
                <w:sz w:val="18"/>
                <w:szCs w:val="18"/>
                <w:u w:val="single"/>
              </w:rPr>
              <w:t>大多为</w:t>
            </w:r>
            <w:r>
              <w:rPr>
                <w:sz w:val="18"/>
                <w:szCs w:val="18"/>
                <w:u w:val="single"/>
              </w:rPr>
              <w:t>1~3</w:t>
            </w:r>
            <w:r>
              <w:rPr>
                <w:rFonts w:hint="eastAsia"/>
                <w:sz w:val="18"/>
                <w:szCs w:val="18"/>
                <w:u w:val="single"/>
              </w:rPr>
              <w:t>层</w:t>
            </w:r>
            <w:r>
              <w:rPr>
                <w:rFonts w:hint="eastAsia" w:hAnsi="宋体"/>
                <w:sz w:val="18"/>
                <w:szCs w:val="18"/>
                <w:u w:val="single"/>
              </w:rPr>
              <w:t>砖混结构</w:t>
            </w:r>
            <w:r>
              <w:rPr>
                <w:rFonts w:hint="eastAsia"/>
                <w:sz w:val="18"/>
                <w:szCs w:val="18"/>
                <w:u w:val="single"/>
              </w:rPr>
              <w:t>房，房屋质量较好</w:t>
            </w:r>
          </w:p>
        </w:tc>
        <w:tc>
          <w:tcPr>
            <w:tcW w:w="110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二级</w:t>
            </w:r>
            <w:r>
              <w:rPr>
                <w:sz w:val="18"/>
                <w:szCs w:val="18"/>
                <w:u w:val="single"/>
              </w:rPr>
              <w:t>/4a</w:t>
            </w:r>
            <w:r>
              <w:rPr>
                <w:rFonts w:hint="eastAsia"/>
                <w:sz w:val="18"/>
                <w:szCs w:val="18"/>
                <w:u w:val="single"/>
              </w:rPr>
              <w:t>类、</w:t>
            </w:r>
            <w:r>
              <w:rPr>
                <w:sz w:val="18"/>
                <w:szCs w:val="18"/>
                <w:u w:val="single"/>
              </w:rPr>
              <w:t>2</w:t>
            </w:r>
            <w:r>
              <w:rPr>
                <w:rFonts w:hint="eastAsia"/>
                <w:sz w:val="18"/>
                <w:szCs w:val="18"/>
                <w:u w:val="single"/>
              </w:rPr>
              <w:t>类</w:t>
            </w:r>
          </w:p>
        </w:tc>
        <w:tc>
          <w:tcPr>
            <w:tcW w:w="3870" w:type="dxa"/>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u w:val="single"/>
              </w:rPr>
            </w:pPr>
            <w:r>
              <w:rPr>
                <w:color w:val="FF0000"/>
                <w:sz w:val="18"/>
                <w:szCs w:val="18"/>
                <w:u w:val="single"/>
              </w:rPr>
              <w:pict>
                <v:shape id="_x0000_i1034" o:spt="75" alt="mmexport1484120382232" type="#_x0000_t75" style="height:144.75pt;width:191.25pt;" filled="f" o:preferrelative="t" stroked="f" coordsize="21600,21600">
                  <v:path/>
                  <v:fill on="f" focussize="0,0"/>
                  <v:stroke on="f" joinstyle="miter"/>
                  <v:imagedata r:id="rId24" o:title=""/>
                  <o:lock v:ext="edit" aspectratio="t"/>
                  <w10:wrap type="none"/>
                  <w10:anchorlock/>
                </v:shape>
              </w:pict>
            </w:r>
            <w:r>
              <w:rPr>
                <w:u w:val="single"/>
              </w:rPr>
              <w:pict>
                <v:shape id="_x0000_s1031" o:spid="_x0000_s1031" o:spt="202" type="#_x0000_t202" style="position:absolute;left:0pt;margin-left:115.5pt;margin-top:72.4pt;height:21.65pt;width:96.05pt;z-index:251644928;mso-width-relative:page;mso-height-relative:page;" filled="f" stroked="f" coordsize="21600,21600">
                  <v:path/>
                  <v:fill on="f" focussize="0,0"/>
                  <v:stroke on="f" joinstyle="miter"/>
                  <v:imagedata o:title=""/>
                  <o:lock v:ext="edit"/>
                  <v:textbox inset="7.19992125984252pt,1.27mm,7.19992125984252pt,1.27mm">
                    <w:txbxContent>
                      <w:p>
                        <w:pPr>
                          <w:rPr>
                            <w:color w:val="FF0000"/>
                          </w:rPr>
                        </w:pPr>
                        <w:r>
                          <w:rPr>
                            <w:rFonts w:hint="eastAsia"/>
                            <w:color w:val="FF0000"/>
                          </w:rPr>
                          <w:t>项目线路走向</w:t>
                        </w:r>
                      </w:p>
                    </w:txbxContent>
                  </v:textbox>
                </v:shape>
              </w:pict>
            </w:r>
            <w:r>
              <w:rPr>
                <w:u w:val="single"/>
              </w:rPr>
              <w:pict>
                <v:shape id="_x0000_s1032" o:spid="_x0000_s1032" o:spt="13" type="#_x0000_t13" style="position:absolute;left:0pt;margin-left:98.15pt;margin-top:78.05pt;height:7.15pt;width:36.05pt;rotation:3316152f;z-index:251645952;mso-width-relative:page;mso-height-relative:page;" fillcolor="#FF0000" filled="t" stroked="t" coordsize="21600,21600">
                  <v:path/>
                  <v:fill on="t" focussize="0,0"/>
                  <v:stroke weight="1.25pt" color="#8DB3E2" joinstyle="miter"/>
                  <v:imagedata o:title=""/>
                  <o:lock v:ext="edit"/>
                </v:shape>
              </w:pict>
            </w:r>
            <w:r>
              <w:rPr>
                <w:u w:val="single"/>
              </w:rPr>
              <w:pict>
                <v:shape id="_x0000_s1033" o:spid="_x0000_s1033" o:spt="13" type="#_x0000_t13" style="position:absolute;left:0pt;margin-left:626.75pt;margin-top:350.4pt;height:7.15pt;width:41.5pt;rotation:1044997f;z-index:251643904;mso-width-relative:page;mso-height-relative:page;" fillcolor="#FF0000" filled="t" stroked="t" coordsize="21600,21600">
                  <v:path/>
                  <v:fill on="t" focussize="0,0"/>
                  <v:stroke weight="1.25pt" color="#8DB3E2" joinstyle="miter"/>
                  <v:imagedata o:title=""/>
                  <o:lock v:ext="edit"/>
                </v:shape>
              </w:pic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063" w:hRule="atLeast"/>
        </w:trPr>
        <w:tc>
          <w:tcPr>
            <w:tcW w:w="41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4</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u w:val="single"/>
              </w:rPr>
            </w:pPr>
            <w:r>
              <w:rPr>
                <w:rFonts w:hint="eastAsia"/>
                <w:sz w:val="18"/>
                <w:szCs w:val="18"/>
                <w:u w:val="single"/>
              </w:rPr>
              <w:t>弼时镇莲花村居民点</w:t>
            </w:r>
          </w:p>
        </w:tc>
        <w:tc>
          <w:tcPr>
            <w:tcW w:w="1374"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K4+960~K7+190</w:t>
            </w:r>
            <w:r>
              <w:rPr>
                <w:rFonts w:hint="eastAsia"/>
                <w:sz w:val="18"/>
                <w:szCs w:val="18"/>
                <w:u w:val="single"/>
                <w:lang w:eastAsia="zh-CN"/>
              </w:rPr>
              <w:t>（</w:t>
            </w:r>
            <w:r>
              <w:rPr>
                <w:rFonts w:hint="eastAsia"/>
                <w:sz w:val="18"/>
                <w:szCs w:val="18"/>
                <w:u w:val="single"/>
                <w:lang w:val="en-US" w:eastAsia="zh-CN"/>
              </w:rPr>
              <w:t>新建</w:t>
            </w:r>
            <w:r>
              <w:rPr>
                <w:rFonts w:hint="eastAsia"/>
                <w:sz w:val="18"/>
                <w:szCs w:val="18"/>
                <w:u w:val="single"/>
                <w:lang w:eastAsia="zh-CN"/>
              </w:rPr>
              <w:t>）</w:t>
            </w:r>
          </w:p>
        </w:tc>
        <w:tc>
          <w:tcPr>
            <w:tcW w:w="96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21.75/</w:t>
            </w:r>
            <w:r>
              <w:rPr>
                <w:rFonts w:hint="eastAsia"/>
                <w:sz w:val="18"/>
                <w:szCs w:val="18"/>
                <w:u w:val="single"/>
                <w:lang w:val="en-US" w:eastAsia="zh-CN"/>
              </w:rPr>
              <w:t>8</w:t>
            </w: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0</w:t>
            </w:r>
          </w:p>
        </w:tc>
        <w:tc>
          <w:tcPr>
            <w:tcW w:w="1410" w:type="dxa"/>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u w:val="single"/>
              </w:rPr>
            </w:pPr>
            <w:r>
              <w:rPr>
                <w:sz w:val="18"/>
                <w:szCs w:val="18"/>
                <w:u w:val="single"/>
              </w:rPr>
              <w:t>10/0/50</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路两侧；面对</w:t>
            </w:r>
          </w:p>
        </w:tc>
        <w:tc>
          <w:tcPr>
            <w:tcW w:w="42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10</w:t>
            </w:r>
          </w:p>
        </w:tc>
        <w:tc>
          <w:tcPr>
            <w:tcW w:w="398"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50</w:t>
            </w:r>
          </w:p>
        </w:tc>
        <w:tc>
          <w:tcPr>
            <w:tcW w:w="141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弼时镇莲花村居民，现有居民楼</w:t>
            </w:r>
            <w:r>
              <w:rPr>
                <w:rFonts w:hint="eastAsia" w:hAnsi="宋体"/>
                <w:sz w:val="18"/>
                <w:szCs w:val="18"/>
                <w:u w:val="single"/>
              </w:rPr>
              <w:t>大多为</w:t>
            </w:r>
            <w:r>
              <w:rPr>
                <w:sz w:val="18"/>
                <w:szCs w:val="18"/>
                <w:u w:val="single"/>
              </w:rPr>
              <w:t>1~3</w:t>
            </w:r>
            <w:r>
              <w:rPr>
                <w:rFonts w:hint="eastAsia"/>
                <w:sz w:val="18"/>
                <w:szCs w:val="18"/>
                <w:u w:val="single"/>
              </w:rPr>
              <w:t>层</w:t>
            </w:r>
            <w:r>
              <w:rPr>
                <w:rFonts w:hint="eastAsia" w:hAnsi="宋体"/>
                <w:sz w:val="18"/>
                <w:szCs w:val="18"/>
                <w:u w:val="single"/>
              </w:rPr>
              <w:t>砖混结构</w:t>
            </w:r>
            <w:r>
              <w:rPr>
                <w:rFonts w:hint="eastAsia"/>
                <w:sz w:val="18"/>
                <w:szCs w:val="18"/>
                <w:u w:val="single"/>
              </w:rPr>
              <w:t>房，房屋质量较好</w:t>
            </w:r>
          </w:p>
        </w:tc>
        <w:tc>
          <w:tcPr>
            <w:tcW w:w="1101" w:type="dxa"/>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u w:val="single"/>
              </w:rPr>
            </w:pPr>
            <w:r>
              <w:rPr>
                <w:rFonts w:hint="eastAsia"/>
                <w:sz w:val="18"/>
                <w:szCs w:val="18"/>
                <w:u w:val="single"/>
              </w:rPr>
              <w:t>二级</w:t>
            </w:r>
            <w:r>
              <w:rPr>
                <w:sz w:val="18"/>
                <w:szCs w:val="18"/>
                <w:u w:val="single"/>
              </w:rPr>
              <w:t>/4a</w:t>
            </w:r>
            <w:r>
              <w:rPr>
                <w:rFonts w:hint="eastAsia"/>
                <w:sz w:val="18"/>
                <w:szCs w:val="18"/>
                <w:u w:val="single"/>
              </w:rPr>
              <w:t>类、</w:t>
            </w:r>
            <w:r>
              <w:rPr>
                <w:sz w:val="18"/>
                <w:szCs w:val="18"/>
                <w:u w:val="single"/>
              </w:rPr>
              <w:t>2</w:t>
            </w:r>
            <w:r>
              <w:rPr>
                <w:rFonts w:hint="eastAsia"/>
                <w:sz w:val="18"/>
                <w:szCs w:val="18"/>
                <w:u w:val="single"/>
              </w:rPr>
              <w:t>类</w:t>
            </w:r>
          </w:p>
        </w:tc>
        <w:tc>
          <w:tcPr>
            <w:tcW w:w="3870" w:type="dxa"/>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u w:val="single"/>
              </w:rPr>
            </w:pPr>
            <w:r>
              <w:rPr>
                <w:u w:val="single"/>
              </w:rPr>
              <w:pict>
                <v:shape id="_x0000_s1034" o:spid="_x0000_s1034" o:spt="202" type="#_x0000_t202" style="position:absolute;left:0pt;margin-left:105.8pt;margin-top:57.05pt;height:21.65pt;width:96.05pt;z-index:251650048;mso-width-relative:page;mso-height-relative:page;" filled="f" stroked="f" coordsize="21600,21600">
                  <v:path/>
                  <v:fill on="f" focussize="0,0"/>
                  <v:stroke on="f" joinstyle="miter"/>
                  <v:imagedata o:title=""/>
                  <o:lock v:ext="edit"/>
                  <v:textbox inset="7.19992125984252pt,1.27mm,7.19992125984252pt,1.27mm">
                    <w:txbxContent>
                      <w:p>
                        <w:pPr>
                          <w:rPr>
                            <w:color w:val="FF0000"/>
                          </w:rPr>
                        </w:pPr>
                        <w:r>
                          <w:rPr>
                            <w:rFonts w:hint="eastAsia"/>
                            <w:color w:val="FF0000"/>
                          </w:rPr>
                          <w:t>项目线路走向</w:t>
                        </w:r>
                      </w:p>
                    </w:txbxContent>
                  </v:textbox>
                </v:shape>
              </w:pict>
            </w:r>
            <w:r>
              <w:rPr>
                <w:u w:val="single"/>
              </w:rPr>
              <w:pict>
                <v:shape id="_x0000_s1035" o:spid="_x0000_s1035" o:spt="13" type="#_x0000_t13" style="position:absolute;left:0pt;margin-left:106.4pt;margin-top:46.55pt;height:7.15pt;width:36.05pt;rotation:-3064149f;z-index:251651072;mso-width-relative:page;mso-height-relative:page;" fillcolor="#FF0000" filled="t" stroked="t" coordsize="21600,21600">
                  <v:path/>
                  <v:fill on="t" focussize="0,0"/>
                  <v:stroke weight="1.25pt" color="#8DB3E2" joinstyle="miter"/>
                  <v:imagedata o:title=""/>
                  <o:lock v:ext="edit"/>
                </v:shape>
              </w:pict>
            </w:r>
            <w:r>
              <w:rPr>
                <w:color w:val="FF0000"/>
                <w:sz w:val="18"/>
                <w:szCs w:val="18"/>
                <w:u w:val="single"/>
              </w:rPr>
              <w:pict>
                <v:shape id="_x0000_i1035" o:spt="75" alt="20170110_141908" type="#_x0000_t75" style="height:108pt;width:192.75pt;rotation:11796480f;" filled="f" o:preferrelative="t" stroked="f" coordsize="21600,21600">
                  <v:path/>
                  <v:fill on="f" focussize="0,0"/>
                  <v:stroke on="f" joinstyle="miter"/>
                  <v:imagedata r:id="rId25" o:title=""/>
                  <o:lock v:ext="edit" aspectratio="t"/>
                  <w10:wrap type="none"/>
                  <w10:anchorlock/>
                </v:shape>
              </w:pic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41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5</w:t>
            </w:r>
          </w:p>
        </w:tc>
        <w:tc>
          <w:tcPr>
            <w:tcW w:w="129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18"/>
                <w:szCs w:val="18"/>
                <w:u w:val="single"/>
              </w:rPr>
            </w:pPr>
            <w:r>
              <w:rPr>
                <w:rFonts w:hint="eastAsia"/>
                <w:sz w:val="18"/>
                <w:szCs w:val="18"/>
                <w:u w:val="single"/>
              </w:rPr>
              <w:t>弼时镇大里塘村居民点</w:t>
            </w:r>
          </w:p>
        </w:tc>
        <w:tc>
          <w:tcPr>
            <w:tcW w:w="1374"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K7+190~K8+369</w:t>
            </w:r>
            <w:r>
              <w:rPr>
                <w:rFonts w:hint="eastAsia"/>
                <w:sz w:val="18"/>
                <w:szCs w:val="18"/>
                <w:u w:val="single"/>
                <w:lang w:eastAsia="zh-CN"/>
              </w:rPr>
              <w:t>（</w:t>
            </w:r>
            <w:r>
              <w:rPr>
                <w:rFonts w:hint="eastAsia"/>
                <w:sz w:val="18"/>
                <w:szCs w:val="18"/>
                <w:u w:val="single"/>
                <w:lang w:val="en-US" w:eastAsia="zh-CN"/>
              </w:rPr>
              <w:t>新建</w:t>
            </w:r>
            <w:r>
              <w:rPr>
                <w:rFonts w:hint="eastAsia"/>
                <w:sz w:val="18"/>
                <w:szCs w:val="18"/>
                <w:u w:val="single"/>
                <w:lang w:eastAsia="zh-CN"/>
              </w:rPr>
              <w:t>）</w:t>
            </w:r>
          </w:p>
        </w:tc>
        <w:tc>
          <w:tcPr>
            <w:tcW w:w="96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27.75/</w:t>
            </w:r>
            <w:r>
              <w:rPr>
                <w:rFonts w:hint="eastAsia"/>
                <w:sz w:val="18"/>
                <w:szCs w:val="18"/>
                <w:u w:val="single"/>
                <w:lang w:val="en-US" w:eastAsia="zh-CN"/>
              </w:rPr>
              <w:t>14</w:t>
            </w:r>
          </w:p>
        </w:tc>
        <w:tc>
          <w:tcPr>
            <w:tcW w:w="70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0</w:t>
            </w:r>
          </w:p>
        </w:tc>
        <w:tc>
          <w:tcPr>
            <w:tcW w:w="141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6/0/30</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路两侧；面对</w:t>
            </w:r>
          </w:p>
        </w:tc>
        <w:tc>
          <w:tcPr>
            <w:tcW w:w="426"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6</w:t>
            </w:r>
          </w:p>
        </w:tc>
        <w:tc>
          <w:tcPr>
            <w:tcW w:w="398"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sz w:val="18"/>
                <w:szCs w:val="18"/>
                <w:u w:val="single"/>
              </w:rPr>
              <w:t>30</w:t>
            </w:r>
          </w:p>
        </w:tc>
        <w:tc>
          <w:tcPr>
            <w:tcW w:w="1410"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弼时镇大里塘村居民，现有居民楼</w:t>
            </w:r>
            <w:r>
              <w:rPr>
                <w:rFonts w:hint="eastAsia" w:hAnsi="宋体"/>
                <w:sz w:val="18"/>
                <w:szCs w:val="18"/>
                <w:u w:val="single"/>
              </w:rPr>
              <w:t>大多为</w:t>
            </w:r>
            <w:r>
              <w:rPr>
                <w:sz w:val="18"/>
                <w:szCs w:val="18"/>
                <w:u w:val="single"/>
              </w:rPr>
              <w:t>1~3</w:t>
            </w:r>
            <w:r>
              <w:rPr>
                <w:rFonts w:hint="eastAsia"/>
                <w:sz w:val="18"/>
                <w:szCs w:val="18"/>
                <w:u w:val="single"/>
              </w:rPr>
              <w:t>层</w:t>
            </w:r>
            <w:r>
              <w:rPr>
                <w:rFonts w:hint="eastAsia" w:hAnsi="宋体"/>
                <w:sz w:val="18"/>
                <w:szCs w:val="18"/>
                <w:u w:val="single"/>
              </w:rPr>
              <w:t>砖混结构</w:t>
            </w:r>
            <w:r>
              <w:rPr>
                <w:rFonts w:hint="eastAsia"/>
                <w:sz w:val="18"/>
                <w:szCs w:val="18"/>
                <w:u w:val="single"/>
              </w:rPr>
              <w:t>房，房屋质量较好</w:t>
            </w:r>
          </w:p>
        </w:tc>
        <w:tc>
          <w:tcPr>
            <w:tcW w:w="1101" w:type="dxa"/>
            <w:tcBorders>
              <w:top w:val="single" w:color="auto" w:sz="4" w:space="0"/>
              <w:left w:val="single" w:color="auto" w:sz="4" w:space="0"/>
              <w:bottom w:val="single" w:color="auto" w:sz="4" w:space="0"/>
              <w:right w:val="single" w:color="auto" w:sz="4" w:space="0"/>
            </w:tcBorders>
            <w:vAlign w:val="center"/>
          </w:tcPr>
          <w:p>
            <w:pPr>
              <w:jc w:val="center"/>
              <w:rPr>
                <w:sz w:val="18"/>
                <w:szCs w:val="18"/>
                <w:u w:val="single"/>
              </w:rPr>
            </w:pPr>
            <w:r>
              <w:rPr>
                <w:rFonts w:hint="eastAsia"/>
                <w:sz w:val="18"/>
                <w:szCs w:val="18"/>
                <w:u w:val="single"/>
              </w:rPr>
              <w:t>二级</w:t>
            </w:r>
            <w:r>
              <w:rPr>
                <w:sz w:val="18"/>
                <w:szCs w:val="18"/>
                <w:u w:val="single"/>
              </w:rPr>
              <w:t>/4a</w:t>
            </w:r>
            <w:r>
              <w:rPr>
                <w:rFonts w:hint="eastAsia"/>
                <w:sz w:val="18"/>
                <w:szCs w:val="18"/>
                <w:u w:val="single"/>
              </w:rPr>
              <w:t>类、</w:t>
            </w:r>
            <w:r>
              <w:rPr>
                <w:sz w:val="18"/>
                <w:szCs w:val="18"/>
                <w:u w:val="single"/>
              </w:rPr>
              <w:t>2</w:t>
            </w:r>
            <w:r>
              <w:rPr>
                <w:rFonts w:hint="eastAsia"/>
                <w:sz w:val="18"/>
                <w:szCs w:val="18"/>
                <w:u w:val="single"/>
              </w:rPr>
              <w:t>类</w:t>
            </w:r>
          </w:p>
        </w:tc>
        <w:tc>
          <w:tcPr>
            <w:tcW w:w="3870" w:type="dxa"/>
            <w:tcBorders>
              <w:top w:val="single" w:color="auto" w:sz="4" w:space="0"/>
              <w:left w:val="single" w:color="auto" w:sz="4" w:space="0"/>
              <w:bottom w:val="single" w:color="auto" w:sz="4" w:space="0"/>
              <w:right w:val="single" w:color="auto" w:sz="4" w:space="0"/>
            </w:tcBorders>
            <w:vAlign w:val="center"/>
          </w:tcPr>
          <w:p>
            <w:pPr>
              <w:jc w:val="center"/>
              <w:rPr>
                <w:color w:val="FF0000"/>
                <w:sz w:val="18"/>
                <w:szCs w:val="18"/>
                <w:u w:val="single"/>
              </w:rPr>
            </w:pPr>
            <w:r>
              <w:rPr>
                <w:u w:val="single"/>
              </w:rPr>
              <w:pict>
                <v:shape id="_x0000_s1036" o:spid="_x0000_s1036" o:spt="202" type="#_x0000_t202" style="position:absolute;left:0pt;margin-left:92.6pt;margin-top:62.15pt;height:21.65pt;width:96.05pt;z-index:251649024;mso-width-relative:page;mso-height-relative:page;" filled="f" stroked="f" coordsize="21600,21600">
                  <v:path/>
                  <v:fill on="f" focussize="0,0"/>
                  <v:stroke on="f" joinstyle="miter"/>
                  <v:imagedata o:title=""/>
                  <o:lock v:ext="edit"/>
                  <v:textbox inset="7.19992125984252pt,1.27mm,7.19992125984252pt,1.27mm">
                    <w:txbxContent>
                      <w:p>
                        <w:pPr>
                          <w:rPr>
                            <w:color w:val="FF0000"/>
                          </w:rPr>
                        </w:pPr>
                        <w:r>
                          <w:rPr>
                            <w:rFonts w:hint="eastAsia"/>
                            <w:color w:val="FF0000"/>
                          </w:rPr>
                          <w:t>项目线路走向</w:t>
                        </w:r>
                      </w:p>
                    </w:txbxContent>
                  </v:textbox>
                </v:shape>
              </w:pict>
            </w:r>
            <w:r>
              <w:rPr>
                <w:u w:val="single"/>
              </w:rPr>
              <w:pict>
                <v:shape id="_x0000_s1037" o:spid="_x0000_s1037" o:spt="13" type="#_x0000_t13" style="position:absolute;left:0pt;margin-left:70.2pt;margin-top:49.2pt;height:7.15pt;width:37.55pt;rotation:7549340f;z-index:251648000;mso-width-relative:page;mso-height-relative:page;" fillcolor="#FF0000" filled="t" stroked="t" coordsize="21600,21600">
                  <v:path/>
                  <v:fill on="t" focussize="0,0"/>
                  <v:stroke weight="1.25pt" color="#8DB3E2" joinstyle="miter"/>
                  <v:imagedata o:title=""/>
                  <o:lock v:ext="edit"/>
                </v:shape>
              </w:pict>
            </w:r>
            <w:r>
              <w:rPr>
                <w:color w:val="FF0000"/>
                <w:sz w:val="18"/>
                <w:szCs w:val="18"/>
                <w:u w:val="single"/>
              </w:rPr>
              <w:pict>
                <v:shape id="_x0000_i1036" o:spt="75" alt="拆迁居民" type="#_x0000_t75" style="height:108pt;width:192.75pt;" filled="f" o:preferrelative="t" stroked="f" coordsize="21600,21600">
                  <v:path/>
                  <v:fill on="f" focussize="0,0"/>
                  <v:stroke on="f" joinstyle="miter"/>
                  <v:imagedata r:id="rId26" o:title=""/>
                  <o:lock v:ext="edit" aspectratio="t"/>
                  <w10:wrap type="none"/>
                  <w10:anchorlock/>
                </v:shape>
              </w:pict>
            </w:r>
          </w:p>
        </w:tc>
      </w:tr>
    </w:tbl>
    <w:p>
      <w:pPr>
        <w:snapToGrid w:val="0"/>
        <w:spacing w:beforeLines="100"/>
        <w:rPr>
          <w:rFonts w:ascii="宋体"/>
          <w:color w:val="FF0000"/>
        </w:rPr>
        <w:sectPr>
          <w:headerReference r:id="rId5" w:type="default"/>
          <w:pgSz w:w="16838" w:h="11906" w:orient="landscape"/>
          <w:pgMar w:top="1588" w:right="1361" w:bottom="1474" w:left="1474" w:header="850" w:footer="646" w:gutter="0"/>
          <w:pgBorders>
            <w:top w:val="none" w:sz="0" w:space="0"/>
            <w:left w:val="none" w:sz="0" w:space="0"/>
            <w:bottom w:val="none" w:sz="0" w:space="0"/>
            <w:right w:val="none" w:sz="0" w:space="0"/>
          </w:pgBorders>
          <w:cols w:space="720" w:num="1"/>
          <w:docGrid w:linePitch="312" w:charSpace="0"/>
        </w:sectPr>
      </w:pPr>
    </w:p>
    <w:p>
      <w:pPr>
        <w:pStyle w:val="5"/>
        <w:ind w:left="567" w:hanging="567"/>
      </w:pPr>
      <w:bookmarkStart w:id="105" w:name="_Toc383248405"/>
      <w:r>
        <w:rPr>
          <w:rFonts w:hint="eastAsia"/>
        </w:rPr>
        <w:t>取土场、弃渣场周边环境保护目标</w:t>
      </w:r>
    </w:p>
    <w:p>
      <w:pPr>
        <w:pStyle w:val="3"/>
        <w:ind w:firstLine="31680"/>
      </w:pPr>
      <w:r>
        <w:rPr>
          <w:rFonts w:hint="eastAsia"/>
        </w:rPr>
        <w:t>具体详见表</w:t>
      </w:r>
      <w:r>
        <w:t>2.6-5</w:t>
      </w:r>
      <w:r>
        <w:rPr>
          <w:rFonts w:hint="eastAsia"/>
        </w:rPr>
        <w:t>。</w:t>
      </w:r>
    </w:p>
    <w:p>
      <w:pPr>
        <w:pStyle w:val="19"/>
        <w:jc w:val="center"/>
        <w:rPr>
          <w:color w:val="auto"/>
        </w:rPr>
      </w:pPr>
      <w:r>
        <w:rPr>
          <w:rFonts w:hint="eastAsia" w:hAnsi="宋体"/>
        </w:rPr>
        <w:t>表</w:t>
      </w:r>
      <w:r>
        <w:t xml:space="preserve">2.6-5    </w:t>
      </w:r>
      <w:r>
        <w:rPr>
          <w:rFonts w:hint="eastAsia" w:hAnsi="宋体"/>
          <w:color w:val="auto"/>
        </w:rPr>
        <w:t>取土场、弃渣场周边环境保护目标</w:t>
      </w:r>
    </w:p>
    <w:tbl>
      <w:tblPr>
        <w:tblStyle w:val="65"/>
        <w:tblW w:w="1428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951"/>
        <w:gridCol w:w="2268"/>
        <w:gridCol w:w="4394"/>
        <w:gridCol w:w="1244"/>
        <w:gridCol w:w="442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trPr>
        <w:tc>
          <w:tcPr>
            <w:tcW w:w="1951" w:type="dxa"/>
            <w:vAlign w:val="center"/>
          </w:tcPr>
          <w:p>
            <w:pPr>
              <w:pStyle w:val="112"/>
              <w:rPr>
                <w:kern w:val="2"/>
                <w:szCs w:val="21"/>
              </w:rPr>
            </w:pPr>
            <w:r>
              <w:rPr>
                <w:rFonts w:hint="eastAsia" w:hAnsi="宋体"/>
                <w:kern w:val="2"/>
                <w:szCs w:val="21"/>
              </w:rPr>
              <w:t>影响因素</w:t>
            </w:r>
          </w:p>
        </w:tc>
        <w:tc>
          <w:tcPr>
            <w:tcW w:w="2268" w:type="dxa"/>
            <w:vAlign w:val="center"/>
          </w:tcPr>
          <w:p>
            <w:pPr>
              <w:pStyle w:val="112"/>
              <w:rPr>
                <w:kern w:val="2"/>
                <w:szCs w:val="21"/>
              </w:rPr>
            </w:pPr>
            <w:r>
              <w:rPr>
                <w:rFonts w:hint="eastAsia" w:hAnsi="宋体"/>
                <w:kern w:val="2"/>
                <w:szCs w:val="21"/>
              </w:rPr>
              <w:t>与本项目相对位置</w:t>
            </w:r>
          </w:p>
        </w:tc>
        <w:tc>
          <w:tcPr>
            <w:tcW w:w="4394" w:type="dxa"/>
            <w:vAlign w:val="center"/>
          </w:tcPr>
          <w:p>
            <w:pPr>
              <w:pStyle w:val="112"/>
              <w:rPr>
                <w:kern w:val="2"/>
                <w:szCs w:val="21"/>
              </w:rPr>
            </w:pPr>
            <w:r>
              <w:rPr>
                <w:rFonts w:hint="eastAsia" w:hAnsi="宋体"/>
                <w:kern w:val="2"/>
                <w:szCs w:val="21"/>
              </w:rPr>
              <w:t>环境空气、声环境保护目标</w:t>
            </w:r>
          </w:p>
        </w:tc>
        <w:tc>
          <w:tcPr>
            <w:tcW w:w="1244" w:type="dxa"/>
            <w:vAlign w:val="center"/>
          </w:tcPr>
          <w:p>
            <w:pPr>
              <w:pStyle w:val="112"/>
              <w:rPr>
                <w:kern w:val="2"/>
                <w:szCs w:val="21"/>
              </w:rPr>
            </w:pPr>
            <w:r>
              <w:rPr>
                <w:rFonts w:hint="eastAsia" w:hAnsi="宋体"/>
                <w:kern w:val="2"/>
                <w:szCs w:val="21"/>
              </w:rPr>
              <w:t>水环境保护目标</w:t>
            </w:r>
          </w:p>
        </w:tc>
        <w:tc>
          <w:tcPr>
            <w:tcW w:w="4426" w:type="dxa"/>
            <w:vAlign w:val="center"/>
          </w:tcPr>
          <w:p>
            <w:pPr>
              <w:pStyle w:val="112"/>
              <w:rPr>
                <w:kern w:val="2"/>
                <w:szCs w:val="21"/>
              </w:rPr>
            </w:pPr>
            <w:r>
              <w:rPr>
                <w:rFonts w:hint="eastAsia" w:hAnsi="宋体"/>
                <w:kern w:val="2"/>
                <w:szCs w:val="21"/>
              </w:rPr>
              <w:t>生态保护目标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trPr>
        <w:tc>
          <w:tcPr>
            <w:tcW w:w="1951" w:type="dxa"/>
            <w:vAlign w:val="center"/>
          </w:tcPr>
          <w:p>
            <w:pPr>
              <w:pStyle w:val="112"/>
              <w:rPr>
                <w:rFonts w:hAnsi="宋体"/>
                <w:kern w:val="2"/>
                <w:szCs w:val="21"/>
              </w:rPr>
            </w:pPr>
            <w:r>
              <w:rPr>
                <w:kern w:val="2"/>
                <w:szCs w:val="21"/>
              </w:rPr>
              <w:t>Z1</w:t>
            </w:r>
            <w:r>
              <w:rPr>
                <w:rFonts w:hint="eastAsia" w:hAnsi="宋体"/>
                <w:kern w:val="2"/>
                <w:szCs w:val="21"/>
              </w:rPr>
              <w:t>弃渣场</w:t>
            </w:r>
          </w:p>
        </w:tc>
        <w:tc>
          <w:tcPr>
            <w:tcW w:w="2268" w:type="dxa"/>
            <w:vAlign w:val="center"/>
          </w:tcPr>
          <w:p>
            <w:pPr>
              <w:pStyle w:val="112"/>
              <w:rPr>
                <w:rFonts w:hAnsi="宋体"/>
                <w:kern w:val="2"/>
                <w:szCs w:val="21"/>
              </w:rPr>
            </w:pPr>
            <w:r>
              <w:rPr>
                <w:rFonts w:hAnsi="宋体"/>
                <w:kern w:val="2"/>
                <w:szCs w:val="21"/>
              </w:rPr>
              <w:t>K0+000</w:t>
            </w:r>
            <w:r>
              <w:rPr>
                <w:rFonts w:hint="eastAsia" w:hAnsi="宋体"/>
                <w:kern w:val="2"/>
                <w:szCs w:val="21"/>
              </w:rPr>
              <w:t>东侧</w:t>
            </w:r>
            <w:r>
              <w:rPr>
                <w:rFonts w:hAnsi="宋体"/>
                <w:kern w:val="2"/>
                <w:szCs w:val="21"/>
              </w:rPr>
              <w:t>25m</w:t>
            </w:r>
          </w:p>
        </w:tc>
        <w:tc>
          <w:tcPr>
            <w:tcW w:w="4394" w:type="dxa"/>
            <w:vAlign w:val="center"/>
          </w:tcPr>
          <w:p>
            <w:pPr>
              <w:pStyle w:val="112"/>
              <w:rPr>
                <w:rFonts w:hAnsi="宋体"/>
                <w:kern w:val="2"/>
                <w:szCs w:val="21"/>
                <w:highlight w:val="yellow"/>
              </w:rPr>
            </w:pPr>
            <w:r>
              <w:rPr>
                <w:rFonts w:hint="eastAsia"/>
                <w:kern w:val="2"/>
                <w:szCs w:val="21"/>
              </w:rPr>
              <w:t>西北侧</w:t>
            </w:r>
            <w:r>
              <w:rPr>
                <w:kern w:val="2"/>
                <w:szCs w:val="21"/>
              </w:rPr>
              <w:t>40m</w:t>
            </w:r>
            <w:r>
              <w:rPr>
                <w:rFonts w:hint="eastAsia"/>
                <w:kern w:val="2"/>
                <w:szCs w:val="21"/>
              </w:rPr>
              <w:t>、西南侧</w:t>
            </w:r>
            <w:r>
              <w:rPr>
                <w:kern w:val="2"/>
                <w:szCs w:val="21"/>
              </w:rPr>
              <w:t>40m</w:t>
            </w:r>
            <w:r>
              <w:rPr>
                <w:rFonts w:hint="eastAsia"/>
                <w:kern w:val="2"/>
                <w:szCs w:val="21"/>
              </w:rPr>
              <w:t>：铜盆村居民点，约</w:t>
            </w:r>
            <w:r>
              <w:rPr>
                <w:kern w:val="2"/>
                <w:szCs w:val="21"/>
              </w:rPr>
              <w:t>20</w:t>
            </w:r>
            <w:r>
              <w:rPr>
                <w:rFonts w:hint="eastAsia"/>
                <w:kern w:val="2"/>
                <w:szCs w:val="21"/>
              </w:rPr>
              <w:t>户</w:t>
            </w:r>
            <w:r>
              <w:rPr>
                <w:rFonts w:hint="eastAsia" w:hAnsi="宋体"/>
                <w:kern w:val="2"/>
                <w:szCs w:val="21"/>
              </w:rPr>
              <w:t>（亦为本项目沿线环境敏感目标）</w:t>
            </w:r>
            <w:r>
              <w:rPr>
                <w:rFonts w:hint="eastAsia" w:hAnsi="宋体"/>
                <w:kern w:val="2"/>
                <w:szCs w:val="21"/>
                <w:lang w:eastAsia="zh-CN"/>
              </w:rPr>
              <w:t>，</w:t>
            </w:r>
            <w:r>
              <w:rPr>
                <w:rFonts w:hint="eastAsia" w:hAnsi="宋体"/>
                <w:kern w:val="2"/>
                <w:szCs w:val="21"/>
                <w:lang w:val="en-US" w:eastAsia="zh-CN"/>
              </w:rPr>
              <w:t>且有小山体作为隔阻</w:t>
            </w:r>
          </w:p>
        </w:tc>
        <w:tc>
          <w:tcPr>
            <w:tcW w:w="1244" w:type="dxa"/>
            <w:vAlign w:val="center"/>
          </w:tcPr>
          <w:p>
            <w:pPr>
              <w:pStyle w:val="112"/>
              <w:rPr>
                <w:rFonts w:hAnsi="宋体"/>
                <w:kern w:val="2"/>
                <w:szCs w:val="21"/>
              </w:rPr>
            </w:pPr>
            <w:r>
              <w:rPr>
                <w:rFonts w:hAnsi="宋体"/>
                <w:kern w:val="2"/>
                <w:szCs w:val="21"/>
              </w:rPr>
              <w:t>/</w:t>
            </w:r>
          </w:p>
        </w:tc>
        <w:tc>
          <w:tcPr>
            <w:tcW w:w="4426" w:type="dxa"/>
            <w:vAlign w:val="center"/>
          </w:tcPr>
          <w:p>
            <w:pPr>
              <w:pStyle w:val="112"/>
              <w:rPr>
                <w:rFonts w:hAnsi="宋体"/>
                <w:kern w:val="2"/>
                <w:szCs w:val="21"/>
              </w:rPr>
            </w:pPr>
            <w:r>
              <w:rPr>
                <w:rFonts w:hint="eastAsia" w:hAnsi="宋体"/>
                <w:kern w:val="2"/>
                <w:szCs w:val="21"/>
              </w:rPr>
              <w:t>周边植被主要为灌丛。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trPr>
        <w:tc>
          <w:tcPr>
            <w:tcW w:w="1951" w:type="dxa"/>
            <w:vAlign w:val="center"/>
          </w:tcPr>
          <w:p>
            <w:pPr>
              <w:pStyle w:val="112"/>
              <w:rPr>
                <w:kern w:val="2"/>
                <w:szCs w:val="21"/>
              </w:rPr>
            </w:pPr>
            <w:r>
              <w:rPr>
                <w:kern w:val="2"/>
                <w:szCs w:val="21"/>
              </w:rPr>
              <w:t>Z2</w:t>
            </w:r>
            <w:r>
              <w:rPr>
                <w:rFonts w:hint="eastAsia" w:hAnsi="宋体"/>
                <w:kern w:val="2"/>
                <w:szCs w:val="21"/>
              </w:rPr>
              <w:t>弃渣场</w:t>
            </w:r>
          </w:p>
        </w:tc>
        <w:tc>
          <w:tcPr>
            <w:tcW w:w="2268" w:type="dxa"/>
            <w:vAlign w:val="center"/>
          </w:tcPr>
          <w:p>
            <w:pPr>
              <w:adjustRightInd w:val="0"/>
              <w:snapToGrid w:val="0"/>
              <w:jc w:val="center"/>
              <w:rPr>
                <w:rFonts w:hAnsi="宋体"/>
                <w:sz w:val="21"/>
                <w:szCs w:val="21"/>
              </w:rPr>
            </w:pPr>
            <w:r>
              <w:rPr>
                <w:rFonts w:hAnsi="宋体"/>
                <w:szCs w:val="21"/>
              </w:rPr>
              <w:t>K4+200</w:t>
            </w:r>
            <w:r>
              <w:rPr>
                <w:rFonts w:hint="eastAsia" w:hAnsi="宋体"/>
                <w:sz w:val="21"/>
                <w:szCs w:val="21"/>
              </w:rPr>
              <w:t>东侧</w:t>
            </w:r>
            <w:r>
              <w:rPr>
                <w:rFonts w:hAnsi="宋体"/>
                <w:szCs w:val="21"/>
              </w:rPr>
              <w:t>20m</w:t>
            </w:r>
          </w:p>
        </w:tc>
        <w:tc>
          <w:tcPr>
            <w:tcW w:w="4394" w:type="dxa"/>
            <w:vAlign w:val="center"/>
          </w:tcPr>
          <w:p>
            <w:pPr>
              <w:pStyle w:val="112"/>
              <w:rPr>
                <w:rFonts w:hAnsi="宋体"/>
                <w:kern w:val="2"/>
                <w:szCs w:val="21"/>
              </w:rPr>
            </w:pPr>
            <w:r>
              <w:rPr>
                <w:rFonts w:hint="eastAsia" w:hAnsi="宋体"/>
                <w:kern w:val="2"/>
                <w:szCs w:val="21"/>
              </w:rPr>
              <w:t>北侧</w:t>
            </w:r>
            <w:r>
              <w:rPr>
                <w:rFonts w:hAnsi="宋体"/>
                <w:kern w:val="2"/>
                <w:szCs w:val="21"/>
              </w:rPr>
              <w:t>60m</w:t>
            </w:r>
            <w:r>
              <w:rPr>
                <w:rFonts w:hint="eastAsia" w:hAnsi="宋体"/>
                <w:kern w:val="2"/>
                <w:szCs w:val="21"/>
              </w:rPr>
              <w:t>、东侧</w:t>
            </w:r>
            <w:r>
              <w:rPr>
                <w:rFonts w:hAnsi="宋体"/>
                <w:kern w:val="2"/>
                <w:szCs w:val="21"/>
              </w:rPr>
              <w:t>108m</w:t>
            </w:r>
            <w:r>
              <w:rPr>
                <w:rFonts w:hint="eastAsia" w:hAnsi="宋体"/>
                <w:kern w:val="2"/>
                <w:szCs w:val="21"/>
              </w:rPr>
              <w:t>：桃花村居民点，约</w:t>
            </w:r>
            <w:r>
              <w:rPr>
                <w:rFonts w:hAnsi="宋体"/>
                <w:kern w:val="2"/>
                <w:szCs w:val="21"/>
              </w:rPr>
              <w:t>15</w:t>
            </w:r>
            <w:r>
              <w:rPr>
                <w:rFonts w:hint="eastAsia" w:hAnsi="宋体"/>
                <w:kern w:val="2"/>
                <w:szCs w:val="21"/>
              </w:rPr>
              <w:t>户</w:t>
            </w:r>
          </w:p>
          <w:p>
            <w:pPr>
              <w:pStyle w:val="112"/>
              <w:rPr>
                <w:kern w:val="2"/>
                <w:szCs w:val="21"/>
                <w:highlight w:val="yellow"/>
              </w:rPr>
            </w:pPr>
            <w:r>
              <w:rPr>
                <w:rFonts w:hint="eastAsia" w:hAnsi="宋体"/>
                <w:kern w:val="2"/>
                <w:szCs w:val="21"/>
              </w:rPr>
              <w:t>（亦为本项目沿线环境敏感目标）</w:t>
            </w:r>
            <w:r>
              <w:rPr>
                <w:rFonts w:hint="eastAsia" w:hAnsi="宋体"/>
                <w:kern w:val="2"/>
                <w:szCs w:val="21"/>
                <w:lang w:eastAsia="zh-CN"/>
              </w:rPr>
              <w:t>，</w:t>
            </w:r>
            <w:r>
              <w:rPr>
                <w:rFonts w:hint="eastAsia" w:hAnsi="宋体"/>
                <w:kern w:val="2"/>
                <w:szCs w:val="21"/>
                <w:lang w:val="en-US" w:eastAsia="zh-CN"/>
              </w:rPr>
              <w:t>且有小山体作为隔阻</w:t>
            </w:r>
          </w:p>
        </w:tc>
        <w:tc>
          <w:tcPr>
            <w:tcW w:w="1244" w:type="dxa"/>
            <w:vAlign w:val="center"/>
          </w:tcPr>
          <w:p>
            <w:pPr>
              <w:pStyle w:val="112"/>
              <w:rPr>
                <w:kern w:val="2"/>
                <w:szCs w:val="21"/>
              </w:rPr>
            </w:pPr>
            <w:r>
              <w:rPr>
                <w:kern w:val="2"/>
                <w:szCs w:val="21"/>
              </w:rPr>
              <w:t>/</w:t>
            </w:r>
          </w:p>
        </w:tc>
        <w:tc>
          <w:tcPr>
            <w:tcW w:w="4426" w:type="dxa"/>
            <w:vAlign w:val="center"/>
          </w:tcPr>
          <w:p>
            <w:pPr>
              <w:pStyle w:val="112"/>
              <w:rPr>
                <w:kern w:val="2"/>
                <w:szCs w:val="21"/>
              </w:rPr>
            </w:pPr>
            <w:r>
              <w:rPr>
                <w:rFonts w:hint="eastAsia" w:hAnsi="宋体"/>
                <w:kern w:val="2"/>
                <w:szCs w:val="21"/>
              </w:rPr>
              <w:t>周边植被主要为杉木及灌丛。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7" w:hRule="atLeast"/>
        </w:trPr>
        <w:tc>
          <w:tcPr>
            <w:tcW w:w="1951" w:type="dxa"/>
            <w:vAlign w:val="center"/>
          </w:tcPr>
          <w:p>
            <w:pPr>
              <w:pStyle w:val="112"/>
              <w:rPr>
                <w:kern w:val="2"/>
                <w:szCs w:val="21"/>
              </w:rPr>
            </w:pPr>
            <w:r>
              <w:rPr>
                <w:kern w:val="2"/>
                <w:szCs w:val="21"/>
              </w:rPr>
              <w:t>Z3</w:t>
            </w:r>
            <w:r>
              <w:rPr>
                <w:rFonts w:hint="eastAsia" w:hAnsi="宋体"/>
                <w:kern w:val="2"/>
                <w:szCs w:val="21"/>
              </w:rPr>
              <w:t>弃渣场</w:t>
            </w:r>
          </w:p>
        </w:tc>
        <w:tc>
          <w:tcPr>
            <w:tcW w:w="2268" w:type="dxa"/>
            <w:vAlign w:val="center"/>
          </w:tcPr>
          <w:p>
            <w:pPr>
              <w:adjustRightInd w:val="0"/>
              <w:snapToGrid w:val="0"/>
              <w:jc w:val="center"/>
              <w:rPr>
                <w:rFonts w:hAnsi="宋体"/>
                <w:sz w:val="21"/>
                <w:szCs w:val="21"/>
              </w:rPr>
            </w:pPr>
            <w:r>
              <w:rPr>
                <w:rFonts w:hAnsi="宋体"/>
                <w:szCs w:val="21"/>
              </w:rPr>
              <w:t>K7+700</w:t>
            </w:r>
            <w:r>
              <w:rPr>
                <w:rFonts w:hint="eastAsia" w:hAnsi="宋体"/>
                <w:sz w:val="21"/>
                <w:szCs w:val="21"/>
              </w:rPr>
              <w:t>西侧</w:t>
            </w:r>
            <w:r>
              <w:rPr>
                <w:rFonts w:hAnsi="宋体"/>
                <w:sz w:val="21"/>
                <w:szCs w:val="21"/>
              </w:rPr>
              <w:t>200</w:t>
            </w:r>
            <w:r>
              <w:rPr>
                <w:rFonts w:hAnsi="宋体"/>
                <w:szCs w:val="21"/>
              </w:rPr>
              <w:t>m</w:t>
            </w:r>
          </w:p>
        </w:tc>
        <w:tc>
          <w:tcPr>
            <w:tcW w:w="4394" w:type="dxa"/>
            <w:vAlign w:val="center"/>
          </w:tcPr>
          <w:p>
            <w:pPr>
              <w:pStyle w:val="112"/>
              <w:rPr>
                <w:rFonts w:hAnsi="宋体"/>
                <w:kern w:val="2"/>
                <w:szCs w:val="21"/>
              </w:rPr>
            </w:pPr>
            <w:r>
              <w:rPr>
                <w:rFonts w:hint="eastAsia" w:hAnsi="宋体"/>
                <w:kern w:val="2"/>
                <w:szCs w:val="21"/>
              </w:rPr>
              <w:t>南侧</w:t>
            </w:r>
            <w:r>
              <w:rPr>
                <w:rFonts w:hAnsi="宋体"/>
                <w:kern w:val="2"/>
                <w:szCs w:val="21"/>
              </w:rPr>
              <w:t>75m</w:t>
            </w:r>
            <w:r>
              <w:rPr>
                <w:rFonts w:hint="eastAsia" w:hAnsi="宋体"/>
                <w:kern w:val="2"/>
                <w:szCs w:val="21"/>
              </w:rPr>
              <w:t>：大里塘村散户，约</w:t>
            </w:r>
            <w:r>
              <w:rPr>
                <w:rFonts w:hAnsi="宋体"/>
                <w:kern w:val="2"/>
                <w:szCs w:val="21"/>
              </w:rPr>
              <w:t>1</w:t>
            </w:r>
            <w:r>
              <w:rPr>
                <w:rFonts w:hint="eastAsia" w:hAnsi="宋体"/>
                <w:kern w:val="2"/>
                <w:szCs w:val="21"/>
              </w:rPr>
              <w:t>户</w:t>
            </w:r>
          </w:p>
          <w:p>
            <w:pPr>
              <w:pStyle w:val="112"/>
              <w:rPr>
                <w:kern w:val="2"/>
                <w:szCs w:val="21"/>
                <w:highlight w:val="yellow"/>
              </w:rPr>
            </w:pPr>
            <w:r>
              <w:rPr>
                <w:rFonts w:hint="eastAsia" w:hAnsi="宋体"/>
                <w:kern w:val="2"/>
                <w:szCs w:val="21"/>
              </w:rPr>
              <w:t>（亦为本项目沿线环境敏感目标）</w:t>
            </w:r>
          </w:p>
        </w:tc>
        <w:tc>
          <w:tcPr>
            <w:tcW w:w="1244" w:type="dxa"/>
            <w:vAlign w:val="center"/>
          </w:tcPr>
          <w:p>
            <w:pPr>
              <w:pStyle w:val="112"/>
              <w:rPr>
                <w:kern w:val="2"/>
                <w:szCs w:val="21"/>
              </w:rPr>
            </w:pPr>
            <w:r>
              <w:rPr>
                <w:rFonts w:hint="eastAsia"/>
                <w:kern w:val="2"/>
                <w:szCs w:val="21"/>
              </w:rPr>
              <w:t>南侧</w:t>
            </w:r>
            <w:r>
              <w:rPr>
                <w:rFonts w:hint="eastAsia"/>
                <w:kern w:val="2"/>
                <w:szCs w:val="21"/>
                <w:lang w:val="en-US" w:eastAsia="zh-CN"/>
              </w:rPr>
              <w:t>205</w:t>
            </w:r>
            <w:r>
              <w:rPr>
                <w:kern w:val="2"/>
                <w:szCs w:val="21"/>
              </w:rPr>
              <w:t>m</w:t>
            </w:r>
            <w:r>
              <w:rPr>
                <w:rFonts w:hint="eastAsia"/>
                <w:kern w:val="2"/>
                <w:szCs w:val="21"/>
              </w:rPr>
              <w:t>处为大里塘水库</w:t>
            </w:r>
            <w:r>
              <w:rPr>
                <w:rFonts w:hint="eastAsia"/>
                <w:kern w:val="2"/>
                <w:szCs w:val="21"/>
                <w:lang w:eastAsia="zh-CN"/>
              </w:rPr>
              <w:t>，</w:t>
            </w:r>
            <w:r>
              <w:rPr>
                <w:rFonts w:hint="eastAsia" w:hAnsi="宋体"/>
                <w:kern w:val="2"/>
                <w:szCs w:val="21"/>
                <w:lang w:val="en-US" w:eastAsia="zh-CN"/>
              </w:rPr>
              <w:t>且有小山体作为隔阻</w:t>
            </w:r>
          </w:p>
        </w:tc>
        <w:tc>
          <w:tcPr>
            <w:tcW w:w="4426" w:type="dxa"/>
            <w:vAlign w:val="center"/>
          </w:tcPr>
          <w:p>
            <w:pPr>
              <w:pStyle w:val="112"/>
              <w:rPr>
                <w:kern w:val="2"/>
                <w:szCs w:val="21"/>
              </w:rPr>
            </w:pPr>
            <w:r>
              <w:rPr>
                <w:rFonts w:hint="eastAsia" w:hAnsi="宋体"/>
                <w:kern w:val="2"/>
                <w:szCs w:val="21"/>
              </w:rPr>
              <w:t>周边植被主要为杉木及灌丛。</w:t>
            </w:r>
          </w:p>
        </w:tc>
      </w:tr>
    </w:tbl>
    <w:p>
      <w:pPr>
        <w:pStyle w:val="3"/>
        <w:ind w:firstLine="0" w:firstLineChars="0"/>
        <w:rPr>
          <w:rFonts w:eastAsia="仿宋"/>
          <w:color w:val="FF0000"/>
          <w:sz w:val="18"/>
          <w:szCs w:val="18"/>
        </w:rPr>
      </w:pPr>
    </w:p>
    <w:p>
      <w:pPr>
        <w:pStyle w:val="3"/>
        <w:ind w:firstLine="0" w:firstLineChars="0"/>
        <w:rPr>
          <w:rFonts w:eastAsia="黑体"/>
          <w:color w:val="FF0000"/>
        </w:rPr>
        <w:sectPr>
          <w:headerReference r:id="rId6" w:type="default"/>
          <w:pgSz w:w="16840" w:h="11907" w:orient="landscape"/>
          <w:pgMar w:top="1361" w:right="1474" w:bottom="1588" w:left="1474" w:header="1020" w:footer="851" w:gutter="0"/>
          <w:pgBorders>
            <w:top w:val="none" w:sz="0" w:space="0"/>
            <w:left w:val="none" w:sz="0" w:space="0"/>
            <w:bottom w:val="none" w:sz="0" w:space="0"/>
            <w:right w:val="none" w:sz="0" w:space="0"/>
          </w:pgBorders>
          <w:cols w:space="425" w:num="1"/>
          <w:docGrid w:linePitch="286" w:charSpace="0"/>
        </w:sectPr>
      </w:pPr>
    </w:p>
    <w:p>
      <w:pPr>
        <w:pStyle w:val="4"/>
        <w:ind w:left="709" w:hanging="709"/>
      </w:pPr>
      <w:bookmarkStart w:id="106" w:name="_Toc23713"/>
      <w:r>
        <w:rPr>
          <w:rFonts w:hint="eastAsia"/>
        </w:rPr>
        <w:t>评价时段和评价方法</w:t>
      </w:r>
      <w:bookmarkEnd w:id="105"/>
      <w:bookmarkEnd w:id="106"/>
    </w:p>
    <w:p>
      <w:pPr>
        <w:pStyle w:val="5"/>
        <w:ind w:left="567" w:hanging="567"/>
      </w:pPr>
      <w:r>
        <w:rPr>
          <w:rFonts w:hint="eastAsia"/>
        </w:rPr>
        <w:t>评价时段</w:t>
      </w:r>
    </w:p>
    <w:p>
      <w:pPr>
        <w:pStyle w:val="3"/>
        <w:ind w:firstLine="31680"/>
      </w:pPr>
      <w:r>
        <w:rPr>
          <w:rFonts w:hint="eastAsia"/>
        </w:rPr>
        <w:t>根据公路建设项目的特点，预测评价包括施工期和营运近、中、远期，按照《公路建设项目环境影响评价规范》（</w:t>
      </w:r>
      <w:r>
        <w:t>JTGB03-2006</w:t>
      </w:r>
      <w:r>
        <w:rPr>
          <w:rFonts w:hint="eastAsia"/>
        </w:rPr>
        <w:t>）要求，预测年限取公路竣工投入营运后第</w:t>
      </w:r>
      <w:r>
        <w:t>1</w:t>
      </w:r>
      <w:r>
        <w:rPr>
          <w:rFonts w:hint="eastAsia"/>
        </w:rPr>
        <w:t>年、第</w:t>
      </w:r>
      <w:r>
        <w:t>7</w:t>
      </w:r>
      <w:r>
        <w:rPr>
          <w:rFonts w:hint="eastAsia"/>
        </w:rPr>
        <w:t>年和第</w:t>
      </w:r>
      <w:r>
        <w:t>15</w:t>
      </w:r>
      <w:r>
        <w:rPr>
          <w:rFonts w:hint="eastAsia"/>
        </w:rPr>
        <w:t>年，而本项目计划</w:t>
      </w:r>
      <w:r>
        <w:t>2017</w:t>
      </w:r>
      <w:r>
        <w:rPr>
          <w:rFonts w:hint="eastAsia"/>
        </w:rPr>
        <w:t>年</w:t>
      </w:r>
      <w:r>
        <w:rPr>
          <w:rFonts w:hint="eastAsia"/>
          <w:lang w:val="en-US" w:eastAsia="zh-CN"/>
        </w:rPr>
        <w:t>5</w:t>
      </w:r>
      <w:r>
        <w:rPr>
          <w:rFonts w:hint="eastAsia"/>
        </w:rPr>
        <w:t>月开工建设，建设工期</w:t>
      </w:r>
      <w:r>
        <w:t>18</w:t>
      </w:r>
      <w:r>
        <w:rPr>
          <w:rFonts w:hint="eastAsia"/>
        </w:rPr>
        <w:t>个月，</w:t>
      </w:r>
      <w:r>
        <w:t>2018</w:t>
      </w:r>
      <w:r>
        <w:rPr>
          <w:rFonts w:hint="eastAsia"/>
        </w:rPr>
        <w:t>年</w:t>
      </w:r>
      <w:r>
        <w:rPr>
          <w:rFonts w:hint="eastAsia"/>
          <w:lang w:val="en-US" w:eastAsia="zh-CN"/>
        </w:rPr>
        <w:t>10</w:t>
      </w:r>
      <w:r>
        <w:rPr>
          <w:rFonts w:hint="eastAsia"/>
        </w:rPr>
        <w:t>月竣工通车。结合本项目可研对项目建成后交通量预测情况，因此本项目环境影响评价营运期预测时段取</w:t>
      </w:r>
      <w:r>
        <w:t>2019</w:t>
      </w:r>
      <w:r>
        <w:rPr>
          <w:rFonts w:hint="eastAsia"/>
        </w:rPr>
        <w:t>年、</w:t>
      </w:r>
      <w:r>
        <w:t>2025</w:t>
      </w:r>
      <w:r>
        <w:rPr>
          <w:rFonts w:hint="eastAsia"/>
        </w:rPr>
        <w:t>年、</w:t>
      </w:r>
      <w:r>
        <w:t>2033</w:t>
      </w:r>
      <w:r>
        <w:rPr>
          <w:rFonts w:hint="eastAsia"/>
        </w:rPr>
        <w:t>年进行预测评价。</w:t>
      </w:r>
    </w:p>
    <w:p>
      <w:pPr>
        <w:pStyle w:val="5"/>
        <w:ind w:left="567" w:hanging="567"/>
      </w:pPr>
      <w:r>
        <w:rPr>
          <w:rFonts w:hint="eastAsia"/>
        </w:rPr>
        <w:t>评价方法</w:t>
      </w:r>
    </w:p>
    <w:p>
      <w:pPr>
        <w:pStyle w:val="3"/>
        <w:ind w:firstLine="31680"/>
      </w:pPr>
      <w:r>
        <w:rPr>
          <w:rFonts w:hint="eastAsia"/>
        </w:rPr>
        <w:t>本评价将根据国家环保部颁布的环境影响评价技术导则，结合其它有关的规范方法进行。</w:t>
      </w:r>
    </w:p>
    <w:p>
      <w:pPr>
        <w:pStyle w:val="3"/>
        <w:ind w:firstLine="31680"/>
      </w:pPr>
      <w:r>
        <w:rPr>
          <w:rFonts w:hint="eastAsia"/>
        </w:rPr>
        <w:t>采用现场调查、现场监测、社会调访、收集资料等方法，进行各环境要素质量现状分析评价；</w:t>
      </w:r>
    </w:p>
    <w:p>
      <w:pPr>
        <w:pStyle w:val="3"/>
        <w:ind w:firstLine="31680"/>
      </w:pPr>
      <w:r>
        <w:rPr>
          <w:rFonts w:hint="eastAsia"/>
        </w:rPr>
        <w:t>采用类比调查和资料引用的方法，分析项目建设的污染物产生情况；</w:t>
      </w:r>
    </w:p>
    <w:p>
      <w:pPr>
        <w:pStyle w:val="3"/>
        <w:ind w:firstLine="31680"/>
      </w:pPr>
      <w:r>
        <w:rPr>
          <w:rFonts w:hint="eastAsia"/>
        </w:rPr>
        <w:t>采用模式预测以及类比分析的方法，进行环境影响的预测分析评价。</w:t>
      </w:r>
    </w:p>
    <w:p>
      <w:pPr>
        <w:pStyle w:val="3"/>
        <w:ind w:firstLine="31680"/>
        <w:rPr>
          <w:color w:val="FF0000"/>
        </w:rPr>
        <w:sectPr>
          <w:pgSz w:w="11907" w:h="16840"/>
          <w:pgMar w:top="1474" w:right="1361" w:bottom="1474" w:left="1588" w:header="1020" w:footer="851" w:gutter="0"/>
          <w:pgBorders>
            <w:top w:val="none" w:sz="0" w:space="0"/>
            <w:left w:val="none" w:sz="0" w:space="0"/>
            <w:bottom w:val="none" w:sz="0" w:space="0"/>
            <w:right w:val="none" w:sz="0" w:space="0"/>
          </w:pgBorders>
          <w:cols w:space="425" w:num="1"/>
          <w:docGrid w:linePitch="286" w:charSpace="0"/>
        </w:sectPr>
      </w:pPr>
    </w:p>
    <w:p>
      <w:pPr>
        <w:pStyle w:val="2"/>
      </w:pPr>
      <w:bookmarkStart w:id="107" w:name="_Toc408503550"/>
      <w:bookmarkStart w:id="108" w:name="_Toc28090"/>
      <w:r>
        <w:rPr>
          <w:rFonts w:hint="eastAsia"/>
        </w:rPr>
        <w:t>工程概况</w:t>
      </w:r>
      <w:bookmarkEnd w:id="107"/>
      <w:bookmarkEnd w:id="108"/>
    </w:p>
    <w:p>
      <w:pPr>
        <w:pStyle w:val="4"/>
        <w:ind w:hanging="718"/>
        <w:rPr>
          <w:u w:val="single"/>
        </w:rPr>
      </w:pPr>
      <w:bookmarkStart w:id="109" w:name="_Toc408503551"/>
      <w:bookmarkStart w:id="110" w:name="_Toc20399"/>
      <w:r>
        <w:rPr>
          <w:rFonts w:hint="eastAsia"/>
          <w:u w:val="single"/>
        </w:rPr>
        <w:t>工程基本情况</w:t>
      </w:r>
      <w:bookmarkEnd w:id="109"/>
      <w:bookmarkEnd w:id="110"/>
    </w:p>
    <w:p>
      <w:pPr>
        <w:pStyle w:val="3"/>
        <w:numPr>
          <w:ilvl w:val="0"/>
          <w:numId w:val="10"/>
        </w:numPr>
        <w:spacing w:line="336" w:lineRule="auto"/>
        <w:ind w:left="0" w:firstLine="31680"/>
        <w:rPr>
          <w:u w:val="single"/>
        </w:rPr>
      </w:pPr>
      <w:r>
        <w:rPr>
          <w:rFonts w:hint="eastAsia"/>
          <w:u w:val="single"/>
        </w:rPr>
        <w:t>项目名称：</w:t>
      </w:r>
      <w:r>
        <w:rPr>
          <w:rFonts w:hint="eastAsia"/>
          <w:u w:val="single"/>
          <w:lang w:eastAsia="zh-CN"/>
        </w:rPr>
        <w:t>弼时镇铜盆至青山铺公路（飞地工业园区主干道桃花路）工程建设项目</w:t>
      </w:r>
      <w:r>
        <w:rPr>
          <w:rFonts w:hint="eastAsia"/>
          <w:u w:val="single"/>
        </w:rPr>
        <w:t>；</w:t>
      </w:r>
    </w:p>
    <w:p>
      <w:pPr>
        <w:pStyle w:val="3"/>
        <w:spacing w:line="336" w:lineRule="auto"/>
        <w:ind w:firstLine="31680"/>
        <w:rPr>
          <w:u w:val="single"/>
        </w:rPr>
      </w:pPr>
      <w:r>
        <w:rPr>
          <w:u w:val="single"/>
        </w:rPr>
        <w:t>b</w:t>
      </w:r>
      <w:r>
        <w:rPr>
          <w:rFonts w:hint="eastAsia"/>
          <w:u w:val="single"/>
        </w:rPr>
        <w:t>）建设性质：新建；</w:t>
      </w:r>
    </w:p>
    <w:p>
      <w:pPr>
        <w:pStyle w:val="3"/>
        <w:spacing w:line="336" w:lineRule="auto"/>
        <w:ind w:firstLine="31680"/>
        <w:rPr>
          <w:u w:val="single"/>
        </w:rPr>
      </w:pPr>
      <w:r>
        <w:rPr>
          <w:u w:val="single"/>
        </w:rPr>
        <w:t>c</w:t>
      </w:r>
      <w:r>
        <w:rPr>
          <w:rFonts w:hint="eastAsia"/>
          <w:u w:val="single"/>
        </w:rPr>
        <w:t>）建设单位</w:t>
      </w:r>
      <w:r>
        <w:rPr>
          <w:rFonts w:hint="eastAsia"/>
          <w:snapToGrid w:val="0"/>
          <w:kern w:val="13"/>
          <w:u w:val="single"/>
        </w:rPr>
        <w:t>：</w:t>
      </w:r>
      <w:r>
        <w:rPr>
          <w:rFonts w:hint="eastAsia"/>
          <w:u w:val="single"/>
        </w:rPr>
        <w:t>汨罗市交通建设投资有限公司</w:t>
      </w:r>
      <w:r>
        <w:rPr>
          <w:rFonts w:hint="eastAsia"/>
          <w:snapToGrid w:val="0"/>
          <w:kern w:val="13"/>
          <w:u w:val="single"/>
        </w:rPr>
        <w:t>；</w:t>
      </w:r>
    </w:p>
    <w:p>
      <w:pPr>
        <w:pStyle w:val="3"/>
        <w:spacing w:line="336" w:lineRule="auto"/>
        <w:ind w:firstLine="31680"/>
        <w:rPr>
          <w:snapToGrid w:val="0"/>
          <w:kern w:val="13"/>
          <w:u w:val="single"/>
        </w:rPr>
      </w:pPr>
      <w:r>
        <w:rPr>
          <w:u w:val="single"/>
        </w:rPr>
        <w:t>d</w:t>
      </w:r>
      <w:r>
        <w:rPr>
          <w:rFonts w:hint="eastAsia"/>
          <w:u w:val="single"/>
        </w:rPr>
        <w:t>）总投资：</w:t>
      </w:r>
      <w:r>
        <w:rPr>
          <w:rFonts w:hint="eastAsia"/>
          <w:snapToGrid w:val="0"/>
          <w:kern w:val="13"/>
          <w:u w:val="single"/>
        </w:rPr>
        <w:t>项目总投资为</w:t>
      </w:r>
      <w:r>
        <w:rPr>
          <w:rFonts w:cs="宋体"/>
          <w:u w:val="single"/>
        </w:rPr>
        <w:t>24018.59</w:t>
      </w:r>
      <w:r>
        <w:rPr>
          <w:rFonts w:hint="eastAsia"/>
          <w:u w:val="single"/>
        </w:rPr>
        <w:t>万元</w:t>
      </w:r>
      <w:r>
        <w:rPr>
          <w:rFonts w:hint="eastAsia"/>
          <w:snapToGrid w:val="0"/>
          <w:kern w:val="13"/>
          <w:u w:val="single"/>
        </w:rPr>
        <w:t>，</w:t>
      </w:r>
      <w:r>
        <w:rPr>
          <w:rFonts w:hint="eastAsia" w:hAnsi="Century Gothic"/>
          <w:u w:val="single"/>
        </w:rPr>
        <w:t>平均</w:t>
      </w:r>
      <w:r>
        <w:rPr>
          <w:rFonts w:hint="eastAsia" w:hAnsi="Century Gothic"/>
          <w:spacing w:val="2"/>
          <w:u w:val="single"/>
        </w:rPr>
        <w:t>每</w:t>
      </w:r>
      <w:r>
        <w:rPr>
          <w:rFonts w:hint="eastAsia" w:hAnsi="Century Gothic"/>
          <w:u w:val="single"/>
        </w:rPr>
        <w:t>公里造价</w:t>
      </w:r>
      <w:r>
        <w:rPr>
          <w:rFonts w:cs="宋体"/>
          <w:u w:val="single"/>
        </w:rPr>
        <w:t>2869.95</w:t>
      </w:r>
      <w:r>
        <w:rPr>
          <w:rFonts w:hint="eastAsia" w:cs="宋体"/>
          <w:u w:val="single"/>
        </w:rPr>
        <w:t>万元</w:t>
      </w:r>
      <w:r>
        <w:rPr>
          <w:rFonts w:hint="eastAsia"/>
          <w:snapToGrid w:val="0"/>
          <w:kern w:val="13"/>
          <w:u w:val="single"/>
        </w:rPr>
        <w:t>；</w:t>
      </w:r>
    </w:p>
    <w:p>
      <w:pPr>
        <w:adjustRightInd w:val="0"/>
        <w:snapToGrid w:val="0"/>
        <w:spacing w:line="336" w:lineRule="auto"/>
        <w:ind w:firstLine="31680" w:firstLineChars="200"/>
        <w:rPr>
          <w:rFonts w:hAnsi="宋体"/>
          <w:sz w:val="24"/>
          <w:szCs w:val="24"/>
          <w:u w:val="single"/>
        </w:rPr>
      </w:pPr>
      <w:r>
        <w:rPr>
          <w:rFonts w:hAnsi="宋体"/>
          <w:sz w:val="24"/>
          <w:szCs w:val="24"/>
          <w:u w:val="single"/>
        </w:rPr>
        <w:t>e</w:t>
      </w:r>
      <w:r>
        <w:rPr>
          <w:rFonts w:hint="eastAsia" w:hAnsi="宋体"/>
          <w:sz w:val="24"/>
          <w:szCs w:val="24"/>
          <w:u w:val="single"/>
        </w:rPr>
        <w:t>）资金筹措：项目建设资金来源为地方自筹；</w:t>
      </w:r>
    </w:p>
    <w:p>
      <w:pPr>
        <w:pStyle w:val="3"/>
        <w:spacing w:line="336" w:lineRule="auto"/>
        <w:ind w:firstLine="31680"/>
        <w:rPr>
          <w:rFonts w:hAnsi="宋体"/>
          <w:kern w:val="2"/>
          <w:szCs w:val="24"/>
          <w:u w:val="single"/>
        </w:rPr>
      </w:pPr>
      <w:r>
        <w:rPr>
          <w:rFonts w:hAnsi="宋体"/>
          <w:kern w:val="2"/>
          <w:szCs w:val="24"/>
          <w:u w:val="single"/>
        </w:rPr>
        <w:t>f</w:t>
      </w:r>
      <w:r>
        <w:rPr>
          <w:rFonts w:hint="eastAsia" w:hAnsi="宋体"/>
          <w:kern w:val="2"/>
          <w:szCs w:val="24"/>
          <w:u w:val="single"/>
        </w:rPr>
        <w:t>）建设工期：</w:t>
      </w:r>
      <w:r>
        <w:rPr>
          <w:color w:val="auto"/>
          <w:sz w:val="24"/>
          <w:u w:val="single"/>
        </w:rPr>
        <w:t>2017</w:t>
      </w:r>
      <w:r>
        <w:rPr>
          <w:rFonts w:hint="eastAsia"/>
          <w:color w:val="auto"/>
          <w:sz w:val="24"/>
          <w:u w:val="single"/>
        </w:rPr>
        <w:t>年</w:t>
      </w:r>
      <w:r>
        <w:rPr>
          <w:rFonts w:hint="eastAsia"/>
          <w:color w:val="auto"/>
          <w:sz w:val="24"/>
          <w:u w:val="single"/>
          <w:lang w:val="en-US" w:eastAsia="zh-CN"/>
        </w:rPr>
        <w:t>5</w:t>
      </w:r>
      <w:r>
        <w:rPr>
          <w:rFonts w:hint="eastAsia"/>
          <w:color w:val="auto"/>
          <w:sz w:val="24"/>
          <w:u w:val="single"/>
        </w:rPr>
        <w:t>月</w:t>
      </w:r>
      <w:r>
        <w:rPr>
          <w:rFonts w:hint="eastAsia" w:ascii="宋体" w:hAnsi="宋体" w:cs="Arial"/>
          <w:color w:val="auto"/>
          <w:sz w:val="24"/>
          <w:u w:val="single"/>
          <w:lang w:val="sq-AL"/>
        </w:rPr>
        <w:t>开工，</w:t>
      </w:r>
      <w:r>
        <w:rPr>
          <w:rFonts w:ascii="宋体" w:hAnsi="宋体" w:cs="Arial"/>
          <w:color w:val="auto"/>
          <w:sz w:val="24"/>
          <w:u w:val="single"/>
          <w:lang w:val="sq-AL"/>
        </w:rPr>
        <w:t>20</w:t>
      </w:r>
      <w:r>
        <w:rPr>
          <w:rFonts w:ascii="宋体" w:hAnsi="宋体" w:cs="Arial"/>
          <w:color w:val="auto"/>
          <w:sz w:val="24"/>
          <w:u w:val="single"/>
        </w:rPr>
        <w:t>18</w:t>
      </w:r>
      <w:r>
        <w:rPr>
          <w:rFonts w:hint="eastAsia" w:ascii="宋体" w:hAnsi="宋体" w:cs="Arial"/>
          <w:color w:val="auto"/>
          <w:sz w:val="24"/>
          <w:u w:val="single"/>
          <w:lang w:val="sq-AL"/>
        </w:rPr>
        <w:t>年</w:t>
      </w:r>
      <w:r>
        <w:rPr>
          <w:rFonts w:hint="eastAsia" w:ascii="宋体" w:hAnsi="宋体" w:cs="Arial"/>
          <w:color w:val="auto"/>
          <w:sz w:val="24"/>
          <w:u w:val="single"/>
          <w:lang w:val="en-US" w:eastAsia="zh-CN"/>
        </w:rPr>
        <w:t>10</w:t>
      </w:r>
      <w:r>
        <w:rPr>
          <w:rFonts w:hint="eastAsia" w:ascii="宋体" w:hAnsi="宋体" w:cs="Arial"/>
          <w:color w:val="auto"/>
          <w:sz w:val="24"/>
          <w:u w:val="single"/>
          <w:lang w:val="sq-AL"/>
        </w:rPr>
        <w:t>月</w:t>
      </w:r>
      <w:r>
        <w:rPr>
          <w:rFonts w:hint="eastAsia" w:hAnsi="宋体"/>
          <w:kern w:val="2"/>
          <w:szCs w:val="24"/>
          <w:u w:val="single"/>
        </w:rPr>
        <w:t>竣工，建设期</w:t>
      </w:r>
      <w:r>
        <w:rPr>
          <w:rFonts w:hAnsi="宋体"/>
          <w:kern w:val="2"/>
          <w:szCs w:val="24"/>
          <w:u w:val="single"/>
        </w:rPr>
        <w:t>18</w:t>
      </w:r>
      <w:r>
        <w:rPr>
          <w:rFonts w:hint="eastAsia" w:hAnsi="宋体"/>
          <w:kern w:val="2"/>
          <w:szCs w:val="24"/>
          <w:u w:val="single"/>
        </w:rPr>
        <w:t>月。</w:t>
      </w:r>
    </w:p>
    <w:p>
      <w:pPr>
        <w:pStyle w:val="3"/>
        <w:spacing w:line="336" w:lineRule="auto"/>
        <w:ind w:firstLine="31680"/>
        <w:rPr>
          <w:rFonts w:hAnsi="宋体"/>
          <w:kern w:val="2"/>
          <w:szCs w:val="24"/>
          <w:u w:val="single"/>
        </w:rPr>
      </w:pPr>
      <w:r>
        <w:rPr>
          <w:rFonts w:hint="eastAsia" w:hAnsi="宋体"/>
          <w:kern w:val="2"/>
          <w:szCs w:val="24"/>
          <w:u w:val="single"/>
        </w:rPr>
        <w:t>本次环境影响评价不包括道路配套的排水、供电、供气等相关管网工程的评价。</w:t>
      </w:r>
      <w:r>
        <w:rPr>
          <w:rFonts w:hint="eastAsia" w:hAnsi="宋体"/>
          <w:kern w:val="2"/>
          <w:szCs w:val="24"/>
          <w:u w:val="single"/>
          <w:lang w:val="en-US" w:eastAsia="zh-CN"/>
        </w:rPr>
        <w:t>管网等附属工程纳入园区。</w:t>
      </w:r>
    </w:p>
    <w:p>
      <w:pPr>
        <w:pStyle w:val="4"/>
        <w:ind w:hanging="718"/>
      </w:pPr>
      <w:bookmarkStart w:id="111" w:name="_Toc387"/>
      <w:r>
        <w:rPr>
          <w:rFonts w:hint="eastAsia"/>
        </w:rPr>
        <w:t>拟建工程概况</w:t>
      </w:r>
      <w:bookmarkEnd w:id="111"/>
    </w:p>
    <w:p>
      <w:pPr>
        <w:pStyle w:val="5"/>
        <w:ind w:left="567" w:hanging="567"/>
      </w:pPr>
      <w:r>
        <w:rPr>
          <w:rFonts w:hint="eastAsia"/>
        </w:rPr>
        <w:t>地理位置及线路走向</w:t>
      </w:r>
    </w:p>
    <w:p>
      <w:pPr>
        <w:pStyle w:val="3"/>
        <w:spacing w:line="336" w:lineRule="auto"/>
        <w:ind w:firstLine="31680"/>
      </w:pPr>
      <w:r>
        <w:t>a</w:t>
      </w:r>
      <w:r>
        <w:rPr>
          <w:rFonts w:hint="eastAsia"/>
        </w:rPr>
        <w:t>）地理位置及路线走向</w:t>
      </w:r>
    </w:p>
    <w:p>
      <w:pPr>
        <w:pStyle w:val="3"/>
        <w:spacing w:line="336" w:lineRule="auto"/>
        <w:ind w:firstLine="31680"/>
        <w:rPr>
          <w:rFonts w:cs="宋体"/>
        </w:rPr>
      </w:pPr>
      <w:r>
        <w:rPr>
          <w:rFonts w:hint="eastAsia"/>
        </w:rPr>
        <w:t>建设地点及路线方案：位于湖南省汨罗市弼时镇，位于铜盆至青山铺中间，设计起点位于汨罗市弼</w:t>
      </w:r>
      <w:r>
        <w:rPr>
          <w:rFonts w:hint="eastAsia" w:cs="宋体"/>
        </w:rPr>
        <w:t>时镇铜盆村，经樟树塘、范家屋场、石塘湾，然后基本沿规划的桃花路线位进行展线，并根据地形对其进行优化，经旧屋场，终点位于汨罗市弼时镇大里塘水库东南角胡家垄（汨罗市与长沙县交界处），与长沙县</w:t>
      </w:r>
      <w:r>
        <w:rPr>
          <w:rFonts w:cs="宋体"/>
        </w:rPr>
        <w:t>G107</w:t>
      </w:r>
      <w:r>
        <w:rPr>
          <w:rFonts w:hint="eastAsia" w:cs="宋体"/>
        </w:rPr>
        <w:t>调规公路工程起点对接，里程长度</w:t>
      </w:r>
      <w:r>
        <w:rPr>
          <w:rFonts w:cs="宋体"/>
        </w:rPr>
        <w:t>8.369Km</w:t>
      </w:r>
      <w:r>
        <w:rPr>
          <w:rFonts w:hint="eastAsia" w:cs="宋体"/>
        </w:rPr>
        <w:t>。</w:t>
      </w:r>
      <w:r>
        <w:rPr>
          <w:rFonts w:hint="eastAsia" w:cs="宋体"/>
          <w:u w:val="single"/>
        </w:rPr>
        <w:t>公路路基宽度为</w:t>
      </w:r>
      <w:r>
        <w:rPr>
          <w:rFonts w:cs="宋体"/>
          <w:u w:val="single"/>
        </w:rPr>
        <w:t>25.5m</w:t>
      </w:r>
      <w:r>
        <w:rPr>
          <w:rFonts w:hint="eastAsia" w:cs="宋体"/>
          <w:u w:val="single"/>
        </w:rPr>
        <w:t>，</w:t>
      </w:r>
      <w:r>
        <w:rPr>
          <w:rFonts w:hint="eastAsia" w:cs="宋体"/>
          <w:u w:val="single"/>
          <w:lang w:val="en-US" w:eastAsia="zh-CN"/>
        </w:rPr>
        <w:t>路面宽度为22m，</w:t>
      </w:r>
      <w:r>
        <w:rPr>
          <w:rFonts w:hint="eastAsia" w:cs="宋体"/>
          <w:u w:val="single"/>
        </w:rPr>
        <w:t>设计速度</w:t>
      </w:r>
      <w:r>
        <w:rPr>
          <w:rFonts w:cs="宋体"/>
          <w:u w:val="single"/>
        </w:rPr>
        <w:t>80km/h</w:t>
      </w:r>
      <w:r>
        <w:rPr>
          <w:rFonts w:hint="eastAsia" w:cs="宋体"/>
          <w:u w:val="single"/>
        </w:rPr>
        <w:t>。</w:t>
      </w:r>
    </w:p>
    <w:p>
      <w:pPr>
        <w:snapToGrid w:val="0"/>
        <w:spacing w:line="360" w:lineRule="auto"/>
        <w:jc w:val="center"/>
        <w:rPr>
          <w:color w:val="FF0000"/>
        </w:rPr>
      </w:pPr>
      <w:r>
        <w:rPr>
          <w:rFonts w:ascii="Century Gothic" w:hAnsi="Century Gothic"/>
        </w:rPr>
        <w:pict>
          <v:shape id="_x0000_i1037" o:spt="75" type="#_x0000_t75" style="height:441pt;width:456pt;" filled="f" o:preferrelative="t" stroked="f" coordsize="21600,21600">
            <v:path/>
            <v:fill on="f" focussize="0,0"/>
            <v:stroke on="f" joinstyle="miter"/>
            <v:imagedata r:id="rId27" cropleft="26347f" croptop="14543f" cropright="6982f" cropbottom="6105f" o:title=""/>
            <o:lock v:ext="edit" aspectratio="t"/>
            <w10:wrap type="none"/>
            <w10:anchorlock/>
          </v:shape>
        </w:pict>
      </w:r>
    </w:p>
    <w:p>
      <w:pPr>
        <w:jc w:val="center"/>
        <w:rPr>
          <w:sz w:val="24"/>
          <w:szCs w:val="24"/>
        </w:rPr>
      </w:pPr>
      <w:r>
        <w:rPr>
          <w:rFonts w:hint="eastAsia"/>
          <w:sz w:val="24"/>
          <w:szCs w:val="24"/>
        </w:rPr>
        <w:t>图</w:t>
      </w:r>
      <w:r>
        <w:rPr>
          <w:sz w:val="24"/>
          <w:szCs w:val="24"/>
        </w:rPr>
        <w:t xml:space="preserve">3.2-1   </w:t>
      </w:r>
      <w:r>
        <w:rPr>
          <w:rFonts w:hint="eastAsia"/>
          <w:sz w:val="24"/>
          <w:szCs w:val="24"/>
        </w:rPr>
        <w:t>本项目地理位置图</w:t>
      </w:r>
    </w:p>
    <w:p>
      <w:pPr>
        <w:pStyle w:val="3"/>
        <w:ind w:firstLine="31680"/>
      </w:pPr>
      <w:r>
        <w:t>b</w:t>
      </w:r>
      <w:r>
        <w:rPr>
          <w:rFonts w:hint="eastAsia"/>
        </w:rPr>
        <w:t>）主要控制点</w:t>
      </w:r>
    </w:p>
    <w:p>
      <w:pPr>
        <w:pStyle w:val="3"/>
        <w:ind w:firstLine="31680"/>
      </w:pPr>
      <w:r>
        <w:rPr>
          <w:rFonts w:hint="eastAsia" w:hAnsi="宋体"/>
          <w:szCs w:val="24"/>
        </w:rPr>
        <w:t>主要控制点：</w:t>
      </w:r>
      <w:r>
        <w:rPr>
          <w:rFonts w:hint="eastAsia" w:ascii="Arial" w:hAnsi="Arial" w:cs="Arial"/>
          <w:lang w:val="sq-AL"/>
        </w:rPr>
        <w:t>路线主要控制点</w:t>
      </w:r>
      <w:r>
        <w:rPr>
          <w:rFonts w:hint="eastAsia" w:cs="宋体"/>
        </w:rPr>
        <w:t>有弼时镇铜盆村</w:t>
      </w:r>
      <w:r>
        <w:rPr>
          <w:rFonts w:hint="eastAsia"/>
        </w:rPr>
        <w:t>（经度</w:t>
      </w:r>
      <w:r>
        <w:t>E</w:t>
      </w:r>
      <w:r>
        <w:rPr>
          <w:rFonts w:hint="eastAsia"/>
        </w:rPr>
        <w:t>：</w:t>
      </w:r>
      <w:r>
        <w:t>113.160424°</w:t>
      </w:r>
      <w:r>
        <w:rPr>
          <w:rFonts w:hint="eastAsia"/>
        </w:rPr>
        <w:t>，纬度</w:t>
      </w:r>
      <w:r>
        <w:t>N</w:t>
      </w:r>
      <w:r>
        <w:rPr>
          <w:rFonts w:hint="eastAsia"/>
        </w:rPr>
        <w:t>：</w:t>
      </w:r>
      <w:r>
        <w:t>28.552560°</w:t>
      </w:r>
      <w:r>
        <w:rPr>
          <w:rFonts w:hint="eastAsia"/>
        </w:rPr>
        <w:t>）</w:t>
      </w:r>
      <w:r>
        <w:rPr>
          <w:rFonts w:hint="eastAsia" w:cs="宋体"/>
        </w:rPr>
        <w:t>、范家屋场</w:t>
      </w:r>
      <w:r>
        <w:rPr>
          <w:rFonts w:hint="eastAsia"/>
        </w:rPr>
        <w:t>（经度</w:t>
      </w:r>
      <w:r>
        <w:t>E</w:t>
      </w:r>
      <w:r>
        <w:rPr>
          <w:rFonts w:hint="eastAsia"/>
        </w:rPr>
        <w:t>：</w:t>
      </w:r>
      <w:r>
        <w:t>113.162162°</w:t>
      </w:r>
      <w:r>
        <w:rPr>
          <w:rFonts w:hint="eastAsia"/>
        </w:rPr>
        <w:t>，纬度</w:t>
      </w:r>
      <w:r>
        <w:t>N</w:t>
      </w:r>
      <w:r>
        <w:rPr>
          <w:rFonts w:hint="eastAsia"/>
        </w:rPr>
        <w:t>：</w:t>
      </w:r>
      <w:r>
        <w:t>28.517422°</w:t>
      </w:r>
      <w:r>
        <w:rPr>
          <w:rFonts w:hint="eastAsia"/>
        </w:rPr>
        <w:t>）</w:t>
      </w:r>
      <w:r>
        <w:rPr>
          <w:rFonts w:hint="eastAsia" w:cs="宋体"/>
        </w:rPr>
        <w:t>、大里塘水库</w:t>
      </w:r>
      <w:r>
        <w:rPr>
          <w:rFonts w:hint="eastAsia"/>
        </w:rPr>
        <w:t>（经度</w:t>
      </w:r>
      <w:r>
        <w:t>E</w:t>
      </w:r>
      <w:r>
        <w:rPr>
          <w:rFonts w:hint="eastAsia"/>
        </w:rPr>
        <w:t>：</w:t>
      </w:r>
      <w:r>
        <w:t>113.169222°</w:t>
      </w:r>
      <w:r>
        <w:rPr>
          <w:rFonts w:hint="eastAsia"/>
        </w:rPr>
        <w:t>，纬度</w:t>
      </w:r>
      <w:r>
        <w:t>N</w:t>
      </w:r>
      <w:r>
        <w:rPr>
          <w:rFonts w:hint="eastAsia"/>
        </w:rPr>
        <w:t>：</w:t>
      </w:r>
      <w:r>
        <w:t>28.482894°</w:t>
      </w:r>
      <w:r>
        <w:rPr>
          <w:rFonts w:hint="eastAsia"/>
        </w:rPr>
        <w:t>）</w:t>
      </w:r>
      <w:r>
        <w:rPr>
          <w:rFonts w:hint="eastAsia" w:cs="宋体"/>
        </w:rPr>
        <w:t>、胡家垄（汨罗市与长沙县交界处）</w:t>
      </w:r>
      <w:r>
        <w:rPr>
          <w:rFonts w:hint="eastAsia"/>
        </w:rPr>
        <w:t>（经度</w:t>
      </w:r>
      <w:r>
        <w:t>E</w:t>
      </w:r>
      <w:r>
        <w:rPr>
          <w:rFonts w:hint="eastAsia"/>
        </w:rPr>
        <w:t>：</w:t>
      </w:r>
      <w:r>
        <w:t>113.170788°</w:t>
      </w:r>
      <w:r>
        <w:rPr>
          <w:rFonts w:hint="eastAsia"/>
        </w:rPr>
        <w:t>，纬度</w:t>
      </w:r>
      <w:r>
        <w:t>N</w:t>
      </w:r>
      <w:r>
        <w:rPr>
          <w:rFonts w:hint="eastAsia"/>
        </w:rPr>
        <w:t>：</w:t>
      </w:r>
      <w:r>
        <w:t>28.479254°</w:t>
      </w:r>
      <w:r>
        <w:rPr>
          <w:rFonts w:hint="eastAsia"/>
        </w:rPr>
        <w:t>）。</w:t>
      </w:r>
    </w:p>
    <w:p>
      <w:pPr>
        <w:pStyle w:val="5"/>
        <w:widowControl/>
        <w:ind w:left="567" w:hanging="567"/>
      </w:pPr>
      <w:r>
        <w:rPr>
          <w:rFonts w:hint="eastAsia"/>
        </w:rPr>
        <w:t>区域相关道路</w:t>
      </w:r>
    </w:p>
    <w:p>
      <w:pPr>
        <w:adjustRightInd w:val="0"/>
        <w:snapToGrid w:val="0"/>
        <w:spacing w:line="360" w:lineRule="auto"/>
        <w:ind w:firstLine="31680" w:firstLineChars="200"/>
        <w:rPr>
          <w:sz w:val="24"/>
          <w:szCs w:val="24"/>
        </w:rPr>
      </w:pPr>
      <w:r>
        <w:rPr>
          <w:rFonts w:hint="eastAsia"/>
          <w:sz w:val="24"/>
          <w:szCs w:val="24"/>
        </w:rPr>
        <w:t>与本工程相关的道路主要为乡村公路。</w:t>
      </w:r>
    </w:p>
    <w:p>
      <w:pPr>
        <w:pStyle w:val="5"/>
        <w:ind w:left="567" w:hanging="567"/>
      </w:pPr>
      <w:bookmarkStart w:id="112" w:name="_Toc349903652"/>
      <w:bookmarkStart w:id="113" w:name="_Toc217578575"/>
      <w:r>
        <w:rPr>
          <w:rFonts w:hint="eastAsia"/>
        </w:rPr>
        <w:t>建设标准及规模</w:t>
      </w:r>
    </w:p>
    <w:p>
      <w:pPr>
        <w:pStyle w:val="6"/>
        <w:ind w:left="709" w:hanging="709"/>
      </w:pPr>
      <w:r>
        <w:rPr>
          <w:rFonts w:hint="eastAsia"/>
        </w:rPr>
        <w:t>建设标准</w:t>
      </w:r>
    </w:p>
    <w:p>
      <w:pPr>
        <w:pStyle w:val="3"/>
        <w:ind w:firstLine="31680"/>
        <w:rPr>
          <w:szCs w:val="24"/>
        </w:rPr>
      </w:pPr>
      <w:r>
        <w:rPr>
          <w:rFonts w:hint="eastAsia"/>
        </w:rPr>
        <w:t>根据本项目在路网中的地位和作用，结合交通量预测结果和道路通行能力分析，考虑沿线地形、地貌，依据《公路工程技术标准》（</w:t>
      </w:r>
      <w:r>
        <w:t>JTG B01-2014</w:t>
      </w:r>
      <w:r>
        <w:rPr>
          <w:rFonts w:hint="eastAsia"/>
        </w:rPr>
        <w:t>）初拟本项目的技术标准。综合考虑各方面因素，拟定本项目采用一级公路标准设计，</w:t>
      </w:r>
      <w:r>
        <w:rPr>
          <w:rFonts w:hint="eastAsia"/>
          <w:szCs w:val="24"/>
        </w:rPr>
        <w:t>设计速度为</w:t>
      </w:r>
      <w:r>
        <w:rPr>
          <w:szCs w:val="24"/>
        </w:rPr>
        <w:t>80km/h</w:t>
      </w:r>
      <w:r>
        <w:rPr>
          <w:rFonts w:hint="eastAsia"/>
          <w:szCs w:val="24"/>
        </w:rPr>
        <w:t>。路基宽度：</w:t>
      </w:r>
      <w:r>
        <w:t>25.5m</w:t>
      </w:r>
      <w:r>
        <w:rPr>
          <w:rFonts w:hint="eastAsia"/>
        </w:rPr>
        <w:t>，四车道。</w:t>
      </w:r>
      <w:r>
        <w:rPr>
          <w:rFonts w:hint="eastAsia"/>
          <w:szCs w:val="24"/>
        </w:rPr>
        <w:t>沥青砼路面；最小平曲线半径</w:t>
      </w:r>
      <w:r>
        <w:rPr>
          <w:szCs w:val="24"/>
        </w:rPr>
        <w:t>125m</w:t>
      </w:r>
      <w:r>
        <w:rPr>
          <w:rFonts w:hint="eastAsia"/>
          <w:szCs w:val="24"/>
        </w:rPr>
        <w:t>；最大纵坡</w:t>
      </w:r>
      <w:r>
        <w:rPr>
          <w:szCs w:val="24"/>
        </w:rPr>
        <w:t>6%</w:t>
      </w:r>
      <w:r>
        <w:rPr>
          <w:rFonts w:hint="eastAsia"/>
          <w:szCs w:val="24"/>
        </w:rPr>
        <w:t>；桥涵设计荷载等级为公路</w:t>
      </w:r>
      <w:r>
        <w:rPr>
          <w:szCs w:val="24"/>
        </w:rPr>
        <w:t>-I</w:t>
      </w:r>
      <w:r>
        <w:rPr>
          <w:rFonts w:hint="eastAsia"/>
          <w:szCs w:val="24"/>
        </w:rPr>
        <w:t>级；路面设计标准轴载为双轮组单轴</w:t>
      </w:r>
      <w:r>
        <w:rPr>
          <w:szCs w:val="24"/>
        </w:rPr>
        <w:t>100kN</w:t>
      </w:r>
      <w:r>
        <w:rPr>
          <w:rFonts w:hint="eastAsia"/>
          <w:szCs w:val="24"/>
        </w:rPr>
        <w:t>；设计洪水频率：特大桥</w:t>
      </w:r>
      <w:r>
        <w:rPr>
          <w:szCs w:val="24"/>
        </w:rPr>
        <w:t>1/300</w:t>
      </w:r>
      <w:r>
        <w:rPr>
          <w:rFonts w:hint="eastAsia"/>
          <w:szCs w:val="24"/>
        </w:rPr>
        <w:t>，大、中桥</w:t>
      </w:r>
      <w:r>
        <w:rPr>
          <w:szCs w:val="24"/>
        </w:rPr>
        <w:t>1/100</w:t>
      </w:r>
      <w:r>
        <w:rPr>
          <w:rFonts w:hint="eastAsia"/>
          <w:szCs w:val="24"/>
        </w:rPr>
        <w:t>，小桥涵、路基</w:t>
      </w:r>
      <w:r>
        <w:rPr>
          <w:szCs w:val="24"/>
        </w:rPr>
        <w:t>1/100</w:t>
      </w:r>
      <w:r>
        <w:rPr>
          <w:rFonts w:hint="eastAsia"/>
          <w:szCs w:val="24"/>
        </w:rPr>
        <w:t>；设震设防标准为简易设防；安全设施防护等级为</w:t>
      </w:r>
      <w:r>
        <w:rPr>
          <w:szCs w:val="24"/>
        </w:rPr>
        <w:t>SB</w:t>
      </w:r>
      <w:r>
        <w:rPr>
          <w:rFonts w:hint="eastAsia"/>
          <w:szCs w:val="24"/>
        </w:rPr>
        <w:t>级。</w:t>
      </w:r>
    </w:p>
    <w:p>
      <w:pPr>
        <w:pStyle w:val="6"/>
        <w:widowControl/>
        <w:ind w:left="709" w:hanging="709"/>
        <w:jc w:val="left"/>
      </w:pPr>
      <w:r>
        <w:rPr>
          <w:rFonts w:hint="eastAsia"/>
        </w:rPr>
        <w:t>建设规模和主要技术经济指标</w:t>
      </w:r>
    </w:p>
    <w:p>
      <w:pPr>
        <w:spacing w:line="360" w:lineRule="auto"/>
        <w:ind w:firstLine="31680" w:firstLineChars="200"/>
        <w:rPr>
          <w:rFonts w:hAnsi="宋体"/>
          <w:sz w:val="24"/>
          <w:szCs w:val="24"/>
        </w:rPr>
      </w:pPr>
      <w:r>
        <w:rPr>
          <w:rFonts w:hint="eastAsia" w:hAnsi="宋体"/>
          <w:sz w:val="24"/>
          <w:szCs w:val="24"/>
        </w:rPr>
        <w:t>本工程推荐方案路线长</w:t>
      </w:r>
      <w:r>
        <w:rPr>
          <w:sz w:val="24"/>
          <w:szCs w:val="24"/>
        </w:rPr>
        <w:t>8.369km</w:t>
      </w:r>
      <w:r>
        <w:rPr>
          <w:rFonts w:hint="eastAsia" w:hAnsi="宋体"/>
          <w:sz w:val="24"/>
          <w:szCs w:val="24"/>
        </w:rPr>
        <w:t>，占用土地</w:t>
      </w:r>
      <w:r>
        <w:rPr>
          <w:sz w:val="24"/>
          <w:szCs w:val="24"/>
        </w:rPr>
        <w:t>501.16</w:t>
      </w:r>
      <w:r>
        <w:rPr>
          <w:rFonts w:hint="eastAsia"/>
          <w:sz w:val="24"/>
          <w:szCs w:val="24"/>
        </w:rPr>
        <w:t>亩</w:t>
      </w:r>
      <w:r>
        <w:rPr>
          <w:rFonts w:hint="eastAsia" w:hAnsi="宋体"/>
          <w:sz w:val="24"/>
          <w:szCs w:val="24"/>
        </w:rPr>
        <w:t>，新增用地</w:t>
      </w:r>
      <w:r>
        <w:rPr>
          <w:rFonts w:hAnsi="宋体"/>
          <w:sz w:val="24"/>
          <w:szCs w:val="24"/>
        </w:rPr>
        <w:t>486.09</w:t>
      </w:r>
      <w:r>
        <w:rPr>
          <w:rFonts w:hint="eastAsia" w:hAnsi="宋体"/>
          <w:sz w:val="24"/>
          <w:szCs w:val="24"/>
        </w:rPr>
        <w:t>亩，土石方</w:t>
      </w:r>
      <w:r>
        <w:rPr>
          <w:rFonts w:hAnsi="宋体"/>
          <w:sz w:val="24"/>
          <w:szCs w:val="24"/>
        </w:rPr>
        <w:t>851903m</w:t>
      </w:r>
      <w:r>
        <w:rPr>
          <w:sz w:val="24"/>
          <w:szCs w:val="24"/>
          <w:vertAlign w:val="superscript"/>
        </w:rPr>
        <w:t>3</w:t>
      </w:r>
      <w:r>
        <w:rPr>
          <w:rFonts w:hint="eastAsia" w:hAnsi="宋体"/>
          <w:sz w:val="24"/>
          <w:szCs w:val="24"/>
        </w:rPr>
        <w:t>，防护及排水圬工</w:t>
      </w:r>
      <w:r>
        <w:rPr>
          <w:sz w:val="24"/>
          <w:szCs w:val="24"/>
        </w:rPr>
        <w:t>44143m</w:t>
      </w:r>
      <w:r>
        <w:rPr>
          <w:sz w:val="24"/>
          <w:szCs w:val="24"/>
          <w:vertAlign w:val="superscript"/>
        </w:rPr>
        <w:t>3</w:t>
      </w:r>
      <w:r>
        <w:rPr>
          <w:rFonts w:hint="eastAsia" w:hAnsi="宋体"/>
          <w:sz w:val="24"/>
          <w:szCs w:val="24"/>
        </w:rPr>
        <w:t>，沥青路面</w:t>
      </w:r>
      <w:r>
        <w:rPr>
          <w:sz w:val="24"/>
          <w:szCs w:val="24"/>
        </w:rPr>
        <w:t>18.9602</w:t>
      </w:r>
      <w:r>
        <w:rPr>
          <w:rFonts w:hint="eastAsia" w:hAnsi="宋体"/>
          <w:sz w:val="24"/>
          <w:szCs w:val="24"/>
        </w:rPr>
        <w:t>万</w:t>
      </w:r>
      <w:r>
        <w:rPr>
          <w:sz w:val="24"/>
          <w:szCs w:val="24"/>
        </w:rPr>
        <w:t>m</w:t>
      </w:r>
      <w:r>
        <w:rPr>
          <w:sz w:val="24"/>
          <w:szCs w:val="24"/>
          <w:vertAlign w:val="superscript"/>
        </w:rPr>
        <w:t>2</w:t>
      </w:r>
      <w:r>
        <w:rPr>
          <w:rFonts w:hint="eastAsia" w:hAnsi="宋体"/>
          <w:sz w:val="24"/>
          <w:szCs w:val="24"/>
        </w:rPr>
        <w:t>，中桥</w:t>
      </w:r>
      <w:r>
        <w:rPr>
          <w:rFonts w:hAnsi="宋体"/>
          <w:sz w:val="24"/>
          <w:szCs w:val="24"/>
        </w:rPr>
        <w:t>52m/2</w:t>
      </w:r>
      <w:r>
        <w:rPr>
          <w:rFonts w:hint="eastAsia" w:hAnsi="宋体"/>
          <w:sz w:val="24"/>
          <w:szCs w:val="24"/>
        </w:rPr>
        <w:t>座（新建），涵洞</w:t>
      </w:r>
      <w:r>
        <w:rPr>
          <w:rFonts w:hAnsi="宋体"/>
          <w:sz w:val="24"/>
          <w:szCs w:val="24"/>
        </w:rPr>
        <w:t>30</w:t>
      </w:r>
      <w:r>
        <w:rPr>
          <w:rFonts w:hint="eastAsia" w:hAnsi="宋体"/>
          <w:sz w:val="24"/>
          <w:szCs w:val="24"/>
        </w:rPr>
        <w:t>道，平面交叉</w:t>
      </w:r>
      <w:r>
        <w:rPr>
          <w:sz w:val="24"/>
          <w:szCs w:val="24"/>
        </w:rPr>
        <w:t>6</w:t>
      </w:r>
      <w:r>
        <w:rPr>
          <w:rFonts w:hint="eastAsia" w:hAnsi="宋体"/>
          <w:sz w:val="24"/>
          <w:szCs w:val="24"/>
        </w:rPr>
        <w:t>处，安全设施、环境保护、照明路灯</w:t>
      </w:r>
      <w:r>
        <w:rPr>
          <w:rFonts w:hint="eastAsia" w:ascii="Arial" w:hAnsi="Arial" w:cs="Arial"/>
          <w:sz w:val="24"/>
          <w:lang w:val="sq-AL"/>
        </w:rPr>
        <w:t>按照《道路交通标志和标线》（</w:t>
      </w:r>
      <w:r>
        <w:rPr>
          <w:rFonts w:ascii="Arial" w:hAnsi="Arial" w:cs="Arial"/>
          <w:sz w:val="24"/>
          <w:lang w:val="sq-AL"/>
        </w:rPr>
        <w:t>GB5768-2009</w:t>
      </w:r>
      <w:r>
        <w:rPr>
          <w:rFonts w:hint="eastAsia" w:ascii="Arial" w:hAnsi="Arial" w:cs="Arial"/>
          <w:sz w:val="24"/>
          <w:lang w:val="sq-AL"/>
        </w:rPr>
        <w:t>）和《公路交通标志和标线设置规范》（</w:t>
      </w:r>
      <w:r>
        <w:rPr>
          <w:rFonts w:ascii="Arial" w:hAnsi="Arial" w:cs="Arial"/>
          <w:sz w:val="24"/>
          <w:lang w:val="sq-AL"/>
        </w:rPr>
        <w:t>JTG D82-2009</w:t>
      </w:r>
      <w:r>
        <w:rPr>
          <w:rFonts w:hint="eastAsia" w:ascii="Arial" w:hAnsi="Arial" w:cs="Arial"/>
          <w:sz w:val="24"/>
          <w:lang w:val="sq-AL"/>
        </w:rPr>
        <w:t>）的要求设置</w:t>
      </w:r>
      <w:r>
        <w:rPr>
          <w:rFonts w:hint="eastAsia" w:hAnsi="宋体"/>
          <w:sz w:val="24"/>
          <w:szCs w:val="24"/>
        </w:rPr>
        <w:t>，拆迁建筑物</w:t>
      </w:r>
      <w:r>
        <w:rPr>
          <w:sz w:val="24"/>
          <w:szCs w:val="24"/>
        </w:rPr>
        <w:t>6124m</w:t>
      </w:r>
      <w:r>
        <w:rPr>
          <w:sz w:val="24"/>
          <w:szCs w:val="24"/>
          <w:vertAlign w:val="superscript"/>
        </w:rPr>
        <w:t>2</w:t>
      </w:r>
      <w:r>
        <w:rPr>
          <w:rFonts w:hint="eastAsia" w:hAnsi="宋体"/>
          <w:sz w:val="24"/>
          <w:szCs w:val="24"/>
        </w:rPr>
        <w:t>。</w:t>
      </w:r>
    </w:p>
    <w:p>
      <w:pPr>
        <w:widowControl/>
        <w:jc w:val="left"/>
        <w:rPr>
          <w:rFonts w:hAnsi="宋体"/>
          <w:sz w:val="24"/>
          <w:szCs w:val="24"/>
        </w:rPr>
      </w:pPr>
      <w:r>
        <w:rPr>
          <w:rFonts w:hAnsi="宋体"/>
          <w:color w:val="FF0000"/>
          <w:sz w:val="24"/>
          <w:szCs w:val="24"/>
        </w:rPr>
        <w:br w:type="page"/>
      </w:r>
      <w:r>
        <w:rPr>
          <w:rFonts w:hint="eastAsia" w:hAnsi="宋体"/>
          <w:sz w:val="24"/>
          <w:szCs w:val="24"/>
        </w:rPr>
        <w:t>推荐方案工程量见表</w:t>
      </w:r>
      <w:r>
        <w:rPr>
          <w:sz w:val="24"/>
          <w:szCs w:val="24"/>
        </w:rPr>
        <w:t>3.2-1</w:t>
      </w:r>
      <w:r>
        <w:rPr>
          <w:rFonts w:hint="eastAsia" w:hAnsi="宋体"/>
          <w:sz w:val="24"/>
          <w:szCs w:val="24"/>
        </w:rPr>
        <w:t>。</w:t>
      </w:r>
    </w:p>
    <w:p>
      <w:pPr>
        <w:pStyle w:val="19"/>
        <w:jc w:val="center"/>
      </w:pPr>
      <w:r>
        <w:rPr>
          <w:rFonts w:hint="eastAsia"/>
        </w:rPr>
        <w:t>表</w:t>
      </w:r>
      <w:r>
        <w:t xml:space="preserve">3.2-1    </w:t>
      </w:r>
      <w:r>
        <w:rPr>
          <w:rFonts w:hint="eastAsia"/>
        </w:rPr>
        <w:t>推荐方案工程量一览表</w:t>
      </w:r>
    </w:p>
    <w:tbl>
      <w:tblPr>
        <w:tblStyle w:val="65"/>
        <w:tblW w:w="912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1"/>
        <w:gridCol w:w="1447"/>
        <w:gridCol w:w="594"/>
        <w:gridCol w:w="2738"/>
        <w:gridCol w:w="1575"/>
        <w:gridCol w:w="18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7" w:hRule="atLeast"/>
          <w:tblHeader/>
        </w:trPr>
        <w:tc>
          <w:tcPr>
            <w:tcW w:w="951" w:type="dxa"/>
            <w:tcMar>
              <w:left w:w="28" w:type="dxa"/>
              <w:right w:w="28" w:type="dxa"/>
            </w:tcMar>
            <w:vAlign w:val="center"/>
          </w:tcPr>
          <w:p>
            <w:pPr>
              <w:jc w:val="center"/>
              <w:rPr>
                <w:sz w:val="21"/>
                <w:szCs w:val="21"/>
              </w:rPr>
            </w:pPr>
            <w:r>
              <w:rPr>
                <w:rFonts w:hint="eastAsia" w:hAnsi="宋体"/>
                <w:sz w:val="21"/>
                <w:szCs w:val="21"/>
              </w:rPr>
              <w:t>序号</w:t>
            </w:r>
          </w:p>
        </w:tc>
        <w:tc>
          <w:tcPr>
            <w:tcW w:w="4779" w:type="dxa"/>
            <w:gridSpan w:val="3"/>
            <w:tcMar>
              <w:left w:w="28" w:type="dxa"/>
              <w:right w:w="28" w:type="dxa"/>
            </w:tcMar>
            <w:vAlign w:val="center"/>
          </w:tcPr>
          <w:p>
            <w:pPr>
              <w:jc w:val="center"/>
              <w:rPr>
                <w:sz w:val="21"/>
                <w:szCs w:val="21"/>
              </w:rPr>
            </w:pPr>
            <w:r>
              <w:rPr>
                <w:rFonts w:hint="eastAsia" w:hAnsi="宋体"/>
                <w:sz w:val="21"/>
                <w:szCs w:val="21"/>
              </w:rPr>
              <w:t>拟建项目</w:t>
            </w:r>
          </w:p>
        </w:tc>
        <w:tc>
          <w:tcPr>
            <w:tcW w:w="1575" w:type="dxa"/>
            <w:tcMar>
              <w:left w:w="28" w:type="dxa"/>
              <w:right w:w="28" w:type="dxa"/>
            </w:tcMar>
            <w:vAlign w:val="center"/>
          </w:tcPr>
          <w:p>
            <w:pPr>
              <w:ind w:left="31680" w:leftChars="-50" w:right="31680" w:rightChars="-50"/>
              <w:jc w:val="center"/>
              <w:rPr>
                <w:sz w:val="21"/>
                <w:szCs w:val="21"/>
              </w:rPr>
            </w:pPr>
            <w:r>
              <w:rPr>
                <w:rFonts w:hint="eastAsia" w:hAnsi="宋体"/>
                <w:sz w:val="21"/>
                <w:szCs w:val="21"/>
              </w:rPr>
              <w:t>单位</w:t>
            </w:r>
          </w:p>
        </w:tc>
        <w:tc>
          <w:tcPr>
            <w:tcW w:w="1815" w:type="dxa"/>
            <w:tcMar>
              <w:left w:w="28" w:type="dxa"/>
              <w:right w:w="28" w:type="dxa"/>
            </w:tcMar>
            <w:vAlign w:val="center"/>
          </w:tcPr>
          <w:p>
            <w:pPr>
              <w:jc w:val="center"/>
              <w:rPr>
                <w:sz w:val="21"/>
                <w:szCs w:val="21"/>
              </w:rPr>
            </w:pPr>
            <w:r>
              <w:rPr>
                <w:rFonts w:hint="eastAsia"/>
                <w:sz w:val="21"/>
                <w:szCs w:val="21"/>
              </w:rPr>
              <w:t>推荐方案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7" w:hRule="atLeast"/>
        </w:trPr>
        <w:tc>
          <w:tcPr>
            <w:tcW w:w="951" w:type="dxa"/>
            <w:tcMar>
              <w:left w:w="28" w:type="dxa"/>
              <w:right w:w="28" w:type="dxa"/>
            </w:tcMar>
            <w:vAlign w:val="center"/>
          </w:tcPr>
          <w:p>
            <w:pPr>
              <w:jc w:val="center"/>
              <w:rPr>
                <w:sz w:val="21"/>
                <w:szCs w:val="21"/>
              </w:rPr>
            </w:pPr>
            <w:r>
              <w:rPr>
                <w:sz w:val="21"/>
                <w:szCs w:val="21"/>
              </w:rPr>
              <w:t>1</w:t>
            </w:r>
          </w:p>
        </w:tc>
        <w:tc>
          <w:tcPr>
            <w:tcW w:w="4779" w:type="dxa"/>
            <w:gridSpan w:val="3"/>
            <w:tcMar>
              <w:left w:w="28" w:type="dxa"/>
              <w:right w:w="28" w:type="dxa"/>
            </w:tcMar>
            <w:vAlign w:val="center"/>
          </w:tcPr>
          <w:p>
            <w:pPr>
              <w:jc w:val="center"/>
              <w:rPr>
                <w:sz w:val="21"/>
                <w:szCs w:val="21"/>
              </w:rPr>
            </w:pPr>
            <w:r>
              <w:rPr>
                <w:rFonts w:hint="eastAsia" w:hAnsi="宋体"/>
                <w:sz w:val="21"/>
                <w:szCs w:val="21"/>
              </w:rPr>
              <w:t>路线长度</w:t>
            </w:r>
          </w:p>
        </w:tc>
        <w:tc>
          <w:tcPr>
            <w:tcW w:w="1575" w:type="dxa"/>
            <w:tcMar>
              <w:left w:w="28" w:type="dxa"/>
              <w:right w:w="28" w:type="dxa"/>
            </w:tcMar>
            <w:vAlign w:val="center"/>
          </w:tcPr>
          <w:p>
            <w:pPr>
              <w:ind w:left="31680" w:leftChars="-50" w:right="31680" w:rightChars="-50"/>
              <w:jc w:val="center"/>
              <w:rPr>
                <w:sz w:val="21"/>
                <w:szCs w:val="21"/>
              </w:rPr>
            </w:pPr>
            <w:r>
              <w:rPr>
                <w:sz w:val="21"/>
                <w:szCs w:val="21"/>
              </w:rPr>
              <w:t>km</w:t>
            </w:r>
          </w:p>
        </w:tc>
        <w:tc>
          <w:tcPr>
            <w:tcW w:w="1815" w:type="dxa"/>
            <w:tcMar>
              <w:left w:w="28" w:type="dxa"/>
              <w:right w:w="28" w:type="dxa"/>
            </w:tcMar>
            <w:vAlign w:val="center"/>
          </w:tcPr>
          <w:p>
            <w:pPr>
              <w:jc w:val="center"/>
              <w:rPr>
                <w:sz w:val="21"/>
                <w:szCs w:val="21"/>
              </w:rPr>
            </w:pPr>
            <w:r>
              <w:rPr>
                <w:sz w:val="21"/>
                <w:szCs w:val="21"/>
              </w:rPr>
              <w:t>8.369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7" w:hRule="atLeast"/>
        </w:trPr>
        <w:tc>
          <w:tcPr>
            <w:tcW w:w="951" w:type="dxa"/>
            <w:vMerge w:val="restart"/>
            <w:tcMar>
              <w:left w:w="28" w:type="dxa"/>
              <w:right w:w="28" w:type="dxa"/>
            </w:tcMar>
            <w:vAlign w:val="center"/>
          </w:tcPr>
          <w:p>
            <w:pPr>
              <w:jc w:val="center"/>
              <w:rPr>
                <w:sz w:val="21"/>
                <w:szCs w:val="21"/>
              </w:rPr>
            </w:pPr>
            <w:r>
              <w:rPr>
                <w:sz w:val="21"/>
                <w:szCs w:val="21"/>
              </w:rPr>
              <w:t>2</w:t>
            </w:r>
          </w:p>
        </w:tc>
        <w:tc>
          <w:tcPr>
            <w:tcW w:w="4779" w:type="dxa"/>
            <w:gridSpan w:val="3"/>
            <w:tcMar>
              <w:left w:w="28" w:type="dxa"/>
              <w:right w:w="28" w:type="dxa"/>
            </w:tcMar>
            <w:vAlign w:val="center"/>
          </w:tcPr>
          <w:p>
            <w:pPr>
              <w:jc w:val="center"/>
              <w:rPr>
                <w:rFonts w:hAnsi="宋体"/>
                <w:sz w:val="21"/>
                <w:szCs w:val="21"/>
              </w:rPr>
            </w:pPr>
            <w:r>
              <w:rPr>
                <w:rFonts w:hint="eastAsia" w:hAnsi="宋体"/>
                <w:sz w:val="21"/>
                <w:szCs w:val="21"/>
              </w:rPr>
              <w:t>占用土地</w:t>
            </w:r>
          </w:p>
        </w:tc>
        <w:tc>
          <w:tcPr>
            <w:tcW w:w="1575" w:type="dxa"/>
            <w:tcMar>
              <w:left w:w="28" w:type="dxa"/>
              <w:right w:w="28" w:type="dxa"/>
            </w:tcMar>
            <w:vAlign w:val="center"/>
          </w:tcPr>
          <w:p>
            <w:pPr>
              <w:ind w:left="31680" w:leftChars="-50" w:right="31680" w:rightChars="-50"/>
              <w:jc w:val="center"/>
              <w:rPr>
                <w:sz w:val="21"/>
                <w:szCs w:val="21"/>
              </w:rPr>
            </w:pPr>
            <w:r>
              <w:rPr>
                <w:rFonts w:hint="eastAsia"/>
                <w:sz w:val="21"/>
                <w:szCs w:val="21"/>
              </w:rPr>
              <w:t>亩</w:t>
            </w:r>
          </w:p>
        </w:tc>
        <w:tc>
          <w:tcPr>
            <w:tcW w:w="1815" w:type="dxa"/>
            <w:tcMar>
              <w:left w:w="28" w:type="dxa"/>
              <w:right w:w="28" w:type="dxa"/>
            </w:tcMar>
            <w:vAlign w:val="center"/>
          </w:tcPr>
          <w:p>
            <w:pPr>
              <w:jc w:val="center"/>
              <w:rPr>
                <w:sz w:val="21"/>
                <w:szCs w:val="21"/>
              </w:rPr>
            </w:pPr>
            <w:r>
              <w:rPr>
                <w:sz w:val="21"/>
                <w:szCs w:val="21"/>
              </w:rPr>
              <w:t>501.16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7" w:hRule="atLeast"/>
        </w:trPr>
        <w:tc>
          <w:tcPr>
            <w:tcW w:w="951" w:type="dxa"/>
            <w:vMerge w:val="continue"/>
            <w:tcMar>
              <w:left w:w="28" w:type="dxa"/>
              <w:right w:w="28" w:type="dxa"/>
            </w:tcMar>
            <w:vAlign w:val="center"/>
          </w:tcPr>
          <w:p>
            <w:pPr>
              <w:jc w:val="center"/>
              <w:rPr>
                <w:sz w:val="21"/>
                <w:szCs w:val="21"/>
              </w:rPr>
            </w:pPr>
          </w:p>
        </w:tc>
        <w:tc>
          <w:tcPr>
            <w:tcW w:w="1447" w:type="dxa"/>
            <w:tcBorders>
              <w:right w:val="single" w:color="auto" w:sz="4" w:space="0"/>
            </w:tcBorders>
            <w:tcMar>
              <w:left w:w="28" w:type="dxa"/>
              <w:right w:w="28" w:type="dxa"/>
            </w:tcMar>
            <w:vAlign w:val="center"/>
          </w:tcPr>
          <w:p>
            <w:pPr>
              <w:jc w:val="center"/>
              <w:rPr>
                <w:rFonts w:hAnsi="宋体"/>
                <w:sz w:val="21"/>
                <w:szCs w:val="21"/>
              </w:rPr>
            </w:pPr>
          </w:p>
        </w:tc>
        <w:tc>
          <w:tcPr>
            <w:tcW w:w="3332" w:type="dxa"/>
            <w:gridSpan w:val="2"/>
            <w:tcBorders>
              <w:left w:val="single" w:color="auto" w:sz="4" w:space="0"/>
            </w:tcBorders>
            <w:vAlign w:val="center"/>
          </w:tcPr>
          <w:p>
            <w:pPr>
              <w:jc w:val="center"/>
              <w:rPr>
                <w:rFonts w:hAnsi="宋体"/>
                <w:sz w:val="21"/>
                <w:szCs w:val="21"/>
              </w:rPr>
            </w:pPr>
            <w:r>
              <w:rPr>
                <w:rFonts w:hint="eastAsia" w:hAnsi="宋体"/>
                <w:sz w:val="21"/>
                <w:szCs w:val="21"/>
              </w:rPr>
              <w:t>其中新征</w:t>
            </w:r>
          </w:p>
        </w:tc>
        <w:tc>
          <w:tcPr>
            <w:tcW w:w="1575" w:type="dxa"/>
            <w:tcMar>
              <w:left w:w="28" w:type="dxa"/>
              <w:right w:w="28" w:type="dxa"/>
            </w:tcMar>
            <w:vAlign w:val="center"/>
          </w:tcPr>
          <w:p>
            <w:pPr>
              <w:ind w:left="31680" w:leftChars="-50" w:right="31680" w:rightChars="-50"/>
              <w:jc w:val="center"/>
              <w:rPr>
                <w:sz w:val="21"/>
                <w:szCs w:val="21"/>
              </w:rPr>
            </w:pPr>
            <w:r>
              <w:rPr>
                <w:rFonts w:hint="eastAsia"/>
                <w:sz w:val="21"/>
                <w:szCs w:val="21"/>
              </w:rPr>
              <w:t>亩</w:t>
            </w:r>
          </w:p>
        </w:tc>
        <w:tc>
          <w:tcPr>
            <w:tcW w:w="1815" w:type="dxa"/>
            <w:tcMar>
              <w:left w:w="28" w:type="dxa"/>
              <w:right w:w="28" w:type="dxa"/>
            </w:tcMar>
            <w:vAlign w:val="center"/>
          </w:tcPr>
          <w:p>
            <w:pPr>
              <w:jc w:val="center"/>
              <w:rPr>
                <w:sz w:val="21"/>
                <w:szCs w:val="21"/>
              </w:rPr>
            </w:pPr>
            <w:r>
              <w:rPr>
                <w:sz w:val="21"/>
                <w:szCs w:val="21"/>
              </w:rPr>
              <w:t>486.09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7" w:hRule="atLeast"/>
        </w:trPr>
        <w:tc>
          <w:tcPr>
            <w:tcW w:w="951" w:type="dxa"/>
            <w:tcMar>
              <w:left w:w="28" w:type="dxa"/>
              <w:right w:w="28" w:type="dxa"/>
            </w:tcMar>
            <w:vAlign w:val="center"/>
          </w:tcPr>
          <w:p>
            <w:pPr>
              <w:jc w:val="center"/>
              <w:rPr>
                <w:sz w:val="21"/>
                <w:szCs w:val="21"/>
              </w:rPr>
            </w:pPr>
            <w:r>
              <w:rPr>
                <w:sz w:val="21"/>
                <w:szCs w:val="21"/>
              </w:rPr>
              <w:t>3</w:t>
            </w:r>
          </w:p>
        </w:tc>
        <w:tc>
          <w:tcPr>
            <w:tcW w:w="4779" w:type="dxa"/>
            <w:gridSpan w:val="3"/>
            <w:tcMar>
              <w:left w:w="28" w:type="dxa"/>
              <w:right w:w="28" w:type="dxa"/>
            </w:tcMar>
            <w:vAlign w:val="center"/>
          </w:tcPr>
          <w:p>
            <w:pPr>
              <w:jc w:val="center"/>
              <w:rPr>
                <w:rFonts w:hAnsi="宋体"/>
                <w:sz w:val="21"/>
                <w:szCs w:val="21"/>
              </w:rPr>
            </w:pPr>
            <w:r>
              <w:rPr>
                <w:rFonts w:hint="eastAsia" w:hAnsi="宋体"/>
                <w:sz w:val="21"/>
                <w:szCs w:val="21"/>
              </w:rPr>
              <w:t>拆迁建筑物</w:t>
            </w:r>
          </w:p>
        </w:tc>
        <w:tc>
          <w:tcPr>
            <w:tcW w:w="1575" w:type="dxa"/>
            <w:tcMar>
              <w:left w:w="28" w:type="dxa"/>
              <w:right w:w="28" w:type="dxa"/>
            </w:tcMar>
            <w:vAlign w:val="center"/>
          </w:tcPr>
          <w:p>
            <w:pPr>
              <w:ind w:left="31680" w:leftChars="-50" w:right="31680" w:rightChars="-50"/>
              <w:jc w:val="center"/>
              <w:rPr>
                <w:sz w:val="21"/>
                <w:szCs w:val="21"/>
              </w:rPr>
            </w:pPr>
            <w:r>
              <w:rPr>
                <w:sz w:val="21"/>
                <w:szCs w:val="21"/>
              </w:rPr>
              <w:t>m</w:t>
            </w:r>
            <w:r>
              <w:rPr>
                <w:sz w:val="21"/>
                <w:szCs w:val="21"/>
                <w:vertAlign w:val="superscript"/>
              </w:rPr>
              <w:t>2</w:t>
            </w:r>
          </w:p>
        </w:tc>
        <w:tc>
          <w:tcPr>
            <w:tcW w:w="1815" w:type="dxa"/>
            <w:tcMar>
              <w:left w:w="28" w:type="dxa"/>
              <w:right w:w="28" w:type="dxa"/>
            </w:tcMar>
            <w:vAlign w:val="center"/>
          </w:tcPr>
          <w:p>
            <w:pPr>
              <w:jc w:val="center"/>
              <w:rPr>
                <w:sz w:val="21"/>
                <w:szCs w:val="21"/>
              </w:rPr>
            </w:pPr>
            <w:r>
              <w:rPr>
                <w:sz w:val="21"/>
                <w:szCs w:val="21"/>
              </w:rPr>
              <w:t>6124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7" w:hRule="atLeast"/>
        </w:trPr>
        <w:tc>
          <w:tcPr>
            <w:tcW w:w="951" w:type="dxa"/>
            <w:tcMar>
              <w:left w:w="28" w:type="dxa"/>
              <w:right w:w="28" w:type="dxa"/>
            </w:tcMar>
            <w:vAlign w:val="center"/>
          </w:tcPr>
          <w:p>
            <w:pPr>
              <w:jc w:val="center"/>
              <w:rPr>
                <w:sz w:val="21"/>
                <w:szCs w:val="21"/>
              </w:rPr>
            </w:pPr>
            <w:r>
              <w:rPr>
                <w:sz w:val="21"/>
                <w:szCs w:val="21"/>
              </w:rPr>
              <w:t>4</w:t>
            </w:r>
          </w:p>
        </w:tc>
        <w:tc>
          <w:tcPr>
            <w:tcW w:w="4779" w:type="dxa"/>
            <w:gridSpan w:val="3"/>
            <w:tcMar>
              <w:left w:w="28" w:type="dxa"/>
              <w:right w:w="28" w:type="dxa"/>
            </w:tcMar>
            <w:vAlign w:val="center"/>
          </w:tcPr>
          <w:p>
            <w:pPr>
              <w:jc w:val="center"/>
              <w:rPr>
                <w:rFonts w:hAnsi="宋体"/>
                <w:sz w:val="21"/>
                <w:szCs w:val="21"/>
              </w:rPr>
            </w:pPr>
            <w:r>
              <w:rPr>
                <w:rFonts w:hint="eastAsia" w:hAnsi="宋体"/>
                <w:sz w:val="21"/>
                <w:szCs w:val="21"/>
              </w:rPr>
              <w:t>路基土石方</w:t>
            </w:r>
          </w:p>
        </w:tc>
        <w:tc>
          <w:tcPr>
            <w:tcW w:w="1575" w:type="dxa"/>
            <w:tcMar>
              <w:left w:w="28" w:type="dxa"/>
              <w:right w:w="28" w:type="dxa"/>
            </w:tcMar>
            <w:vAlign w:val="center"/>
          </w:tcPr>
          <w:p>
            <w:pPr>
              <w:ind w:left="31680" w:leftChars="-50" w:right="31680" w:rightChars="-50"/>
              <w:jc w:val="center"/>
              <w:rPr>
                <w:sz w:val="21"/>
                <w:szCs w:val="21"/>
              </w:rPr>
            </w:pPr>
            <w:r>
              <w:rPr>
                <w:szCs w:val="21"/>
              </w:rPr>
              <w:t>m</w:t>
            </w:r>
            <w:r>
              <w:rPr>
                <w:szCs w:val="21"/>
                <w:vertAlign w:val="superscript"/>
              </w:rPr>
              <w:t>3</w:t>
            </w:r>
          </w:p>
        </w:tc>
        <w:tc>
          <w:tcPr>
            <w:tcW w:w="1815" w:type="dxa"/>
            <w:tcMar>
              <w:left w:w="28" w:type="dxa"/>
              <w:right w:w="28" w:type="dxa"/>
            </w:tcMar>
            <w:vAlign w:val="center"/>
          </w:tcPr>
          <w:p>
            <w:pPr>
              <w:jc w:val="center"/>
              <w:rPr>
                <w:sz w:val="21"/>
                <w:szCs w:val="21"/>
              </w:rPr>
            </w:pPr>
            <w:r>
              <w:rPr>
                <w:sz w:val="21"/>
                <w:szCs w:val="21"/>
              </w:rPr>
              <w:t>851903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7" w:hRule="atLeast"/>
        </w:trPr>
        <w:tc>
          <w:tcPr>
            <w:tcW w:w="951" w:type="dxa"/>
            <w:tcMar>
              <w:left w:w="28" w:type="dxa"/>
              <w:right w:w="28" w:type="dxa"/>
            </w:tcMar>
            <w:vAlign w:val="center"/>
          </w:tcPr>
          <w:p>
            <w:pPr>
              <w:jc w:val="center"/>
              <w:rPr>
                <w:sz w:val="21"/>
                <w:szCs w:val="21"/>
              </w:rPr>
            </w:pPr>
            <w:r>
              <w:rPr>
                <w:sz w:val="21"/>
                <w:szCs w:val="21"/>
              </w:rPr>
              <w:t>5</w:t>
            </w:r>
          </w:p>
        </w:tc>
        <w:tc>
          <w:tcPr>
            <w:tcW w:w="4779" w:type="dxa"/>
            <w:gridSpan w:val="3"/>
            <w:tcMar>
              <w:left w:w="28" w:type="dxa"/>
              <w:right w:w="28" w:type="dxa"/>
            </w:tcMar>
            <w:vAlign w:val="center"/>
          </w:tcPr>
          <w:p>
            <w:pPr>
              <w:jc w:val="center"/>
              <w:rPr>
                <w:rFonts w:hAnsi="宋体"/>
                <w:sz w:val="21"/>
                <w:szCs w:val="21"/>
              </w:rPr>
            </w:pPr>
            <w:r>
              <w:rPr>
                <w:rFonts w:hint="eastAsia" w:hAnsi="宋体"/>
                <w:sz w:val="21"/>
                <w:szCs w:val="21"/>
              </w:rPr>
              <w:t>路基防护及排水工程</w:t>
            </w:r>
          </w:p>
        </w:tc>
        <w:tc>
          <w:tcPr>
            <w:tcW w:w="1575" w:type="dxa"/>
            <w:tcMar>
              <w:left w:w="28" w:type="dxa"/>
              <w:right w:w="28" w:type="dxa"/>
            </w:tcMar>
            <w:vAlign w:val="center"/>
          </w:tcPr>
          <w:p>
            <w:pPr>
              <w:ind w:left="31680" w:leftChars="-50" w:right="31680" w:rightChars="-50"/>
              <w:jc w:val="center"/>
              <w:rPr>
                <w:sz w:val="21"/>
                <w:szCs w:val="21"/>
              </w:rPr>
            </w:pPr>
            <w:r>
              <w:rPr>
                <w:sz w:val="21"/>
                <w:szCs w:val="21"/>
              </w:rPr>
              <w:t>m</w:t>
            </w:r>
            <w:r>
              <w:rPr>
                <w:sz w:val="21"/>
                <w:szCs w:val="21"/>
                <w:vertAlign w:val="superscript"/>
              </w:rPr>
              <w:t>3</w:t>
            </w:r>
          </w:p>
        </w:tc>
        <w:tc>
          <w:tcPr>
            <w:tcW w:w="1815" w:type="dxa"/>
            <w:tcMar>
              <w:left w:w="28" w:type="dxa"/>
              <w:right w:w="28" w:type="dxa"/>
            </w:tcMar>
            <w:vAlign w:val="center"/>
          </w:tcPr>
          <w:p>
            <w:pPr>
              <w:jc w:val="center"/>
              <w:rPr>
                <w:sz w:val="21"/>
                <w:szCs w:val="21"/>
              </w:rPr>
            </w:pPr>
            <w:r>
              <w:rPr>
                <w:sz w:val="21"/>
                <w:szCs w:val="21"/>
              </w:rPr>
              <w:t>44143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7" w:hRule="atLeast"/>
        </w:trPr>
        <w:tc>
          <w:tcPr>
            <w:tcW w:w="951" w:type="dxa"/>
            <w:tcMar>
              <w:left w:w="28" w:type="dxa"/>
              <w:right w:w="28" w:type="dxa"/>
            </w:tcMar>
            <w:vAlign w:val="center"/>
          </w:tcPr>
          <w:p>
            <w:pPr>
              <w:jc w:val="center"/>
              <w:rPr>
                <w:sz w:val="21"/>
                <w:szCs w:val="21"/>
              </w:rPr>
            </w:pPr>
            <w:r>
              <w:rPr>
                <w:sz w:val="21"/>
                <w:szCs w:val="21"/>
              </w:rPr>
              <w:t>6</w:t>
            </w:r>
          </w:p>
        </w:tc>
        <w:tc>
          <w:tcPr>
            <w:tcW w:w="4779" w:type="dxa"/>
            <w:gridSpan w:val="3"/>
            <w:tcMar>
              <w:left w:w="28" w:type="dxa"/>
              <w:right w:w="28" w:type="dxa"/>
            </w:tcMar>
            <w:vAlign w:val="center"/>
          </w:tcPr>
          <w:p>
            <w:pPr>
              <w:jc w:val="center"/>
              <w:rPr>
                <w:rFonts w:hAnsi="宋体"/>
                <w:sz w:val="21"/>
                <w:szCs w:val="21"/>
              </w:rPr>
            </w:pPr>
            <w:r>
              <w:rPr>
                <w:rFonts w:hint="eastAsia" w:hAnsi="宋体"/>
                <w:sz w:val="21"/>
                <w:szCs w:val="21"/>
              </w:rPr>
              <w:t>路面工程</w:t>
            </w:r>
          </w:p>
        </w:tc>
        <w:tc>
          <w:tcPr>
            <w:tcW w:w="1575" w:type="dxa"/>
            <w:tcMar>
              <w:left w:w="28" w:type="dxa"/>
              <w:right w:w="28" w:type="dxa"/>
            </w:tcMar>
            <w:vAlign w:val="center"/>
          </w:tcPr>
          <w:p>
            <w:pPr>
              <w:ind w:left="31680" w:leftChars="-50" w:right="31680" w:rightChars="-50"/>
              <w:jc w:val="center"/>
              <w:rPr>
                <w:sz w:val="21"/>
                <w:szCs w:val="21"/>
              </w:rPr>
            </w:pPr>
            <w:r>
              <w:rPr>
                <w:sz w:val="21"/>
                <w:szCs w:val="21"/>
              </w:rPr>
              <w:t>m</w:t>
            </w:r>
            <w:r>
              <w:rPr>
                <w:sz w:val="21"/>
                <w:szCs w:val="21"/>
                <w:vertAlign w:val="superscript"/>
              </w:rPr>
              <w:t>2</w:t>
            </w:r>
          </w:p>
        </w:tc>
        <w:tc>
          <w:tcPr>
            <w:tcW w:w="1815" w:type="dxa"/>
            <w:tcMar>
              <w:left w:w="28" w:type="dxa"/>
              <w:right w:w="28" w:type="dxa"/>
            </w:tcMar>
            <w:vAlign w:val="center"/>
          </w:tcPr>
          <w:p>
            <w:pPr>
              <w:jc w:val="center"/>
              <w:rPr>
                <w:sz w:val="21"/>
                <w:szCs w:val="21"/>
              </w:rPr>
            </w:pPr>
            <w:r>
              <w:rPr>
                <w:sz w:val="21"/>
                <w:szCs w:val="21"/>
              </w:rPr>
              <w:t>189602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7" w:hRule="atLeast"/>
        </w:trPr>
        <w:tc>
          <w:tcPr>
            <w:tcW w:w="951" w:type="dxa"/>
            <w:tcMar>
              <w:left w:w="28" w:type="dxa"/>
              <w:right w:w="28" w:type="dxa"/>
            </w:tcMar>
            <w:vAlign w:val="center"/>
          </w:tcPr>
          <w:p>
            <w:pPr>
              <w:jc w:val="center"/>
              <w:rPr>
                <w:sz w:val="21"/>
                <w:szCs w:val="21"/>
              </w:rPr>
            </w:pPr>
            <w:r>
              <w:rPr>
                <w:sz w:val="21"/>
                <w:szCs w:val="21"/>
              </w:rPr>
              <w:t>7</w:t>
            </w:r>
          </w:p>
        </w:tc>
        <w:tc>
          <w:tcPr>
            <w:tcW w:w="4779" w:type="dxa"/>
            <w:gridSpan w:val="3"/>
            <w:tcMar>
              <w:left w:w="28" w:type="dxa"/>
              <w:right w:w="28" w:type="dxa"/>
            </w:tcMar>
            <w:vAlign w:val="center"/>
          </w:tcPr>
          <w:p>
            <w:pPr>
              <w:jc w:val="center"/>
              <w:rPr>
                <w:rFonts w:hAnsi="宋体"/>
                <w:sz w:val="21"/>
                <w:szCs w:val="21"/>
              </w:rPr>
            </w:pPr>
            <w:r>
              <w:rPr>
                <w:rFonts w:hint="eastAsia" w:hAnsi="宋体"/>
                <w:sz w:val="21"/>
                <w:szCs w:val="21"/>
              </w:rPr>
              <w:t>桥梁工程</w:t>
            </w:r>
          </w:p>
        </w:tc>
        <w:tc>
          <w:tcPr>
            <w:tcW w:w="1575" w:type="dxa"/>
            <w:tcMar>
              <w:left w:w="28" w:type="dxa"/>
              <w:right w:w="28" w:type="dxa"/>
            </w:tcMar>
            <w:vAlign w:val="center"/>
          </w:tcPr>
          <w:p>
            <w:pPr>
              <w:ind w:left="31680" w:leftChars="-50" w:right="31680" w:rightChars="-50"/>
              <w:jc w:val="center"/>
              <w:rPr>
                <w:sz w:val="21"/>
                <w:szCs w:val="21"/>
              </w:rPr>
            </w:pPr>
            <w:r>
              <w:rPr>
                <w:sz w:val="21"/>
                <w:szCs w:val="21"/>
              </w:rPr>
              <w:t>m/</w:t>
            </w:r>
            <w:r>
              <w:rPr>
                <w:rFonts w:hint="eastAsia"/>
                <w:sz w:val="21"/>
                <w:szCs w:val="21"/>
              </w:rPr>
              <w:t>座</w:t>
            </w:r>
          </w:p>
        </w:tc>
        <w:tc>
          <w:tcPr>
            <w:tcW w:w="1815" w:type="dxa"/>
            <w:tcMar>
              <w:left w:w="28" w:type="dxa"/>
              <w:right w:w="28" w:type="dxa"/>
            </w:tcMar>
            <w:vAlign w:val="center"/>
          </w:tcPr>
          <w:p>
            <w:pPr>
              <w:jc w:val="center"/>
              <w:rPr>
                <w:sz w:val="21"/>
                <w:szCs w:val="21"/>
              </w:rPr>
            </w:pPr>
            <w:r>
              <w:rPr>
                <w:sz w:val="21"/>
                <w:szCs w:val="21"/>
              </w:rPr>
              <w:t>52/2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7" w:hRule="atLeast"/>
        </w:trPr>
        <w:tc>
          <w:tcPr>
            <w:tcW w:w="951" w:type="dxa"/>
            <w:tcMar>
              <w:left w:w="28" w:type="dxa"/>
              <w:right w:w="28" w:type="dxa"/>
            </w:tcMar>
            <w:vAlign w:val="center"/>
          </w:tcPr>
          <w:p>
            <w:pPr>
              <w:jc w:val="center"/>
              <w:rPr>
                <w:sz w:val="21"/>
                <w:szCs w:val="21"/>
              </w:rPr>
            </w:pPr>
            <w:r>
              <w:rPr>
                <w:sz w:val="21"/>
                <w:szCs w:val="21"/>
              </w:rPr>
              <w:t>8</w:t>
            </w:r>
          </w:p>
        </w:tc>
        <w:tc>
          <w:tcPr>
            <w:tcW w:w="4779" w:type="dxa"/>
            <w:gridSpan w:val="3"/>
            <w:tcMar>
              <w:left w:w="28" w:type="dxa"/>
              <w:right w:w="28" w:type="dxa"/>
            </w:tcMar>
            <w:vAlign w:val="center"/>
          </w:tcPr>
          <w:p>
            <w:pPr>
              <w:jc w:val="center"/>
              <w:rPr>
                <w:rFonts w:hAnsi="宋体"/>
                <w:sz w:val="21"/>
                <w:szCs w:val="21"/>
              </w:rPr>
            </w:pPr>
            <w:r>
              <w:rPr>
                <w:rFonts w:hint="eastAsia" w:hAnsi="宋体"/>
                <w:sz w:val="21"/>
                <w:szCs w:val="21"/>
              </w:rPr>
              <w:t>涵洞</w:t>
            </w:r>
          </w:p>
        </w:tc>
        <w:tc>
          <w:tcPr>
            <w:tcW w:w="1575" w:type="dxa"/>
            <w:tcMar>
              <w:left w:w="28" w:type="dxa"/>
              <w:right w:w="28" w:type="dxa"/>
            </w:tcMar>
            <w:vAlign w:val="center"/>
          </w:tcPr>
          <w:p>
            <w:pPr>
              <w:ind w:left="31680" w:leftChars="-50" w:right="31680" w:rightChars="-50"/>
              <w:jc w:val="center"/>
              <w:rPr>
                <w:sz w:val="21"/>
                <w:szCs w:val="21"/>
              </w:rPr>
            </w:pPr>
            <w:r>
              <w:rPr>
                <w:rFonts w:hint="eastAsia"/>
                <w:sz w:val="21"/>
                <w:szCs w:val="21"/>
              </w:rPr>
              <w:t>道</w:t>
            </w:r>
          </w:p>
        </w:tc>
        <w:tc>
          <w:tcPr>
            <w:tcW w:w="1815" w:type="dxa"/>
            <w:tcMar>
              <w:left w:w="28" w:type="dxa"/>
              <w:right w:w="28" w:type="dxa"/>
            </w:tcMar>
            <w:vAlign w:val="center"/>
          </w:tcPr>
          <w:p>
            <w:pPr>
              <w:jc w:val="center"/>
              <w:rPr>
                <w:sz w:val="21"/>
                <w:szCs w:val="21"/>
              </w:rPr>
            </w:pPr>
            <w:r>
              <w:rPr>
                <w:sz w:val="21"/>
                <w:szCs w:val="21"/>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43" w:hRule="atLeast"/>
        </w:trPr>
        <w:tc>
          <w:tcPr>
            <w:tcW w:w="951" w:type="dxa"/>
            <w:tcMar>
              <w:left w:w="28" w:type="dxa"/>
              <w:right w:w="28" w:type="dxa"/>
            </w:tcMar>
            <w:vAlign w:val="center"/>
          </w:tcPr>
          <w:p>
            <w:pPr>
              <w:jc w:val="center"/>
              <w:rPr>
                <w:sz w:val="21"/>
                <w:szCs w:val="21"/>
              </w:rPr>
            </w:pPr>
            <w:r>
              <w:rPr>
                <w:sz w:val="21"/>
                <w:szCs w:val="21"/>
              </w:rPr>
              <w:t>9</w:t>
            </w:r>
          </w:p>
        </w:tc>
        <w:tc>
          <w:tcPr>
            <w:tcW w:w="2041" w:type="dxa"/>
            <w:gridSpan w:val="2"/>
            <w:tcBorders>
              <w:bottom w:val="single" w:color="auto" w:sz="4" w:space="0"/>
              <w:righ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交叉工程</w:t>
            </w:r>
          </w:p>
        </w:tc>
        <w:tc>
          <w:tcPr>
            <w:tcW w:w="2738" w:type="dxa"/>
            <w:tcBorders>
              <w:left w:val="single" w:color="auto" w:sz="4" w:space="0"/>
              <w:bottom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平面交叉</w:t>
            </w:r>
          </w:p>
        </w:tc>
        <w:tc>
          <w:tcPr>
            <w:tcW w:w="1575" w:type="dxa"/>
            <w:tcMar>
              <w:left w:w="28" w:type="dxa"/>
              <w:right w:w="28" w:type="dxa"/>
            </w:tcMar>
            <w:vAlign w:val="center"/>
          </w:tcPr>
          <w:p>
            <w:pPr>
              <w:ind w:left="31680" w:leftChars="-50" w:right="31680" w:rightChars="-50"/>
              <w:jc w:val="center"/>
              <w:rPr>
                <w:sz w:val="21"/>
                <w:szCs w:val="21"/>
              </w:rPr>
            </w:pPr>
            <w:r>
              <w:rPr>
                <w:rFonts w:hint="eastAsia"/>
                <w:sz w:val="21"/>
                <w:szCs w:val="21"/>
              </w:rPr>
              <w:t>处</w:t>
            </w:r>
          </w:p>
        </w:tc>
        <w:tc>
          <w:tcPr>
            <w:tcW w:w="1815" w:type="dxa"/>
            <w:tcMar>
              <w:left w:w="28" w:type="dxa"/>
              <w:right w:w="28" w:type="dxa"/>
            </w:tcMar>
            <w:vAlign w:val="center"/>
          </w:tcPr>
          <w:p>
            <w:pPr>
              <w:jc w:val="center"/>
              <w:rPr>
                <w:sz w:val="21"/>
                <w:szCs w:val="21"/>
              </w:rPr>
            </w:pPr>
            <w:r>
              <w:rPr>
                <w:sz w:val="21"/>
                <w:szCs w:val="21"/>
              </w:rPr>
              <w:t>6</w:t>
            </w:r>
          </w:p>
        </w:tc>
      </w:tr>
    </w:tbl>
    <w:p>
      <w:pPr>
        <w:pStyle w:val="5"/>
        <w:widowControl/>
        <w:ind w:left="567" w:hanging="567"/>
      </w:pPr>
      <w:r>
        <w:rPr>
          <w:rFonts w:hint="eastAsia"/>
        </w:rPr>
        <w:t>主要技术经济指标</w:t>
      </w:r>
      <w:bookmarkEnd w:id="112"/>
      <w:bookmarkEnd w:id="113"/>
    </w:p>
    <w:p>
      <w:pPr>
        <w:pStyle w:val="3"/>
        <w:ind w:firstLine="31680"/>
      </w:pPr>
      <w:r>
        <w:rPr>
          <w:rFonts w:hint="eastAsia"/>
        </w:rPr>
        <w:t>拟建工程主要技术经济指标详见表</w:t>
      </w:r>
      <w:r>
        <w:t>3.2-2</w:t>
      </w:r>
      <w:r>
        <w:rPr>
          <w:rFonts w:hint="eastAsia"/>
        </w:rPr>
        <w:t>。</w:t>
      </w:r>
    </w:p>
    <w:p>
      <w:pPr>
        <w:pStyle w:val="19"/>
        <w:jc w:val="center"/>
      </w:pPr>
      <w:bookmarkStart w:id="114" w:name="_Ref360201434"/>
      <w:r>
        <w:rPr>
          <w:rFonts w:hint="eastAsia"/>
        </w:rPr>
        <w:t>表</w:t>
      </w:r>
      <w:bookmarkEnd w:id="114"/>
      <w:r>
        <w:t xml:space="preserve">3.2-2      </w:t>
      </w:r>
      <w:r>
        <w:rPr>
          <w:rFonts w:hint="eastAsia"/>
        </w:rPr>
        <w:t>本项目主要技术经济指标</w:t>
      </w:r>
    </w:p>
    <w:tbl>
      <w:tblPr>
        <w:tblStyle w:val="65"/>
        <w:tblW w:w="912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95"/>
        <w:gridCol w:w="809"/>
        <w:gridCol w:w="101"/>
        <w:gridCol w:w="57"/>
        <w:gridCol w:w="2009"/>
        <w:gridCol w:w="993"/>
        <w:gridCol w:w="1134"/>
        <w:gridCol w:w="34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1" w:hRule="atLeast"/>
          <w:tblHeader/>
        </w:trPr>
        <w:tc>
          <w:tcPr>
            <w:tcW w:w="595" w:type="dxa"/>
            <w:tcMar>
              <w:left w:w="28" w:type="dxa"/>
              <w:right w:w="28" w:type="dxa"/>
            </w:tcMar>
            <w:vAlign w:val="center"/>
          </w:tcPr>
          <w:p>
            <w:pPr>
              <w:jc w:val="center"/>
              <w:rPr>
                <w:sz w:val="21"/>
                <w:szCs w:val="21"/>
              </w:rPr>
            </w:pPr>
            <w:r>
              <w:rPr>
                <w:rFonts w:hint="eastAsia" w:hAnsi="宋体"/>
                <w:sz w:val="21"/>
                <w:szCs w:val="21"/>
              </w:rPr>
              <w:t>序号</w:t>
            </w:r>
          </w:p>
        </w:tc>
        <w:tc>
          <w:tcPr>
            <w:tcW w:w="2976" w:type="dxa"/>
            <w:gridSpan w:val="4"/>
            <w:tcMar>
              <w:left w:w="28" w:type="dxa"/>
              <w:right w:w="28" w:type="dxa"/>
            </w:tcMar>
            <w:vAlign w:val="center"/>
          </w:tcPr>
          <w:p>
            <w:pPr>
              <w:jc w:val="center"/>
              <w:rPr>
                <w:sz w:val="21"/>
                <w:szCs w:val="21"/>
              </w:rPr>
            </w:pPr>
            <w:r>
              <w:rPr>
                <w:rFonts w:hint="eastAsia" w:hAnsi="宋体"/>
                <w:sz w:val="21"/>
                <w:szCs w:val="21"/>
              </w:rPr>
              <w:t>基本指标</w:t>
            </w:r>
          </w:p>
        </w:tc>
        <w:tc>
          <w:tcPr>
            <w:tcW w:w="993" w:type="dxa"/>
            <w:tcMar>
              <w:left w:w="28" w:type="dxa"/>
              <w:right w:w="28" w:type="dxa"/>
            </w:tcMar>
            <w:vAlign w:val="center"/>
          </w:tcPr>
          <w:p>
            <w:pPr>
              <w:ind w:left="31680" w:leftChars="-50" w:right="31680" w:rightChars="-50"/>
              <w:jc w:val="center"/>
              <w:rPr>
                <w:sz w:val="21"/>
                <w:szCs w:val="21"/>
              </w:rPr>
            </w:pPr>
            <w:r>
              <w:rPr>
                <w:rFonts w:hint="eastAsia" w:hAnsi="宋体"/>
                <w:sz w:val="21"/>
                <w:szCs w:val="21"/>
              </w:rPr>
              <w:t>单位</w:t>
            </w:r>
          </w:p>
        </w:tc>
        <w:tc>
          <w:tcPr>
            <w:tcW w:w="1134" w:type="dxa"/>
            <w:tcMar>
              <w:left w:w="28" w:type="dxa"/>
              <w:right w:w="28" w:type="dxa"/>
            </w:tcMar>
            <w:vAlign w:val="center"/>
          </w:tcPr>
          <w:p>
            <w:pPr>
              <w:jc w:val="center"/>
              <w:rPr>
                <w:sz w:val="21"/>
                <w:szCs w:val="21"/>
              </w:rPr>
            </w:pPr>
            <w:r>
              <w:rPr>
                <w:rFonts w:hint="eastAsia"/>
                <w:sz w:val="21"/>
                <w:szCs w:val="21"/>
              </w:rPr>
              <w:t>拟建项目</w:t>
            </w:r>
          </w:p>
        </w:tc>
        <w:tc>
          <w:tcPr>
            <w:tcW w:w="3431" w:type="dxa"/>
            <w:tcMar>
              <w:left w:w="28" w:type="dxa"/>
              <w:right w:w="28" w:type="dxa"/>
            </w:tcMar>
            <w:vAlign w:val="center"/>
          </w:tcPr>
          <w:p>
            <w:pPr>
              <w:jc w:val="center"/>
              <w:rPr>
                <w:sz w:val="21"/>
                <w:szCs w:val="21"/>
              </w:rPr>
            </w:pPr>
            <w:r>
              <w:rPr>
                <w:rFonts w:hint="eastAsia" w:hAnsi="宋体"/>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1</w:t>
            </w:r>
          </w:p>
        </w:tc>
        <w:tc>
          <w:tcPr>
            <w:tcW w:w="2976" w:type="dxa"/>
            <w:gridSpan w:val="4"/>
            <w:tcMar>
              <w:left w:w="28" w:type="dxa"/>
              <w:right w:w="28" w:type="dxa"/>
            </w:tcMar>
            <w:vAlign w:val="center"/>
          </w:tcPr>
          <w:p>
            <w:pPr>
              <w:jc w:val="center"/>
              <w:rPr>
                <w:sz w:val="21"/>
                <w:szCs w:val="21"/>
              </w:rPr>
            </w:pPr>
            <w:r>
              <w:rPr>
                <w:rFonts w:hint="eastAsia" w:hAnsi="宋体"/>
                <w:sz w:val="21"/>
                <w:szCs w:val="21"/>
              </w:rPr>
              <w:t>公路等级</w:t>
            </w:r>
          </w:p>
        </w:tc>
        <w:tc>
          <w:tcPr>
            <w:tcW w:w="993" w:type="dxa"/>
            <w:tcMar>
              <w:left w:w="28" w:type="dxa"/>
              <w:right w:w="28" w:type="dxa"/>
            </w:tcMar>
            <w:vAlign w:val="center"/>
          </w:tcPr>
          <w:p>
            <w:pPr>
              <w:ind w:left="31680" w:leftChars="-50" w:right="31680" w:rightChars="-50"/>
              <w:jc w:val="center"/>
              <w:rPr>
                <w:sz w:val="21"/>
                <w:szCs w:val="21"/>
              </w:rPr>
            </w:pPr>
          </w:p>
        </w:tc>
        <w:tc>
          <w:tcPr>
            <w:tcW w:w="1134" w:type="dxa"/>
            <w:tcMar>
              <w:left w:w="28" w:type="dxa"/>
              <w:right w:w="28" w:type="dxa"/>
            </w:tcMar>
            <w:vAlign w:val="center"/>
          </w:tcPr>
          <w:p>
            <w:pPr>
              <w:jc w:val="center"/>
              <w:rPr>
                <w:sz w:val="21"/>
                <w:szCs w:val="21"/>
              </w:rPr>
            </w:pPr>
            <w:r>
              <w:rPr>
                <w:rFonts w:hint="eastAsia" w:hAnsi="宋体"/>
                <w:sz w:val="21"/>
                <w:szCs w:val="21"/>
              </w:rPr>
              <w:t>一级公路</w:t>
            </w:r>
          </w:p>
        </w:tc>
        <w:tc>
          <w:tcPr>
            <w:tcW w:w="3431" w:type="dxa"/>
            <w:tcMar>
              <w:left w:w="28" w:type="dxa"/>
              <w:right w:w="28" w:type="dxa"/>
            </w:tcMar>
            <w:vAlign w:val="center"/>
          </w:tcPr>
          <w:p>
            <w:pPr>
              <w:jc w:val="center"/>
              <w:rPr>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2</w:t>
            </w:r>
          </w:p>
        </w:tc>
        <w:tc>
          <w:tcPr>
            <w:tcW w:w="2976" w:type="dxa"/>
            <w:gridSpan w:val="4"/>
            <w:tcMar>
              <w:left w:w="28" w:type="dxa"/>
              <w:right w:w="28" w:type="dxa"/>
            </w:tcMar>
            <w:vAlign w:val="center"/>
          </w:tcPr>
          <w:p>
            <w:pPr>
              <w:jc w:val="center"/>
              <w:rPr>
                <w:sz w:val="21"/>
                <w:szCs w:val="21"/>
              </w:rPr>
            </w:pPr>
            <w:r>
              <w:rPr>
                <w:rFonts w:hint="eastAsia" w:hAnsi="宋体"/>
                <w:sz w:val="21"/>
                <w:szCs w:val="21"/>
              </w:rPr>
              <w:t>设计速度</w:t>
            </w:r>
          </w:p>
        </w:tc>
        <w:tc>
          <w:tcPr>
            <w:tcW w:w="993" w:type="dxa"/>
            <w:tcMar>
              <w:left w:w="28" w:type="dxa"/>
              <w:right w:w="28" w:type="dxa"/>
            </w:tcMar>
            <w:vAlign w:val="center"/>
          </w:tcPr>
          <w:p>
            <w:pPr>
              <w:ind w:left="31680" w:leftChars="-50" w:right="31680" w:rightChars="-50"/>
              <w:jc w:val="center"/>
              <w:rPr>
                <w:sz w:val="21"/>
                <w:szCs w:val="21"/>
              </w:rPr>
            </w:pPr>
            <w:r>
              <w:rPr>
                <w:sz w:val="21"/>
                <w:szCs w:val="21"/>
              </w:rPr>
              <w:t>km/h</w:t>
            </w:r>
          </w:p>
        </w:tc>
        <w:tc>
          <w:tcPr>
            <w:tcW w:w="1134" w:type="dxa"/>
            <w:tcMar>
              <w:left w:w="28" w:type="dxa"/>
              <w:right w:w="28" w:type="dxa"/>
            </w:tcMar>
            <w:vAlign w:val="center"/>
          </w:tcPr>
          <w:p>
            <w:pPr>
              <w:jc w:val="center"/>
              <w:rPr>
                <w:sz w:val="21"/>
                <w:szCs w:val="21"/>
              </w:rPr>
            </w:pPr>
            <w:r>
              <w:rPr>
                <w:sz w:val="21"/>
                <w:szCs w:val="21"/>
              </w:rPr>
              <w:t>80</w:t>
            </w:r>
          </w:p>
        </w:tc>
        <w:tc>
          <w:tcPr>
            <w:tcW w:w="3431" w:type="dxa"/>
            <w:tcMar>
              <w:left w:w="28" w:type="dxa"/>
              <w:right w:w="28" w:type="dxa"/>
            </w:tcMar>
            <w:vAlign w:val="center"/>
          </w:tcPr>
          <w:p>
            <w:pPr>
              <w:jc w:val="center"/>
              <w:rPr>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3</w:t>
            </w:r>
          </w:p>
        </w:tc>
        <w:tc>
          <w:tcPr>
            <w:tcW w:w="2976" w:type="dxa"/>
            <w:gridSpan w:val="4"/>
            <w:tcMar>
              <w:left w:w="28" w:type="dxa"/>
              <w:right w:w="28" w:type="dxa"/>
            </w:tcMar>
            <w:vAlign w:val="center"/>
          </w:tcPr>
          <w:p>
            <w:pPr>
              <w:jc w:val="center"/>
              <w:rPr>
                <w:rFonts w:hAnsi="宋体"/>
                <w:sz w:val="21"/>
                <w:szCs w:val="21"/>
              </w:rPr>
            </w:pPr>
            <w:r>
              <w:rPr>
                <w:rFonts w:hint="eastAsia" w:hAnsi="宋体"/>
                <w:sz w:val="21"/>
                <w:szCs w:val="21"/>
              </w:rPr>
              <w:t>路线长度</w:t>
            </w:r>
          </w:p>
        </w:tc>
        <w:tc>
          <w:tcPr>
            <w:tcW w:w="993" w:type="dxa"/>
            <w:tcMar>
              <w:left w:w="28" w:type="dxa"/>
              <w:right w:w="28" w:type="dxa"/>
            </w:tcMar>
            <w:vAlign w:val="center"/>
          </w:tcPr>
          <w:p>
            <w:pPr>
              <w:ind w:left="-50" w:right="-50"/>
              <w:jc w:val="center"/>
              <w:rPr>
                <w:sz w:val="21"/>
                <w:szCs w:val="21"/>
              </w:rPr>
            </w:pPr>
            <w:r>
              <w:rPr>
                <w:sz w:val="21"/>
                <w:szCs w:val="21"/>
              </w:rPr>
              <w:t>km</w:t>
            </w:r>
          </w:p>
        </w:tc>
        <w:tc>
          <w:tcPr>
            <w:tcW w:w="1134" w:type="dxa"/>
            <w:tcMar>
              <w:left w:w="28" w:type="dxa"/>
              <w:right w:w="28" w:type="dxa"/>
            </w:tcMar>
            <w:vAlign w:val="center"/>
          </w:tcPr>
          <w:p>
            <w:pPr>
              <w:jc w:val="center"/>
              <w:rPr>
                <w:sz w:val="21"/>
                <w:szCs w:val="21"/>
              </w:rPr>
            </w:pPr>
            <w:r>
              <w:rPr>
                <w:sz w:val="21"/>
                <w:szCs w:val="21"/>
              </w:rPr>
              <w:t>8.369</w:t>
            </w:r>
          </w:p>
        </w:tc>
        <w:tc>
          <w:tcPr>
            <w:tcW w:w="3431" w:type="dxa"/>
            <w:tcMar>
              <w:left w:w="28" w:type="dxa"/>
              <w:right w:w="28" w:type="dxa"/>
            </w:tcMar>
            <w:vAlign w:val="center"/>
          </w:tcPr>
          <w:p>
            <w:pPr>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Borders>
              <w:bottom w:val="single" w:color="auto" w:sz="4" w:space="0"/>
            </w:tcBorders>
            <w:tcMar>
              <w:left w:w="28" w:type="dxa"/>
              <w:right w:w="28" w:type="dxa"/>
            </w:tcMar>
            <w:vAlign w:val="center"/>
          </w:tcPr>
          <w:p>
            <w:pPr>
              <w:jc w:val="center"/>
              <w:rPr>
                <w:sz w:val="21"/>
                <w:szCs w:val="21"/>
              </w:rPr>
            </w:pPr>
            <w:r>
              <w:rPr>
                <w:sz w:val="21"/>
                <w:szCs w:val="21"/>
              </w:rPr>
              <w:t>4</w:t>
            </w:r>
          </w:p>
        </w:tc>
        <w:tc>
          <w:tcPr>
            <w:tcW w:w="2976" w:type="dxa"/>
            <w:gridSpan w:val="4"/>
            <w:tcBorders>
              <w:bottom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路基宽度</w:t>
            </w:r>
          </w:p>
        </w:tc>
        <w:tc>
          <w:tcPr>
            <w:tcW w:w="993" w:type="dxa"/>
            <w:tcBorders>
              <w:bottom w:val="single" w:color="auto" w:sz="4" w:space="0"/>
            </w:tcBorders>
            <w:tcMar>
              <w:left w:w="28" w:type="dxa"/>
              <w:right w:w="28" w:type="dxa"/>
            </w:tcMar>
            <w:vAlign w:val="center"/>
          </w:tcPr>
          <w:p>
            <w:pPr>
              <w:ind w:left="31680" w:leftChars="-50" w:right="31680" w:rightChars="-50"/>
              <w:jc w:val="center"/>
              <w:rPr>
                <w:sz w:val="21"/>
                <w:szCs w:val="21"/>
              </w:rPr>
            </w:pPr>
            <w:r>
              <w:rPr>
                <w:sz w:val="21"/>
                <w:szCs w:val="21"/>
              </w:rPr>
              <w:t>m</w:t>
            </w:r>
          </w:p>
        </w:tc>
        <w:tc>
          <w:tcPr>
            <w:tcW w:w="1134" w:type="dxa"/>
            <w:tcBorders>
              <w:bottom w:val="single" w:color="auto" w:sz="4" w:space="0"/>
            </w:tcBorders>
            <w:tcMar>
              <w:left w:w="28" w:type="dxa"/>
              <w:right w:w="28" w:type="dxa"/>
            </w:tcMar>
            <w:vAlign w:val="center"/>
          </w:tcPr>
          <w:p>
            <w:pPr>
              <w:jc w:val="center"/>
              <w:rPr>
                <w:sz w:val="21"/>
                <w:szCs w:val="21"/>
              </w:rPr>
            </w:pPr>
            <w:r>
              <w:rPr>
                <w:sz w:val="21"/>
                <w:szCs w:val="21"/>
              </w:rPr>
              <w:t>25.5</w:t>
            </w:r>
          </w:p>
        </w:tc>
        <w:tc>
          <w:tcPr>
            <w:tcW w:w="3431" w:type="dxa"/>
            <w:tcMar>
              <w:left w:w="28" w:type="dxa"/>
              <w:right w:w="28" w:type="dxa"/>
            </w:tcMar>
            <w:vAlign w:val="center"/>
          </w:tcPr>
          <w:p>
            <w:pPr>
              <w:jc w:val="center"/>
              <w:rPr>
                <w:sz w:val="21"/>
                <w:szCs w:val="21"/>
              </w:rPr>
            </w:pPr>
            <w:r>
              <w:t>K0+000~K8+369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37" w:hRule="atLeast"/>
        </w:trPr>
        <w:tc>
          <w:tcPr>
            <w:tcW w:w="595" w:type="dxa"/>
            <w:vMerge w:val="restart"/>
            <w:tcMar>
              <w:left w:w="28" w:type="dxa"/>
              <w:right w:w="28" w:type="dxa"/>
            </w:tcMar>
            <w:vAlign w:val="center"/>
          </w:tcPr>
          <w:p>
            <w:pPr>
              <w:jc w:val="center"/>
              <w:rPr>
                <w:sz w:val="21"/>
                <w:szCs w:val="21"/>
              </w:rPr>
            </w:pPr>
            <w:r>
              <w:rPr>
                <w:sz w:val="21"/>
                <w:szCs w:val="21"/>
              </w:rPr>
              <w:t>5</w:t>
            </w:r>
          </w:p>
        </w:tc>
        <w:tc>
          <w:tcPr>
            <w:tcW w:w="967" w:type="dxa"/>
            <w:gridSpan w:val="3"/>
            <w:vMerge w:val="restart"/>
            <w:tcBorders>
              <w:righ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车道宽度</w:t>
            </w:r>
          </w:p>
        </w:tc>
        <w:tc>
          <w:tcPr>
            <w:tcW w:w="2009" w:type="dxa"/>
            <w:tcBorders>
              <w:left w:val="single" w:color="auto" w:sz="4" w:space="0"/>
              <w:bottom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慢车道</w:t>
            </w:r>
          </w:p>
        </w:tc>
        <w:tc>
          <w:tcPr>
            <w:tcW w:w="993" w:type="dxa"/>
            <w:tcBorders>
              <w:bottom w:val="single" w:color="auto" w:sz="4" w:space="0"/>
            </w:tcBorders>
            <w:tcMar>
              <w:left w:w="28" w:type="dxa"/>
              <w:right w:w="28" w:type="dxa"/>
            </w:tcMar>
            <w:vAlign w:val="center"/>
          </w:tcPr>
          <w:p>
            <w:pPr>
              <w:ind w:left="31680" w:leftChars="-50" w:right="31680" w:rightChars="-50"/>
              <w:jc w:val="center"/>
              <w:rPr>
                <w:sz w:val="21"/>
                <w:szCs w:val="21"/>
              </w:rPr>
            </w:pPr>
            <w:r>
              <w:rPr>
                <w:sz w:val="21"/>
                <w:szCs w:val="21"/>
              </w:rPr>
              <w:t>m</w:t>
            </w:r>
          </w:p>
        </w:tc>
        <w:tc>
          <w:tcPr>
            <w:tcW w:w="1134" w:type="dxa"/>
            <w:tcBorders>
              <w:bottom w:val="single" w:color="auto" w:sz="4" w:space="0"/>
            </w:tcBorders>
            <w:tcMar>
              <w:left w:w="28" w:type="dxa"/>
              <w:right w:w="28" w:type="dxa"/>
            </w:tcMar>
            <w:vAlign w:val="center"/>
          </w:tcPr>
          <w:p>
            <w:pPr>
              <w:jc w:val="center"/>
              <w:rPr>
                <w:sz w:val="21"/>
                <w:szCs w:val="21"/>
              </w:rPr>
            </w:pPr>
            <w:r>
              <w:rPr>
                <w:sz w:val="21"/>
                <w:szCs w:val="21"/>
              </w:rPr>
              <w:t>3.5</w:t>
            </w:r>
          </w:p>
        </w:tc>
        <w:tc>
          <w:tcPr>
            <w:tcW w:w="3431" w:type="dxa"/>
            <w:vMerge w:val="restart"/>
            <w:tcMar>
              <w:left w:w="28" w:type="dxa"/>
              <w:right w:w="28" w:type="dxa"/>
            </w:tcMar>
            <w:vAlign w:val="center"/>
          </w:tcPr>
          <w:p>
            <w:pPr>
              <w:jc w:val="center"/>
              <w:rPr>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259" w:hRule="atLeast"/>
        </w:trPr>
        <w:tc>
          <w:tcPr>
            <w:tcW w:w="595" w:type="dxa"/>
            <w:vMerge w:val="continue"/>
            <w:tcMar>
              <w:left w:w="28" w:type="dxa"/>
              <w:right w:w="28" w:type="dxa"/>
            </w:tcMar>
            <w:vAlign w:val="center"/>
          </w:tcPr>
          <w:p>
            <w:pPr>
              <w:jc w:val="center"/>
              <w:rPr>
                <w:sz w:val="21"/>
                <w:szCs w:val="21"/>
              </w:rPr>
            </w:pPr>
          </w:p>
        </w:tc>
        <w:tc>
          <w:tcPr>
            <w:tcW w:w="967" w:type="dxa"/>
            <w:gridSpan w:val="3"/>
            <w:vMerge w:val="continue"/>
            <w:tcBorders>
              <w:right w:val="single" w:color="auto" w:sz="4" w:space="0"/>
            </w:tcBorders>
            <w:tcMar>
              <w:left w:w="28" w:type="dxa"/>
              <w:right w:w="28" w:type="dxa"/>
            </w:tcMar>
            <w:vAlign w:val="center"/>
          </w:tcPr>
          <w:p>
            <w:pPr>
              <w:jc w:val="center"/>
              <w:rPr>
                <w:rFonts w:hAnsi="宋体"/>
                <w:sz w:val="21"/>
                <w:szCs w:val="21"/>
              </w:rPr>
            </w:pPr>
          </w:p>
        </w:tc>
        <w:tc>
          <w:tcPr>
            <w:tcW w:w="2009" w:type="dxa"/>
            <w:tcBorders>
              <w:top w:val="single" w:color="auto" w:sz="4" w:space="0"/>
              <w:lef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行车道</w:t>
            </w:r>
          </w:p>
        </w:tc>
        <w:tc>
          <w:tcPr>
            <w:tcW w:w="993" w:type="dxa"/>
            <w:tcBorders>
              <w:top w:val="single" w:color="auto" w:sz="4" w:space="0"/>
            </w:tcBorders>
            <w:tcMar>
              <w:left w:w="28" w:type="dxa"/>
              <w:right w:w="28" w:type="dxa"/>
            </w:tcMar>
            <w:vAlign w:val="center"/>
          </w:tcPr>
          <w:p>
            <w:pPr>
              <w:ind w:left="31680" w:leftChars="-50" w:right="31680" w:rightChars="-50"/>
              <w:jc w:val="center"/>
              <w:rPr>
                <w:sz w:val="21"/>
                <w:szCs w:val="21"/>
              </w:rPr>
            </w:pPr>
            <w:r>
              <w:rPr>
                <w:sz w:val="21"/>
                <w:szCs w:val="21"/>
              </w:rPr>
              <w:t>m</w:t>
            </w:r>
          </w:p>
        </w:tc>
        <w:tc>
          <w:tcPr>
            <w:tcW w:w="1134" w:type="dxa"/>
            <w:tcBorders>
              <w:top w:val="single" w:color="auto" w:sz="4" w:space="0"/>
            </w:tcBorders>
            <w:tcMar>
              <w:left w:w="28" w:type="dxa"/>
              <w:right w:w="28" w:type="dxa"/>
            </w:tcMar>
            <w:vAlign w:val="center"/>
          </w:tcPr>
          <w:p>
            <w:pPr>
              <w:jc w:val="center"/>
              <w:rPr>
                <w:sz w:val="21"/>
                <w:szCs w:val="21"/>
              </w:rPr>
            </w:pPr>
            <w:r>
              <w:rPr>
                <w:sz w:val="21"/>
                <w:szCs w:val="21"/>
              </w:rPr>
              <w:t>3.75</w:t>
            </w:r>
          </w:p>
        </w:tc>
        <w:tc>
          <w:tcPr>
            <w:tcW w:w="3431" w:type="dxa"/>
            <w:vMerge w:val="continue"/>
            <w:tcMar>
              <w:left w:w="28" w:type="dxa"/>
              <w:right w:w="28" w:type="dxa"/>
            </w:tcMar>
            <w:vAlign w:val="center"/>
          </w:tcPr>
          <w:p>
            <w:pPr>
              <w:jc w:val="center"/>
              <w:rPr>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257" w:hRule="atLeast"/>
        </w:trPr>
        <w:tc>
          <w:tcPr>
            <w:tcW w:w="595" w:type="dxa"/>
            <w:tcMar>
              <w:left w:w="28" w:type="dxa"/>
              <w:right w:w="28" w:type="dxa"/>
            </w:tcMar>
            <w:vAlign w:val="center"/>
          </w:tcPr>
          <w:p>
            <w:pPr>
              <w:jc w:val="center"/>
              <w:rPr>
                <w:sz w:val="21"/>
                <w:szCs w:val="21"/>
              </w:rPr>
            </w:pPr>
            <w:r>
              <w:rPr>
                <w:sz w:val="21"/>
                <w:szCs w:val="21"/>
              </w:rPr>
              <w:t>6</w:t>
            </w:r>
          </w:p>
        </w:tc>
        <w:tc>
          <w:tcPr>
            <w:tcW w:w="2976" w:type="dxa"/>
            <w:gridSpan w:val="4"/>
            <w:tcMar>
              <w:left w:w="28" w:type="dxa"/>
              <w:right w:w="28" w:type="dxa"/>
            </w:tcMar>
            <w:vAlign w:val="center"/>
          </w:tcPr>
          <w:p>
            <w:pPr>
              <w:jc w:val="center"/>
              <w:rPr>
                <w:rFonts w:hAnsi="宋体"/>
                <w:sz w:val="21"/>
                <w:szCs w:val="21"/>
              </w:rPr>
            </w:pPr>
            <w:r>
              <w:rPr>
                <w:rFonts w:hint="eastAsia" w:hAnsi="宋体"/>
                <w:sz w:val="21"/>
                <w:szCs w:val="21"/>
              </w:rPr>
              <w:t>车道数</w:t>
            </w:r>
          </w:p>
        </w:tc>
        <w:tc>
          <w:tcPr>
            <w:tcW w:w="993" w:type="dxa"/>
            <w:tcMar>
              <w:left w:w="28" w:type="dxa"/>
              <w:right w:w="28" w:type="dxa"/>
            </w:tcMar>
            <w:vAlign w:val="center"/>
          </w:tcPr>
          <w:p>
            <w:pPr>
              <w:ind w:left="31680" w:leftChars="-50" w:right="31680" w:rightChars="-50"/>
              <w:jc w:val="center"/>
              <w:rPr>
                <w:sz w:val="21"/>
                <w:szCs w:val="21"/>
              </w:rPr>
            </w:pPr>
            <w:r>
              <w:rPr>
                <w:rFonts w:hint="eastAsia"/>
                <w:sz w:val="21"/>
                <w:szCs w:val="21"/>
              </w:rPr>
              <w:t>条</w:t>
            </w:r>
          </w:p>
        </w:tc>
        <w:tc>
          <w:tcPr>
            <w:tcW w:w="1134" w:type="dxa"/>
            <w:tcMar>
              <w:left w:w="28" w:type="dxa"/>
              <w:right w:w="28" w:type="dxa"/>
            </w:tcMar>
            <w:vAlign w:val="center"/>
          </w:tcPr>
          <w:p>
            <w:pPr>
              <w:jc w:val="center"/>
              <w:rPr>
                <w:sz w:val="21"/>
                <w:szCs w:val="21"/>
              </w:rPr>
            </w:pPr>
            <w:r>
              <w:rPr>
                <w:sz w:val="21"/>
                <w:szCs w:val="21"/>
              </w:rPr>
              <w:t>4</w:t>
            </w:r>
          </w:p>
        </w:tc>
        <w:tc>
          <w:tcPr>
            <w:tcW w:w="3431" w:type="dxa"/>
            <w:tcMar>
              <w:left w:w="28" w:type="dxa"/>
              <w:right w:w="28" w:type="dxa"/>
            </w:tcMar>
            <w:vAlign w:val="center"/>
          </w:tcPr>
          <w:p>
            <w:pPr>
              <w:jc w:val="center"/>
              <w:rPr>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7</w:t>
            </w:r>
          </w:p>
        </w:tc>
        <w:tc>
          <w:tcPr>
            <w:tcW w:w="910" w:type="dxa"/>
            <w:gridSpan w:val="2"/>
            <w:vMerge w:val="restart"/>
            <w:tcBorders>
              <w:righ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平曲线半径</w:t>
            </w:r>
          </w:p>
        </w:tc>
        <w:tc>
          <w:tcPr>
            <w:tcW w:w="2066" w:type="dxa"/>
            <w:gridSpan w:val="2"/>
            <w:tcBorders>
              <w:lef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最大超高</w:t>
            </w:r>
            <w:r>
              <w:rPr>
                <w:rFonts w:hAnsi="宋体"/>
                <w:sz w:val="21"/>
                <w:szCs w:val="21"/>
              </w:rPr>
              <w:t>8%</w:t>
            </w:r>
            <w:r>
              <w:rPr>
                <w:rFonts w:hint="eastAsia" w:hAnsi="宋体"/>
                <w:sz w:val="21"/>
                <w:szCs w:val="21"/>
              </w:rPr>
              <w:t>（最小半径）</w:t>
            </w:r>
          </w:p>
        </w:tc>
        <w:tc>
          <w:tcPr>
            <w:tcW w:w="993" w:type="dxa"/>
            <w:tcMar>
              <w:left w:w="28" w:type="dxa"/>
              <w:right w:w="28" w:type="dxa"/>
            </w:tcMar>
            <w:vAlign w:val="center"/>
          </w:tcPr>
          <w:p>
            <w:pPr>
              <w:jc w:val="center"/>
              <w:rPr>
                <w:rFonts w:hAnsi="宋体"/>
                <w:sz w:val="21"/>
                <w:szCs w:val="21"/>
              </w:rPr>
            </w:pPr>
            <w:r>
              <w:rPr>
                <w:rFonts w:hAnsi="宋体"/>
                <w:sz w:val="21"/>
                <w:szCs w:val="21"/>
              </w:rPr>
              <w:t>m</w:t>
            </w:r>
          </w:p>
        </w:tc>
        <w:tc>
          <w:tcPr>
            <w:tcW w:w="1134" w:type="dxa"/>
            <w:tcMar>
              <w:left w:w="28" w:type="dxa"/>
              <w:right w:w="28" w:type="dxa"/>
            </w:tcMar>
            <w:vAlign w:val="center"/>
          </w:tcPr>
          <w:p>
            <w:pPr>
              <w:jc w:val="center"/>
              <w:rPr>
                <w:rFonts w:hAnsi="宋体"/>
                <w:sz w:val="21"/>
                <w:szCs w:val="21"/>
              </w:rPr>
            </w:pPr>
            <w:r>
              <w:rPr>
                <w:rFonts w:hAnsi="宋体"/>
                <w:sz w:val="21"/>
                <w:szCs w:val="21"/>
              </w:rPr>
              <w:t>125</w:t>
            </w:r>
          </w:p>
        </w:tc>
        <w:tc>
          <w:tcPr>
            <w:tcW w:w="3431" w:type="dxa"/>
            <w:tcMar>
              <w:left w:w="28" w:type="dxa"/>
              <w:right w:w="28" w:type="dxa"/>
            </w:tcMar>
            <w:vAlign w:val="center"/>
          </w:tcPr>
          <w:p>
            <w:pPr>
              <w:jc w:val="center"/>
              <w:rPr>
                <w:color w:val="FF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8</w:t>
            </w:r>
          </w:p>
        </w:tc>
        <w:tc>
          <w:tcPr>
            <w:tcW w:w="910" w:type="dxa"/>
            <w:gridSpan w:val="2"/>
            <w:vMerge w:val="continue"/>
            <w:tcBorders>
              <w:right w:val="single" w:color="auto" w:sz="4" w:space="0"/>
            </w:tcBorders>
            <w:tcMar>
              <w:left w:w="28" w:type="dxa"/>
              <w:right w:w="28" w:type="dxa"/>
            </w:tcMar>
            <w:vAlign w:val="center"/>
          </w:tcPr>
          <w:p>
            <w:pPr>
              <w:jc w:val="center"/>
              <w:rPr>
                <w:rFonts w:hAnsi="宋体"/>
                <w:sz w:val="21"/>
                <w:szCs w:val="21"/>
              </w:rPr>
            </w:pPr>
          </w:p>
        </w:tc>
        <w:tc>
          <w:tcPr>
            <w:tcW w:w="2066" w:type="dxa"/>
            <w:gridSpan w:val="2"/>
            <w:tcBorders>
              <w:lef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最大超高</w:t>
            </w:r>
            <w:r>
              <w:rPr>
                <w:rFonts w:hAnsi="宋体"/>
                <w:sz w:val="21"/>
                <w:szCs w:val="21"/>
              </w:rPr>
              <w:t>6%</w:t>
            </w:r>
            <w:r>
              <w:rPr>
                <w:rFonts w:hint="eastAsia" w:hAnsi="宋体"/>
                <w:sz w:val="21"/>
                <w:szCs w:val="21"/>
              </w:rPr>
              <w:t>（最小半径）</w:t>
            </w:r>
          </w:p>
        </w:tc>
        <w:tc>
          <w:tcPr>
            <w:tcW w:w="993" w:type="dxa"/>
            <w:tcMar>
              <w:left w:w="28" w:type="dxa"/>
              <w:right w:w="28" w:type="dxa"/>
            </w:tcMar>
            <w:vAlign w:val="center"/>
          </w:tcPr>
          <w:p>
            <w:pPr>
              <w:jc w:val="center"/>
              <w:rPr>
                <w:rFonts w:hAnsi="宋体"/>
                <w:sz w:val="21"/>
                <w:szCs w:val="21"/>
              </w:rPr>
            </w:pPr>
            <w:r>
              <w:rPr>
                <w:rFonts w:hAnsi="宋体"/>
                <w:sz w:val="21"/>
                <w:szCs w:val="21"/>
              </w:rPr>
              <w:t>m</w:t>
            </w:r>
          </w:p>
        </w:tc>
        <w:tc>
          <w:tcPr>
            <w:tcW w:w="1134" w:type="dxa"/>
            <w:tcMar>
              <w:left w:w="28" w:type="dxa"/>
              <w:right w:w="28" w:type="dxa"/>
            </w:tcMar>
            <w:vAlign w:val="center"/>
          </w:tcPr>
          <w:p>
            <w:pPr>
              <w:jc w:val="center"/>
              <w:rPr>
                <w:rFonts w:hAnsi="宋体"/>
                <w:sz w:val="21"/>
                <w:szCs w:val="21"/>
              </w:rPr>
            </w:pPr>
            <w:r>
              <w:rPr>
                <w:rFonts w:hAnsi="宋体"/>
                <w:sz w:val="21"/>
                <w:szCs w:val="21"/>
              </w:rPr>
              <w:t>135</w:t>
            </w:r>
          </w:p>
        </w:tc>
        <w:tc>
          <w:tcPr>
            <w:tcW w:w="3431" w:type="dxa"/>
            <w:tcMar>
              <w:left w:w="28" w:type="dxa"/>
              <w:right w:w="28" w:type="dxa"/>
            </w:tcMar>
            <w:vAlign w:val="center"/>
          </w:tcPr>
          <w:p>
            <w:pPr>
              <w:jc w:val="center"/>
              <w:rPr>
                <w:color w:val="FF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9</w:t>
            </w:r>
          </w:p>
        </w:tc>
        <w:tc>
          <w:tcPr>
            <w:tcW w:w="910" w:type="dxa"/>
            <w:gridSpan w:val="2"/>
            <w:vMerge w:val="continue"/>
            <w:tcBorders>
              <w:right w:val="single" w:color="auto" w:sz="4" w:space="0"/>
            </w:tcBorders>
            <w:tcMar>
              <w:left w:w="28" w:type="dxa"/>
              <w:right w:w="28" w:type="dxa"/>
            </w:tcMar>
            <w:vAlign w:val="center"/>
          </w:tcPr>
          <w:p>
            <w:pPr>
              <w:jc w:val="center"/>
              <w:rPr>
                <w:rFonts w:hAnsi="宋体"/>
                <w:sz w:val="21"/>
                <w:szCs w:val="21"/>
              </w:rPr>
            </w:pPr>
          </w:p>
        </w:tc>
        <w:tc>
          <w:tcPr>
            <w:tcW w:w="2066" w:type="dxa"/>
            <w:gridSpan w:val="2"/>
            <w:tcBorders>
              <w:lef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不设超高最小半径</w:t>
            </w:r>
          </w:p>
        </w:tc>
        <w:tc>
          <w:tcPr>
            <w:tcW w:w="993" w:type="dxa"/>
            <w:tcMar>
              <w:left w:w="28" w:type="dxa"/>
              <w:right w:w="28" w:type="dxa"/>
            </w:tcMar>
            <w:vAlign w:val="center"/>
          </w:tcPr>
          <w:p>
            <w:pPr>
              <w:jc w:val="center"/>
              <w:rPr>
                <w:rFonts w:hAnsi="宋体"/>
                <w:sz w:val="21"/>
                <w:szCs w:val="21"/>
              </w:rPr>
            </w:pPr>
            <w:r>
              <w:rPr>
                <w:rFonts w:hAnsi="宋体"/>
                <w:sz w:val="21"/>
                <w:szCs w:val="21"/>
              </w:rPr>
              <w:t>m</w:t>
            </w:r>
          </w:p>
        </w:tc>
        <w:tc>
          <w:tcPr>
            <w:tcW w:w="1134" w:type="dxa"/>
            <w:tcMar>
              <w:left w:w="28" w:type="dxa"/>
              <w:right w:w="28" w:type="dxa"/>
            </w:tcMar>
            <w:vAlign w:val="center"/>
          </w:tcPr>
          <w:p>
            <w:pPr>
              <w:jc w:val="center"/>
              <w:rPr>
                <w:rFonts w:hAnsi="宋体"/>
                <w:sz w:val="21"/>
                <w:szCs w:val="21"/>
              </w:rPr>
            </w:pPr>
            <w:r>
              <w:rPr>
                <w:rFonts w:hAnsi="宋体"/>
                <w:sz w:val="21"/>
                <w:szCs w:val="21"/>
              </w:rPr>
              <w:t>1500</w:t>
            </w:r>
          </w:p>
        </w:tc>
        <w:tc>
          <w:tcPr>
            <w:tcW w:w="3431" w:type="dxa"/>
            <w:tcMar>
              <w:left w:w="28" w:type="dxa"/>
              <w:right w:w="28" w:type="dxa"/>
            </w:tcMar>
            <w:vAlign w:val="center"/>
          </w:tcPr>
          <w:p>
            <w:pPr>
              <w:jc w:val="center"/>
              <w:rPr>
                <w:color w:val="FF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10</w:t>
            </w:r>
          </w:p>
        </w:tc>
        <w:tc>
          <w:tcPr>
            <w:tcW w:w="910" w:type="dxa"/>
            <w:gridSpan w:val="2"/>
            <w:vMerge w:val="restart"/>
            <w:tcBorders>
              <w:righ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竖曲线</w:t>
            </w:r>
          </w:p>
          <w:p>
            <w:pPr>
              <w:jc w:val="center"/>
              <w:rPr>
                <w:rFonts w:hAnsi="宋体"/>
                <w:sz w:val="21"/>
                <w:szCs w:val="21"/>
              </w:rPr>
            </w:pPr>
            <w:r>
              <w:rPr>
                <w:rFonts w:hint="eastAsia" w:hAnsi="宋体"/>
                <w:sz w:val="21"/>
                <w:szCs w:val="21"/>
              </w:rPr>
              <w:t>最小半径</w:t>
            </w:r>
          </w:p>
        </w:tc>
        <w:tc>
          <w:tcPr>
            <w:tcW w:w="2066" w:type="dxa"/>
            <w:gridSpan w:val="2"/>
            <w:tcBorders>
              <w:lef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凸形</w:t>
            </w:r>
          </w:p>
        </w:tc>
        <w:tc>
          <w:tcPr>
            <w:tcW w:w="993" w:type="dxa"/>
            <w:tcMar>
              <w:left w:w="28" w:type="dxa"/>
              <w:right w:w="28" w:type="dxa"/>
            </w:tcMar>
            <w:vAlign w:val="center"/>
          </w:tcPr>
          <w:p>
            <w:pPr>
              <w:jc w:val="center"/>
              <w:rPr>
                <w:rFonts w:hAnsi="宋体"/>
                <w:sz w:val="21"/>
                <w:szCs w:val="21"/>
              </w:rPr>
            </w:pPr>
            <w:r>
              <w:rPr>
                <w:rFonts w:hAnsi="宋体"/>
                <w:sz w:val="21"/>
                <w:szCs w:val="21"/>
              </w:rPr>
              <w:t>m</w:t>
            </w:r>
          </w:p>
        </w:tc>
        <w:tc>
          <w:tcPr>
            <w:tcW w:w="1134" w:type="dxa"/>
            <w:tcMar>
              <w:left w:w="28" w:type="dxa"/>
              <w:right w:w="28" w:type="dxa"/>
            </w:tcMar>
            <w:vAlign w:val="center"/>
          </w:tcPr>
          <w:p>
            <w:pPr>
              <w:jc w:val="center"/>
              <w:rPr>
                <w:rFonts w:hAnsi="宋体"/>
                <w:sz w:val="21"/>
                <w:szCs w:val="21"/>
              </w:rPr>
            </w:pPr>
            <w:r>
              <w:rPr>
                <w:rFonts w:hAnsi="宋体"/>
                <w:sz w:val="21"/>
                <w:szCs w:val="21"/>
              </w:rPr>
              <w:t>1400</w:t>
            </w:r>
          </w:p>
        </w:tc>
        <w:tc>
          <w:tcPr>
            <w:tcW w:w="3431" w:type="dxa"/>
            <w:tcMar>
              <w:left w:w="28" w:type="dxa"/>
              <w:right w:w="28" w:type="dxa"/>
            </w:tcMar>
            <w:vAlign w:val="center"/>
          </w:tcPr>
          <w:p>
            <w:pPr>
              <w:jc w:val="center"/>
              <w:rPr>
                <w:color w:val="FF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11</w:t>
            </w:r>
          </w:p>
        </w:tc>
        <w:tc>
          <w:tcPr>
            <w:tcW w:w="910" w:type="dxa"/>
            <w:gridSpan w:val="2"/>
            <w:vMerge w:val="continue"/>
            <w:tcBorders>
              <w:right w:val="single" w:color="auto" w:sz="4" w:space="0"/>
            </w:tcBorders>
            <w:tcMar>
              <w:left w:w="28" w:type="dxa"/>
              <w:right w:w="28" w:type="dxa"/>
            </w:tcMar>
            <w:vAlign w:val="center"/>
          </w:tcPr>
          <w:p>
            <w:pPr>
              <w:jc w:val="center"/>
              <w:rPr>
                <w:rFonts w:hAnsi="宋体"/>
                <w:sz w:val="21"/>
                <w:szCs w:val="21"/>
              </w:rPr>
            </w:pPr>
          </w:p>
        </w:tc>
        <w:tc>
          <w:tcPr>
            <w:tcW w:w="2066" w:type="dxa"/>
            <w:gridSpan w:val="2"/>
            <w:tcBorders>
              <w:lef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凹形</w:t>
            </w:r>
          </w:p>
          <w:p>
            <w:pPr>
              <w:jc w:val="center"/>
              <w:rPr>
                <w:rFonts w:hAnsi="宋体"/>
                <w:sz w:val="21"/>
                <w:szCs w:val="21"/>
              </w:rPr>
            </w:pPr>
            <w:r>
              <w:rPr>
                <w:rFonts w:hint="eastAsia" w:hAnsi="宋体"/>
                <w:sz w:val="21"/>
                <w:szCs w:val="21"/>
              </w:rPr>
              <w:t>一般最小</w:t>
            </w:r>
          </w:p>
        </w:tc>
        <w:tc>
          <w:tcPr>
            <w:tcW w:w="993" w:type="dxa"/>
            <w:tcMar>
              <w:left w:w="28" w:type="dxa"/>
              <w:right w:w="28" w:type="dxa"/>
            </w:tcMar>
            <w:vAlign w:val="center"/>
          </w:tcPr>
          <w:p>
            <w:pPr>
              <w:jc w:val="center"/>
              <w:rPr>
                <w:rFonts w:hAnsi="宋体"/>
                <w:sz w:val="21"/>
                <w:szCs w:val="21"/>
              </w:rPr>
            </w:pPr>
            <w:r>
              <w:rPr>
                <w:rFonts w:hAnsi="宋体"/>
                <w:sz w:val="21"/>
                <w:szCs w:val="21"/>
              </w:rPr>
              <w:t>m</w:t>
            </w:r>
          </w:p>
        </w:tc>
        <w:tc>
          <w:tcPr>
            <w:tcW w:w="1134" w:type="dxa"/>
            <w:tcMar>
              <w:left w:w="28" w:type="dxa"/>
              <w:right w:w="28" w:type="dxa"/>
            </w:tcMar>
            <w:vAlign w:val="center"/>
          </w:tcPr>
          <w:p>
            <w:pPr>
              <w:jc w:val="center"/>
              <w:rPr>
                <w:rFonts w:hAnsi="宋体"/>
                <w:sz w:val="21"/>
                <w:szCs w:val="21"/>
              </w:rPr>
            </w:pPr>
            <w:r>
              <w:rPr>
                <w:rFonts w:hAnsi="宋体"/>
                <w:sz w:val="21"/>
                <w:szCs w:val="21"/>
              </w:rPr>
              <w:t>1000</w:t>
            </w:r>
          </w:p>
        </w:tc>
        <w:tc>
          <w:tcPr>
            <w:tcW w:w="3431" w:type="dxa"/>
            <w:tcMar>
              <w:left w:w="28" w:type="dxa"/>
              <w:right w:w="28" w:type="dxa"/>
            </w:tcMar>
            <w:vAlign w:val="center"/>
          </w:tcPr>
          <w:p>
            <w:pPr>
              <w:jc w:val="center"/>
              <w:rPr>
                <w:color w:val="FF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12</w:t>
            </w:r>
          </w:p>
        </w:tc>
        <w:tc>
          <w:tcPr>
            <w:tcW w:w="2976" w:type="dxa"/>
            <w:gridSpan w:val="4"/>
            <w:tcMar>
              <w:left w:w="28" w:type="dxa"/>
              <w:right w:w="28" w:type="dxa"/>
            </w:tcMar>
            <w:vAlign w:val="center"/>
          </w:tcPr>
          <w:p>
            <w:pPr>
              <w:jc w:val="center"/>
              <w:rPr>
                <w:rFonts w:hAnsi="宋体"/>
                <w:sz w:val="21"/>
                <w:szCs w:val="21"/>
              </w:rPr>
            </w:pPr>
            <w:r>
              <w:rPr>
                <w:rFonts w:hint="eastAsia" w:hAnsi="宋体"/>
                <w:sz w:val="21"/>
                <w:szCs w:val="21"/>
              </w:rPr>
              <w:t>最大纵坡</w:t>
            </w:r>
          </w:p>
        </w:tc>
        <w:tc>
          <w:tcPr>
            <w:tcW w:w="993" w:type="dxa"/>
            <w:tcMar>
              <w:left w:w="28" w:type="dxa"/>
              <w:right w:w="28" w:type="dxa"/>
            </w:tcMar>
            <w:vAlign w:val="center"/>
          </w:tcPr>
          <w:p>
            <w:pPr>
              <w:ind w:left="-50" w:right="-50"/>
              <w:jc w:val="center"/>
              <w:rPr>
                <w:sz w:val="21"/>
                <w:szCs w:val="21"/>
              </w:rPr>
            </w:pPr>
            <w:r>
              <w:rPr>
                <w:sz w:val="21"/>
                <w:szCs w:val="21"/>
              </w:rPr>
              <w:t>%</w:t>
            </w:r>
          </w:p>
        </w:tc>
        <w:tc>
          <w:tcPr>
            <w:tcW w:w="1134" w:type="dxa"/>
            <w:tcMar>
              <w:left w:w="28" w:type="dxa"/>
              <w:right w:w="28" w:type="dxa"/>
            </w:tcMar>
            <w:vAlign w:val="center"/>
          </w:tcPr>
          <w:p>
            <w:pPr>
              <w:jc w:val="center"/>
              <w:rPr>
                <w:sz w:val="21"/>
                <w:szCs w:val="21"/>
              </w:rPr>
            </w:pPr>
            <w:r>
              <w:rPr>
                <w:sz w:val="21"/>
                <w:szCs w:val="21"/>
              </w:rPr>
              <w:t>6</w:t>
            </w:r>
          </w:p>
        </w:tc>
        <w:tc>
          <w:tcPr>
            <w:tcW w:w="3431" w:type="dxa"/>
            <w:tcMar>
              <w:left w:w="28" w:type="dxa"/>
              <w:right w:w="28" w:type="dxa"/>
            </w:tcMar>
            <w:vAlign w:val="center"/>
          </w:tcPr>
          <w:p>
            <w:pPr>
              <w:jc w:val="center"/>
              <w:rPr>
                <w:color w:val="FF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13</w:t>
            </w:r>
          </w:p>
        </w:tc>
        <w:tc>
          <w:tcPr>
            <w:tcW w:w="809" w:type="dxa"/>
            <w:vMerge w:val="restart"/>
            <w:tcBorders>
              <w:righ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设计洪水平率频率</w:t>
            </w:r>
          </w:p>
        </w:tc>
        <w:tc>
          <w:tcPr>
            <w:tcW w:w="2167" w:type="dxa"/>
            <w:gridSpan w:val="3"/>
            <w:tcBorders>
              <w:lef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路基</w:t>
            </w:r>
          </w:p>
        </w:tc>
        <w:tc>
          <w:tcPr>
            <w:tcW w:w="993" w:type="dxa"/>
            <w:tcMar>
              <w:left w:w="28" w:type="dxa"/>
              <w:right w:w="28" w:type="dxa"/>
            </w:tcMar>
            <w:vAlign w:val="center"/>
          </w:tcPr>
          <w:p>
            <w:pPr>
              <w:ind w:left="31680" w:leftChars="-50" w:right="31680" w:rightChars="-50"/>
              <w:jc w:val="center"/>
              <w:rPr>
                <w:sz w:val="21"/>
                <w:szCs w:val="21"/>
              </w:rPr>
            </w:pPr>
          </w:p>
        </w:tc>
        <w:tc>
          <w:tcPr>
            <w:tcW w:w="1134" w:type="dxa"/>
            <w:tcMar>
              <w:left w:w="28" w:type="dxa"/>
              <w:right w:w="28" w:type="dxa"/>
            </w:tcMar>
            <w:vAlign w:val="center"/>
          </w:tcPr>
          <w:p>
            <w:pPr>
              <w:jc w:val="center"/>
              <w:rPr>
                <w:sz w:val="21"/>
                <w:szCs w:val="21"/>
              </w:rPr>
            </w:pPr>
            <w:r>
              <w:rPr>
                <w:sz w:val="21"/>
                <w:szCs w:val="21"/>
              </w:rPr>
              <w:t>1/100</w:t>
            </w:r>
          </w:p>
        </w:tc>
        <w:tc>
          <w:tcPr>
            <w:tcW w:w="3431" w:type="dxa"/>
            <w:tcMar>
              <w:left w:w="28" w:type="dxa"/>
              <w:right w:w="28" w:type="dxa"/>
            </w:tcMar>
            <w:vAlign w:val="center"/>
          </w:tcPr>
          <w:p>
            <w:pPr>
              <w:jc w:val="center"/>
              <w:rPr>
                <w:color w:val="FF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14</w:t>
            </w:r>
          </w:p>
        </w:tc>
        <w:tc>
          <w:tcPr>
            <w:tcW w:w="809" w:type="dxa"/>
            <w:vMerge w:val="continue"/>
            <w:tcBorders>
              <w:right w:val="single" w:color="auto" w:sz="4" w:space="0"/>
            </w:tcBorders>
            <w:tcMar>
              <w:left w:w="28" w:type="dxa"/>
              <w:right w:w="28" w:type="dxa"/>
            </w:tcMar>
            <w:vAlign w:val="center"/>
          </w:tcPr>
          <w:p>
            <w:pPr>
              <w:jc w:val="center"/>
              <w:rPr>
                <w:rFonts w:hAnsi="宋体"/>
                <w:sz w:val="21"/>
                <w:szCs w:val="21"/>
              </w:rPr>
            </w:pPr>
          </w:p>
        </w:tc>
        <w:tc>
          <w:tcPr>
            <w:tcW w:w="2167" w:type="dxa"/>
            <w:gridSpan w:val="3"/>
            <w:tcBorders>
              <w:lef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小桥及涵洞</w:t>
            </w:r>
          </w:p>
        </w:tc>
        <w:tc>
          <w:tcPr>
            <w:tcW w:w="993" w:type="dxa"/>
            <w:tcMar>
              <w:left w:w="28" w:type="dxa"/>
              <w:right w:w="28" w:type="dxa"/>
            </w:tcMar>
            <w:vAlign w:val="center"/>
          </w:tcPr>
          <w:p>
            <w:pPr>
              <w:ind w:left="31680" w:leftChars="-50" w:right="31680" w:rightChars="-50"/>
              <w:jc w:val="center"/>
              <w:rPr>
                <w:color w:val="FF0000"/>
                <w:sz w:val="21"/>
                <w:szCs w:val="21"/>
              </w:rPr>
            </w:pPr>
          </w:p>
        </w:tc>
        <w:tc>
          <w:tcPr>
            <w:tcW w:w="1134" w:type="dxa"/>
            <w:tcMar>
              <w:left w:w="28" w:type="dxa"/>
              <w:right w:w="28" w:type="dxa"/>
            </w:tcMar>
            <w:vAlign w:val="center"/>
          </w:tcPr>
          <w:p>
            <w:pPr>
              <w:jc w:val="center"/>
              <w:rPr>
                <w:sz w:val="21"/>
                <w:szCs w:val="21"/>
              </w:rPr>
            </w:pPr>
            <w:r>
              <w:rPr>
                <w:sz w:val="21"/>
                <w:szCs w:val="21"/>
              </w:rPr>
              <w:t>1/100</w:t>
            </w:r>
          </w:p>
        </w:tc>
        <w:tc>
          <w:tcPr>
            <w:tcW w:w="3431" w:type="dxa"/>
            <w:tcMar>
              <w:left w:w="28" w:type="dxa"/>
              <w:right w:w="28" w:type="dxa"/>
            </w:tcMar>
            <w:vAlign w:val="center"/>
          </w:tcPr>
          <w:p>
            <w:pPr>
              <w:jc w:val="center"/>
              <w:rPr>
                <w:color w:val="FF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15</w:t>
            </w:r>
          </w:p>
        </w:tc>
        <w:tc>
          <w:tcPr>
            <w:tcW w:w="809" w:type="dxa"/>
            <w:vMerge w:val="continue"/>
            <w:tcBorders>
              <w:right w:val="single" w:color="auto" w:sz="4" w:space="0"/>
            </w:tcBorders>
            <w:tcMar>
              <w:left w:w="28" w:type="dxa"/>
              <w:right w:w="28" w:type="dxa"/>
            </w:tcMar>
            <w:vAlign w:val="center"/>
          </w:tcPr>
          <w:p>
            <w:pPr>
              <w:jc w:val="center"/>
              <w:rPr>
                <w:rFonts w:hAnsi="宋体"/>
                <w:sz w:val="21"/>
                <w:szCs w:val="21"/>
              </w:rPr>
            </w:pPr>
          </w:p>
        </w:tc>
        <w:tc>
          <w:tcPr>
            <w:tcW w:w="2167" w:type="dxa"/>
            <w:gridSpan w:val="3"/>
            <w:tcBorders>
              <w:lef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大中桥</w:t>
            </w:r>
          </w:p>
        </w:tc>
        <w:tc>
          <w:tcPr>
            <w:tcW w:w="993" w:type="dxa"/>
            <w:tcMar>
              <w:left w:w="28" w:type="dxa"/>
              <w:right w:w="28" w:type="dxa"/>
            </w:tcMar>
            <w:vAlign w:val="center"/>
          </w:tcPr>
          <w:p>
            <w:pPr>
              <w:ind w:left="31680" w:leftChars="-50" w:right="31680" w:rightChars="-50"/>
              <w:jc w:val="center"/>
              <w:rPr>
                <w:color w:val="FF0000"/>
                <w:sz w:val="21"/>
                <w:szCs w:val="21"/>
              </w:rPr>
            </w:pPr>
          </w:p>
        </w:tc>
        <w:tc>
          <w:tcPr>
            <w:tcW w:w="1134" w:type="dxa"/>
            <w:tcMar>
              <w:left w:w="28" w:type="dxa"/>
              <w:right w:w="28" w:type="dxa"/>
            </w:tcMar>
            <w:vAlign w:val="center"/>
          </w:tcPr>
          <w:p>
            <w:pPr>
              <w:jc w:val="center"/>
              <w:rPr>
                <w:sz w:val="21"/>
                <w:szCs w:val="21"/>
              </w:rPr>
            </w:pPr>
            <w:r>
              <w:rPr>
                <w:sz w:val="21"/>
                <w:szCs w:val="21"/>
              </w:rPr>
              <w:t>1/100</w:t>
            </w:r>
          </w:p>
        </w:tc>
        <w:tc>
          <w:tcPr>
            <w:tcW w:w="3431" w:type="dxa"/>
            <w:tcMar>
              <w:left w:w="28" w:type="dxa"/>
              <w:right w:w="28" w:type="dxa"/>
            </w:tcMar>
            <w:vAlign w:val="center"/>
          </w:tcPr>
          <w:p>
            <w:pPr>
              <w:jc w:val="center"/>
              <w:rPr>
                <w:color w:val="FF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16</w:t>
            </w:r>
          </w:p>
        </w:tc>
        <w:tc>
          <w:tcPr>
            <w:tcW w:w="809" w:type="dxa"/>
            <w:vMerge w:val="continue"/>
            <w:tcBorders>
              <w:right w:val="single" w:color="auto" w:sz="4" w:space="0"/>
            </w:tcBorders>
            <w:tcMar>
              <w:left w:w="28" w:type="dxa"/>
              <w:right w:w="28" w:type="dxa"/>
            </w:tcMar>
            <w:vAlign w:val="center"/>
          </w:tcPr>
          <w:p>
            <w:pPr>
              <w:jc w:val="center"/>
              <w:rPr>
                <w:rFonts w:hAnsi="宋体"/>
                <w:sz w:val="21"/>
                <w:szCs w:val="21"/>
              </w:rPr>
            </w:pPr>
          </w:p>
        </w:tc>
        <w:tc>
          <w:tcPr>
            <w:tcW w:w="2167" w:type="dxa"/>
            <w:gridSpan w:val="3"/>
            <w:tcBorders>
              <w:left w:val="single" w:color="auto" w:sz="4" w:space="0"/>
            </w:tcBorders>
            <w:tcMar>
              <w:left w:w="28" w:type="dxa"/>
              <w:right w:w="28" w:type="dxa"/>
            </w:tcMar>
            <w:vAlign w:val="center"/>
          </w:tcPr>
          <w:p>
            <w:pPr>
              <w:jc w:val="center"/>
              <w:rPr>
                <w:rFonts w:hAnsi="宋体"/>
                <w:sz w:val="21"/>
                <w:szCs w:val="21"/>
              </w:rPr>
            </w:pPr>
            <w:r>
              <w:rPr>
                <w:rFonts w:hint="eastAsia" w:hAnsi="宋体"/>
                <w:sz w:val="21"/>
                <w:szCs w:val="21"/>
              </w:rPr>
              <w:t>特大桥</w:t>
            </w:r>
          </w:p>
        </w:tc>
        <w:tc>
          <w:tcPr>
            <w:tcW w:w="993" w:type="dxa"/>
            <w:tcMar>
              <w:left w:w="28" w:type="dxa"/>
              <w:right w:w="28" w:type="dxa"/>
            </w:tcMar>
            <w:vAlign w:val="center"/>
          </w:tcPr>
          <w:p>
            <w:pPr>
              <w:ind w:left="31680" w:leftChars="-50" w:right="31680" w:rightChars="-50"/>
              <w:jc w:val="center"/>
              <w:rPr>
                <w:sz w:val="21"/>
                <w:szCs w:val="21"/>
              </w:rPr>
            </w:pPr>
          </w:p>
        </w:tc>
        <w:tc>
          <w:tcPr>
            <w:tcW w:w="1134" w:type="dxa"/>
            <w:tcMar>
              <w:left w:w="28" w:type="dxa"/>
              <w:right w:w="28" w:type="dxa"/>
            </w:tcMar>
            <w:vAlign w:val="center"/>
          </w:tcPr>
          <w:p>
            <w:pPr>
              <w:jc w:val="center"/>
              <w:rPr>
                <w:sz w:val="21"/>
                <w:szCs w:val="21"/>
              </w:rPr>
            </w:pPr>
            <w:r>
              <w:rPr>
                <w:sz w:val="21"/>
                <w:szCs w:val="21"/>
              </w:rPr>
              <w:t>1/300</w:t>
            </w:r>
          </w:p>
        </w:tc>
        <w:tc>
          <w:tcPr>
            <w:tcW w:w="3431" w:type="dxa"/>
            <w:tcMar>
              <w:left w:w="28" w:type="dxa"/>
              <w:right w:w="28" w:type="dxa"/>
            </w:tcMar>
            <w:vAlign w:val="center"/>
          </w:tcPr>
          <w:p>
            <w:pPr>
              <w:jc w:val="center"/>
              <w:rPr>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81" w:hRule="atLeast"/>
        </w:trPr>
        <w:tc>
          <w:tcPr>
            <w:tcW w:w="595" w:type="dxa"/>
            <w:tcMar>
              <w:left w:w="28" w:type="dxa"/>
              <w:right w:w="28" w:type="dxa"/>
            </w:tcMar>
            <w:vAlign w:val="center"/>
          </w:tcPr>
          <w:p>
            <w:pPr>
              <w:jc w:val="center"/>
              <w:rPr>
                <w:sz w:val="21"/>
                <w:szCs w:val="21"/>
              </w:rPr>
            </w:pPr>
            <w:r>
              <w:rPr>
                <w:sz w:val="21"/>
                <w:szCs w:val="21"/>
              </w:rPr>
              <w:t>17</w:t>
            </w:r>
          </w:p>
        </w:tc>
        <w:tc>
          <w:tcPr>
            <w:tcW w:w="2976" w:type="dxa"/>
            <w:gridSpan w:val="4"/>
            <w:tcMar>
              <w:left w:w="28" w:type="dxa"/>
              <w:right w:w="28" w:type="dxa"/>
            </w:tcMar>
            <w:vAlign w:val="center"/>
          </w:tcPr>
          <w:p>
            <w:pPr>
              <w:jc w:val="center"/>
              <w:rPr>
                <w:rFonts w:hAnsi="宋体"/>
                <w:sz w:val="21"/>
                <w:szCs w:val="21"/>
              </w:rPr>
            </w:pPr>
            <w:r>
              <w:rPr>
                <w:rFonts w:hint="eastAsia" w:hAnsi="宋体"/>
                <w:sz w:val="21"/>
                <w:szCs w:val="21"/>
              </w:rPr>
              <w:t>路面结构类型</w:t>
            </w:r>
          </w:p>
        </w:tc>
        <w:tc>
          <w:tcPr>
            <w:tcW w:w="993" w:type="dxa"/>
            <w:tcMar>
              <w:left w:w="28" w:type="dxa"/>
              <w:right w:w="28" w:type="dxa"/>
            </w:tcMar>
            <w:vAlign w:val="center"/>
          </w:tcPr>
          <w:p>
            <w:pPr>
              <w:ind w:left="31680" w:leftChars="-50" w:right="31680" w:rightChars="-50"/>
              <w:jc w:val="center"/>
              <w:rPr>
                <w:sz w:val="21"/>
                <w:szCs w:val="21"/>
              </w:rPr>
            </w:pPr>
          </w:p>
        </w:tc>
        <w:tc>
          <w:tcPr>
            <w:tcW w:w="1134" w:type="dxa"/>
            <w:tcMar>
              <w:left w:w="28" w:type="dxa"/>
              <w:right w:w="28" w:type="dxa"/>
            </w:tcMar>
            <w:vAlign w:val="center"/>
          </w:tcPr>
          <w:p>
            <w:pPr>
              <w:jc w:val="center"/>
              <w:rPr>
                <w:sz w:val="21"/>
                <w:szCs w:val="21"/>
              </w:rPr>
            </w:pPr>
          </w:p>
        </w:tc>
        <w:tc>
          <w:tcPr>
            <w:tcW w:w="3431" w:type="dxa"/>
            <w:tcMar>
              <w:left w:w="28" w:type="dxa"/>
              <w:right w:w="28" w:type="dxa"/>
            </w:tcMar>
            <w:vAlign w:val="center"/>
          </w:tcPr>
          <w:p>
            <w:pPr>
              <w:jc w:val="center"/>
              <w:rPr>
                <w:sz w:val="21"/>
                <w:szCs w:val="21"/>
              </w:rPr>
            </w:pPr>
            <w:r>
              <w:rPr>
                <w:rFonts w:hint="eastAsia"/>
                <w:sz w:val="21"/>
                <w:szCs w:val="21"/>
              </w:rPr>
              <w:t>沥青混凝土路面</w:t>
            </w:r>
          </w:p>
        </w:tc>
      </w:tr>
    </w:tbl>
    <w:p>
      <w:pPr>
        <w:pStyle w:val="5"/>
        <w:widowControl/>
        <w:ind w:left="567" w:hanging="567"/>
        <w:rPr>
          <w:rFonts w:hint="eastAsia"/>
          <w:u w:val="single"/>
        </w:rPr>
      </w:pPr>
      <w:bookmarkStart w:id="115" w:name="_Toc24224"/>
      <w:bookmarkStart w:id="116" w:name="_Toc408503554"/>
      <w:r>
        <w:rPr>
          <w:rFonts w:hint="eastAsia"/>
          <w:u w:val="single"/>
        </w:rPr>
        <w:t>项目主要原辅材料</w:t>
      </w:r>
    </w:p>
    <w:p>
      <w:pPr>
        <w:pStyle w:val="3"/>
        <w:ind w:firstLine="31680"/>
        <w:rPr>
          <w:u w:val="single"/>
        </w:rPr>
      </w:pPr>
      <w:r>
        <w:rPr>
          <w:rFonts w:hint="eastAsia"/>
          <w:u w:val="single"/>
        </w:rPr>
        <w:t>拟建工程主要</w:t>
      </w:r>
      <w:r>
        <w:rPr>
          <w:rFonts w:hint="eastAsia"/>
          <w:u w:val="single"/>
          <w:lang w:val="en-US" w:eastAsia="zh-CN"/>
        </w:rPr>
        <w:t>原辅材料</w:t>
      </w:r>
      <w:r>
        <w:rPr>
          <w:rFonts w:hint="eastAsia"/>
          <w:u w:val="single"/>
        </w:rPr>
        <w:t>详见表</w:t>
      </w:r>
      <w:r>
        <w:rPr>
          <w:u w:val="single"/>
        </w:rPr>
        <w:t>3.2-</w:t>
      </w:r>
      <w:r>
        <w:rPr>
          <w:rFonts w:hint="eastAsia"/>
          <w:u w:val="single"/>
          <w:lang w:val="en-US" w:eastAsia="zh-CN"/>
        </w:rPr>
        <w:t>3</w:t>
      </w:r>
      <w:r>
        <w:rPr>
          <w:rFonts w:hint="eastAsia"/>
          <w:u w:val="single"/>
        </w:rPr>
        <w:t>。</w:t>
      </w:r>
    </w:p>
    <w:p>
      <w:pPr>
        <w:pStyle w:val="19"/>
        <w:jc w:val="center"/>
        <w:rPr>
          <w:u w:val="single"/>
        </w:rPr>
      </w:pPr>
      <w:r>
        <w:rPr>
          <w:rFonts w:hint="eastAsia"/>
          <w:u w:val="single"/>
        </w:rPr>
        <w:t>表</w:t>
      </w:r>
      <w:r>
        <w:rPr>
          <w:u w:val="single"/>
        </w:rPr>
        <w:t>3.2-</w:t>
      </w:r>
      <w:r>
        <w:rPr>
          <w:rFonts w:hint="eastAsia"/>
          <w:u w:val="single"/>
          <w:lang w:val="en-US" w:eastAsia="zh-CN"/>
        </w:rPr>
        <w:t>3</w:t>
      </w:r>
      <w:r>
        <w:rPr>
          <w:u w:val="single"/>
        </w:rPr>
        <w:t xml:space="preserve">     </w:t>
      </w:r>
      <w:r>
        <w:rPr>
          <w:rFonts w:hint="eastAsia"/>
          <w:u w:val="single"/>
        </w:rPr>
        <w:t>本项目</w:t>
      </w:r>
      <w:r>
        <w:rPr>
          <w:rFonts w:hint="eastAsia"/>
          <w:u w:val="single"/>
          <w:lang w:val="en-US" w:eastAsia="zh-CN"/>
        </w:rPr>
        <w:t>消耗的原辅材料</w:t>
      </w:r>
    </w:p>
    <w:tbl>
      <w:tblPr>
        <w:tblStyle w:val="65"/>
        <w:tblW w:w="908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4"/>
        <w:gridCol w:w="2862"/>
        <w:gridCol w:w="888"/>
        <w:gridCol w:w="1433"/>
        <w:gridCol w:w="28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7"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序号</w:t>
            </w:r>
          </w:p>
        </w:tc>
        <w:tc>
          <w:tcPr>
            <w:tcW w:w="2862"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名称</w:t>
            </w:r>
          </w:p>
        </w:tc>
        <w:tc>
          <w:tcPr>
            <w:tcW w:w="888"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单位</w:t>
            </w:r>
          </w:p>
        </w:tc>
        <w:tc>
          <w:tcPr>
            <w:tcW w:w="143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数量</w:t>
            </w:r>
          </w:p>
        </w:tc>
        <w:tc>
          <w:tcPr>
            <w:tcW w:w="282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7"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1</w:t>
            </w:r>
          </w:p>
        </w:tc>
        <w:tc>
          <w:tcPr>
            <w:tcW w:w="2862"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商品混凝土拌料</w:t>
            </w:r>
          </w:p>
        </w:tc>
        <w:tc>
          <w:tcPr>
            <w:tcW w:w="888"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t</w:t>
            </w:r>
          </w:p>
        </w:tc>
        <w:tc>
          <w:tcPr>
            <w:tcW w:w="143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eastAsia="zh-CN"/>
              </w:rPr>
            </w:pPr>
            <w:r>
              <w:rPr>
                <w:rFonts w:hint="eastAsia"/>
                <w:kern w:val="0"/>
                <w:szCs w:val="21"/>
                <w:u w:val="single"/>
                <w:lang w:val="en-US" w:eastAsia="zh-CN"/>
              </w:rPr>
              <w:t>5493</w:t>
            </w:r>
          </w:p>
        </w:tc>
        <w:tc>
          <w:tcPr>
            <w:tcW w:w="282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eastAsia="zh-CN"/>
              </w:rPr>
            </w:pPr>
            <w:r>
              <w:rPr>
                <w:rFonts w:hint="eastAsia"/>
                <w:kern w:val="0"/>
                <w:szCs w:val="21"/>
                <w:u w:val="single"/>
                <w:lang w:val="en-US" w:eastAsia="zh-CN"/>
              </w:rPr>
              <w:t>采购成品混凝土拌料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7"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2</w:t>
            </w:r>
          </w:p>
        </w:tc>
        <w:tc>
          <w:tcPr>
            <w:tcW w:w="2862"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商品沥青拌料</w:t>
            </w:r>
          </w:p>
        </w:tc>
        <w:tc>
          <w:tcPr>
            <w:tcW w:w="888"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t</w:t>
            </w:r>
          </w:p>
        </w:tc>
        <w:tc>
          <w:tcPr>
            <w:tcW w:w="143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eastAsia="zh-CN"/>
              </w:rPr>
            </w:pPr>
            <w:r>
              <w:rPr>
                <w:rFonts w:hint="eastAsia"/>
                <w:kern w:val="0"/>
                <w:szCs w:val="21"/>
                <w:u w:val="single"/>
                <w:lang w:val="en-US" w:eastAsia="zh-CN"/>
              </w:rPr>
              <w:t>12275</w:t>
            </w:r>
          </w:p>
        </w:tc>
        <w:tc>
          <w:tcPr>
            <w:tcW w:w="282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供货商提供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7"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3</w:t>
            </w:r>
          </w:p>
        </w:tc>
        <w:tc>
          <w:tcPr>
            <w:tcW w:w="2862"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砂、砂砾</w:t>
            </w:r>
          </w:p>
        </w:tc>
        <w:tc>
          <w:tcPr>
            <w:tcW w:w="888"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m</w:t>
            </w:r>
            <w:r>
              <w:rPr>
                <w:kern w:val="0"/>
                <w:szCs w:val="21"/>
                <w:u w:val="single"/>
                <w:vertAlign w:val="superscript"/>
              </w:rPr>
              <w:t>3</w:t>
            </w:r>
          </w:p>
        </w:tc>
        <w:tc>
          <w:tcPr>
            <w:tcW w:w="143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eastAsia="zh-CN"/>
              </w:rPr>
            </w:pPr>
            <w:r>
              <w:rPr>
                <w:rFonts w:hint="eastAsia"/>
                <w:kern w:val="0"/>
                <w:szCs w:val="21"/>
                <w:u w:val="single"/>
                <w:lang w:val="en-US" w:eastAsia="zh-CN"/>
              </w:rPr>
              <w:t>22320</w:t>
            </w:r>
          </w:p>
        </w:tc>
        <w:tc>
          <w:tcPr>
            <w:tcW w:w="282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沙石场采购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7"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4</w:t>
            </w:r>
          </w:p>
        </w:tc>
        <w:tc>
          <w:tcPr>
            <w:tcW w:w="2862"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碎石</w:t>
            </w:r>
          </w:p>
        </w:tc>
        <w:tc>
          <w:tcPr>
            <w:tcW w:w="888"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m</w:t>
            </w:r>
            <w:r>
              <w:rPr>
                <w:kern w:val="0"/>
                <w:szCs w:val="21"/>
                <w:u w:val="single"/>
                <w:vertAlign w:val="superscript"/>
              </w:rPr>
              <w:t>3</w:t>
            </w:r>
          </w:p>
        </w:tc>
        <w:tc>
          <w:tcPr>
            <w:tcW w:w="143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eastAsia="zh-CN"/>
              </w:rPr>
            </w:pPr>
            <w:r>
              <w:rPr>
                <w:rFonts w:hint="eastAsia"/>
                <w:kern w:val="0"/>
                <w:szCs w:val="21"/>
                <w:u w:val="single"/>
                <w:lang w:val="en-US" w:eastAsia="zh-CN"/>
              </w:rPr>
              <w:t>45534</w:t>
            </w:r>
          </w:p>
        </w:tc>
        <w:tc>
          <w:tcPr>
            <w:tcW w:w="282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沙石场采购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7"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5</w:t>
            </w:r>
          </w:p>
        </w:tc>
        <w:tc>
          <w:tcPr>
            <w:tcW w:w="2862"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钢材</w:t>
            </w:r>
          </w:p>
        </w:tc>
        <w:tc>
          <w:tcPr>
            <w:tcW w:w="888"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t</w:t>
            </w:r>
          </w:p>
        </w:tc>
        <w:tc>
          <w:tcPr>
            <w:tcW w:w="143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eastAsia="zh-CN"/>
              </w:rPr>
            </w:pPr>
            <w:r>
              <w:rPr>
                <w:rFonts w:hint="eastAsia"/>
                <w:kern w:val="0"/>
                <w:szCs w:val="21"/>
                <w:u w:val="single"/>
                <w:lang w:val="en-US" w:eastAsia="zh-CN"/>
              </w:rPr>
              <w:t>2206</w:t>
            </w:r>
          </w:p>
        </w:tc>
        <w:tc>
          <w:tcPr>
            <w:tcW w:w="282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市场采购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7"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val="en-US" w:eastAsia="zh-CN"/>
              </w:rPr>
            </w:pPr>
            <w:r>
              <w:rPr>
                <w:rFonts w:hint="eastAsia"/>
                <w:kern w:val="0"/>
                <w:szCs w:val="21"/>
                <w:u w:val="single"/>
                <w:lang w:val="en-US" w:eastAsia="zh-CN"/>
              </w:rPr>
              <w:t>6</w:t>
            </w:r>
          </w:p>
        </w:tc>
        <w:tc>
          <w:tcPr>
            <w:tcW w:w="2862"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val="en-US" w:eastAsia="zh-CN"/>
              </w:rPr>
            </w:pPr>
            <w:r>
              <w:rPr>
                <w:rFonts w:hint="eastAsia"/>
                <w:kern w:val="0"/>
                <w:szCs w:val="21"/>
                <w:u w:val="single"/>
                <w:lang w:val="en-US" w:eastAsia="zh-CN"/>
              </w:rPr>
              <w:t>木材</w:t>
            </w:r>
          </w:p>
        </w:tc>
        <w:tc>
          <w:tcPr>
            <w:tcW w:w="888"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m</w:t>
            </w:r>
            <w:r>
              <w:rPr>
                <w:kern w:val="0"/>
                <w:szCs w:val="21"/>
                <w:u w:val="single"/>
                <w:vertAlign w:val="superscript"/>
              </w:rPr>
              <w:t>3</w:t>
            </w:r>
          </w:p>
        </w:tc>
        <w:tc>
          <w:tcPr>
            <w:tcW w:w="143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kern w:val="0"/>
                <w:szCs w:val="21"/>
                <w:u w:val="single"/>
                <w:lang w:val="en-US" w:eastAsia="zh-CN"/>
              </w:rPr>
            </w:pPr>
            <w:r>
              <w:rPr>
                <w:rFonts w:hint="eastAsia"/>
                <w:kern w:val="0"/>
                <w:szCs w:val="21"/>
                <w:u w:val="single"/>
                <w:lang w:val="en-US" w:eastAsia="zh-CN"/>
              </w:rPr>
              <w:t>2150</w:t>
            </w:r>
          </w:p>
        </w:tc>
        <w:tc>
          <w:tcPr>
            <w:tcW w:w="282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市场采购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7"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val="en-US" w:eastAsia="zh-CN"/>
              </w:rPr>
            </w:pPr>
            <w:r>
              <w:rPr>
                <w:rFonts w:hint="eastAsia"/>
                <w:kern w:val="0"/>
                <w:szCs w:val="21"/>
                <w:u w:val="single"/>
                <w:lang w:val="en-US" w:eastAsia="zh-CN"/>
              </w:rPr>
              <w:t>7</w:t>
            </w:r>
          </w:p>
        </w:tc>
        <w:tc>
          <w:tcPr>
            <w:tcW w:w="2862"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val="en-US" w:eastAsia="zh-CN"/>
              </w:rPr>
            </w:pPr>
            <w:r>
              <w:rPr>
                <w:rFonts w:hint="eastAsia"/>
                <w:kern w:val="0"/>
                <w:szCs w:val="21"/>
                <w:u w:val="single"/>
                <w:lang w:val="en-US" w:eastAsia="zh-CN"/>
              </w:rPr>
              <w:t>钢筋</w:t>
            </w:r>
          </w:p>
        </w:tc>
        <w:tc>
          <w:tcPr>
            <w:tcW w:w="888"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t</w:t>
            </w:r>
          </w:p>
        </w:tc>
        <w:tc>
          <w:tcPr>
            <w:tcW w:w="143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kern w:val="0"/>
                <w:szCs w:val="21"/>
                <w:u w:val="single"/>
                <w:lang w:val="en-US" w:eastAsia="zh-CN"/>
              </w:rPr>
            </w:pPr>
            <w:r>
              <w:rPr>
                <w:rFonts w:hint="eastAsia"/>
                <w:kern w:val="0"/>
                <w:szCs w:val="21"/>
                <w:u w:val="single"/>
                <w:lang w:val="en-US" w:eastAsia="zh-CN"/>
              </w:rPr>
              <w:t>2503</w:t>
            </w:r>
          </w:p>
        </w:tc>
        <w:tc>
          <w:tcPr>
            <w:tcW w:w="282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市场采购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val="en-US" w:eastAsia="zh-CN"/>
              </w:rPr>
            </w:pPr>
            <w:r>
              <w:rPr>
                <w:rFonts w:hint="eastAsia"/>
                <w:kern w:val="0"/>
                <w:szCs w:val="21"/>
                <w:u w:val="single"/>
                <w:lang w:val="en-US" w:eastAsia="zh-CN"/>
              </w:rPr>
              <w:t>8</w:t>
            </w:r>
          </w:p>
        </w:tc>
        <w:tc>
          <w:tcPr>
            <w:tcW w:w="2862"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eastAsia="宋体"/>
                <w:kern w:val="0"/>
                <w:szCs w:val="21"/>
                <w:u w:val="single"/>
                <w:lang w:val="en-US" w:eastAsia="zh-CN"/>
              </w:rPr>
            </w:pPr>
            <w:r>
              <w:rPr>
                <w:rFonts w:hint="eastAsia"/>
                <w:kern w:val="0"/>
                <w:szCs w:val="21"/>
                <w:u w:val="single"/>
                <w:lang w:val="en-US" w:eastAsia="zh-CN"/>
              </w:rPr>
              <w:t>钢绞线</w:t>
            </w:r>
          </w:p>
        </w:tc>
        <w:tc>
          <w:tcPr>
            <w:tcW w:w="888"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t</w:t>
            </w:r>
          </w:p>
        </w:tc>
        <w:tc>
          <w:tcPr>
            <w:tcW w:w="143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rFonts w:hint="eastAsia"/>
                <w:kern w:val="0"/>
                <w:szCs w:val="21"/>
                <w:u w:val="single"/>
                <w:lang w:val="en-US" w:eastAsia="zh-CN"/>
              </w:rPr>
            </w:pPr>
            <w:r>
              <w:rPr>
                <w:rFonts w:hint="eastAsia"/>
                <w:kern w:val="0"/>
                <w:szCs w:val="21"/>
                <w:u w:val="single"/>
                <w:lang w:val="en-US" w:eastAsia="zh-CN"/>
              </w:rPr>
              <w:t>1303</w:t>
            </w:r>
          </w:p>
        </w:tc>
        <w:tc>
          <w:tcPr>
            <w:tcW w:w="2823" w:type="dxa"/>
            <w:tcBorders>
              <w:top w:val="single" w:color="auto" w:sz="4" w:space="0"/>
              <w:left w:val="single" w:color="auto" w:sz="4" w:space="0"/>
              <w:bottom w:val="single" w:color="auto" w:sz="4" w:space="0"/>
              <w:right w:val="single" w:color="auto" w:sz="4" w:space="0"/>
            </w:tcBorders>
            <w:vAlign w:val="center"/>
          </w:tcPr>
          <w:p>
            <w:pPr>
              <w:tabs>
                <w:tab w:val="right" w:pos="9179"/>
              </w:tabs>
              <w:jc w:val="center"/>
              <w:rPr>
                <w:kern w:val="0"/>
                <w:szCs w:val="21"/>
                <w:u w:val="single"/>
              </w:rPr>
            </w:pPr>
            <w:r>
              <w:rPr>
                <w:kern w:val="0"/>
                <w:szCs w:val="21"/>
                <w:u w:val="single"/>
              </w:rPr>
              <w:t>市场采购</w:t>
            </w:r>
          </w:p>
        </w:tc>
      </w:tr>
    </w:tbl>
    <w:p>
      <w:pPr>
        <w:pStyle w:val="4"/>
        <w:ind w:left="426" w:hanging="426"/>
      </w:pPr>
      <w:r>
        <w:rPr>
          <w:rFonts w:hint="eastAsia"/>
        </w:rPr>
        <w:t>交通量预测</w:t>
      </w:r>
      <w:bookmarkEnd w:id="115"/>
      <w:bookmarkEnd w:id="116"/>
    </w:p>
    <w:p>
      <w:pPr>
        <w:pStyle w:val="5"/>
        <w:ind w:left="567" w:hanging="567"/>
      </w:pPr>
      <w:r>
        <w:rPr>
          <w:rFonts w:hint="eastAsia"/>
        </w:rPr>
        <w:t>车型分类标准</w:t>
      </w:r>
    </w:p>
    <w:p>
      <w:pPr>
        <w:pStyle w:val="3"/>
        <w:ind w:firstLine="31680"/>
      </w:pPr>
      <w:r>
        <w:rPr>
          <w:rFonts w:hint="eastAsia"/>
        </w:rPr>
        <w:t>根据《公路建设项目环境影响评价规范》（</w:t>
      </w:r>
      <w:r>
        <w:t>JTG B03-2006</w:t>
      </w:r>
      <w:r>
        <w:rPr>
          <w:rFonts w:hint="eastAsia"/>
        </w:rPr>
        <w:t>）的要求，将汽车车型分为大、中、小三种，车型分类标准见表</w:t>
      </w:r>
      <w:r>
        <w:t>3.4-1</w:t>
      </w:r>
      <w:r>
        <w:rPr>
          <w:rFonts w:hint="eastAsia"/>
        </w:rPr>
        <w:t>。</w:t>
      </w:r>
    </w:p>
    <w:p>
      <w:pPr>
        <w:pStyle w:val="19"/>
        <w:jc w:val="center"/>
      </w:pPr>
      <w:bookmarkStart w:id="117" w:name="_Ref373399635"/>
      <w:r>
        <w:rPr>
          <w:rFonts w:hint="eastAsia"/>
        </w:rPr>
        <w:t>表</w:t>
      </w:r>
      <w:r>
        <w:t xml:space="preserve">3.4-1   </w:t>
      </w:r>
      <w:r>
        <w:rPr>
          <w:rFonts w:hint="eastAsia"/>
        </w:rPr>
        <w:t>车型分类标准</w:t>
      </w:r>
      <w:bookmarkEnd w:id="117"/>
    </w:p>
    <w:tbl>
      <w:tblPr>
        <w:tblStyle w:val="6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3"/>
        <w:gridCol w:w="3317"/>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53" w:type="dxa"/>
            <w:vAlign w:val="center"/>
          </w:tcPr>
          <w:p>
            <w:pPr>
              <w:jc w:val="center"/>
              <w:rPr>
                <w:sz w:val="21"/>
                <w:szCs w:val="21"/>
              </w:rPr>
            </w:pPr>
            <w:r>
              <w:rPr>
                <w:rFonts w:hint="eastAsia"/>
                <w:sz w:val="21"/>
                <w:szCs w:val="21"/>
              </w:rPr>
              <w:t>车型</w:t>
            </w:r>
          </w:p>
        </w:tc>
        <w:tc>
          <w:tcPr>
            <w:tcW w:w="3317" w:type="dxa"/>
            <w:vAlign w:val="center"/>
          </w:tcPr>
          <w:p>
            <w:pPr>
              <w:jc w:val="center"/>
              <w:rPr>
                <w:sz w:val="21"/>
                <w:szCs w:val="21"/>
              </w:rPr>
            </w:pPr>
            <w:r>
              <w:rPr>
                <w:rFonts w:hint="eastAsia"/>
                <w:sz w:val="21"/>
                <w:szCs w:val="21"/>
              </w:rPr>
              <w:t>汽车总质量</w:t>
            </w:r>
          </w:p>
        </w:tc>
        <w:tc>
          <w:tcPr>
            <w:tcW w:w="3317" w:type="dxa"/>
            <w:vAlign w:val="center"/>
          </w:tcPr>
          <w:p>
            <w:pPr>
              <w:jc w:val="center"/>
              <w:rPr>
                <w:sz w:val="21"/>
                <w:szCs w:val="21"/>
              </w:rPr>
            </w:pPr>
            <w:r>
              <w:rPr>
                <w:rFonts w:hint="eastAsia"/>
                <w:sz w:val="21"/>
                <w:szCs w:val="21"/>
              </w:rPr>
              <w:t>主要汽车类型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53" w:type="dxa"/>
            <w:vAlign w:val="center"/>
          </w:tcPr>
          <w:p>
            <w:pPr>
              <w:jc w:val="center"/>
              <w:rPr>
                <w:sz w:val="21"/>
                <w:szCs w:val="21"/>
              </w:rPr>
            </w:pPr>
            <w:r>
              <w:rPr>
                <w:rFonts w:hint="eastAsia"/>
                <w:sz w:val="21"/>
                <w:szCs w:val="21"/>
              </w:rPr>
              <w:t>小型车（</w:t>
            </w:r>
            <w:r>
              <w:rPr>
                <w:sz w:val="21"/>
                <w:szCs w:val="21"/>
              </w:rPr>
              <w:t>s</w:t>
            </w:r>
            <w:r>
              <w:rPr>
                <w:rFonts w:hint="eastAsia"/>
                <w:sz w:val="21"/>
                <w:szCs w:val="21"/>
              </w:rPr>
              <w:t>）</w:t>
            </w:r>
          </w:p>
        </w:tc>
        <w:tc>
          <w:tcPr>
            <w:tcW w:w="3317" w:type="dxa"/>
            <w:vAlign w:val="center"/>
          </w:tcPr>
          <w:p>
            <w:pPr>
              <w:jc w:val="center"/>
              <w:rPr>
                <w:sz w:val="21"/>
                <w:szCs w:val="21"/>
              </w:rPr>
            </w:pPr>
            <w:r>
              <w:rPr>
                <w:sz w:val="21"/>
                <w:szCs w:val="21"/>
              </w:rPr>
              <w:t>3.5t</w:t>
            </w:r>
            <w:r>
              <w:rPr>
                <w:rFonts w:hint="eastAsia"/>
                <w:sz w:val="21"/>
                <w:szCs w:val="21"/>
              </w:rPr>
              <w:t>以下</w:t>
            </w:r>
          </w:p>
        </w:tc>
        <w:tc>
          <w:tcPr>
            <w:tcW w:w="3317" w:type="dxa"/>
            <w:vAlign w:val="center"/>
          </w:tcPr>
          <w:p>
            <w:pPr>
              <w:jc w:val="center"/>
              <w:rPr>
                <w:sz w:val="21"/>
                <w:szCs w:val="21"/>
              </w:rPr>
            </w:pPr>
            <w:r>
              <w:rPr>
                <w:rFonts w:hint="eastAsia"/>
                <w:sz w:val="21"/>
                <w:szCs w:val="21"/>
              </w:rPr>
              <w:t>中小型客车、小型货车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53" w:type="dxa"/>
            <w:vAlign w:val="center"/>
          </w:tcPr>
          <w:p>
            <w:pPr>
              <w:jc w:val="center"/>
              <w:rPr>
                <w:sz w:val="21"/>
                <w:szCs w:val="21"/>
              </w:rPr>
            </w:pPr>
            <w:r>
              <w:rPr>
                <w:rFonts w:hint="eastAsia"/>
                <w:sz w:val="21"/>
                <w:szCs w:val="21"/>
              </w:rPr>
              <w:t>中型车（</w:t>
            </w:r>
            <w:r>
              <w:rPr>
                <w:sz w:val="21"/>
                <w:szCs w:val="21"/>
              </w:rPr>
              <w:t>m</w:t>
            </w:r>
            <w:r>
              <w:rPr>
                <w:rFonts w:hint="eastAsia"/>
                <w:sz w:val="21"/>
                <w:szCs w:val="21"/>
              </w:rPr>
              <w:t>）</w:t>
            </w:r>
          </w:p>
        </w:tc>
        <w:tc>
          <w:tcPr>
            <w:tcW w:w="3317" w:type="dxa"/>
            <w:vAlign w:val="center"/>
          </w:tcPr>
          <w:p>
            <w:pPr>
              <w:jc w:val="center"/>
              <w:rPr>
                <w:sz w:val="21"/>
                <w:szCs w:val="21"/>
              </w:rPr>
            </w:pPr>
            <w:r>
              <w:rPr>
                <w:sz w:val="21"/>
                <w:szCs w:val="21"/>
              </w:rPr>
              <w:t>3.5t</w:t>
            </w:r>
            <w:r>
              <w:rPr>
                <w:rFonts w:hint="eastAsia"/>
                <w:sz w:val="21"/>
                <w:szCs w:val="21"/>
              </w:rPr>
              <w:t>以上～</w:t>
            </w:r>
            <w:r>
              <w:rPr>
                <w:sz w:val="21"/>
                <w:szCs w:val="21"/>
              </w:rPr>
              <w:t>12t</w:t>
            </w:r>
          </w:p>
        </w:tc>
        <w:tc>
          <w:tcPr>
            <w:tcW w:w="3317" w:type="dxa"/>
            <w:vAlign w:val="center"/>
          </w:tcPr>
          <w:p>
            <w:pPr>
              <w:jc w:val="center"/>
              <w:rPr>
                <w:sz w:val="21"/>
                <w:szCs w:val="21"/>
              </w:rPr>
            </w:pPr>
            <w:r>
              <w:rPr>
                <w:rFonts w:hint="eastAsia"/>
                <w:sz w:val="21"/>
                <w:szCs w:val="21"/>
              </w:rPr>
              <w:t>大客车、中型货车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53" w:type="dxa"/>
            <w:vAlign w:val="center"/>
          </w:tcPr>
          <w:p>
            <w:pPr>
              <w:jc w:val="center"/>
              <w:rPr>
                <w:sz w:val="21"/>
                <w:szCs w:val="21"/>
              </w:rPr>
            </w:pPr>
            <w:r>
              <w:rPr>
                <w:rFonts w:hint="eastAsia"/>
                <w:sz w:val="21"/>
                <w:szCs w:val="21"/>
              </w:rPr>
              <w:t>大型车（</w:t>
            </w:r>
            <w:r>
              <w:rPr>
                <w:sz w:val="21"/>
                <w:szCs w:val="21"/>
              </w:rPr>
              <w:t>L</w:t>
            </w:r>
            <w:r>
              <w:rPr>
                <w:rFonts w:hint="eastAsia"/>
                <w:sz w:val="21"/>
                <w:szCs w:val="21"/>
              </w:rPr>
              <w:t>）</w:t>
            </w:r>
          </w:p>
        </w:tc>
        <w:tc>
          <w:tcPr>
            <w:tcW w:w="3317" w:type="dxa"/>
            <w:vAlign w:val="center"/>
          </w:tcPr>
          <w:p>
            <w:pPr>
              <w:jc w:val="center"/>
              <w:rPr>
                <w:sz w:val="21"/>
                <w:szCs w:val="21"/>
              </w:rPr>
            </w:pPr>
            <w:r>
              <w:rPr>
                <w:sz w:val="21"/>
                <w:szCs w:val="21"/>
              </w:rPr>
              <w:t>12t</w:t>
            </w:r>
            <w:r>
              <w:rPr>
                <w:rFonts w:hint="eastAsia"/>
                <w:sz w:val="21"/>
                <w:szCs w:val="21"/>
              </w:rPr>
              <w:t>以上</w:t>
            </w:r>
          </w:p>
        </w:tc>
        <w:tc>
          <w:tcPr>
            <w:tcW w:w="3317" w:type="dxa"/>
            <w:vAlign w:val="center"/>
          </w:tcPr>
          <w:p>
            <w:pPr>
              <w:jc w:val="center"/>
              <w:rPr>
                <w:sz w:val="21"/>
                <w:szCs w:val="21"/>
              </w:rPr>
            </w:pPr>
            <w:r>
              <w:rPr>
                <w:rFonts w:hint="eastAsia"/>
                <w:sz w:val="21"/>
                <w:szCs w:val="21"/>
              </w:rPr>
              <w:t>大型货车、集装箱车、拖挂车</w:t>
            </w:r>
          </w:p>
        </w:tc>
      </w:tr>
    </w:tbl>
    <w:p>
      <w:pPr>
        <w:pStyle w:val="5"/>
        <w:ind w:left="567" w:hanging="567"/>
      </w:pPr>
      <w:r>
        <w:rPr>
          <w:rFonts w:hint="eastAsia"/>
        </w:rPr>
        <w:t>特征年交通量预测</w:t>
      </w:r>
    </w:p>
    <w:p>
      <w:pPr>
        <w:pStyle w:val="3"/>
        <w:ind w:firstLine="31680"/>
      </w:pPr>
      <w:r>
        <w:rPr>
          <w:rFonts w:hint="eastAsia"/>
        </w:rPr>
        <w:t>根据本工程工可报告，本工程营运期各预测年交通量预测结果参见</w:t>
      </w:r>
      <w:r>
        <w:rPr>
          <w:rFonts w:hint="eastAsia"/>
          <w:szCs w:val="24"/>
        </w:rPr>
        <w:t>表</w:t>
      </w:r>
      <w:r>
        <w:rPr>
          <w:szCs w:val="24"/>
        </w:rPr>
        <w:t>3.4-2</w:t>
      </w:r>
      <w:r>
        <w:rPr>
          <w:rFonts w:hint="eastAsia"/>
        </w:rPr>
        <w:t>；全路段车型构成预测结果见</w:t>
      </w:r>
      <w:r>
        <w:rPr>
          <w:rFonts w:hint="eastAsia"/>
          <w:szCs w:val="24"/>
        </w:rPr>
        <w:t>表</w:t>
      </w:r>
      <w:r>
        <w:rPr>
          <w:szCs w:val="24"/>
        </w:rPr>
        <w:t>3.4-3</w:t>
      </w:r>
      <w:r>
        <w:rPr>
          <w:rFonts w:hint="eastAsia"/>
        </w:rPr>
        <w:t>。</w:t>
      </w:r>
    </w:p>
    <w:p>
      <w:pPr>
        <w:pStyle w:val="3"/>
        <w:ind w:firstLine="31680"/>
      </w:pPr>
      <w:r>
        <w:rPr>
          <w:rFonts w:hint="eastAsia"/>
        </w:rPr>
        <w:t>昼间、夜间的划分按北京时间划分为昼间</w:t>
      </w:r>
      <w:r>
        <w:t>16h</w:t>
      </w:r>
      <w:r>
        <w:rPr>
          <w:rFonts w:hint="eastAsia"/>
        </w:rPr>
        <w:t>，即北京时间</w:t>
      </w:r>
      <w:r>
        <w:t>6</w:t>
      </w:r>
      <w:r>
        <w:rPr>
          <w:rFonts w:hint="eastAsia"/>
        </w:rPr>
        <w:t>∶</w:t>
      </w:r>
      <w:r>
        <w:t>00~22</w:t>
      </w:r>
      <w:r>
        <w:rPr>
          <w:rFonts w:hint="eastAsia"/>
        </w:rPr>
        <w:t>∶</w:t>
      </w:r>
      <w:r>
        <w:t>00</w:t>
      </w:r>
      <w:r>
        <w:rPr>
          <w:rFonts w:hint="eastAsia"/>
        </w:rPr>
        <w:t>；夜间</w:t>
      </w:r>
      <w:r>
        <w:t>8h</w:t>
      </w:r>
      <w:r>
        <w:rPr>
          <w:rFonts w:hint="eastAsia"/>
        </w:rPr>
        <w:t>，即北京时间</w:t>
      </w:r>
      <w:r>
        <w:t>22</w:t>
      </w:r>
      <w:r>
        <w:rPr>
          <w:rFonts w:hint="eastAsia"/>
        </w:rPr>
        <w:t>∶</w:t>
      </w:r>
      <w:r>
        <w:t>00~</w:t>
      </w:r>
      <w:r>
        <w:rPr>
          <w:rFonts w:hint="eastAsia"/>
        </w:rPr>
        <w:t>次日</w:t>
      </w:r>
      <w:r>
        <w:t>6</w:t>
      </w:r>
      <w:r>
        <w:rPr>
          <w:rFonts w:hint="eastAsia"/>
        </w:rPr>
        <w:t>∶</w:t>
      </w:r>
      <w:r>
        <w:t>00</w:t>
      </w:r>
      <w:r>
        <w:rPr>
          <w:rFonts w:hint="eastAsia"/>
        </w:rPr>
        <w:t>。区域昼夜车流量比为</w:t>
      </w:r>
      <w:r>
        <w:t>9:1</w:t>
      </w:r>
      <w:r>
        <w:rPr>
          <w:rFonts w:hint="eastAsia"/>
        </w:rPr>
        <w:t>，昼夜小时车流量见表</w:t>
      </w:r>
      <w:r>
        <w:t>3.4-4</w:t>
      </w:r>
      <w:r>
        <w:rPr>
          <w:rFonts w:hint="eastAsia"/>
        </w:rPr>
        <w:t>。</w:t>
      </w:r>
    </w:p>
    <w:p>
      <w:pPr>
        <w:widowControl/>
        <w:jc w:val="left"/>
        <w:rPr>
          <w:kern w:val="0"/>
          <w:sz w:val="24"/>
        </w:rPr>
      </w:pPr>
      <w:r>
        <w:br w:type="page"/>
      </w:r>
    </w:p>
    <w:p>
      <w:pPr>
        <w:pStyle w:val="19"/>
        <w:jc w:val="center"/>
      </w:pPr>
      <w:r>
        <w:rPr>
          <w:rFonts w:hint="eastAsia"/>
        </w:rPr>
        <w:t>表</w:t>
      </w:r>
      <w:r>
        <w:t xml:space="preserve">3.4-2  </w:t>
      </w:r>
      <w:r>
        <w:rPr>
          <w:rFonts w:hint="eastAsia"/>
        </w:rPr>
        <w:t>各特征年交通量预测结果</w:t>
      </w:r>
      <w:r>
        <w:t xml:space="preserve">     </w:t>
      </w:r>
      <w:r>
        <w:rPr>
          <w:rFonts w:hint="eastAsia"/>
        </w:rPr>
        <w:t>单位：</w:t>
      </w:r>
      <w:r>
        <w:t>pcu/d</w:t>
      </w:r>
    </w:p>
    <w:tbl>
      <w:tblPr>
        <w:tblStyle w:val="65"/>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11"/>
        <w:gridCol w:w="2126"/>
        <w:gridCol w:w="2268"/>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411" w:type="dxa"/>
            <w:vMerge w:val="restart"/>
            <w:tcMar>
              <w:top w:w="15" w:type="dxa"/>
              <w:left w:w="15" w:type="dxa"/>
              <w:bottom w:w="0" w:type="dxa"/>
              <w:right w:w="15" w:type="dxa"/>
            </w:tcMar>
            <w:vAlign w:val="center"/>
          </w:tcPr>
          <w:p>
            <w:pPr>
              <w:spacing w:beforeLines="20" w:afterLines="20"/>
              <w:jc w:val="center"/>
              <w:rPr>
                <w:sz w:val="21"/>
                <w:szCs w:val="21"/>
              </w:rPr>
            </w:pPr>
            <w:r>
              <w:rPr>
                <w:rFonts w:hint="eastAsia" w:hAnsi="宋体"/>
                <w:sz w:val="21"/>
                <w:szCs w:val="21"/>
              </w:rPr>
              <w:t>路段</w:t>
            </w:r>
          </w:p>
        </w:tc>
        <w:tc>
          <w:tcPr>
            <w:tcW w:w="6661" w:type="dxa"/>
            <w:gridSpan w:val="3"/>
            <w:tcMar>
              <w:top w:w="15" w:type="dxa"/>
              <w:left w:w="15" w:type="dxa"/>
              <w:bottom w:w="0" w:type="dxa"/>
              <w:right w:w="15" w:type="dxa"/>
            </w:tcMar>
            <w:vAlign w:val="center"/>
          </w:tcPr>
          <w:p>
            <w:pPr>
              <w:spacing w:beforeLines="20" w:afterLines="20"/>
              <w:jc w:val="center"/>
              <w:rPr>
                <w:sz w:val="21"/>
                <w:szCs w:val="21"/>
              </w:rPr>
            </w:pPr>
            <w:r>
              <w:rPr>
                <w:rFonts w:hint="eastAsia" w:hAnsi="宋体"/>
                <w:sz w:val="21"/>
                <w:szCs w:val="21"/>
              </w:rPr>
              <w:t>预测年交通量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411" w:type="dxa"/>
            <w:vMerge w:val="continue"/>
            <w:tcMar>
              <w:top w:w="15" w:type="dxa"/>
              <w:left w:w="15" w:type="dxa"/>
              <w:bottom w:w="0" w:type="dxa"/>
              <w:right w:w="15" w:type="dxa"/>
            </w:tcMar>
            <w:vAlign w:val="center"/>
          </w:tcPr>
          <w:p>
            <w:pPr>
              <w:spacing w:beforeLines="20" w:afterLines="20"/>
              <w:jc w:val="center"/>
              <w:rPr>
                <w:sz w:val="21"/>
                <w:szCs w:val="21"/>
              </w:rPr>
            </w:pPr>
          </w:p>
        </w:tc>
        <w:tc>
          <w:tcPr>
            <w:tcW w:w="2126" w:type="dxa"/>
            <w:tcMar>
              <w:top w:w="15" w:type="dxa"/>
              <w:left w:w="15" w:type="dxa"/>
              <w:bottom w:w="0" w:type="dxa"/>
              <w:right w:w="15" w:type="dxa"/>
            </w:tcMar>
            <w:vAlign w:val="center"/>
          </w:tcPr>
          <w:p>
            <w:pPr>
              <w:spacing w:beforeLines="20" w:afterLines="20"/>
              <w:jc w:val="center"/>
              <w:rPr>
                <w:sz w:val="21"/>
                <w:szCs w:val="21"/>
              </w:rPr>
            </w:pPr>
            <w:r>
              <w:rPr>
                <w:sz w:val="21"/>
                <w:szCs w:val="21"/>
              </w:rPr>
              <w:t>2019</w:t>
            </w:r>
            <w:r>
              <w:rPr>
                <w:rFonts w:hint="eastAsia" w:hAnsi="宋体"/>
                <w:sz w:val="21"/>
                <w:szCs w:val="21"/>
              </w:rPr>
              <w:t>年（运营第</w:t>
            </w:r>
            <w:r>
              <w:rPr>
                <w:rFonts w:hAnsi="宋体"/>
                <w:sz w:val="21"/>
                <w:szCs w:val="21"/>
              </w:rPr>
              <w:t>1</w:t>
            </w:r>
            <w:r>
              <w:rPr>
                <w:rFonts w:hint="eastAsia" w:hAnsi="宋体"/>
                <w:sz w:val="21"/>
                <w:szCs w:val="21"/>
              </w:rPr>
              <w:t>年）</w:t>
            </w:r>
          </w:p>
        </w:tc>
        <w:tc>
          <w:tcPr>
            <w:tcW w:w="2268" w:type="dxa"/>
            <w:vAlign w:val="center"/>
          </w:tcPr>
          <w:p>
            <w:pPr>
              <w:spacing w:beforeLines="20" w:afterLines="20"/>
              <w:jc w:val="center"/>
              <w:rPr>
                <w:sz w:val="21"/>
                <w:szCs w:val="21"/>
              </w:rPr>
            </w:pPr>
            <w:r>
              <w:rPr>
                <w:sz w:val="21"/>
                <w:szCs w:val="21"/>
              </w:rPr>
              <w:t>2025</w:t>
            </w:r>
            <w:r>
              <w:rPr>
                <w:rFonts w:hint="eastAsia" w:hAnsi="宋体"/>
                <w:sz w:val="21"/>
                <w:szCs w:val="21"/>
              </w:rPr>
              <w:t>年（运营第</w:t>
            </w:r>
            <w:r>
              <w:rPr>
                <w:rFonts w:hAnsi="宋体"/>
                <w:sz w:val="21"/>
                <w:szCs w:val="21"/>
              </w:rPr>
              <w:t>7</w:t>
            </w:r>
            <w:r>
              <w:rPr>
                <w:rFonts w:hint="eastAsia" w:hAnsi="宋体"/>
                <w:sz w:val="21"/>
                <w:szCs w:val="21"/>
              </w:rPr>
              <w:t>年）</w:t>
            </w:r>
          </w:p>
        </w:tc>
        <w:tc>
          <w:tcPr>
            <w:tcW w:w="2267" w:type="dxa"/>
            <w:tcMar>
              <w:top w:w="15" w:type="dxa"/>
              <w:left w:w="15" w:type="dxa"/>
              <w:bottom w:w="0" w:type="dxa"/>
              <w:right w:w="15" w:type="dxa"/>
            </w:tcMar>
            <w:vAlign w:val="center"/>
          </w:tcPr>
          <w:p>
            <w:pPr>
              <w:spacing w:beforeLines="20" w:afterLines="20"/>
              <w:jc w:val="center"/>
              <w:rPr>
                <w:sz w:val="21"/>
                <w:szCs w:val="21"/>
              </w:rPr>
            </w:pPr>
            <w:r>
              <w:rPr>
                <w:sz w:val="21"/>
                <w:szCs w:val="21"/>
              </w:rPr>
              <w:t>2033</w:t>
            </w:r>
            <w:r>
              <w:rPr>
                <w:rFonts w:hint="eastAsia" w:hAnsi="宋体"/>
                <w:sz w:val="21"/>
                <w:szCs w:val="21"/>
              </w:rPr>
              <w:t>年（运营第</w:t>
            </w:r>
            <w:r>
              <w:rPr>
                <w:rFonts w:hAnsi="宋体"/>
                <w:sz w:val="21"/>
                <w:szCs w:val="21"/>
              </w:rPr>
              <w:t>15</w:t>
            </w:r>
            <w:r>
              <w:rPr>
                <w:rFonts w:hint="eastAsia" w:hAnsi="宋体"/>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411" w:type="dxa"/>
            <w:tcMar>
              <w:top w:w="15" w:type="dxa"/>
              <w:left w:w="15" w:type="dxa"/>
              <w:bottom w:w="0" w:type="dxa"/>
              <w:right w:w="15" w:type="dxa"/>
            </w:tcMar>
            <w:vAlign w:val="center"/>
          </w:tcPr>
          <w:p>
            <w:pPr>
              <w:jc w:val="center"/>
              <w:rPr>
                <w:rFonts w:hAnsi="宋体"/>
                <w:sz w:val="21"/>
                <w:szCs w:val="21"/>
              </w:rPr>
            </w:pPr>
            <w:r>
              <w:rPr>
                <w:rFonts w:hint="eastAsia" w:hAnsi="宋体"/>
                <w:sz w:val="21"/>
                <w:szCs w:val="21"/>
              </w:rPr>
              <w:t>全线</w:t>
            </w:r>
          </w:p>
        </w:tc>
        <w:tc>
          <w:tcPr>
            <w:tcW w:w="2126" w:type="dxa"/>
            <w:tcMar>
              <w:top w:w="15" w:type="dxa"/>
              <w:left w:w="15" w:type="dxa"/>
              <w:bottom w:w="0" w:type="dxa"/>
              <w:right w:w="15" w:type="dxa"/>
            </w:tcMar>
            <w:vAlign w:val="center"/>
          </w:tcPr>
          <w:p>
            <w:pPr>
              <w:autoSpaceDE w:val="0"/>
              <w:autoSpaceDN w:val="0"/>
              <w:jc w:val="center"/>
              <w:rPr>
                <w:sz w:val="21"/>
                <w:szCs w:val="21"/>
              </w:rPr>
            </w:pPr>
            <w:r>
              <w:rPr>
                <w:sz w:val="21"/>
                <w:szCs w:val="21"/>
              </w:rPr>
              <w:t>3676</w:t>
            </w:r>
          </w:p>
        </w:tc>
        <w:tc>
          <w:tcPr>
            <w:tcW w:w="2268" w:type="dxa"/>
            <w:vAlign w:val="center"/>
          </w:tcPr>
          <w:p>
            <w:pPr>
              <w:autoSpaceDE w:val="0"/>
              <w:autoSpaceDN w:val="0"/>
              <w:jc w:val="center"/>
              <w:rPr>
                <w:sz w:val="21"/>
                <w:szCs w:val="21"/>
              </w:rPr>
            </w:pPr>
            <w:r>
              <w:rPr>
                <w:sz w:val="21"/>
                <w:szCs w:val="21"/>
              </w:rPr>
              <w:t>5415</w:t>
            </w:r>
          </w:p>
        </w:tc>
        <w:tc>
          <w:tcPr>
            <w:tcW w:w="2267" w:type="dxa"/>
            <w:tcMar>
              <w:top w:w="15" w:type="dxa"/>
              <w:left w:w="15" w:type="dxa"/>
              <w:bottom w:w="0" w:type="dxa"/>
              <w:right w:w="15" w:type="dxa"/>
            </w:tcMar>
            <w:vAlign w:val="center"/>
          </w:tcPr>
          <w:p>
            <w:pPr>
              <w:autoSpaceDE w:val="0"/>
              <w:autoSpaceDN w:val="0"/>
              <w:jc w:val="center"/>
              <w:rPr>
                <w:sz w:val="21"/>
                <w:szCs w:val="21"/>
              </w:rPr>
            </w:pPr>
            <w:r>
              <w:rPr>
                <w:sz w:val="21"/>
                <w:szCs w:val="21"/>
              </w:rPr>
              <w:t>7540</w:t>
            </w:r>
          </w:p>
        </w:tc>
      </w:tr>
    </w:tbl>
    <w:p>
      <w:pPr>
        <w:pStyle w:val="19"/>
        <w:jc w:val="center"/>
      </w:pPr>
      <w:bookmarkStart w:id="118" w:name="_Ref401502252"/>
      <w:r>
        <w:rPr>
          <w:rFonts w:hint="eastAsia"/>
        </w:rPr>
        <w:t>表</w:t>
      </w:r>
      <w:r>
        <w:t>3.4-</w:t>
      </w:r>
      <w:bookmarkEnd w:id="118"/>
      <w:r>
        <w:t xml:space="preserve">3     </w:t>
      </w:r>
      <w:r>
        <w:rPr>
          <w:rFonts w:hint="eastAsia"/>
        </w:rPr>
        <w:t>车型构成预测表</w:t>
      </w:r>
      <w:r>
        <w:t xml:space="preserve">      </w:t>
      </w:r>
      <w:r>
        <w:rPr>
          <w:rFonts w:hint="eastAsia"/>
        </w:rPr>
        <w:t>单位：</w:t>
      </w:r>
      <w:r>
        <w:t>%</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487"/>
        <w:gridCol w:w="1487"/>
        <w:gridCol w:w="1486"/>
        <w:gridCol w:w="1486"/>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740" w:type="dxa"/>
            <w:vAlign w:val="center"/>
          </w:tcPr>
          <w:p>
            <w:pPr>
              <w:pStyle w:val="112"/>
              <w:rPr>
                <w:kern w:val="2"/>
              </w:rPr>
            </w:pPr>
            <w:bookmarkStart w:id="119" w:name="_Ref401502304"/>
            <w:r>
              <w:rPr>
                <w:rFonts w:hint="eastAsia"/>
                <w:kern w:val="2"/>
              </w:rPr>
              <w:t>路段</w:t>
            </w:r>
          </w:p>
        </w:tc>
        <w:tc>
          <w:tcPr>
            <w:tcW w:w="1487" w:type="dxa"/>
            <w:vAlign w:val="center"/>
          </w:tcPr>
          <w:p>
            <w:pPr>
              <w:pStyle w:val="112"/>
              <w:rPr>
                <w:kern w:val="2"/>
              </w:rPr>
            </w:pPr>
            <w:r>
              <w:rPr>
                <w:rFonts w:hint="eastAsia"/>
                <w:kern w:val="2"/>
              </w:rPr>
              <w:t>预测水平年</w:t>
            </w:r>
          </w:p>
        </w:tc>
        <w:tc>
          <w:tcPr>
            <w:tcW w:w="1487" w:type="dxa"/>
            <w:vAlign w:val="center"/>
          </w:tcPr>
          <w:p>
            <w:pPr>
              <w:pStyle w:val="112"/>
              <w:rPr>
                <w:kern w:val="2"/>
              </w:rPr>
            </w:pPr>
            <w:r>
              <w:rPr>
                <w:rFonts w:hint="eastAsia"/>
                <w:kern w:val="2"/>
              </w:rPr>
              <w:t>小型车</w:t>
            </w:r>
          </w:p>
        </w:tc>
        <w:tc>
          <w:tcPr>
            <w:tcW w:w="1486" w:type="dxa"/>
            <w:vAlign w:val="center"/>
          </w:tcPr>
          <w:p>
            <w:pPr>
              <w:pStyle w:val="112"/>
              <w:rPr>
                <w:kern w:val="2"/>
              </w:rPr>
            </w:pPr>
            <w:r>
              <w:rPr>
                <w:rFonts w:hint="eastAsia"/>
                <w:kern w:val="2"/>
              </w:rPr>
              <w:t>中型车</w:t>
            </w:r>
          </w:p>
        </w:tc>
        <w:tc>
          <w:tcPr>
            <w:tcW w:w="1486" w:type="dxa"/>
            <w:vAlign w:val="center"/>
          </w:tcPr>
          <w:p>
            <w:pPr>
              <w:pStyle w:val="112"/>
              <w:rPr>
                <w:kern w:val="2"/>
              </w:rPr>
            </w:pPr>
            <w:r>
              <w:rPr>
                <w:rFonts w:hint="eastAsia"/>
                <w:kern w:val="2"/>
              </w:rPr>
              <w:t>大型车</w:t>
            </w:r>
          </w:p>
        </w:tc>
        <w:tc>
          <w:tcPr>
            <w:tcW w:w="1488" w:type="dxa"/>
            <w:vAlign w:val="center"/>
          </w:tcPr>
          <w:p>
            <w:pPr>
              <w:pStyle w:val="112"/>
              <w:rPr>
                <w:kern w:val="2"/>
              </w:rPr>
            </w:pPr>
            <w:r>
              <w:rPr>
                <w:rFonts w:hint="eastAsia"/>
                <w:kern w:val="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40" w:type="dxa"/>
            <w:vMerge w:val="restart"/>
            <w:vAlign w:val="center"/>
          </w:tcPr>
          <w:p>
            <w:pPr>
              <w:pStyle w:val="112"/>
              <w:rPr>
                <w:kern w:val="2"/>
              </w:rPr>
            </w:pPr>
            <w:r>
              <w:rPr>
                <w:rFonts w:hint="eastAsia"/>
                <w:kern w:val="2"/>
              </w:rPr>
              <w:t>全线</w:t>
            </w:r>
          </w:p>
        </w:tc>
        <w:tc>
          <w:tcPr>
            <w:tcW w:w="1487" w:type="dxa"/>
            <w:vAlign w:val="center"/>
          </w:tcPr>
          <w:p>
            <w:pPr>
              <w:pStyle w:val="112"/>
              <w:rPr>
                <w:kern w:val="2"/>
              </w:rPr>
            </w:pPr>
            <w:r>
              <w:rPr>
                <w:kern w:val="2"/>
              </w:rPr>
              <w:t>2019</w:t>
            </w:r>
          </w:p>
        </w:tc>
        <w:tc>
          <w:tcPr>
            <w:tcW w:w="1487" w:type="dxa"/>
            <w:vAlign w:val="center"/>
          </w:tcPr>
          <w:p>
            <w:pPr>
              <w:pStyle w:val="112"/>
              <w:rPr>
                <w:rFonts w:ascii="宋体" w:cs="宋体"/>
                <w:kern w:val="2"/>
              </w:rPr>
            </w:pPr>
            <w:r>
              <w:rPr>
                <w:kern w:val="2"/>
              </w:rPr>
              <w:t>96</w:t>
            </w:r>
          </w:p>
        </w:tc>
        <w:tc>
          <w:tcPr>
            <w:tcW w:w="1486" w:type="dxa"/>
            <w:vAlign w:val="center"/>
          </w:tcPr>
          <w:p>
            <w:pPr>
              <w:pStyle w:val="112"/>
              <w:rPr>
                <w:rFonts w:ascii="宋体" w:cs="宋体"/>
                <w:kern w:val="2"/>
              </w:rPr>
            </w:pPr>
            <w:r>
              <w:rPr>
                <w:kern w:val="2"/>
              </w:rPr>
              <w:t>2.21</w:t>
            </w:r>
          </w:p>
        </w:tc>
        <w:tc>
          <w:tcPr>
            <w:tcW w:w="1486" w:type="dxa"/>
            <w:vAlign w:val="center"/>
          </w:tcPr>
          <w:p>
            <w:pPr>
              <w:pStyle w:val="112"/>
              <w:rPr>
                <w:rFonts w:ascii="宋体" w:cs="宋体"/>
                <w:kern w:val="2"/>
              </w:rPr>
            </w:pPr>
            <w:r>
              <w:rPr>
                <w:kern w:val="2"/>
              </w:rPr>
              <w:t>1.79</w:t>
            </w:r>
          </w:p>
        </w:tc>
        <w:tc>
          <w:tcPr>
            <w:tcW w:w="1488" w:type="dxa"/>
            <w:vAlign w:val="center"/>
          </w:tcPr>
          <w:p>
            <w:pPr>
              <w:pStyle w:val="112"/>
              <w:rPr>
                <w:kern w:val="2"/>
              </w:rPr>
            </w:pPr>
            <w:r>
              <w:rPr>
                <w:kern w:val="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40" w:type="dxa"/>
            <w:vMerge w:val="continue"/>
            <w:vAlign w:val="center"/>
          </w:tcPr>
          <w:p>
            <w:pPr>
              <w:pStyle w:val="112"/>
              <w:rPr>
                <w:kern w:val="2"/>
              </w:rPr>
            </w:pPr>
          </w:p>
        </w:tc>
        <w:tc>
          <w:tcPr>
            <w:tcW w:w="1487" w:type="dxa"/>
            <w:vAlign w:val="center"/>
          </w:tcPr>
          <w:p>
            <w:pPr>
              <w:pStyle w:val="112"/>
              <w:rPr>
                <w:kern w:val="2"/>
              </w:rPr>
            </w:pPr>
            <w:r>
              <w:rPr>
                <w:kern w:val="2"/>
              </w:rPr>
              <w:t>2025</w:t>
            </w:r>
          </w:p>
        </w:tc>
        <w:tc>
          <w:tcPr>
            <w:tcW w:w="1487" w:type="dxa"/>
            <w:vAlign w:val="center"/>
          </w:tcPr>
          <w:p>
            <w:pPr>
              <w:pStyle w:val="112"/>
              <w:rPr>
                <w:rFonts w:ascii="宋体" w:cs="宋体"/>
                <w:kern w:val="2"/>
              </w:rPr>
            </w:pPr>
            <w:r>
              <w:rPr>
                <w:kern w:val="2"/>
              </w:rPr>
              <w:t>96.05</w:t>
            </w:r>
          </w:p>
        </w:tc>
        <w:tc>
          <w:tcPr>
            <w:tcW w:w="1486" w:type="dxa"/>
            <w:vAlign w:val="center"/>
          </w:tcPr>
          <w:p>
            <w:pPr>
              <w:pStyle w:val="112"/>
              <w:rPr>
                <w:rFonts w:ascii="宋体" w:cs="宋体"/>
                <w:kern w:val="2"/>
              </w:rPr>
            </w:pPr>
            <w:r>
              <w:rPr>
                <w:kern w:val="2"/>
              </w:rPr>
              <w:t>2.19</w:t>
            </w:r>
          </w:p>
        </w:tc>
        <w:tc>
          <w:tcPr>
            <w:tcW w:w="1486" w:type="dxa"/>
            <w:vAlign w:val="center"/>
          </w:tcPr>
          <w:p>
            <w:pPr>
              <w:pStyle w:val="112"/>
              <w:rPr>
                <w:rFonts w:ascii="宋体" w:cs="宋体"/>
                <w:kern w:val="2"/>
              </w:rPr>
            </w:pPr>
            <w:r>
              <w:rPr>
                <w:kern w:val="2"/>
              </w:rPr>
              <w:t>1.76</w:t>
            </w:r>
          </w:p>
        </w:tc>
        <w:tc>
          <w:tcPr>
            <w:tcW w:w="1488" w:type="dxa"/>
            <w:vAlign w:val="center"/>
          </w:tcPr>
          <w:p>
            <w:pPr>
              <w:pStyle w:val="112"/>
              <w:rPr>
                <w:kern w:val="2"/>
              </w:rPr>
            </w:pPr>
            <w:r>
              <w:rPr>
                <w:kern w:val="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40" w:type="dxa"/>
            <w:vMerge w:val="continue"/>
            <w:vAlign w:val="center"/>
          </w:tcPr>
          <w:p>
            <w:pPr>
              <w:pStyle w:val="112"/>
              <w:rPr>
                <w:kern w:val="2"/>
              </w:rPr>
            </w:pPr>
          </w:p>
        </w:tc>
        <w:tc>
          <w:tcPr>
            <w:tcW w:w="1487" w:type="dxa"/>
            <w:vAlign w:val="center"/>
          </w:tcPr>
          <w:p>
            <w:pPr>
              <w:pStyle w:val="112"/>
              <w:rPr>
                <w:kern w:val="2"/>
              </w:rPr>
            </w:pPr>
            <w:r>
              <w:rPr>
                <w:kern w:val="2"/>
              </w:rPr>
              <w:t>2033</w:t>
            </w:r>
          </w:p>
        </w:tc>
        <w:tc>
          <w:tcPr>
            <w:tcW w:w="1487" w:type="dxa"/>
            <w:vAlign w:val="center"/>
          </w:tcPr>
          <w:p>
            <w:pPr>
              <w:pStyle w:val="112"/>
              <w:rPr>
                <w:rFonts w:ascii="宋体" w:cs="宋体"/>
                <w:kern w:val="2"/>
              </w:rPr>
            </w:pPr>
            <w:r>
              <w:rPr>
                <w:kern w:val="2"/>
              </w:rPr>
              <w:t>96.27</w:t>
            </w:r>
          </w:p>
        </w:tc>
        <w:tc>
          <w:tcPr>
            <w:tcW w:w="1486" w:type="dxa"/>
            <w:vAlign w:val="center"/>
          </w:tcPr>
          <w:p>
            <w:pPr>
              <w:pStyle w:val="112"/>
              <w:rPr>
                <w:rFonts w:ascii="宋体" w:cs="宋体"/>
                <w:kern w:val="2"/>
              </w:rPr>
            </w:pPr>
            <w:r>
              <w:rPr>
                <w:kern w:val="2"/>
              </w:rPr>
              <w:t>1.97</w:t>
            </w:r>
          </w:p>
        </w:tc>
        <w:tc>
          <w:tcPr>
            <w:tcW w:w="1486" w:type="dxa"/>
            <w:vAlign w:val="center"/>
          </w:tcPr>
          <w:p>
            <w:pPr>
              <w:pStyle w:val="112"/>
              <w:rPr>
                <w:rFonts w:ascii="宋体" w:cs="宋体"/>
                <w:kern w:val="2"/>
              </w:rPr>
            </w:pPr>
            <w:r>
              <w:rPr>
                <w:kern w:val="2"/>
              </w:rPr>
              <w:t>1.76</w:t>
            </w:r>
          </w:p>
        </w:tc>
        <w:tc>
          <w:tcPr>
            <w:tcW w:w="1488" w:type="dxa"/>
            <w:vAlign w:val="center"/>
          </w:tcPr>
          <w:p>
            <w:pPr>
              <w:pStyle w:val="112"/>
              <w:rPr>
                <w:kern w:val="2"/>
              </w:rPr>
            </w:pPr>
            <w:r>
              <w:rPr>
                <w:kern w:val="2"/>
              </w:rPr>
              <w:t>100</w:t>
            </w:r>
          </w:p>
        </w:tc>
      </w:tr>
    </w:tbl>
    <w:p>
      <w:pPr>
        <w:pStyle w:val="19"/>
        <w:jc w:val="center"/>
      </w:pPr>
      <w:r>
        <w:rPr>
          <w:rFonts w:hint="eastAsia"/>
        </w:rPr>
        <w:t>表</w:t>
      </w:r>
      <w:r>
        <w:t xml:space="preserve"> 3.4-</w:t>
      </w:r>
      <w:bookmarkEnd w:id="119"/>
      <w:r>
        <w:t>4</w:t>
      </w:r>
      <w:r>
        <w:tab/>
      </w:r>
      <w:r>
        <w:rPr>
          <w:rFonts w:hint="eastAsia"/>
        </w:rPr>
        <w:t>各特征年昼夜交通量预测</w:t>
      </w:r>
      <w:r>
        <w:t xml:space="preserve">    </w:t>
      </w:r>
      <w:r>
        <w:rPr>
          <w:rFonts w:hint="eastAsia"/>
        </w:rPr>
        <w:t>单位：</w:t>
      </w:r>
      <w:r>
        <w:t>pcu/h</w:t>
      </w:r>
    </w:p>
    <w:tbl>
      <w:tblPr>
        <w:tblStyle w:val="65"/>
        <w:tblW w:w="9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1790"/>
        <w:gridCol w:w="2473"/>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blHeader/>
        </w:trPr>
        <w:tc>
          <w:tcPr>
            <w:tcW w:w="2550" w:type="dxa"/>
            <w:vMerge w:val="restart"/>
            <w:vAlign w:val="center"/>
          </w:tcPr>
          <w:p>
            <w:pPr>
              <w:pStyle w:val="112"/>
              <w:rPr>
                <w:kern w:val="2"/>
              </w:rPr>
            </w:pPr>
            <w:r>
              <w:rPr>
                <w:rFonts w:hint="eastAsia"/>
                <w:kern w:val="2"/>
              </w:rPr>
              <w:t>路段</w:t>
            </w:r>
          </w:p>
        </w:tc>
        <w:tc>
          <w:tcPr>
            <w:tcW w:w="1790" w:type="dxa"/>
            <w:vMerge w:val="restart"/>
            <w:vAlign w:val="center"/>
          </w:tcPr>
          <w:p>
            <w:pPr>
              <w:pStyle w:val="112"/>
              <w:rPr>
                <w:kern w:val="2"/>
              </w:rPr>
            </w:pPr>
            <w:r>
              <w:rPr>
                <w:rFonts w:hint="eastAsia"/>
                <w:kern w:val="2"/>
              </w:rPr>
              <w:t>运营期</w:t>
            </w:r>
          </w:p>
        </w:tc>
        <w:tc>
          <w:tcPr>
            <w:tcW w:w="4839" w:type="dxa"/>
            <w:gridSpan w:val="2"/>
            <w:vAlign w:val="center"/>
          </w:tcPr>
          <w:p>
            <w:pPr>
              <w:pStyle w:val="112"/>
              <w:rPr>
                <w:kern w:val="2"/>
              </w:rPr>
            </w:pPr>
            <w:r>
              <w:rPr>
                <w:rFonts w:hint="eastAsia"/>
                <w:kern w:val="2"/>
              </w:rPr>
              <w:t>标准小客车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blHeader/>
        </w:trPr>
        <w:tc>
          <w:tcPr>
            <w:tcW w:w="2550" w:type="dxa"/>
            <w:vMerge w:val="continue"/>
            <w:vAlign w:val="center"/>
          </w:tcPr>
          <w:p>
            <w:pPr>
              <w:pStyle w:val="112"/>
              <w:rPr>
                <w:kern w:val="2"/>
              </w:rPr>
            </w:pPr>
          </w:p>
        </w:tc>
        <w:tc>
          <w:tcPr>
            <w:tcW w:w="1790" w:type="dxa"/>
            <w:vMerge w:val="continue"/>
            <w:vAlign w:val="center"/>
          </w:tcPr>
          <w:p>
            <w:pPr>
              <w:pStyle w:val="112"/>
              <w:rPr>
                <w:kern w:val="2"/>
              </w:rPr>
            </w:pPr>
          </w:p>
        </w:tc>
        <w:tc>
          <w:tcPr>
            <w:tcW w:w="2473" w:type="dxa"/>
            <w:vAlign w:val="center"/>
          </w:tcPr>
          <w:p>
            <w:pPr>
              <w:pStyle w:val="112"/>
              <w:rPr>
                <w:kern w:val="2"/>
              </w:rPr>
            </w:pPr>
            <w:r>
              <w:rPr>
                <w:rFonts w:hint="eastAsia"/>
                <w:kern w:val="2"/>
              </w:rPr>
              <w:t>昼间</w:t>
            </w:r>
          </w:p>
        </w:tc>
        <w:tc>
          <w:tcPr>
            <w:tcW w:w="2366" w:type="dxa"/>
            <w:vAlign w:val="center"/>
          </w:tcPr>
          <w:p>
            <w:pPr>
              <w:pStyle w:val="112"/>
              <w:rPr>
                <w:kern w:val="2"/>
              </w:rPr>
            </w:pPr>
            <w:r>
              <w:rPr>
                <w:rFonts w:hint="eastAsia"/>
                <w:kern w:val="2"/>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550" w:type="dxa"/>
            <w:vMerge w:val="restart"/>
            <w:vAlign w:val="center"/>
          </w:tcPr>
          <w:p>
            <w:pPr>
              <w:jc w:val="center"/>
              <w:rPr>
                <w:rFonts w:hAnsi="宋体"/>
                <w:sz w:val="21"/>
                <w:szCs w:val="21"/>
              </w:rPr>
            </w:pPr>
            <w:r>
              <w:rPr>
                <w:rFonts w:hint="eastAsia" w:hAnsi="宋体"/>
                <w:sz w:val="21"/>
                <w:szCs w:val="21"/>
              </w:rPr>
              <w:t>全线</w:t>
            </w:r>
          </w:p>
        </w:tc>
        <w:tc>
          <w:tcPr>
            <w:tcW w:w="1790" w:type="dxa"/>
            <w:vAlign w:val="center"/>
          </w:tcPr>
          <w:p>
            <w:pPr>
              <w:pStyle w:val="112"/>
              <w:rPr>
                <w:kern w:val="2"/>
              </w:rPr>
            </w:pPr>
            <w:r>
              <w:rPr>
                <w:kern w:val="2"/>
              </w:rPr>
              <w:t>2019</w:t>
            </w:r>
          </w:p>
        </w:tc>
        <w:tc>
          <w:tcPr>
            <w:tcW w:w="2473" w:type="dxa"/>
            <w:vAlign w:val="center"/>
          </w:tcPr>
          <w:p>
            <w:pPr>
              <w:pStyle w:val="112"/>
              <w:rPr>
                <w:kern w:val="2"/>
              </w:rPr>
            </w:pPr>
            <w:r>
              <w:rPr>
                <w:kern w:val="2"/>
              </w:rPr>
              <w:t>207</w:t>
            </w:r>
          </w:p>
        </w:tc>
        <w:tc>
          <w:tcPr>
            <w:tcW w:w="2366" w:type="dxa"/>
            <w:vAlign w:val="center"/>
          </w:tcPr>
          <w:p>
            <w:pPr>
              <w:pStyle w:val="112"/>
              <w:rPr>
                <w:kern w:val="2"/>
              </w:rPr>
            </w:pPr>
            <w:r>
              <w:rPr>
                <w:kern w:val="2"/>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550" w:type="dxa"/>
            <w:vMerge w:val="continue"/>
            <w:vAlign w:val="center"/>
          </w:tcPr>
          <w:p>
            <w:pPr>
              <w:pStyle w:val="112"/>
              <w:rPr>
                <w:kern w:val="2"/>
              </w:rPr>
            </w:pPr>
          </w:p>
        </w:tc>
        <w:tc>
          <w:tcPr>
            <w:tcW w:w="1790" w:type="dxa"/>
            <w:vAlign w:val="center"/>
          </w:tcPr>
          <w:p>
            <w:pPr>
              <w:pStyle w:val="112"/>
              <w:rPr>
                <w:kern w:val="2"/>
              </w:rPr>
            </w:pPr>
            <w:r>
              <w:rPr>
                <w:kern w:val="2"/>
              </w:rPr>
              <w:t>2025</w:t>
            </w:r>
          </w:p>
        </w:tc>
        <w:tc>
          <w:tcPr>
            <w:tcW w:w="2473" w:type="dxa"/>
            <w:vAlign w:val="center"/>
          </w:tcPr>
          <w:p>
            <w:pPr>
              <w:pStyle w:val="112"/>
              <w:rPr>
                <w:kern w:val="2"/>
              </w:rPr>
            </w:pPr>
            <w:r>
              <w:rPr>
                <w:kern w:val="2"/>
              </w:rPr>
              <w:t>305</w:t>
            </w:r>
          </w:p>
        </w:tc>
        <w:tc>
          <w:tcPr>
            <w:tcW w:w="2366" w:type="dxa"/>
            <w:vAlign w:val="center"/>
          </w:tcPr>
          <w:p>
            <w:pPr>
              <w:pStyle w:val="112"/>
              <w:rPr>
                <w:kern w:val="2"/>
              </w:rPr>
            </w:pPr>
            <w:r>
              <w:rPr>
                <w:kern w:val="2"/>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550" w:type="dxa"/>
            <w:vMerge w:val="continue"/>
            <w:vAlign w:val="center"/>
          </w:tcPr>
          <w:p>
            <w:pPr>
              <w:pStyle w:val="112"/>
              <w:rPr>
                <w:kern w:val="2"/>
              </w:rPr>
            </w:pPr>
          </w:p>
        </w:tc>
        <w:tc>
          <w:tcPr>
            <w:tcW w:w="1790" w:type="dxa"/>
            <w:vAlign w:val="center"/>
          </w:tcPr>
          <w:p>
            <w:pPr>
              <w:pStyle w:val="112"/>
              <w:rPr>
                <w:kern w:val="2"/>
              </w:rPr>
            </w:pPr>
            <w:r>
              <w:rPr>
                <w:kern w:val="2"/>
              </w:rPr>
              <w:t>2033</w:t>
            </w:r>
          </w:p>
        </w:tc>
        <w:tc>
          <w:tcPr>
            <w:tcW w:w="2473" w:type="dxa"/>
            <w:vAlign w:val="center"/>
          </w:tcPr>
          <w:p>
            <w:pPr>
              <w:pStyle w:val="112"/>
              <w:rPr>
                <w:kern w:val="2"/>
              </w:rPr>
            </w:pPr>
            <w:r>
              <w:rPr>
                <w:kern w:val="2"/>
              </w:rPr>
              <w:t>424</w:t>
            </w:r>
          </w:p>
        </w:tc>
        <w:tc>
          <w:tcPr>
            <w:tcW w:w="2366" w:type="dxa"/>
            <w:vAlign w:val="center"/>
          </w:tcPr>
          <w:p>
            <w:pPr>
              <w:pStyle w:val="112"/>
              <w:rPr>
                <w:kern w:val="2"/>
              </w:rPr>
            </w:pPr>
            <w:r>
              <w:rPr>
                <w:kern w:val="2"/>
              </w:rPr>
              <w:t>94</w:t>
            </w:r>
          </w:p>
        </w:tc>
      </w:tr>
    </w:tbl>
    <w:p>
      <w:pPr>
        <w:pStyle w:val="4"/>
        <w:widowControl/>
        <w:ind w:left="660" w:hanging="660"/>
        <w:jc w:val="left"/>
        <w:rPr>
          <w:u w:val="single"/>
        </w:rPr>
      </w:pPr>
      <w:bookmarkStart w:id="120" w:name="_Toc17007"/>
      <w:bookmarkStart w:id="121" w:name="_Toc408503555"/>
      <w:r>
        <w:rPr>
          <w:rFonts w:hint="eastAsia"/>
          <w:u w:val="single"/>
        </w:rPr>
        <w:t>工程方案</w:t>
      </w:r>
      <w:bookmarkEnd w:id="120"/>
      <w:bookmarkEnd w:id="121"/>
    </w:p>
    <w:p>
      <w:pPr>
        <w:pStyle w:val="3"/>
        <w:rPr>
          <w:bCs/>
          <w:sz w:val="24"/>
          <w:szCs w:val="24"/>
          <w:u w:val="single"/>
        </w:rPr>
      </w:pPr>
      <w:r>
        <w:rPr>
          <w:rFonts w:hint="eastAsia"/>
          <w:u w:val="single"/>
          <w:lang w:val="en-US" w:eastAsia="zh-CN"/>
        </w:rPr>
        <w:t>项目主要施工工艺及方法：</w:t>
      </w:r>
      <w:r>
        <w:rPr>
          <w:rFonts w:hint="eastAsia"/>
          <w:bCs/>
          <w:sz w:val="24"/>
          <w:szCs w:val="24"/>
          <w:u w:val="single"/>
          <w:lang w:val="en-US" w:eastAsia="zh-CN"/>
        </w:rPr>
        <w:t>本项目</w:t>
      </w:r>
      <w:r>
        <w:rPr>
          <w:bCs/>
          <w:sz w:val="24"/>
          <w:szCs w:val="24"/>
          <w:u w:val="single"/>
        </w:rPr>
        <w:t>施工作业组织要充分利用道路工程工作面窄而长的特点，组织分段施工，尽可能连续均匀作业，要求提高构件预制比例，扩大施工机械化程度，多采用平行流水作业方式，道路施工应按照施工进度计划进行，加强计划管理，施工调度是现场组织施工、具体协调施工活动的必要管理手段，施工时还应做好施工平面现场管理，做好工程原始记录与原始统计。路面施工优先采用全机械化施工方案，利用宽幅摊铺机和配套搅拌设备，严格控制材料用量及材料组成，实行严格的工序管理，做好现场监理与施工检测，确保施工质量。</w:t>
      </w:r>
    </w:p>
    <w:p>
      <w:pPr>
        <w:pStyle w:val="5"/>
        <w:widowControl/>
        <w:ind w:left="567" w:hanging="567"/>
        <w:rPr>
          <w:u w:val="single"/>
        </w:rPr>
      </w:pPr>
      <w:r>
        <w:rPr>
          <w:rFonts w:hint="eastAsia"/>
          <w:u w:val="single"/>
        </w:rPr>
        <w:t>路基工程</w:t>
      </w:r>
    </w:p>
    <w:p>
      <w:pPr>
        <w:pStyle w:val="3"/>
        <w:ind w:firstLine="31680"/>
        <w:rPr>
          <w:u w:val="single"/>
        </w:rPr>
      </w:pPr>
      <w:r>
        <w:rPr>
          <w:u w:val="single"/>
        </w:rPr>
        <w:t>a</w:t>
      </w:r>
      <w:r>
        <w:rPr>
          <w:rFonts w:hint="eastAsia"/>
          <w:u w:val="single"/>
        </w:rPr>
        <w:t>）路基设计高程</w:t>
      </w:r>
    </w:p>
    <w:p>
      <w:pPr>
        <w:adjustRightInd w:val="0"/>
        <w:snapToGrid w:val="0"/>
        <w:spacing w:line="360" w:lineRule="auto"/>
        <w:ind w:firstLine="482"/>
        <w:rPr>
          <w:sz w:val="24"/>
          <w:szCs w:val="24"/>
          <w:u w:val="single"/>
        </w:rPr>
      </w:pPr>
      <w:r>
        <w:rPr>
          <w:rFonts w:hint="eastAsia"/>
          <w:sz w:val="24"/>
          <w:szCs w:val="24"/>
          <w:u w:val="single"/>
        </w:rPr>
        <w:t>中央分隔带边缘处高程。路肩高程不低于</w:t>
      </w:r>
      <w:r>
        <w:rPr>
          <w:sz w:val="24"/>
          <w:szCs w:val="24"/>
          <w:u w:val="single"/>
        </w:rPr>
        <w:t>1/100</w:t>
      </w:r>
      <w:r>
        <w:rPr>
          <w:rFonts w:hint="eastAsia"/>
          <w:sz w:val="24"/>
          <w:szCs w:val="24"/>
          <w:u w:val="single"/>
        </w:rPr>
        <w:t>洪水频率计算水位加壅水高度及波浪侵袭高加</w:t>
      </w:r>
      <w:r>
        <w:rPr>
          <w:sz w:val="24"/>
          <w:szCs w:val="24"/>
          <w:u w:val="single"/>
        </w:rPr>
        <w:t>0.5m</w:t>
      </w:r>
      <w:r>
        <w:rPr>
          <w:rFonts w:hint="eastAsia"/>
          <w:sz w:val="24"/>
          <w:szCs w:val="24"/>
          <w:u w:val="single"/>
        </w:rPr>
        <w:t>。</w:t>
      </w:r>
    </w:p>
    <w:p>
      <w:pPr>
        <w:adjustRightInd w:val="0"/>
        <w:snapToGrid w:val="0"/>
        <w:spacing w:line="360" w:lineRule="auto"/>
        <w:ind w:firstLine="482"/>
        <w:rPr>
          <w:sz w:val="24"/>
          <w:szCs w:val="24"/>
          <w:u w:val="single"/>
        </w:rPr>
      </w:pPr>
      <w:r>
        <w:rPr>
          <w:sz w:val="24"/>
          <w:szCs w:val="24"/>
          <w:u w:val="single"/>
        </w:rPr>
        <w:t>b</w:t>
      </w:r>
      <w:r>
        <w:rPr>
          <w:rFonts w:hint="eastAsia"/>
          <w:sz w:val="24"/>
          <w:szCs w:val="24"/>
          <w:u w:val="single"/>
        </w:rPr>
        <w:t>）路基横断面</w:t>
      </w:r>
    </w:p>
    <w:p>
      <w:pPr>
        <w:adjustRightInd w:val="0"/>
        <w:snapToGrid w:val="0"/>
        <w:spacing w:line="360" w:lineRule="auto"/>
        <w:ind w:firstLine="482"/>
        <w:rPr>
          <w:sz w:val="24"/>
          <w:szCs w:val="24"/>
          <w:u w:val="single"/>
        </w:rPr>
      </w:pPr>
      <w:r>
        <w:rPr>
          <w:rFonts w:hint="eastAsia"/>
          <w:sz w:val="24"/>
          <w:szCs w:val="24"/>
          <w:u w:val="single"/>
        </w:rPr>
        <w:t>本段按一级公路标准建设，设计速度</w:t>
      </w:r>
      <w:r>
        <w:rPr>
          <w:sz w:val="24"/>
          <w:szCs w:val="24"/>
          <w:u w:val="single"/>
        </w:rPr>
        <w:t>80km/h</w:t>
      </w:r>
      <w:r>
        <w:rPr>
          <w:rFonts w:hint="eastAsia"/>
          <w:sz w:val="24"/>
          <w:szCs w:val="24"/>
          <w:u w:val="single"/>
        </w:rPr>
        <w:t>，路基宽度</w:t>
      </w:r>
      <w:r>
        <w:rPr>
          <w:sz w:val="24"/>
          <w:szCs w:val="24"/>
          <w:u w:val="single"/>
        </w:rPr>
        <w:t>25.5m</w:t>
      </w:r>
      <w:r>
        <w:rPr>
          <w:rFonts w:hint="eastAsia"/>
          <w:sz w:val="24"/>
          <w:szCs w:val="24"/>
          <w:u w:val="single"/>
        </w:rPr>
        <w:t>（含慢车道），路基横断面布置</w:t>
      </w:r>
      <w:r>
        <w:rPr>
          <w:sz w:val="24"/>
          <w:szCs w:val="24"/>
          <w:u w:val="single"/>
        </w:rPr>
        <w:t>1.50m</w:t>
      </w:r>
      <w:r>
        <w:rPr>
          <w:rFonts w:hint="eastAsia"/>
          <w:sz w:val="24"/>
          <w:szCs w:val="24"/>
          <w:u w:val="single"/>
        </w:rPr>
        <w:t>（土路肩）＋</w:t>
      </w:r>
      <w:r>
        <w:rPr>
          <w:sz w:val="24"/>
          <w:szCs w:val="24"/>
          <w:u w:val="single"/>
        </w:rPr>
        <w:t>3.50</w:t>
      </w:r>
      <w:r>
        <w:rPr>
          <w:rFonts w:hint="eastAsia"/>
          <w:sz w:val="24"/>
          <w:szCs w:val="24"/>
          <w:u w:val="single"/>
        </w:rPr>
        <w:t>（慢车道）＋</w:t>
      </w:r>
      <w:r>
        <w:rPr>
          <w:sz w:val="24"/>
          <w:szCs w:val="24"/>
          <w:u w:val="single"/>
        </w:rPr>
        <w:t>2</w:t>
      </w:r>
      <w:r>
        <w:rPr>
          <w:rFonts w:hint="eastAsia"/>
          <w:sz w:val="24"/>
          <w:szCs w:val="24"/>
          <w:u w:val="single"/>
        </w:rPr>
        <w:t>×</w:t>
      </w:r>
      <w:r>
        <w:rPr>
          <w:sz w:val="24"/>
          <w:szCs w:val="24"/>
          <w:u w:val="single"/>
        </w:rPr>
        <w:t>3.75</w:t>
      </w:r>
      <w:r>
        <w:rPr>
          <w:rFonts w:hint="eastAsia"/>
          <w:sz w:val="24"/>
          <w:szCs w:val="24"/>
          <w:u w:val="single"/>
        </w:rPr>
        <w:t>（行车道）＋</w:t>
      </w:r>
      <w:r>
        <w:rPr>
          <w:sz w:val="24"/>
          <w:szCs w:val="24"/>
          <w:u w:val="single"/>
        </w:rPr>
        <w:t>0.50m</w:t>
      </w:r>
      <w:r>
        <w:rPr>
          <w:rFonts w:hint="eastAsia"/>
          <w:sz w:val="24"/>
          <w:szCs w:val="24"/>
          <w:u w:val="single"/>
        </w:rPr>
        <w:t>（双黄线）</w:t>
      </w:r>
      <w:r>
        <w:rPr>
          <w:sz w:val="24"/>
          <w:szCs w:val="24"/>
          <w:u w:val="single"/>
        </w:rPr>
        <w:t>+2</w:t>
      </w:r>
      <w:r>
        <w:rPr>
          <w:rFonts w:hint="eastAsia"/>
          <w:sz w:val="24"/>
          <w:szCs w:val="24"/>
          <w:u w:val="single"/>
        </w:rPr>
        <w:t>×</w:t>
      </w:r>
      <w:r>
        <w:rPr>
          <w:sz w:val="24"/>
          <w:szCs w:val="24"/>
          <w:u w:val="single"/>
        </w:rPr>
        <w:t>3.75m</w:t>
      </w:r>
      <w:r>
        <w:rPr>
          <w:rFonts w:hint="eastAsia"/>
          <w:sz w:val="24"/>
          <w:szCs w:val="24"/>
          <w:u w:val="single"/>
        </w:rPr>
        <w:t>（行车道）＋</w:t>
      </w:r>
      <w:r>
        <w:rPr>
          <w:sz w:val="24"/>
          <w:szCs w:val="24"/>
          <w:u w:val="single"/>
        </w:rPr>
        <w:t>3.50</w:t>
      </w:r>
      <w:r>
        <w:rPr>
          <w:rFonts w:hint="eastAsia"/>
          <w:sz w:val="24"/>
          <w:szCs w:val="24"/>
          <w:u w:val="single"/>
        </w:rPr>
        <w:t>（慢车道）＋</w:t>
      </w:r>
      <w:r>
        <w:rPr>
          <w:sz w:val="24"/>
          <w:szCs w:val="24"/>
          <w:u w:val="single"/>
        </w:rPr>
        <w:t>1.50m</w:t>
      </w:r>
      <w:r>
        <w:rPr>
          <w:rFonts w:hint="eastAsia"/>
          <w:sz w:val="24"/>
          <w:szCs w:val="24"/>
          <w:u w:val="single"/>
        </w:rPr>
        <w:t>（土路肩）</w:t>
      </w:r>
      <w:r>
        <w:rPr>
          <w:sz w:val="24"/>
          <w:szCs w:val="24"/>
          <w:u w:val="single"/>
        </w:rPr>
        <w:t>=25.5m</w:t>
      </w:r>
      <w:r>
        <w:rPr>
          <w:rFonts w:hint="eastAsia"/>
          <w:sz w:val="24"/>
          <w:szCs w:val="24"/>
          <w:u w:val="single"/>
        </w:rPr>
        <w:t>。路堤坡脚或排水沟外缘</w:t>
      </w:r>
      <w:r>
        <w:rPr>
          <w:sz w:val="24"/>
          <w:szCs w:val="24"/>
          <w:u w:val="single"/>
        </w:rPr>
        <w:t>1.0m</w:t>
      </w:r>
      <w:r>
        <w:rPr>
          <w:rFonts w:hint="eastAsia"/>
          <w:sz w:val="24"/>
          <w:szCs w:val="24"/>
          <w:u w:val="single"/>
        </w:rPr>
        <w:t>，挖方边坡坡顶外缘或截水沟外缘</w:t>
      </w:r>
      <w:r>
        <w:rPr>
          <w:sz w:val="24"/>
          <w:szCs w:val="24"/>
          <w:u w:val="single"/>
        </w:rPr>
        <w:t>1.0m</w:t>
      </w:r>
      <w:r>
        <w:rPr>
          <w:rFonts w:hint="eastAsia"/>
          <w:sz w:val="24"/>
          <w:szCs w:val="24"/>
          <w:u w:val="single"/>
        </w:rPr>
        <w:t>为公路用地范围。该段路基标准横断面详见图</w:t>
      </w:r>
      <w:r>
        <w:rPr>
          <w:sz w:val="24"/>
          <w:szCs w:val="24"/>
          <w:u w:val="single"/>
        </w:rPr>
        <w:t>3.5-1</w:t>
      </w:r>
      <w:r>
        <w:rPr>
          <w:rFonts w:hint="eastAsia"/>
          <w:sz w:val="24"/>
          <w:szCs w:val="24"/>
          <w:u w:val="single"/>
        </w:rPr>
        <w:t>。</w:t>
      </w:r>
    </w:p>
    <w:p>
      <w:pPr>
        <w:adjustRightInd w:val="0"/>
        <w:snapToGrid w:val="0"/>
        <w:spacing w:line="360" w:lineRule="auto"/>
        <w:ind w:firstLine="482"/>
        <w:rPr>
          <w:sz w:val="24"/>
          <w:szCs w:val="24"/>
          <w:u w:val="single"/>
        </w:rPr>
      </w:pPr>
      <w:r>
        <w:rPr>
          <w:u w:val="single"/>
        </w:rPr>
        <w:pict>
          <v:shape id="_x0000_s1038" o:spid="_x0000_s1038" o:spt="75" type="#_x0000_t75" style="position:absolute;left:0pt;margin-left:-19.95pt;margin-top:9.7pt;height:146.9pt;width:528.7pt;z-index:251656192;mso-width-relative:page;mso-height-relative:page;" o:ole="t" filled="f" o:preferrelative="t" stroked="f" coordsize="21600,21600">
            <v:path/>
            <v:fill on="f" focussize="0,0"/>
            <v:stroke on="f" joinstyle="miter"/>
            <v:imagedata r:id="rId29" croptop="18342f" cropbottom="20754f" o:title=""/>
            <o:lock v:ext="edit" aspectratio="t"/>
          </v:shape>
          <o:OLEObject Type="Embed" ProgID="AutoCAD.Drawing.19" ShapeID="_x0000_s1038" DrawAspect="Content" ObjectID="_1468075725" r:id="rId28">
            <o:LockedField>false</o:LockedField>
          </o:OLEObject>
        </w:pict>
      </w:r>
    </w:p>
    <w:p>
      <w:pPr>
        <w:adjustRightInd w:val="0"/>
        <w:snapToGrid w:val="0"/>
        <w:spacing w:line="360" w:lineRule="auto"/>
        <w:ind w:firstLine="482"/>
        <w:rPr>
          <w:sz w:val="24"/>
          <w:szCs w:val="24"/>
          <w:u w:val="single"/>
        </w:rPr>
      </w:pPr>
    </w:p>
    <w:p>
      <w:pPr>
        <w:adjustRightInd w:val="0"/>
        <w:snapToGrid w:val="0"/>
        <w:spacing w:line="360" w:lineRule="auto"/>
        <w:ind w:firstLine="482"/>
        <w:rPr>
          <w:sz w:val="24"/>
          <w:szCs w:val="24"/>
          <w:u w:val="single"/>
        </w:rPr>
      </w:pPr>
    </w:p>
    <w:p>
      <w:pPr>
        <w:adjustRightInd w:val="0"/>
        <w:snapToGrid w:val="0"/>
        <w:spacing w:line="360" w:lineRule="auto"/>
        <w:ind w:firstLine="482"/>
        <w:rPr>
          <w:sz w:val="24"/>
          <w:szCs w:val="24"/>
          <w:u w:val="single"/>
        </w:rPr>
      </w:pPr>
    </w:p>
    <w:p>
      <w:pPr>
        <w:adjustRightInd w:val="0"/>
        <w:snapToGrid w:val="0"/>
        <w:spacing w:line="360" w:lineRule="auto"/>
        <w:ind w:firstLine="482"/>
        <w:rPr>
          <w:sz w:val="24"/>
          <w:szCs w:val="24"/>
          <w:u w:val="single"/>
        </w:rPr>
      </w:pPr>
    </w:p>
    <w:p>
      <w:pPr>
        <w:adjustRightInd w:val="0"/>
        <w:snapToGrid w:val="0"/>
        <w:spacing w:line="360" w:lineRule="auto"/>
        <w:ind w:firstLine="482"/>
        <w:rPr>
          <w:sz w:val="24"/>
          <w:szCs w:val="24"/>
          <w:u w:val="single"/>
        </w:rPr>
      </w:pPr>
    </w:p>
    <w:p>
      <w:pPr>
        <w:adjustRightInd w:val="0"/>
        <w:snapToGrid w:val="0"/>
        <w:spacing w:line="360" w:lineRule="auto"/>
        <w:ind w:firstLine="482"/>
        <w:rPr>
          <w:sz w:val="24"/>
          <w:szCs w:val="24"/>
          <w:u w:val="single"/>
        </w:rPr>
      </w:pPr>
    </w:p>
    <w:p>
      <w:pPr>
        <w:adjustRightInd w:val="0"/>
        <w:snapToGrid w:val="0"/>
        <w:spacing w:line="360" w:lineRule="auto"/>
        <w:ind w:firstLine="482"/>
        <w:rPr>
          <w:sz w:val="24"/>
          <w:szCs w:val="24"/>
          <w:u w:val="single"/>
        </w:rPr>
      </w:pPr>
    </w:p>
    <w:p>
      <w:pPr>
        <w:pStyle w:val="555"/>
        <w:rPr>
          <w:color w:val="auto"/>
          <w:u w:val="single"/>
        </w:rPr>
      </w:pPr>
      <w:r>
        <w:rPr>
          <w:rFonts w:hint="eastAsia"/>
          <w:color w:val="auto"/>
          <w:u w:val="single"/>
        </w:rPr>
        <w:t>图</w:t>
      </w:r>
      <w:r>
        <w:rPr>
          <w:color w:val="auto"/>
          <w:u w:val="single"/>
        </w:rPr>
        <w:t>3.5-1    K0+000-K8+369</w:t>
      </w:r>
      <w:r>
        <w:rPr>
          <w:rFonts w:hint="eastAsia"/>
          <w:color w:val="auto"/>
          <w:u w:val="single"/>
        </w:rPr>
        <w:t>段路基标准断面图</w:t>
      </w:r>
    </w:p>
    <w:p>
      <w:pPr>
        <w:adjustRightInd w:val="0"/>
        <w:snapToGrid w:val="0"/>
        <w:spacing w:line="348" w:lineRule="auto"/>
        <w:ind w:firstLine="472"/>
        <w:rPr>
          <w:sz w:val="24"/>
          <w:u w:val="single"/>
        </w:rPr>
      </w:pPr>
      <w:r>
        <w:rPr>
          <w:sz w:val="24"/>
          <w:u w:val="single"/>
        </w:rPr>
        <w:t>c</w:t>
      </w:r>
      <w:r>
        <w:rPr>
          <w:rFonts w:hint="eastAsia"/>
          <w:sz w:val="24"/>
          <w:u w:val="single"/>
        </w:rPr>
        <w:t>）路拱坡度</w:t>
      </w:r>
    </w:p>
    <w:p>
      <w:pPr>
        <w:adjustRightInd w:val="0"/>
        <w:snapToGrid w:val="0"/>
        <w:spacing w:line="348" w:lineRule="auto"/>
        <w:ind w:firstLine="472"/>
        <w:rPr>
          <w:sz w:val="24"/>
          <w:u w:val="single"/>
        </w:rPr>
      </w:pPr>
      <w:r>
        <w:rPr>
          <w:rFonts w:hint="eastAsia"/>
          <w:sz w:val="24"/>
          <w:u w:val="single"/>
        </w:rPr>
        <w:t>正常路段行车道横坡为</w:t>
      </w:r>
      <w:r>
        <w:rPr>
          <w:sz w:val="24"/>
          <w:u w:val="single"/>
        </w:rPr>
        <w:t>2%</w:t>
      </w:r>
      <w:r>
        <w:rPr>
          <w:rFonts w:hint="eastAsia"/>
          <w:sz w:val="24"/>
          <w:u w:val="single"/>
        </w:rPr>
        <w:t>，土路肩横坡为</w:t>
      </w:r>
      <w:r>
        <w:rPr>
          <w:sz w:val="24"/>
          <w:u w:val="single"/>
        </w:rPr>
        <w:t>4%</w:t>
      </w:r>
      <w:r>
        <w:rPr>
          <w:rFonts w:hint="eastAsia"/>
          <w:sz w:val="24"/>
          <w:u w:val="single"/>
        </w:rPr>
        <w:t>。曲线路段的超高值根据设计速度、圆曲线半径等因素算确定。</w:t>
      </w:r>
    </w:p>
    <w:p>
      <w:pPr>
        <w:pStyle w:val="3"/>
        <w:ind w:firstLine="31680"/>
        <w:rPr>
          <w:kern w:val="2"/>
          <w:u w:val="single"/>
        </w:rPr>
      </w:pPr>
      <w:r>
        <w:rPr>
          <w:kern w:val="2"/>
          <w:u w:val="single"/>
        </w:rPr>
        <w:t>d</w:t>
      </w:r>
      <w:r>
        <w:rPr>
          <w:rFonts w:hint="eastAsia"/>
          <w:kern w:val="2"/>
          <w:u w:val="single"/>
        </w:rPr>
        <w:t>）路基设计</w:t>
      </w:r>
    </w:p>
    <w:p>
      <w:pPr>
        <w:pStyle w:val="3"/>
        <w:ind w:firstLine="31680"/>
        <w:rPr>
          <w:kern w:val="2"/>
          <w:u w:val="single"/>
        </w:rPr>
      </w:pPr>
      <w:r>
        <w:rPr>
          <w:rFonts w:hint="eastAsia"/>
          <w:kern w:val="2"/>
          <w:u w:val="single"/>
        </w:rPr>
        <w:t>填土路堤：边坡高度</w:t>
      </w:r>
      <w:r>
        <w:rPr>
          <w:kern w:val="2"/>
          <w:u w:val="single"/>
        </w:rPr>
        <w:t>H≤8m</w:t>
      </w:r>
      <w:r>
        <w:rPr>
          <w:rFonts w:hint="eastAsia"/>
          <w:kern w:val="2"/>
          <w:u w:val="single"/>
        </w:rPr>
        <w:t>时，坡度为</w:t>
      </w:r>
      <w:r>
        <w:rPr>
          <w:kern w:val="2"/>
          <w:u w:val="single"/>
        </w:rPr>
        <w:t>1:1.5</w:t>
      </w:r>
      <w:r>
        <w:rPr>
          <w:rFonts w:hint="eastAsia"/>
          <w:kern w:val="2"/>
          <w:u w:val="single"/>
        </w:rPr>
        <w:t>；边坡高度</w:t>
      </w:r>
      <w:r>
        <w:rPr>
          <w:kern w:val="2"/>
          <w:u w:val="single"/>
        </w:rPr>
        <w:t>8m</w:t>
      </w:r>
      <w:r>
        <w:rPr>
          <w:rFonts w:hint="eastAsia"/>
          <w:kern w:val="2"/>
          <w:u w:val="single"/>
        </w:rPr>
        <w:t>＜</w:t>
      </w:r>
      <w:r>
        <w:rPr>
          <w:kern w:val="2"/>
          <w:u w:val="single"/>
        </w:rPr>
        <w:t>H≤20m</w:t>
      </w:r>
      <w:r>
        <w:rPr>
          <w:rFonts w:hint="eastAsia"/>
          <w:kern w:val="2"/>
          <w:u w:val="single"/>
        </w:rPr>
        <w:t>时，坡度为</w:t>
      </w:r>
      <w:r>
        <w:rPr>
          <w:kern w:val="2"/>
          <w:u w:val="single"/>
        </w:rPr>
        <w:t xml:space="preserve"> 1:1.75</w:t>
      </w:r>
      <w:r>
        <w:rPr>
          <w:rFonts w:hint="eastAsia"/>
          <w:kern w:val="2"/>
          <w:u w:val="single"/>
        </w:rPr>
        <w:t>，浸水路堤上部，边坡坡度为</w:t>
      </w:r>
      <w:r>
        <w:rPr>
          <w:kern w:val="2"/>
          <w:u w:val="single"/>
        </w:rPr>
        <w:t>1:1.5~1:1.75</w:t>
      </w:r>
      <w:r>
        <w:rPr>
          <w:rFonts w:hint="eastAsia"/>
          <w:kern w:val="2"/>
          <w:u w:val="single"/>
        </w:rPr>
        <w:t>，浸水部分边坡坡度为</w:t>
      </w:r>
      <w:r>
        <w:rPr>
          <w:kern w:val="2"/>
          <w:u w:val="single"/>
        </w:rPr>
        <w:t>1:1.75~1:2.0</w:t>
      </w:r>
      <w:r>
        <w:rPr>
          <w:rFonts w:hint="eastAsia"/>
          <w:kern w:val="2"/>
          <w:u w:val="single"/>
        </w:rPr>
        <w:t>。路堤边坡坡脚一般设置</w:t>
      </w:r>
      <w:r>
        <w:rPr>
          <w:kern w:val="2"/>
          <w:u w:val="single"/>
        </w:rPr>
        <w:t>1.0m</w:t>
      </w:r>
      <w:r>
        <w:rPr>
          <w:rFonts w:hint="eastAsia"/>
          <w:kern w:val="2"/>
          <w:u w:val="single"/>
        </w:rPr>
        <w:t>宽护坡道。</w:t>
      </w:r>
    </w:p>
    <w:p>
      <w:pPr>
        <w:adjustRightInd w:val="0"/>
        <w:snapToGrid w:val="0"/>
        <w:spacing w:line="348" w:lineRule="auto"/>
        <w:ind w:firstLine="496"/>
        <w:rPr>
          <w:sz w:val="24"/>
          <w:u w:val="single"/>
        </w:rPr>
      </w:pPr>
      <w:r>
        <w:rPr>
          <w:rFonts w:hint="eastAsia"/>
          <w:sz w:val="24"/>
          <w:u w:val="single"/>
        </w:rPr>
        <w:t>挖方路基边坡根据地质条件及边坡高度等情况确定。一般土质边坡一般为</w:t>
      </w:r>
      <w:r>
        <w:rPr>
          <w:sz w:val="24"/>
          <w:u w:val="single"/>
        </w:rPr>
        <w:t>1:1~1</w:t>
      </w:r>
      <w:r>
        <w:rPr>
          <w:rFonts w:hint="eastAsia" w:ascii="宋体" w:hAnsi="宋体" w:cs="宋体"/>
          <w:sz w:val="24"/>
          <w:u w:val="single"/>
        </w:rPr>
        <w:t>∶</w:t>
      </w:r>
      <w:r>
        <w:rPr>
          <w:sz w:val="24"/>
          <w:u w:val="single"/>
        </w:rPr>
        <w:t>1.5</w:t>
      </w:r>
      <w:r>
        <w:rPr>
          <w:rFonts w:hint="eastAsia"/>
          <w:sz w:val="24"/>
          <w:u w:val="single"/>
        </w:rPr>
        <w:t>，石质边坡为</w:t>
      </w:r>
      <w:r>
        <w:rPr>
          <w:sz w:val="24"/>
          <w:u w:val="single"/>
        </w:rPr>
        <w:t>1:0.3~1:1.0</w:t>
      </w:r>
      <w:r>
        <w:rPr>
          <w:rFonts w:hint="eastAsia"/>
          <w:sz w:val="24"/>
          <w:u w:val="single"/>
        </w:rPr>
        <w:t>。边坡高度大于</w:t>
      </w:r>
      <w:r>
        <w:rPr>
          <w:sz w:val="24"/>
          <w:u w:val="single"/>
        </w:rPr>
        <w:t>10m</w:t>
      </w:r>
      <w:r>
        <w:rPr>
          <w:rFonts w:hint="eastAsia"/>
          <w:sz w:val="24"/>
          <w:u w:val="single"/>
        </w:rPr>
        <w:t>时，每隔</w:t>
      </w:r>
      <w:r>
        <w:rPr>
          <w:sz w:val="24"/>
          <w:u w:val="single"/>
        </w:rPr>
        <w:t>8~10m</w:t>
      </w:r>
      <w:r>
        <w:rPr>
          <w:rFonts w:hint="eastAsia"/>
          <w:sz w:val="24"/>
          <w:u w:val="single"/>
        </w:rPr>
        <w:t>设置</w:t>
      </w:r>
      <w:r>
        <w:rPr>
          <w:sz w:val="24"/>
          <w:u w:val="single"/>
        </w:rPr>
        <w:t>2.0m</w:t>
      </w:r>
      <w:r>
        <w:rPr>
          <w:rFonts w:hint="eastAsia"/>
          <w:sz w:val="24"/>
          <w:u w:val="single"/>
        </w:rPr>
        <w:t>（土质）或</w:t>
      </w:r>
      <w:r>
        <w:rPr>
          <w:sz w:val="24"/>
          <w:u w:val="single"/>
        </w:rPr>
        <w:t>1.0m</w:t>
      </w:r>
      <w:r>
        <w:rPr>
          <w:rFonts w:hint="eastAsia"/>
          <w:sz w:val="24"/>
          <w:u w:val="single"/>
        </w:rPr>
        <w:t>（石质）宽的边坡平台。路堑边坡坡脚一般设置</w:t>
      </w:r>
      <w:r>
        <w:rPr>
          <w:sz w:val="24"/>
          <w:u w:val="single"/>
        </w:rPr>
        <w:t>1.0m</w:t>
      </w:r>
      <w:r>
        <w:rPr>
          <w:rFonts w:hint="eastAsia"/>
          <w:sz w:val="24"/>
          <w:u w:val="single"/>
        </w:rPr>
        <w:t>宽的碎落台。如整段土质边坡高度均在</w:t>
      </w:r>
      <w:r>
        <w:rPr>
          <w:sz w:val="24"/>
          <w:u w:val="single"/>
        </w:rPr>
        <w:t>5m</w:t>
      </w:r>
      <w:r>
        <w:rPr>
          <w:rFonts w:hint="eastAsia"/>
          <w:sz w:val="24"/>
          <w:u w:val="single"/>
        </w:rPr>
        <w:t>以内，可不设碎落台。傍山路段，如开挖路基后在山嘴处形成规模较小的土包，可根据具体情况将其清除，以拓宽视界，美化路容景观，展现公路沿线的风景。</w:t>
      </w:r>
    </w:p>
    <w:p>
      <w:pPr>
        <w:pStyle w:val="3"/>
        <w:ind w:firstLine="31680"/>
        <w:rPr>
          <w:kern w:val="2"/>
          <w:u w:val="single"/>
        </w:rPr>
      </w:pPr>
      <w:r>
        <w:rPr>
          <w:rFonts w:hint="eastAsia"/>
          <w:kern w:val="2"/>
          <w:u w:val="single"/>
        </w:rPr>
        <w:t>桥头填方路基应设置底部长度不小于</w:t>
      </w:r>
      <w:r>
        <w:rPr>
          <w:kern w:val="2"/>
          <w:u w:val="single"/>
        </w:rPr>
        <w:t>6m</w:t>
      </w:r>
      <w:r>
        <w:rPr>
          <w:rFonts w:hint="eastAsia"/>
          <w:kern w:val="2"/>
          <w:u w:val="single"/>
        </w:rPr>
        <w:t>的过渡段，过渡段范围内应用砂砾或粗粒土填筑，压实度不应小于</w:t>
      </w:r>
      <w:r>
        <w:rPr>
          <w:kern w:val="2"/>
          <w:u w:val="single"/>
        </w:rPr>
        <w:t>96%</w:t>
      </w:r>
      <w:r>
        <w:rPr>
          <w:rFonts w:hint="eastAsia"/>
          <w:kern w:val="2"/>
          <w:u w:val="single"/>
        </w:rPr>
        <w:t>。路基纵向填方处应开挖成高宽比</w:t>
      </w:r>
      <w:r>
        <w:rPr>
          <w:kern w:val="2"/>
          <w:u w:val="single"/>
        </w:rPr>
        <w:t>1:1.5</w:t>
      </w:r>
      <w:r>
        <w:rPr>
          <w:rFonts w:hint="eastAsia"/>
          <w:kern w:val="2"/>
          <w:u w:val="single"/>
        </w:rPr>
        <w:t>的台阶。</w:t>
      </w:r>
    </w:p>
    <w:p>
      <w:pPr>
        <w:pStyle w:val="3"/>
        <w:ind w:firstLine="31680"/>
        <w:rPr>
          <w:kern w:val="2"/>
          <w:u w:val="single"/>
        </w:rPr>
      </w:pPr>
      <w:r>
        <w:rPr>
          <w:rFonts w:hint="eastAsia"/>
          <w:kern w:val="2"/>
          <w:u w:val="single"/>
        </w:rPr>
        <w:t>用地界填方路段一般为路堤边沟外</w:t>
      </w:r>
      <w:r>
        <w:rPr>
          <w:kern w:val="2"/>
          <w:u w:val="single"/>
        </w:rPr>
        <w:t>1.0m</w:t>
      </w:r>
      <w:r>
        <w:rPr>
          <w:rFonts w:hint="eastAsia"/>
          <w:kern w:val="2"/>
          <w:u w:val="single"/>
        </w:rPr>
        <w:t>，不设边沟时，为坡脚外</w:t>
      </w:r>
      <w:r>
        <w:rPr>
          <w:kern w:val="2"/>
          <w:u w:val="single"/>
        </w:rPr>
        <w:t>1.0m</w:t>
      </w:r>
      <w:r>
        <w:rPr>
          <w:rFonts w:hint="eastAsia"/>
          <w:kern w:val="2"/>
          <w:u w:val="single"/>
        </w:rPr>
        <w:t>。挖方路段一般为边坡顶或截水沟坡顶外</w:t>
      </w:r>
      <w:r>
        <w:rPr>
          <w:kern w:val="2"/>
          <w:u w:val="single"/>
        </w:rPr>
        <w:t>1.0m</w:t>
      </w:r>
      <w:r>
        <w:rPr>
          <w:rFonts w:hint="eastAsia"/>
          <w:kern w:val="2"/>
          <w:u w:val="single"/>
        </w:rPr>
        <w:t>。</w:t>
      </w:r>
    </w:p>
    <w:p>
      <w:pPr>
        <w:pStyle w:val="3"/>
        <w:ind w:firstLine="31680"/>
        <w:rPr>
          <w:u w:val="single"/>
        </w:rPr>
      </w:pPr>
      <w:r>
        <w:rPr>
          <w:u w:val="single"/>
        </w:rPr>
        <w:t>e</w:t>
      </w:r>
      <w:r>
        <w:rPr>
          <w:rFonts w:hint="eastAsia"/>
          <w:u w:val="single"/>
        </w:rPr>
        <w:t>）路基防护</w:t>
      </w:r>
    </w:p>
    <w:p>
      <w:pPr>
        <w:adjustRightInd w:val="0"/>
        <w:snapToGrid w:val="0"/>
        <w:spacing w:line="360" w:lineRule="auto"/>
        <w:ind w:firstLine="482"/>
        <w:rPr>
          <w:sz w:val="24"/>
          <w:szCs w:val="24"/>
          <w:u w:val="single"/>
        </w:rPr>
      </w:pPr>
      <w:r>
        <w:rPr>
          <w:rFonts w:hint="eastAsia"/>
          <w:sz w:val="24"/>
          <w:szCs w:val="24"/>
          <w:u w:val="single"/>
        </w:rPr>
        <w:t>对于路堑边坡，在边坡稳定的前提下，对坡面绿化防护型进行多方案的比较。在坡面防护上，根据地形，地质选择合理的型式，综合景观设计，以杜绝坡面型式单调、呆板的现象，使整个公路沿线景观丰富、阿娜多姿、自然协调。</w:t>
      </w:r>
    </w:p>
    <w:p>
      <w:pPr>
        <w:adjustRightInd w:val="0"/>
        <w:snapToGrid w:val="0"/>
        <w:spacing w:line="360" w:lineRule="auto"/>
        <w:ind w:firstLine="482"/>
        <w:rPr>
          <w:sz w:val="24"/>
          <w:szCs w:val="24"/>
          <w:u w:val="single"/>
        </w:rPr>
      </w:pPr>
      <w:r>
        <w:rPr>
          <w:rFonts w:hint="eastAsia"/>
          <w:sz w:val="24"/>
          <w:szCs w:val="24"/>
          <w:u w:val="single"/>
        </w:rPr>
        <w:t>对于稳定边坡，防护主要以绿化为主。防护类型有植草、挂网植草、拱架等衬砌植草、客土喷播、喷混植生。岩石边坡或植草难以生成的边坡以客土喷播、喷混植生为主，其他类型以植草、挂网植草等为主。对于低矮边坡，可以考虑放缓边坡，在边坡上种植经济作物。</w:t>
      </w:r>
    </w:p>
    <w:p>
      <w:pPr>
        <w:spacing w:line="360" w:lineRule="auto"/>
        <w:ind w:firstLine="480"/>
        <w:rPr>
          <w:sz w:val="24"/>
          <w:szCs w:val="24"/>
          <w:u w:val="single"/>
        </w:rPr>
      </w:pPr>
      <w:r>
        <w:rPr>
          <w:rFonts w:hint="eastAsia"/>
          <w:sz w:val="24"/>
          <w:szCs w:val="24"/>
          <w:u w:val="single"/>
        </w:rPr>
        <w:t>对于因开挖欠稳定或不稳定的边坡，以加固为原则，并尽可能多的对坡面进行绿化设计。稳定加固型采用锚杆、锚索等措施。对于不良地质地段，将采用不同的处治措施。</w:t>
      </w:r>
    </w:p>
    <w:p>
      <w:pPr>
        <w:spacing w:line="360" w:lineRule="auto"/>
        <w:ind w:firstLine="480"/>
        <w:rPr>
          <w:sz w:val="24"/>
          <w:szCs w:val="24"/>
          <w:u w:val="single"/>
        </w:rPr>
      </w:pPr>
      <w:r>
        <w:rPr>
          <w:rFonts w:hint="eastAsia"/>
          <w:sz w:val="24"/>
          <w:szCs w:val="24"/>
          <w:u w:val="single"/>
        </w:rPr>
        <w:t>当路堤边坡高度不超过</w:t>
      </w:r>
      <w:r>
        <w:rPr>
          <w:sz w:val="24"/>
          <w:szCs w:val="24"/>
          <w:u w:val="single"/>
        </w:rPr>
        <w:t>6m</w:t>
      </w:r>
      <w:r>
        <w:rPr>
          <w:rFonts w:hint="eastAsia"/>
          <w:sz w:val="24"/>
          <w:szCs w:val="24"/>
          <w:u w:val="single"/>
        </w:rPr>
        <w:t>时，边坡防护采用植草或铺草皮、三维网植草等合理的型式。当路堤边坡高度超过</w:t>
      </w:r>
      <w:r>
        <w:rPr>
          <w:sz w:val="24"/>
          <w:szCs w:val="24"/>
          <w:u w:val="single"/>
        </w:rPr>
        <w:t>6m</w:t>
      </w:r>
      <w:r>
        <w:rPr>
          <w:rFonts w:hint="eastAsia"/>
          <w:sz w:val="24"/>
          <w:szCs w:val="24"/>
          <w:u w:val="single"/>
        </w:rPr>
        <w:t>时，边坡防护主要是拱架防护、菱形格网防护、六菱形砼预制块防护等多方案比较，在选择合理型式的同时，力求自然、美观、多样化，并与沿线的自然景观协调。</w:t>
      </w:r>
    </w:p>
    <w:p>
      <w:pPr>
        <w:tabs>
          <w:tab w:val="left" w:pos="1485"/>
        </w:tabs>
        <w:adjustRightInd w:val="0"/>
        <w:snapToGrid w:val="0"/>
        <w:spacing w:line="360" w:lineRule="auto"/>
        <w:ind w:firstLine="496"/>
        <w:rPr>
          <w:kern w:val="0"/>
          <w:sz w:val="24"/>
          <w:u w:val="single"/>
        </w:rPr>
      </w:pPr>
      <w:r>
        <w:rPr>
          <w:kern w:val="0"/>
          <w:sz w:val="24"/>
          <w:u w:val="single"/>
        </w:rPr>
        <w:t>f</w:t>
      </w:r>
      <w:r>
        <w:rPr>
          <w:rFonts w:hint="eastAsia"/>
          <w:kern w:val="0"/>
          <w:sz w:val="24"/>
          <w:u w:val="single"/>
        </w:rPr>
        <w:t>）路基、路面排水</w:t>
      </w:r>
    </w:p>
    <w:p>
      <w:pPr>
        <w:adjustRightInd w:val="0"/>
        <w:snapToGrid w:val="0"/>
        <w:spacing w:line="360" w:lineRule="auto"/>
        <w:ind w:firstLine="480"/>
        <w:rPr>
          <w:sz w:val="24"/>
          <w:szCs w:val="24"/>
          <w:u w:val="single"/>
        </w:rPr>
      </w:pPr>
      <w:r>
        <w:rPr>
          <w:rFonts w:hint="eastAsia"/>
          <w:sz w:val="24"/>
          <w:szCs w:val="24"/>
          <w:u w:val="single"/>
        </w:rPr>
        <w:t>路基排水设施的设置，以排除路基、路面范围内的地表水和地下水，保证路基、路面的稳定，防止路面积水影响行车安全为原则。根据公路等级、沿线地形、地质、气象、桥涵位置等综合考虑，合理布置，并有足够的排水能力，同时完善对进出水口的处理，使各项排水设施衔接配合，确保排水通畅，并使养护工作量降至最小。路基排水设计与农田水利建设规划相配合，防止冲毁农田或危害农田水利设施。</w:t>
      </w:r>
    </w:p>
    <w:p>
      <w:pPr>
        <w:adjustRightInd w:val="0"/>
        <w:snapToGrid w:val="0"/>
        <w:spacing w:line="360" w:lineRule="auto"/>
        <w:ind w:firstLine="480"/>
        <w:rPr>
          <w:sz w:val="24"/>
          <w:szCs w:val="24"/>
          <w:u w:val="single"/>
        </w:rPr>
      </w:pPr>
      <w:r>
        <w:rPr>
          <w:rFonts w:hint="eastAsia"/>
          <w:sz w:val="24"/>
          <w:szCs w:val="24"/>
          <w:u w:val="single"/>
        </w:rPr>
        <w:t>本项目路基排水系统设计以不破坏原有自然排水为原则，沿线所经河流、排水沟渠、洼地及灌溉渠道均相应设置了桥梁、涵洞。路基采用集中排水，由路拱横坡、拱形骨架送水槽和路堑边沟以及边沟急流槽、路堤边沟等设施组成完善的排水系统。路基设计洪水频率为</w:t>
      </w:r>
      <w:r>
        <w:rPr>
          <w:sz w:val="24"/>
          <w:szCs w:val="24"/>
          <w:u w:val="single"/>
        </w:rPr>
        <w:t>50</w:t>
      </w:r>
      <w:r>
        <w:rPr>
          <w:rFonts w:hint="eastAsia"/>
          <w:sz w:val="24"/>
          <w:szCs w:val="24"/>
          <w:u w:val="single"/>
        </w:rPr>
        <w:t>年一遇。</w:t>
      </w:r>
    </w:p>
    <w:p>
      <w:pPr>
        <w:adjustRightInd w:val="0"/>
        <w:snapToGrid w:val="0"/>
        <w:spacing w:line="360" w:lineRule="auto"/>
        <w:ind w:firstLine="482"/>
        <w:rPr>
          <w:sz w:val="24"/>
          <w:szCs w:val="24"/>
          <w:u w:val="single"/>
        </w:rPr>
      </w:pPr>
      <w:r>
        <w:rPr>
          <w:rFonts w:hint="eastAsia"/>
          <w:sz w:val="24"/>
          <w:szCs w:val="24"/>
          <w:u w:val="single"/>
        </w:rPr>
        <w:t>路基排水主要通过两侧的路堑边沟、路堤边沟来进行。路堑边沟、路堤边沟将汇集的路面水、路基边坡水排入河沟或排入排水涵洞中，或开挖排水沟引离路基。路线经过河塘地段时，根据路堤边沟设计可设置填筑式边沟，或直接通过河塘排水，但一般不应将水排入鱼塘。路堑边沟纵坡一般不小于</w:t>
      </w:r>
      <w:r>
        <w:rPr>
          <w:sz w:val="24"/>
          <w:szCs w:val="24"/>
          <w:u w:val="single"/>
        </w:rPr>
        <w:t>0.3%</w:t>
      </w:r>
      <w:r>
        <w:rPr>
          <w:rFonts w:hint="eastAsia"/>
          <w:sz w:val="24"/>
          <w:szCs w:val="24"/>
          <w:u w:val="single"/>
        </w:rPr>
        <w:t>，坡长不超过</w:t>
      </w:r>
      <w:r>
        <w:rPr>
          <w:sz w:val="24"/>
          <w:szCs w:val="24"/>
          <w:u w:val="single"/>
        </w:rPr>
        <w:t>300m</w:t>
      </w:r>
      <w:r>
        <w:rPr>
          <w:rFonts w:hint="eastAsia"/>
          <w:sz w:val="24"/>
          <w:szCs w:val="24"/>
          <w:u w:val="single"/>
        </w:rPr>
        <w:t>，最大不超过</w:t>
      </w:r>
      <w:r>
        <w:rPr>
          <w:sz w:val="24"/>
          <w:szCs w:val="24"/>
          <w:u w:val="single"/>
        </w:rPr>
        <w:t>500m</w:t>
      </w:r>
      <w:r>
        <w:rPr>
          <w:rFonts w:hint="eastAsia"/>
          <w:sz w:val="24"/>
          <w:szCs w:val="24"/>
          <w:u w:val="single"/>
        </w:rPr>
        <w:t>。当路堑边沟与沟渠、道路发生交叉时，一般将路堑边沟水直接排入路堤边沟，遇灌溉渠时，则考虑将路堑边沟水向两侧排除，当路堑边沟水必须穿过道路时，则设置边沟过路涵穿越。路堑边沟（路堤边沟）出口与较大河沟相接处或边沟底高程与排水河沟常水位高程相差较大而可能发生冲刷时，采用边沟急流槽将水引入河沟中。过城镇路段结合原城镇排水系统设置矩形盖板边沟。</w:t>
      </w:r>
    </w:p>
    <w:p>
      <w:pPr>
        <w:adjustRightInd w:val="0"/>
        <w:snapToGrid w:val="0"/>
        <w:spacing w:line="360" w:lineRule="auto"/>
        <w:ind w:firstLine="482"/>
        <w:rPr>
          <w:sz w:val="24"/>
          <w:szCs w:val="24"/>
          <w:u w:val="single"/>
        </w:rPr>
      </w:pPr>
      <w:r>
        <w:rPr>
          <w:sz w:val="24"/>
          <w:szCs w:val="24"/>
          <w:u w:val="single"/>
        </w:rPr>
        <w:t>g</w:t>
      </w:r>
      <w:r>
        <w:rPr>
          <w:rFonts w:hint="eastAsia"/>
          <w:sz w:val="24"/>
          <w:szCs w:val="24"/>
          <w:u w:val="single"/>
        </w:rPr>
        <w:t>）特殊路基处理</w:t>
      </w:r>
    </w:p>
    <w:p>
      <w:pPr>
        <w:adjustRightInd w:val="0"/>
        <w:snapToGrid w:val="0"/>
        <w:spacing w:line="360" w:lineRule="auto"/>
        <w:ind w:firstLine="482"/>
        <w:rPr>
          <w:sz w:val="24"/>
          <w:szCs w:val="24"/>
          <w:u w:val="single"/>
        </w:rPr>
      </w:pPr>
      <w:r>
        <w:rPr>
          <w:rFonts w:hint="eastAsia"/>
          <w:sz w:val="24"/>
          <w:szCs w:val="24"/>
          <w:u w:val="single"/>
        </w:rPr>
        <w:t>路线对于软土路段，局部地下水较丰富，根据软土的的深度，采用相应的措施进行处理。如换填、碎石桩等。</w:t>
      </w:r>
    </w:p>
    <w:p>
      <w:pPr>
        <w:adjustRightInd w:val="0"/>
        <w:snapToGrid w:val="0"/>
        <w:spacing w:line="360" w:lineRule="auto"/>
        <w:ind w:firstLine="482"/>
        <w:rPr>
          <w:sz w:val="24"/>
          <w:szCs w:val="24"/>
          <w:u w:val="single"/>
        </w:rPr>
      </w:pPr>
      <w:r>
        <w:rPr>
          <w:rFonts w:hint="eastAsia"/>
          <w:sz w:val="24"/>
          <w:szCs w:val="24"/>
          <w:u w:val="single"/>
        </w:rPr>
        <w:t>对于溶岩不良地质路段，下一阶段设计应做好详细的地质勘探工作，使路线尽量避绕。对于不能避绕的局部路段可采用灌水泥浆等措施。</w:t>
      </w:r>
    </w:p>
    <w:p>
      <w:pPr>
        <w:pStyle w:val="3"/>
        <w:ind w:firstLine="31680"/>
        <w:rPr>
          <w:szCs w:val="24"/>
          <w:u w:val="single"/>
        </w:rPr>
      </w:pPr>
      <w:r>
        <w:rPr>
          <w:szCs w:val="24"/>
          <w:u w:val="single"/>
        </w:rPr>
        <w:t>h</w:t>
      </w:r>
      <w:r>
        <w:rPr>
          <w:rFonts w:hint="eastAsia"/>
          <w:szCs w:val="24"/>
          <w:u w:val="single"/>
        </w:rPr>
        <w:t>）取、弃土方案，环境保护及节约用地的措施</w:t>
      </w:r>
    </w:p>
    <w:p>
      <w:pPr>
        <w:adjustRightInd w:val="0"/>
        <w:snapToGrid w:val="0"/>
        <w:spacing w:line="360" w:lineRule="auto"/>
        <w:ind w:firstLine="480"/>
        <w:rPr>
          <w:sz w:val="24"/>
          <w:szCs w:val="24"/>
          <w:u w:val="single"/>
        </w:rPr>
      </w:pPr>
      <w:r>
        <w:rPr>
          <w:rFonts w:hint="eastAsia"/>
          <w:sz w:val="24"/>
          <w:szCs w:val="24"/>
          <w:u w:val="single"/>
        </w:rPr>
        <w:t>路基用土主要来源于边坡开挖，沿线山麓坡脚以及阶地、坡地和荒地，弃土可利用山地洼地等地带。沿线取、弃土可通过纵向调配，尽量利用挖废土石方，以挖作填，力求填挖平衡，尽量减少占地，减少环境污染。</w:t>
      </w:r>
    </w:p>
    <w:p>
      <w:pPr>
        <w:adjustRightInd w:val="0"/>
        <w:snapToGrid w:val="0"/>
        <w:spacing w:line="360" w:lineRule="auto"/>
        <w:ind w:firstLine="480"/>
        <w:rPr>
          <w:sz w:val="24"/>
          <w:szCs w:val="24"/>
          <w:u w:val="single"/>
        </w:rPr>
      </w:pPr>
      <w:r>
        <w:rPr>
          <w:rFonts w:hint="eastAsia"/>
          <w:sz w:val="24"/>
          <w:szCs w:val="24"/>
          <w:u w:val="single"/>
        </w:rPr>
        <w:t>在进行路线平面、纵断面及横断面设计时，根据地形地物等充分优化，合理选用技术指标，尽量避免高填深挖，尤其在水田地段，严格控制填方路基高度，以尽量少占土地，特别是少占良田。</w:t>
      </w:r>
    </w:p>
    <w:p>
      <w:pPr>
        <w:adjustRightInd w:val="0"/>
        <w:snapToGrid w:val="0"/>
        <w:spacing w:line="360" w:lineRule="auto"/>
        <w:ind w:firstLine="480"/>
        <w:rPr>
          <w:rFonts w:ascii="楷体_GB2312" w:eastAsia="楷体_GB2312"/>
          <w:b/>
          <w:sz w:val="24"/>
          <w:szCs w:val="24"/>
          <w:u w:val="single"/>
        </w:rPr>
      </w:pPr>
      <w:r>
        <w:rPr>
          <w:rFonts w:hint="eastAsia"/>
          <w:sz w:val="24"/>
          <w:szCs w:val="24"/>
          <w:u w:val="single"/>
        </w:rPr>
        <w:t>路基土石方以纵向调运为主，取土坑及弃土堆应尽量集中设在路线外荒山、荒坡上，并与当地政府有关部门联系协商，确定取弃土范围和深度。取弃土应与当地农田建设和自然环境相结合，尽量利用取土场、弃土堆改地造田或植树造林，节约用地，美化环境。沿线零星弃土场地施工时根据地形确定并应恢复植被或改造为可耕地用于农业生产。</w:t>
      </w:r>
    </w:p>
    <w:p>
      <w:pPr>
        <w:adjustRightInd w:val="0"/>
        <w:snapToGrid w:val="0"/>
        <w:spacing w:line="360" w:lineRule="auto"/>
        <w:ind w:firstLine="480"/>
        <w:rPr>
          <w:spacing w:val="-2"/>
          <w:sz w:val="24"/>
          <w:szCs w:val="24"/>
          <w:u w:val="single"/>
        </w:rPr>
      </w:pPr>
      <w:r>
        <w:rPr>
          <w:rFonts w:hint="eastAsia"/>
          <w:spacing w:val="-2"/>
          <w:sz w:val="24"/>
          <w:szCs w:val="24"/>
          <w:u w:val="single"/>
        </w:rPr>
        <w:t>弃土不任意倾倒，必须有规则的堆放在指定位置，并采取必要的排水及防护措施，避免雨水冲刷造成水土流失。清除的表土应集中堆放或堆于路堤两侧作为护道或用于沿线土地改造。</w:t>
      </w:r>
    </w:p>
    <w:p>
      <w:pPr>
        <w:pStyle w:val="3"/>
        <w:ind w:firstLine="31680"/>
        <w:rPr>
          <w:spacing w:val="-2"/>
          <w:szCs w:val="24"/>
          <w:u w:val="single"/>
        </w:rPr>
      </w:pPr>
      <w:r>
        <w:rPr>
          <w:rFonts w:hint="eastAsia"/>
          <w:spacing w:val="-2"/>
          <w:szCs w:val="24"/>
          <w:u w:val="single"/>
        </w:rPr>
        <w:t>结合边坡植草防护及植树绿化对挡墙、水沟等圬工构造物进行适当遮挡以美化路容景观。如坡顶截水沟采用圬工铺砌加固时，应在其内侧栽植灌木丛或草丛，可起到一定的遮掩作用。</w:t>
      </w:r>
    </w:p>
    <w:p>
      <w:pPr>
        <w:pStyle w:val="5"/>
        <w:widowControl/>
        <w:ind w:left="567" w:hanging="567"/>
        <w:rPr>
          <w:u w:val="single"/>
        </w:rPr>
      </w:pPr>
      <w:r>
        <w:rPr>
          <w:rFonts w:hint="eastAsia"/>
          <w:u w:val="single"/>
        </w:rPr>
        <w:t>路面工程</w:t>
      </w:r>
    </w:p>
    <w:p>
      <w:pPr>
        <w:pStyle w:val="3"/>
        <w:ind w:firstLine="31680"/>
        <w:rPr>
          <w:u w:val="single"/>
        </w:rPr>
      </w:pPr>
      <w:r>
        <w:rPr>
          <w:u w:val="single"/>
        </w:rPr>
        <w:t>a</w:t>
      </w:r>
      <w:r>
        <w:rPr>
          <w:rFonts w:hint="eastAsia"/>
          <w:u w:val="single"/>
        </w:rPr>
        <w:t>）路面方案</w:t>
      </w:r>
    </w:p>
    <w:p>
      <w:pPr>
        <w:adjustRightInd w:val="0"/>
        <w:snapToGrid w:val="0"/>
        <w:spacing w:line="360" w:lineRule="auto"/>
        <w:ind w:firstLine="482"/>
        <w:rPr>
          <w:sz w:val="24"/>
          <w:u w:val="single"/>
        </w:rPr>
      </w:pPr>
      <w:r>
        <w:rPr>
          <w:rFonts w:hint="eastAsia"/>
          <w:sz w:val="24"/>
          <w:u w:val="single"/>
        </w:rPr>
        <w:t>本项目采用特重交通典型路面结构，</w:t>
      </w:r>
      <w:r>
        <w:rPr>
          <w:rFonts w:hint="eastAsia"/>
          <w:sz w:val="24"/>
          <w:szCs w:val="24"/>
          <w:u w:val="single"/>
        </w:rPr>
        <w:t>路面结构如下</w:t>
      </w:r>
      <w:r>
        <w:rPr>
          <w:rFonts w:hint="eastAsia"/>
          <w:sz w:val="24"/>
          <w:u w:val="single"/>
        </w:rPr>
        <w:t>：</w:t>
      </w:r>
    </w:p>
    <w:p>
      <w:pPr>
        <w:adjustRightInd w:val="0"/>
        <w:snapToGrid w:val="0"/>
        <w:spacing w:line="360" w:lineRule="auto"/>
        <w:ind w:firstLine="482"/>
        <w:rPr>
          <w:sz w:val="24"/>
          <w:u w:val="single"/>
        </w:rPr>
      </w:pPr>
      <w:r>
        <w:rPr>
          <w:rFonts w:hint="eastAsia"/>
          <w:sz w:val="24"/>
          <w:u w:val="single"/>
        </w:rPr>
        <w:t>上面层：</w:t>
      </w:r>
      <w:r>
        <w:rPr>
          <w:sz w:val="24"/>
          <w:u w:val="single"/>
        </w:rPr>
        <w:t>4cm</w:t>
      </w:r>
      <w:r>
        <w:rPr>
          <w:rFonts w:hint="eastAsia"/>
          <w:sz w:val="24"/>
          <w:szCs w:val="24"/>
          <w:u w:val="single"/>
        </w:rPr>
        <w:t>厚细粒式改性沥青混凝土</w:t>
      </w:r>
      <w:r>
        <w:rPr>
          <w:rFonts w:hint="eastAsia"/>
          <w:sz w:val="24"/>
          <w:u w:val="single"/>
        </w:rPr>
        <w:t>（</w:t>
      </w:r>
      <w:r>
        <w:rPr>
          <w:sz w:val="24"/>
          <w:u w:val="single"/>
        </w:rPr>
        <w:t>AC-13C</w:t>
      </w:r>
      <w:r>
        <w:rPr>
          <w:rFonts w:hint="eastAsia"/>
          <w:sz w:val="24"/>
          <w:u w:val="single"/>
        </w:rPr>
        <w:t>）</w:t>
      </w:r>
    </w:p>
    <w:p>
      <w:pPr>
        <w:adjustRightInd w:val="0"/>
        <w:snapToGrid w:val="0"/>
        <w:spacing w:line="360" w:lineRule="auto"/>
        <w:ind w:firstLine="482"/>
        <w:rPr>
          <w:sz w:val="24"/>
          <w:u w:val="single"/>
        </w:rPr>
      </w:pPr>
      <w:r>
        <w:rPr>
          <w:rFonts w:hint="eastAsia"/>
          <w:sz w:val="24"/>
          <w:u w:val="single"/>
        </w:rPr>
        <w:t>下面层：</w:t>
      </w:r>
      <w:r>
        <w:rPr>
          <w:sz w:val="24"/>
          <w:u w:val="single"/>
        </w:rPr>
        <w:t>5cm</w:t>
      </w:r>
      <w:r>
        <w:rPr>
          <w:rFonts w:hint="eastAsia"/>
          <w:sz w:val="24"/>
          <w:szCs w:val="24"/>
          <w:u w:val="single"/>
        </w:rPr>
        <w:t>厚粗粒式沥青混凝土</w:t>
      </w:r>
      <w:r>
        <w:rPr>
          <w:rFonts w:hint="eastAsia"/>
          <w:sz w:val="24"/>
          <w:u w:val="single"/>
        </w:rPr>
        <w:t>（</w:t>
      </w:r>
      <w:r>
        <w:rPr>
          <w:sz w:val="24"/>
          <w:u w:val="single"/>
        </w:rPr>
        <w:t>AC-20C</w:t>
      </w:r>
      <w:r>
        <w:rPr>
          <w:rFonts w:hint="eastAsia"/>
          <w:sz w:val="24"/>
          <w:u w:val="single"/>
        </w:rPr>
        <w:t>）</w:t>
      </w:r>
    </w:p>
    <w:p>
      <w:pPr>
        <w:adjustRightInd w:val="0"/>
        <w:snapToGrid w:val="0"/>
        <w:spacing w:line="360" w:lineRule="auto"/>
        <w:ind w:firstLine="482"/>
        <w:rPr>
          <w:sz w:val="24"/>
          <w:u w:val="single"/>
        </w:rPr>
      </w:pPr>
      <w:r>
        <w:rPr>
          <w:rFonts w:hint="eastAsia"/>
          <w:sz w:val="24"/>
          <w:u w:val="single"/>
        </w:rPr>
        <w:t>封</w:t>
      </w:r>
      <w:r>
        <w:rPr>
          <w:sz w:val="24"/>
          <w:u w:val="single"/>
        </w:rPr>
        <w:t xml:space="preserve">  </w:t>
      </w:r>
      <w:r>
        <w:rPr>
          <w:rFonts w:hint="eastAsia"/>
          <w:sz w:val="24"/>
          <w:u w:val="single"/>
        </w:rPr>
        <w:t>层：</w:t>
      </w:r>
      <w:r>
        <w:rPr>
          <w:sz w:val="24"/>
          <w:u w:val="single"/>
        </w:rPr>
        <w:t>1.0cm</w:t>
      </w:r>
      <w:r>
        <w:rPr>
          <w:rFonts w:hint="eastAsia"/>
          <w:sz w:val="24"/>
          <w:szCs w:val="24"/>
          <w:u w:val="single"/>
        </w:rPr>
        <w:t>厚沥青单层表处</w:t>
      </w:r>
    </w:p>
    <w:p>
      <w:pPr>
        <w:adjustRightInd w:val="0"/>
        <w:snapToGrid w:val="0"/>
        <w:spacing w:line="360" w:lineRule="auto"/>
        <w:ind w:firstLine="482"/>
        <w:rPr>
          <w:sz w:val="24"/>
          <w:u w:val="single"/>
        </w:rPr>
      </w:pPr>
      <w:r>
        <w:rPr>
          <w:rFonts w:hint="eastAsia"/>
          <w:sz w:val="24"/>
          <w:u w:val="single"/>
        </w:rPr>
        <w:t>基</w:t>
      </w:r>
      <w:r>
        <w:rPr>
          <w:sz w:val="24"/>
          <w:u w:val="single"/>
        </w:rPr>
        <w:t xml:space="preserve">  </w:t>
      </w:r>
      <w:r>
        <w:rPr>
          <w:rFonts w:hint="eastAsia"/>
          <w:sz w:val="24"/>
          <w:u w:val="single"/>
        </w:rPr>
        <w:t>层：</w:t>
      </w:r>
      <w:r>
        <w:rPr>
          <w:sz w:val="24"/>
          <w:u w:val="single"/>
        </w:rPr>
        <w:t>34cm</w:t>
      </w:r>
      <w:r>
        <w:rPr>
          <w:rFonts w:hint="eastAsia"/>
          <w:sz w:val="24"/>
          <w:u w:val="single"/>
        </w:rPr>
        <w:t>厚</w:t>
      </w:r>
      <w:r>
        <w:rPr>
          <w:sz w:val="24"/>
          <w:u w:val="single"/>
        </w:rPr>
        <w:t>5%</w:t>
      </w:r>
      <w:r>
        <w:rPr>
          <w:rFonts w:hint="eastAsia"/>
          <w:sz w:val="24"/>
          <w:u w:val="single"/>
        </w:rPr>
        <w:t>水泥稳定碎石</w:t>
      </w:r>
    </w:p>
    <w:p>
      <w:pPr>
        <w:adjustRightInd w:val="0"/>
        <w:snapToGrid w:val="0"/>
        <w:spacing w:line="360" w:lineRule="auto"/>
        <w:ind w:firstLine="482"/>
        <w:rPr>
          <w:sz w:val="24"/>
          <w:u w:val="single"/>
        </w:rPr>
      </w:pPr>
      <w:r>
        <w:rPr>
          <w:rFonts w:hint="eastAsia"/>
          <w:sz w:val="24"/>
          <w:u w:val="single"/>
        </w:rPr>
        <w:t>底基层：</w:t>
      </w:r>
      <w:r>
        <w:rPr>
          <w:sz w:val="24"/>
          <w:u w:val="single"/>
        </w:rPr>
        <w:t>17cm</w:t>
      </w:r>
      <w:r>
        <w:rPr>
          <w:rFonts w:hint="eastAsia"/>
          <w:sz w:val="24"/>
          <w:u w:val="single"/>
        </w:rPr>
        <w:t>厚</w:t>
      </w:r>
      <w:r>
        <w:rPr>
          <w:sz w:val="24"/>
          <w:u w:val="single"/>
        </w:rPr>
        <w:t>4%</w:t>
      </w:r>
      <w:r>
        <w:rPr>
          <w:rFonts w:hint="eastAsia"/>
          <w:sz w:val="24"/>
          <w:u w:val="single"/>
        </w:rPr>
        <w:t>水泥稳定碎石</w:t>
      </w:r>
    </w:p>
    <w:p>
      <w:pPr>
        <w:adjustRightInd w:val="0"/>
        <w:snapToGrid w:val="0"/>
        <w:spacing w:line="360" w:lineRule="auto"/>
        <w:ind w:firstLine="482"/>
        <w:rPr>
          <w:sz w:val="24"/>
          <w:u w:val="single"/>
        </w:rPr>
      </w:pPr>
      <w:r>
        <w:rPr>
          <w:rFonts w:hint="eastAsia"/>
          <w:sz w:val="24"/>
          <w:u w:val="single"/>
        </w:rPr>
        <w:t>垫</w:t>
      </w:r>
      <w:r>
        <w:rPr>
          <w:sz w:val="24"/>
          <w:u w:val="single"/>
        </w:rPr>
        <w:t xml:space="preserve">  </w:t>
      </w:r>
      <w:r>
        <w:rPr>
          <w:rFonts w:hint="eastAsia"/>
          <w:sz w:val="24"/>
          <w:u w:val="single"/>
        </w:rPr>
        <w:t>层：</w:t>
      </w:r>
      <w:r>
        <w:rPr>
          <w:sz w:val="24"/>
          <w:u w:val="single"/>
        </w:rPr>
        <w:t>20cm</w:t>
      </w:r>
      <w:r>
        <w:rPr>
          <w:rFonts w:hint="eastAsia"/>
          <w:sz w:val="24"/>
          <w:szCs w:val="24"/>
          <w:u w:val="single"/>
        </w:rPr>
        <w:t>厚级配碎石垫层</w:t>
      </w:r>
    </w:p>
    <w:p>
      <w:pPr>
        <w:pStyle w:val="3"/>
        <w:ind w:firstLine="31680"/>
        <w:rPr>
          <w:u w:val="single"/>
        </w:rPr>
      </w:pPr>
      <w:r>
        <w:rPr>
          <w:u w:val="single"/>
        </w:rPr>
        <w:t>b</w:t>
      </w:r>
      <w:r>
        <w:rPr>
          <w:rFonts w:hint="eastAsia"/>
          <w:u w:val="single"/>
        </w:rPr>
        <w:t>）路面排水</w:t>
      </w:r>
    </w:p>
    <w:p>
      <w:pPr>
        <w:adjustRightInd w:val="0"/>
        <w:snapToGrid w:val="0"/>
        <w:spacing w:line="360" w:lineRule="auto"/>
        <w:ind w:firstLine="480"/>
        <w:rPr>
          <w:sz w:val="24"/>
          <w:szCs w:val="24"/>
          <w:u w:val="single"/>
        </w:rPr>
      </w:pPr>
      <w:r>
        <w:rPr>
          <w:rFonts w:hint="eastAsia"/>
          <w:sz w:val="24"/>
          <w:szCs w:val="24"/>
          <w:u w:val="single"/>
        </w:rPr>
        <w:t>路面排水包括路面表面排水、路面结构排水，其设计原则是将降落在路面表面范围内的表面水和渗入路面结构内部的滞留水通过有效、合理的措施排出路基外，以减少对路基和路面的危害以及对行车安全的威胁。路面表面水采用漫流形式排入排水沟中，在低填方和挖方路段设置排水垫层和纵向渗沟，将路面结构内的自由水或底下渗水排出。</w:t>
      </w:r>
    </w:p>
    <w:p>
      <w:pPr>
        <w:pStyle w:val="5"/>
        <w:widowControl/>
        <w:ind w:left="567" w:hanging="567"/>
        <w:rPr>
          <w:u w:val="single"/>
        </w:rPr>
      </w:pPr>
      <w:r>
        <w:rPr>
          <w:rFonts w:hint="eastAsia"/>
          <w:u w:val="single"/>
        </w:rPr>
        <w:t>桥涵工程</w:t>
      </w:r>
    </w:p>
    <w:p>
      <w:pPr>
        <w:pStyle w:val="3"/>
        <w:ind w:firstLine="31680"/>
        <w:rPr>
          <w:u w:val="single"/>
        </w:rPr>
      </w:pPr>
      <w:r>
        <w:rPr>
          <w:u w:val="single"/>
        </w:rPr>
        <w:t>a</w:t>
      </w:r>
      <w:r>
        <w:rPr>
          <w:rFonts w:hint="eastAsia"/>
          <w:u w:val="single"/>
        </w:rPr>
        <w:t>）桥梁工程</w:t>
      </w:r>
    </w:p>
    <w:p>
      <w:pPr>
        <w:pStyle w:val="3"/>
        <w:ind w:firstLine="31680"/>
        <w:rPr>
          <w:szCs w:val="24"/>
          <w:u w:val="single"/>
        </w:rPr>
      </w:pPr>
      <w:r>
        <w:rPr>
          <w:rFonts w:hint="eastAsia"/>
          <w:u w:val="single"/>
        </w:rPr>
        <w:t>本项目推荐方案共新建中桥</w:t>
      </w:r>
      <w:r>
        <w:rPr>
          <w:u w:val="single"/>
        </w:rPr>
        <w:t>52m/2</w:t>
      </w:r>
      <w:r>
        <w:rPr>
          <w:rFonts w:hint="eastAsia"/>
          <w:u w:val="single"/>
        </w:rPr>
        <w:t>座，</w:t>
      </w:r>
      <w:r>
        <w:rPr>
          <w:rFonts w:hint="eastAsia" w:cs="宋体"/>
          <w:u w:val="single"/>
        </w:rPr>
        <w:t>本项目</w:t>
      </w:r>
      <w:r>
        <w:rPr>
          <w:rFonts w:hint="eastAsia" w:ascii="Arial" w:hAnsi="Arial" w:cs="Arial"/>
          <w:u w:val="single"/>
          <w:lang w:val="sq-AL"/>
        </w:rPr>
        <w:t>设涵洞</w:t>
      </w:r>
      <w:r>
        <w:rPr>
          <w:rFonts w:cs="宋体"/>
          <w:u w:val="single"/>
        </w:rPr>
        <w:t>42</w:t>
      </w:r>
      <w:r>
        <w:rPr>
          <w:rFonts w:hint="eastAsia" w:cs="宋体"/>
          <w:u w:val="single"/>
        </w:rPr>
        <w:t>道，其中涵洞</w:t>
      </w:r>
      <w:r>
        <w:rPr>
          <w:rFonts w:cs="宋体"/>
          <w:u w:val="single"/>
        </w:rPr>
        <w:t>38</w:t>
      </w:r>
      <w:r>
        <w:rPr>
          <w:rFonts w:hint="eastAsia" w:cs="宋体"/>
          <w:u w:val="single"/>
        </w:rPr>
        <w:t>道、通道</w:t>
      </w:r>
      <w:r>
        <w:rPr>
          <w:rFonts w:cs="宋体"/>
          <w:u w:val="single"/>
        </w:rPr>
        <w:t>4</w:t>
      </w:r>
      <w:r>
        <w:rPr>
          <w:rFonts w:hint="eastAsia" w:cs="宋体"/>
          <w:u w:val="single"/>
        </w:rPr>
        <w:t>道</w:t>
      </w:r>
      <w:r>
        <w:rPr>
          <w:rFonts w:hint="eastAsia"/>
          <w:u w:val="single"/>
        </w:rPr>
        <w:t>。本工程推荐路线方案桥梁布置情况见表</w:t>
      </w:r>
      <w:r>
        <w:rPr>
          <w:u w:val="single"/>
        </w:rPr>
        <w:t>3.5-1</w:t>
      </w:r>
      <w:r>
        <w:rPr>
          <w:rFonts w:hint="eastAsia"/>
          <w:u w:val="single"/>
        </w:rPr>
        <w:t>。</w:t>
      </w:r>
    </w:p>
    <w:p>
      <w:pPr>
        <w:widowControl/>
        <w:jc w:val="left"/>
        <w:rPr>
          <w:color w:val="FF0000"/>
          <w:kern w:val="0"/>
          <w:sz w:val="24"/>
          <w:u w:val="single"/>
        </w:rPr>
      </w:pPr>
      <w:r>
        <w:rPr>
          <w:color w:val="FF0000"/>
          <w:u w:val="single"/>
        </w:rPr>
        <w:br w:type="page"/>
      </w:r>
    </w:p>
    <w:p>
      <w:pPr>
        <w:pStyle w:val="3"/>
        <w:ind w:firstLine="0" w:firstLineChars="0"/>
        <w:jc w:val="center"/>
        <w:rPr>
          <w:color w:val="000000"/>
          <w:u w:val="single"/>
        </w:rPr>
      </w:pPr>
      <w:r>
        <w:rPr>
          <w:rFonts w:hint="eastAsia"/>
          <w:color w:val="000000"/>
          <w:u w:val="single"/>
        </w:rPr>
        <w:t>表</w:t>
      </w:r>
      <w:r>
        <w:rPr>
          <w:color w:val="000000"/>
          <w:u w:val="single"/>
        </w:rPr>
        <w:t xml:space="preserve">3.5-1   </w:t>
      </w:r>
      <w:r>
        <w:rPr>
          <w:rFonts w:hint="eastAsia"/>
          <w:color w:val="000000"/>
          <w:u w:val="single"/>
        </w:rPr>
        <w:t>本工程推荐路线方案桥梁布置情况</w:t>
      </w:r>
    </w:p>
    <w:tbl>
      <w:tblPr>
        <w:tblStyle w:val="65"/>
        <w:tblW w:w="9469" w:type="dxa"/>
        <w:jc w:val="center"/>
        <w:tblInd w:w="80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70"/>
        <w:gridCol w:w="889"/>
        <w:gridCol w:w="1206"/>
        <w:gridCol w:w="1044"/>
        <w:gridCol w:w="657"/>
        <w:gridCol w:w="709"/>
        <w:gridCol w:w="992"/>
        <w:gridCol w:w="936"/>
        <w:gridCol w:w="1134"/>
        <w:gridCol w:w="13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570" w:type="dxa"/>
            <w:vAlign w:val="center"/>
          </w:tcPr>
          <w:p>
            <w:pPr>
              <w:jc w:val="center"/>
              <w:rPr>
                <w:color w:val="000000"/>
                <w:sz w:val="18"/>
                <w:szCs w:val="18"/>
                <w:u w:val="single"/>
              </w:rPr>
            </w:pPr>
            <w:r>
              <w:rPr>
                <w:rFonts w:hint="eastAsia"/>
                <w:color w:val="000000"/>
                <w:sz w:val="18"/>
                <w:szCs w:val="18"/>
                <w:u w:val="single"/>
              </w:rPr>
              <w:t>序号</w:t>
            </w:r>
          </w:p>
        </w:tc>
        <w:tc>
          <w:tcPr>
            <w:tcW w:w="889" w:type="dxa"/>
            <w:vAlign w:val="center"/>
          </w:tcPr>
          <w:p>
            <w:pPr>
              <w:jc w:val="center"/>
              <w:rPr>
                <w:color w:val="000000"/>
                <w:sz w:val="18"/>
                <w:szCs w:val="18"/>
                <w:u w:val="single"/>
              </w:rPr>
            </w:pPr>
            <w:r>
              <w:rPr>
                <w:rFonts w:hint="eastAsia"/>
                <w:color w:val="000000"/>
                <w:sz w:val="18"/>
                <w:szCs w:val="18"/>
                <w:u w:val="single"/>
              </w:rPr>
              <w:t>中心桩号</w:t>
            </w:r>
          </w:p>
        </w:tc>
        <w:tc>
          <w:tcPr>
            <w:tcW w:w="1206" w:type="dxa"/>
            <w:vAlign w:val="center"/>
          </w:tcPr>
          <w:p>
            <w:pPr>
              <w:jc w:val="center"/>
              <w:rPr>
                <w:color w:val="000000"/>
                <w:sz w:val="18"/>
                <w:szCs w:val="18"/>
                <w:u w:val="single"/>
              </w:rPr>
            </w:pPr>
            <w:r>
              <w:rPr>
                <w:rFonts w:hint="eastAsia"/>
                <w:color w:val="000000"/>
                <w:sz w:val="18"/>
                <w:szCs w:val="18"/>
                <w:u w:val="single"/>
              </w:rPr>
              <w:t>桥名</w:t>
            </w:r>
          </w:p>
        </w:tc>
        <w:tc>
          <w:tcPr>
            <w:tcW w:w="1044" w:type="dxa"/>
            <w:vAlign w:val="center"/>
          </w:tcPr>
          <w:p>
            <w:pPr>
              <w:jc w:val="center"/>
              <w:rPr>
                <w:color w:val="000000"/>
                <w:sz w:val="18"/>
                <w:szCs w:val="18"/>
                <w:u w:val="single"/>
              </w:rPr>
            </w:pPr>
            <w:r>
              <w:rPr>
                <w:rFonts w:hint="eastAsia"/>
                <w:color w:val="000000"/>
                <w:sz w:val="18"/>
                <w:szCs w:val="18"/>
                <w:u w:val="single"/>
              </w:rPr>
              <w:t>孔数</w:t>
            </w:r>
            <w:r>
              <w:rPr>
                <w:color w:val="000000"/>
                <w:sz w:val="18"/>
                <w:szCs w:val="18"/>
                <w:u w:val="single"/>
              </w:rPr>
              <w:t>-</w:t>
            </w:r>
            <w:r>
              <w:rPr>
                <w:rFonts w:hint="eastAsia"/>
                <w:color w:val="000000"/>
                <w:sz w:val="18"/>
                <w:szCs w:val="18"/>
                <w:u w:val="single"/>
              </w:rPr>
              <w:t>跨径</w:t>
            </w:r>
          </w:p>
          <w:p>
            <w:pPr>
              <w:jc w:val="center"/>
              <w:rPr>
                <w:color w:val="000000"/>
                <w:sz w:val="18"/>
                <w:szCs w:val="18"/>
                <w:u w:val="single"/>
              </w:rPr>
            </w:pPr>
            <w:r>
              <w:rPr>
                <w:rFonts w:hint="eastAsia"/>
                <w:color w:val="000000"/>
                <w:sz w:val="18"/>
                <w:szCs w:val="18"/>
                <w:u w:val="single"/>
              </w:rPr>
              <w:t>（孔</w:t>
            </w:r>
            <w:r>
              <w:rPr>
                <w:color w:val="000000"/>
                <w:sz w:val="18"/>
                <w:szCs w:val="18"/>
                <w:u w:val="single"/>
              </w:rPr>
              <w:t>—</w:t>
            </w:r>
            <w:r>
              <w:rPr>
                <w:rFonts w:hint="eastAsia"/>
                <w:color w:val="000000"/>
                <w:sz w:val="18"/>
                <w:szCs w:val="18"/>
                <w:u w:val="single"/>
              </w:rPr>
              <w:t>米）</w:t>
            </w:r>
          </w:p>
        </w:tc>
        <w:tc>
          <w:tcPr>
            <w:tcW w:w="657" w:type="dxa"/>
            <w:vAlign w:val="center"/>
          </w:tcPr>
          <w:p>
            <w:pPr>
              <w:jc w:val="center"/>
              <w:rPr>
                <w:color w:val="000000"/>
                <w:sz w:val="18"/>
                <w:szCs w:val="18"/>
                <w:u w:val="single"/>
              </w:rPr>
            </w:pPr>
            <w:r>
              <w:rPr>
                <w:rFonts w:hint="eastAsia"/>
                <w:color w:val="000000"/>
                <w:sz w:val="18"/>
                <w:szCs w:val="18"/>
                <w:u w:val="single"/>
              </w:rPr>
              <w:t>宽度（</w:t>
            </w:r>
            <w:r>
              <w:rPr>
                <w:color w:val="000000"/>
                <w:sz w:val="18"/>
                <w:szCs w:val="18"/>
                <w:u w:val="single"/>
              </w:rPr>
              <w:t>m</w:t>
            </w:r>
            <w:r>
              <w:rPr>
                <w:rFonts w:hint="eastAsia"/>
                <w:color w:val="000000"/>
                <w:sz w:val="18"/>
                <w:szCs w:val="18"/>
                <w:u w:val="single"/>
              </w:rPr>
              <w:t>）</w:t>
            </w:r>
          </w:p>
        </w:tc>
        <w:tc>
          <w:tcPr>
            <w:tcW w:w="709" w:type="dxa"/>
            <w:vAlign w:val="center"/>
          </w:tcPr>
          <w:p>
            <w:pPr>
              <w:jc w:val="center"/>
              <w:rPr>
                <w:color w:val="000000"/>
                <w:sz w:val="18"/>
                <w:szCs w:val="18"/>
                <w:u w:val="single"/>
              </w:rPr>
            </w:pPr>
            <w:r>
              <w:rPr>
                <w:rFonts w:hint="eastAsia"/>
                <w:color w:val="000000"/>
                <w:sz w:val="18"/>
                <w:szCs w:val="18"/>
                <w:u w:val="single"/>
              </w:rPr>
              <w:t>全长（</w:t>
            </w:r>
            <w:r>
              <w:rPr>
                <w:color w:val="000000"/>
                <w:sz w:val="18"/>
                <w:szCs w:val="18"/>
                <w:u w:val="single"/>
              </w:rPr>
              <w:t>m</w:t>
            </w:r>
            <w:r>
              <w:rPr>
                <w:rFonts w:hint="eastAsia"/>
                <w:color w:val="000000"/>
                <w:sz w:val="18"/>
                <w:szCs w:val="18"/>
                <w:u w:val="single"/>
              </w:rPr>
              <w:t>）</w:t>
            </w:r>
          </w:p>
        </w:tc>
        <w:tc>
          <w:tcPr>
            <w:tcW w:w="992" w:type="dxa"/>
            <w:vAlign w:val="center"/>
          </w:tcPr>
          <w:p>
            <w:pPr>
              <w:jc w:val="center"/>
              <w:rPr>
                <w:color w:val="000000"/>
                <w:sz w:val="18"/>
                <w:szCs w:val="18"/>
                <w:u w:val="single"/>
              </w:rPr>
            </w:pPr>
            <w:r>
              <w:rPr>
                <w:rFonts w:hint="eastAsia"/>
                <w:color w:val="000000"/>
                <w:sz w:val="18"/>
                <w:szCs w:val="18"/>
                <w:u w:val="single"/>
              </w:rPr>
              <w:t>上部结构</w:t>
            </w:r>
          </w:p>
        </w:tc>
        <w:tc>
          <w:tcPr>
            <w:tcW w:w="936" w:type="dxa"/>
            <w:vAlign w:val="center"/>
          </w:tcPr>
          <w:p>
            <w:pPr>
              <w:jc w:val="center"/>
              <w:rPr>
                <w:color w:val="000000"/>
                <w:sz w:val="18"/>
                <w:szCs w:val="18"/>
                <w:u w:val="single"/>
              </w:rPr>
            </w:pPr>
            <w:r>
              <w:rPr>
                <w:rFonts w:hint="eastAsia"/>
                <w:color w:val="000000"/>
                <w:sz w:val="18"/>
                <w:szCs w:val="18"/>
                <w:u w:val="single"/>
              </w:rPr>
              <w:t>下部结构</w:t>
            </w:r>
          </w:p>
        </w:tc>
        <w:tc>
          <w:tcPr>
            <w:tcW w:w="1134" w:type="dxa"/>
            <w:vAlign w:val="center"/>
          </w:tcPr>
          <w:p>
            <w:pPr>
              <w:jc w:val="center"/>
              <w:rPr>
                <w:color w:val="000000"/>
                <w:sz w:val="18"/>
                <w:szCs w:val="18"/>
                <w:u w:val="single"/>
              </w:rPr>
            </w:pPr>
            <w:r>
              <w:rPr>
                <w:rFonts w:hint="eastAsia"/>
                <w:color w:val="000000"/>
                <w:sz w:val="18"/>
                <w:szCs w:val="18"/>
                <w:u w:val="single"/>
              </w:rPr>
              <w:t>所跨水体</w:t>
            </w:r>
          </w:p>
        </w:tc>
        <w:tc>
          <w:tcPr>
            <w:tcW w:w="1332" w:type="dxa"/>
            <w:vAlign w:val="center"/>
          </w:tcPr>
          <w:p>
            <w:pPr>
              <w:jc w:val="center"/>
              <w:rPr>
                <w:color w:val="000000"/>
                <w:sz w:val="18"/>
                <w:szCs w:val="18"/>
                <w:u w:val="single"/>
              </w:rPr>
            </w:pPr>
            <w:r>
              <w:rPr>
                <w:rFonts w:hint="eastAsia"/>
                <w:color w:val="000000"/>
                <w:sz w:val="18"/>
                <w:szCs w:val="18"/>
                <w:u w:val="singl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570" w:type="dxa"/>
            <w:vAlign w:val="center"/>
          </w:tcPr>
          <w:p>
            <w:pPr>
              <w:jc w:val="center"/>
              <w:rPr>
                <w:color w:val="000000"/>
                <w:sz w:val="18"/>
                <w:szCs w:val="18"/>
                <w:u w:val="single"/>
              </w:rPr>
            </w:pPr>
            <w:r>
              <w:rPr>
                <w:color w:val="000000"/>
                <w:sz w:val="18"/>
                <w:szCs w:val="18"/>
                <w:u w:val="single"/>
              </w:rPr>
              <w:t>1</w:t>
            </w:r>
          </w:p>
        </w:tc>
        <w:tc>
          <w:tcPr>
            <w:tcW w:w="889" w:type="dxa"/>
            <w:vAlign w:val="center"/>
          </w:tcPr>
          <w:p>
            <w:pPr>
              <w:widowControl/>
              <w:jc w:val="center"/>
              <w:rPr>
                <w:rFonts w:cs="宋体"/>
                <w:color w:val="000000"/>
                <w:kern w:val="0"/>
                <w:sz w:val="18"/>
                <w:szCs w:val="18"/>
                <w:u w:val="single"/>
              </w:rPr>
            </w:pPr>
            <w:r>
              <w:rPr>
                <w:rFonts w:cs="宋体"/>
                <w:color w:val="000000"/>
                <w:kern w:val="0"/>
                <w:sz w:val="18"/>
                <w:szCs w:val="18"/>
                <w:u w:val="single"/>
              </w:rPr>
              <w:t>K1+180</w:t>
            </w:r>
          </w:p>
        </w:tc>
        <w:tc>
          <w:tcPr>
            <w:tcW w:w="1206" w:type="dxa"/>
            <w:vAlign w:val="center"/>
          </w:tcPr>
          <w:p>
            <w:pPr>
              <w:widowControl/>
              <w:jc w:val="center"/>
              <w:rPr>
                <w:rFonts w:cs="宋体"/>
                <w:color w:val="000000"/>
                <w:kern w:val="0"/>
                <w:sz w:val="18"/>
                <w:szCs w:val="18"/>
                <w:u w:val="single"/>
              </w:rPr>
            </w:pPr>
            <w:r>
              <w:rPr>
                <w:rFonts w:hint="eastAsia" w:cs="宋体"/>
                <w:color w:val="000000"/>
                <w:kern w:val="0"/>
                <w:sz w:val="18"/>
                <w:szCs w:val="18"/>
                <w:u w:val="single"/>
              </w:rPr>
              <w:t>樟树塘桥</w:t>
            </w:r>
          </w:p>
        </w:tc>
        <w:tc>
          <w:tcPr>
            <w:tcW w:w="1044" w:type="dxa"/>
            <w:vAlign w:val="center"/>
          </w:tcPr>
          <w:p>
            <w:pPr>
              <w:widowControl/>
              <w:jc w:val="center"/>
              <w:rPr>
                <w:rFonts w:cs="宋体"/>
                <w:color w:val="000000"/>
                <w:kern w:val="0"/>
                <w:sz w:val="18"/>
                <w:szCs w:val="18"/>
                <w:u w:val="single"/>
              </w:rPr>
            </w:pPr>
            <w:r>
              <w:rPr>
                <w:rFonts w:cs="宋体"/>
                <w:color w:val="000000"/>
                <w:kern w:val="0"/>
                <w:sz w:val="18"/>
                <w:szCs w:val="18"/>
                <w:u w:val="single"/>
              </w:rPr>
              <w:t>1</w:t>
            </w:r>
            <w:r>
              <w:rPr>
                <w:rFonts w:hint="eastAsia" w:cs="宋体"/>
                <w:color w:val="000000"/>
                <w:kern w:val="0"/>
                <w:sz w:val="18"/>
                <w:szCs w:val="18"/>
                <w:u w:val="single"/>
              </w:rPr>
              <w:t>×</w:t>
            </w:r>
            <w:r>
              <w:rPr>
                <w:rFonts w:cs="宋体"/>
                <w:color w:val="000000"/>
                <w:kern w:val="0"/>
                <w:sz w:val="18"/>
                <w:szCs w:val="18"/>
                <w:u w:val="single"/>
              </w:rPr>
              <w:t>20</w:t>
            </w:r>
          </w:p>
        </w:tc>
        <w:tc>
          <w:tcPr>
            <w:tcW w:w="657" w:type="dxa"/>
            <w:vAlign w:val="center"/>
          </w:tcPr>
          <w:p>
            <w:pPr>
              <w:widowControl/>
              <w:jc w:val="center"/>
              <w:rPr>
                <w:rFonts w:cs="宋体"/>
                <w:color w:val="000000"/>
                <w:kern w:val="0"/>
                <w:sz w:val="18"/>
                <w:szCs w:val="18"/>
                <w:u w:val="single"/>
              </w:rPr>
            </w:pPr>
            <w:r>
              <w:rPr>
                <w:rFonts w:cs="宋体"/>
                <w:color w:val="000000"/>
                <w:kern w:val="0"/>
                <w:sz w:val="18"/>
                <w:szCs w:val="18"/>
                <w:u w:val="single"/>
              </w:rPr>
              <w:t>16</w:t>
            </w:r>
          </w:p>
        </w:tc>
        <w:tc>
          <w:tcPr>
            <w:tcW w:w="709" w:type="dxa"/>
            <w:vAlign w:val="center"/>
          </w:tcPr>
          <w:p>
            <w:pPr>
              <w:jc w:val="center"/>
              <w:rPr>
                <w:color w:val="000000"/>
                <w:sz w:val="18"/>
                <w:szCs w:val="18"/>
                <w:u w:val="single"/>
              </w:rPr>
            </w:pPr>
            <w:r>
              <w:rPr>
                <w:color w:val="000000"/>
                <w:sz w:val="18"/>
                <w:szCs w:val="18"/>
                <w:u w:val="single"/>
              </w:rPr>
              <w:t>26</w:t>
            </w:r>
          </w:p>
        </w:tc>
        <w:tc>
          <w:tcPr>
            <w:tcW w:w="992" w:type="dxa"/>
            <w:vAlign w:val="center"/>
          </w:tcPr>
          <w:p>
            <w:pPr>
              <w:widowControl/>
              <w:jc w:val="center"/>
              <w:rPr>
                <w:rFonts w:cs="宋体"/>
                <w:color w:val="000000"/>
                <w:kern w:val="0"/>
                <w:sz w:val="18"/>
                <w:szCs w:val="18"/>
                <w:u w:val="single"/>
              </w:rPr>
            </w:pPr>
            <w:r>
              <w:rPr>
                <w:rFonts w:hint="eastAsia" w:cs="宋体"/>
                <w:color w:val="000000"/>
                <w:kern w:val="0"/>
                <w:sz w:val="18"/>
                <w:szCs w:val="18"/>
                <w:u w:val="single"/>
              </w:rPr>
              <w:t>空心板</w:t>
            </w:r>
          </w:p>
        </w:tc>
        <w:tc>
          <w:tcPr>
            <w:tcW w:w="936" w:type="dxa"/>
            <w:vAlign w:val="center"/>
          </w:tcPr>
          <w:p>
            <w:pPr>
              <w:widowControl/>
              <w:jc w:val="center"/>
              <w:rPr>
                <w:rFonts w:cs="宋体"/>
                <w:color w:val="000000"/>
                <w:kern w:val="0"/>
                <w:sz w:val="18"/>
                <w:szCs w:val="18"/>
                <w:u w:val="single"/>
              </w:rPr>
            </w:pPr>
            <w:r>
              <w:rPr>
                <w:rFonts w:cs="宋体"/>
                <w:color w:val="000000"/>
                <w:kern w:val="0"/>
                <w:sz w:val="18"/>
                <w:szCs w:val="18"/>
                <w:u w:val="single"/>
              </w:rPr>
              <w:t>/</w:t>
            </w:r>
          </w:p>
        </w:tc>
        <w:tc>
          <w:tcPr>
            <w:tcW w:w="1134" w:type="dxa"/>
            <w:vAlign w:val="center"/>
          </w:tcPr>
          <w:p>
            <w:pPr>
              <w:widowControl/>
              <w:adjustRightInd w:val="0"/>
              <w:snapToGrid w:val="0"/>
              <w:jc w:val="center"/>
              <w:rPr>
                <w:rFonts w:cs="宋体"/>
                <w:color w:val="000000"/>
                <w:kern w:val="0"/>
                <w:sz w:val="18"/>
                <w:szCs w:val="18"/>
                <w:u w:val="single"/>
              </w:rPr>
            </w:pPr>
            <w:r>
              <w:rPr>
                <w:rFonts w:hint="eastAsia" w:cs="宋体"/>
                <w:color w:val="000000"/>
                <w:kern w:val="0"/>
                <w:sz w:val="18"/>
                <w:szCs w:val="18"/>
                <w:u w:val="single"/>
              </w:rPr>
              <w:t>无名小溪</w:t>
            </w:r>
            <w:r>
              <w:rPr>
                <w:rFonts w:cs="宋体"/>
                <w:color w:val="000000"/>
                <w:kern w:val="0"/>
                <w:sz w:val="18"/>
                <w:szCs w:val="18"/>
                <w:u w:val="single"/>
              </w:rPr>
              <w:t>1</w:t>
            </w:r>
          </w:p>
        </w:tc>
        <w:tc>
          <w:tcPr>
            <w:tcW w:w="1332" w:type="dxa"/>
            <w:vMerge w:val="restart"/>
            <w:vAlign w:val="center"/>
          </w:tcPr>
          <w:p>
            <w:pPr>
              <w:widowControl/>
              <w:jc w:val="center"/>
              <w:rPr>
                <w:rFonts w:cs="宋体"/>
                <w:color w:val="000000"/>
                <w:kern w:val="0"/>
                <w:sz w:val="18"/>
                <w:szCs w:val="18"/>
                <w:u w:val="single"/>
              </w:rPr>
            </w:pPr>
            <w:r>
              <w:rPr>
                <w:rFonts w:hint="eastAsia" w:cs="宋体"/>
                <w:color w:val="000000"/>
                <w:kern w:val="0"/>
                <w:sz w:val="18"/>
                <w:szCs w:val="18"/>
                <w:u w:val="single"/>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570" w:type="dxa"/>
            <w:vAlign w:val="center"/>
          </w:tcPr>
          <w:p>
            <w:pPr>
              <w:jc w:val="center"/>
              <w:rPr>
                <w:color w:val="000000"/>
                <w:sz w:val="18"/>
                <w:szCs w:val="18"/>
                <w:u w:val="single"/>
              </w:rPr>
            </w:pPr>
            <w:r>
              <w:rPr>
                <w:color w:val="000000"/>
                <w:sz w:val="18"/>
                <w:szCs w:val="18"/>
                <w:u w:val="single"/>
              </w:rPr>
              <w:t>2</w:t>
            </w:r>
          </w:p>
        </w:tc>
        <w:tc>
          <w:tcPr>
            <w:tcW w:w="889" w:type="dxa"/>
            <w:vAlign w:val="center"/>
          </w:tcPr>
          <w:p>
            <w:pPr>
              <w:widowControl/>
              <w:jc w:val="center"/>
              <w:rPr>
                <w:rFonts w:cs="宋体"/>
                <w:color w:val="000000"/>
                <w:kern w:val="0"/>
                <w:sz w:val="18"/>
                <w:szCs w:val="18"/>
                <w:u w:val="single"/>
              </w:rPr>
            </w:pPr>
            <w:r>
              <w:rPr>
                <w:rFonts w:cs="宋体"/>
                <w:color w:val="000000"/>
                <w:kern w:val="0"/>
                <w:sz w:val="18"/>
                <w:szCs w:val="18"/>
                <w:u w:val="single"/>
              </w:rPr>
              <w:t>K2+330</w:t>
            </w:r>
          </w:p>
        </w:tc>
        <w:tc>
          <w:tcPr>
            <w:tcW w:w="1206" w:type="dxa"/>
            <w:vAlign w:val="center"/>
          </w:tcPr>
          <w:p>
            <w:pPr>
              <w:widowControl/>
              <w:jc w:val="center"/>
              <w:rPr>
                <w:rFonts w:cs="宋体"/>
                <w:color w:val="000000"/>
                <w:kern w:val="0"/>
                <w:sz w:val="18"/>
                <w:szCs w:val="18"/>
                <w:u w:val="single"/>
              </w:rPr>
            </w:pPr>
            <w:r>
              <w:rPr>
                <w:rFonts w:hint="eastAsia" w:cs="宋体"/>
                <w:color w:val="000000"/>
                <w:kern w:val="0"/>
                <w:sz w:val="18"/>
                <w:szCs w:val="18"/>
                <w:u w:val="single"/>
              </w:rPr>
              <w:t>范家屋场桥</w:t>
            </w:r>
          </w:p>
        </w:tc>
        <w:tc>
          <w:tcPr>
            <w:tcW w:w="1044" w:type="dxa"/>
            <w:vAlign w:val="center"/>
          </w:tcPr>
          <w:p>
            <w:pPr>
              <w:widowControl/>
              <w:jc w:val="center"/>
              <w:rPr>
                <w:rFonts w:cs="宋体"/>
                <w:color w:val="000000"/>
                <w:kern w:val="0"/>
                <w:sz w:val="18"/>
                <w:szCs w:val="18"/>
                <w:u w:val="single"/>
              </w:rPr>
            </w:pPr>
            <w:r>
              <w:rPr>
                <w:rFonts w:cs="宋体"/>
                <w:color w:val="000000"/>
                <w:kern w:val="0"/>
                <w:sz w:val="18"/>
                <w:szCs w:val="18"/>
                <w:u w:val="single"/>
              </w:rPr>
              <w:t>1</w:t>
            </w:r>
            <w:r>
              <w:rPr>
                <w:rFonts w:hint="eastAsia" w:cs="宋体"/>
                <w:color w:val="000000"/>
                <w:kern w:val="0"/>
                <w:sz w:val="18"/>
                <w:szCs w:val="18"/>
                <w:u w:val="single"/>
              </w:rPr>
              <w:t>×</w:t>
            </w:r>
            <w:r>
              <w:rPr>
                <w:rFonts w:cs="宋体"/>
                <w:color w:val="000000"/>
                <w:kern w:val="0"/>
                <w:sz w:val="18"/>
                <w:szCs w:val="18"/>
                <w:u w:val="single"/>
              </w:rPr>
              <w:t>20</w:t>
            </w:r>
          </w:p>
        </w:tc>
        <w:tc>
          <w:tcPr>
            <w:tcW w:w="657" w:type="dxa"/>
            <w:vAlign w:val="center"/>
          </w:tcPr>
          <w:p>
            <w:pPr>
              <w:widowControl/>
              <w:jc w:val="center"/>
              <w:rPr>
                <w:rFonts w:cs="宋体"/>
                <w:color w:val="000000"/>
                <w:kern w:val="0"/>
                <w:sz w:val="18"/>
                <w:szCs w:val="18"/>
                <w:u w:val="single"/>
              </w:rPr>
            </w:pPr>
            <w:r>
              <w:rPr>
                <w:rFonts w:cs="宋体"/>
                <w:color w:val="000000"/>
                <w:kern w:val="0"/>
                <w:sz w:val="18"/>
                <w:szCs w:val="18"/>
                <w:u w:val="single"/>
              </w:rPr>
              <w:t>16</w:t>
            </w:r>
          </w:p>
        </w:tc>
        <w:tc>
          <w:tcPr>
            <w:tcW w:w="709" w:type="dxa"/>
            <w:vAlign w:val="center"/>
          </w:tcPr>
          <w:p>
            <w:pPr>
              <w:jc w:val="center"/>
              <w:rPr>
                <w:color w:val="000000"/>
                <w:sz w:val="18"/>
                <w:szCs w:val="18"/>
                <w:u w:val="single"/>
              </w:rPr>
            </w:pPr>
            <w:r>
              <w:rPr>
                <w:color w:val="000000"/>
                <w:sz w:val="18"/>
                <w:szCs w:val="18"/>
                <w:u w:val="single"/>
              </w:rPr>
              <w:t>26</w:t>
            </w:r>
          </w:p>
        </w:tc>
        <w:tc>
          <w:tcPr>
            <w:tcW w:w="992" w:type="dxa"/>
            <w:vAlign w:val="center"/>
          </w:tcPr>
          <w:p>
            <w:pPr>
              <w:widowControl/>
              <w:jc w:val="center"/>
              <w:rPr>
                <w:rFonts w:cs="宋体"/>
                <w:color w:val="000000"/>
                <w:kern w:val="0"/>
                <w:sz w:val="18"/>
                <w:szCs w:val="18"/>
                <w:u w:val="single"/>
              </w:rPr>
            </w:pPr>
            <w:r>
              <w:rPr>
                <w:rFonts w:hint="eastAsia" w:cs="宋体"/>
                <w:color w:val="000000"/>
                <w:kern w:val="0"/>
                <w:sz w:val="18"/>
                <w:szCs w:val="18"/>
                <w:u w:val="single"/>
              </w:rPr>
              <w:t>空心板</w:t>
            </w:r>
          </w:p>
        </w:tc>
        <w:tc>
          <w:tcPr>
            <w:tcW w:w="936" w:type="dxa"/>
            <w:vAlign w:val="center"/>
          </w:tcPr>
          <w:p>
            <w:pPr>
              <w:widowControl/>
              <w:jc w:val="center"/>
              <w:rPr>
                <w:rFonts w:cs="宋体"/>
                <w:color w:val="000000"/>
                <w:kern w:val="0"/>
                <w:sz w:val="18"/>
                <w:szCs w:val="18"/>
                <w:u w:val="single"/>
              </w:rPr>
            </w:pPr>
            <w:r>
              <w:rPr>
                <w:rFonts w:cs="宋体"/>
                <w:color w:val="000000"/>
                <w:kern w:val="0"/>
                <w:sz w:val="18"/>
                <w:szCs w:val="18"/>
                <w:u w:val="single"/>
              </w:rPr>
              <w:t>/</w:t>
            </w:r>
          </w:p>
        </w:tc>
        <w:tc>
          <w:tcPr>
            <w:tcW w:w="1134" w:type="dxa"/>
            <w:vAlign w:val="center"/>
          </w:tcPr>
          <w:p>
            <w:pPr>
              <w:widowControl/>
              <w:jc w:val="center"/>
              <w:rPr>
                <w:rFonts w:cs="宋体"/>
                <w:color w:val="000000"/>
                <w:kern w:val="0"/>
                <w:sz w:val="18"/>
                <w:szCs w:val="18"/>
                <w:u w:val="single"/>
              </w:rPr>
            </w:pPr>
            <w:r>
              <w:rPr>
                <w:rFonts w:hint="eastAsia" w:cs="宋体"/>
                <w:color w:val="000000"/>
                <w:kern w:val="0"/>
                <w:sz w:val="18"/>
                <w:szCs w:val="18"/>
                <w:u w:val="single"/>
              </w:rPr>
              <w:t>无名小溪</w:t>
            </w:r>
            <w:r>
              <w:rPr>
                <w:rFonts w:cs="宋体"/>
                <w:color w:val="000000"/>
                <w:kern w:val="0"/>
                <w:sz w:val="18"/>
                <w:szCs w:val="18"/>
                <w:u w:val="single"/>
              </w:rPr>
              <w:t>2</w:t>
            </w:r>
          </w:p>
        </w:tc>
        <w:tc>
          <w:tcPr>
            <w:tcW w:w="1332" w:type="dxa"/>
            <w:vMerge w:val="continue"/>
          </w:tcPr>
          <w:p>
            <w:pPr>
              <w:widowControl/>
              <w:jc w:val="center"/>
              <w:rPr>
                <w:rFonts w:cs="宋体"/>
                <w:color w:val="000000"/>
                <w:kern w:val="0"/>
                <w:sz w:val="18"/>
                <w:szCs w:val="18"/>
                <w:u w:val="single"/>
              </w:rPr>
            </w:pPr>
          </w:p>
        </w:tc>
      </w:tr>
    </w:tbl>
    <w:p>
      <w:pPr>
        <w:pStyle w:val="3"/>
        <w:ind w:firstLine="31680"/>
        <w:rPr>
          <w:color w:val="FF0000"/>
          <w:u w:val="single"/>
        </w:rPr>
      </w:pPr>
      <w:r>
        <w:rPr>
          <w:color w:val="000000"/>
          <w:u w:val="single"/>
        </w:rPr>
        <w:t>b</w:t>
      </w:r>
      <w:r>
        <w:rPr>
          <w:rFonts w:hint="eastAsia"/>
          <w:color w:val="000000"/>
          <w:u w:val="single"/>
        </w:rPr>
        <w:t>）涵洞情况</w:t>
      </w:r>
    </w:p>
    <w:p>
      <w:pPr>
        <w:spacing w:line="360" w:lineRule="auto"/>
        <w:ind w:firstLine="31680" w:firstLineChars="200"/>
        <w:rPr>
          <w:color w:val="FF0000"/>
          <w:u w:val="single"/>
        </w:rPr>
      </w:pPr>
      <w:r>
        <w:rPr>
          <w:rFonts w:hint="eastAsia" w:cs="宋体"/>
          <w:kern w:val="0"/>
          <w:sz w:val="24"/>
          <w:u w:val="single"/>
        </w:rPr>
        <w:t>本项目共设涵洞</w:t>
      </w:r>
      <w:r>
        <w:rPr>
          <w:rFonts w:cs="宋体"/>
          <w:kern w:val="0"/>
          <w:sz w:val="24"/>
          <w:u w:val="single"/>
        </w:rPr>
        <w:t>42</w:t>
      </w:r>
      <w:r>
        <w:rPr>
          <w:rFonts w:hint="eastAsia" w:cs="宋体"/>
          <w:kern w:val="0"/>
          <w:sz w:val="24"/>
          <w:u w:val="single"/>
        </w:rPr>
        <w:t>道，其中涵洞</w:t>
      </w:r>
      <w:r>
        <w:rPr>
          <w:rFonts w:cs="宋体"/>
          <w:kern w:val="0"/>
          <w:sz w:val="24"/>
          <w:u w:val="single"/>
        </w:rPr>
        <w:t>38</w:t>
      </w:r>
      <w:r>
        <w:rPr>
          <w:rFonts w:hint="eastAsia" w:cs="宋体"/>
          <w:kern w:val="0"/>
          <w:sz w:val="24"/>
          <w:u w:val="single"/>
        </w:rPr>
        <w:t>道、通道</w:t>
      </w:r>
      <w:r>
        <w:rPr>
          <w:rFonts w:cs="宋体"/>
          <w:kern w:val="0"/>
          <w:sz w:val="24"/>
          <w:u w:val="single"/>
        </w:rPr>
        <w:t>4</w:t>
      </w:r>
      <w:r>
        <w:rPr>
          <w:rFonts w:hint="eastAsia" w:cs="宋体"/>
          <w:kern w:val="0"/>
          <w:sz w:val="24"/>
          <w:u w:val="single"/>
        </w:rPr>
        <w:t>道</w:t>
      </w:r>
      <w:r>
        <w:rPr>
          <w:rFonts w:hint="eastAsia" w:cs="宋体"/>
          <w:kern w:val="0"/>
          <w:sz w:val="24"/>
          <w:u w:val="single"/>
          <w:lang w:val="sq-AL"/>
        </w:rPr>
        <w:t>。</w:t>
      </w:r>
      <w:r>
        <w:rPr>
          <w:rFonts w:hint="eastAsia" w:cs="宋体"/>
          <w:kern w:val="0"/>
          <w:sz w:val="24"/>
          <w:u w:val="single"/>
        </w:rPr>
        <w:t>全为新建钢筋混凝土盖板涵。施工时，要求涵洞基础应置于坚实的天然土、石地基上。地质条件差，基础承载力低的地段应采用砂、碎石换土，采用钢筋混凝土箱涵。涵身部分在涵长方向每隔</w:t>
      </w:r>
      <w:r>
        <w:rPr>
          <w:rFonts w:cs="宋体"/>
          <w:kern w:val="0"/>
          <w:sz w:val="24"/>
          <w:u w:val="single"/>
        </w:rPr>
        <w:t>4~6m</w:t>
      </w:r>
      <w:r>
        <w:rPr>
          <w:rFonts w:hint="eastAsia" w:cs="宋体"/>
          <w:kern w:val="0"/>
          <w:sz w:val="24"/>
          <w:u w:val="single"/>
        </w:rPr>
        <w:t>设一道沉降缝，沉降缝要贯穿涵洞整体断面，缝面</w:t>
      </w:r>
      <w:r>
        <w:rPr>
          <w:rFonts w:cs="宋体"/>
          <w:kern w:val="0"/>
          <w:sz w:val="24"/>
          <w:u w:val="single"/>
        </w:rPr>
        <w:t>1~2cm</w:t>
      </w:r>
      <w:r>
        <w:rPr>
          <w:rFonts w:hint="eastAsia" w:cs="宋体"/>
          <w:kern w:val="0"/>
          <w:sz w:val="24"/>
          <w:u w:val="single"/>
        </w:rPr>
        <w:t>，一般缝内添塞水淤泥，外用</w:t>
      </w:r>
      <w:r>
        <w:rPr>
          <w:rFonts w:cs="宋体"/>
          <w:kern w:val="0"/>
          <w:sz w:val="24"/>
          <w:u w:val="single"/>
        </w:rPr>
        <w:t>10#</w:t>
      </w:r>
      <w:r>
        <w:rPr>
          <w:rFonts w:hint="eastAsia" w:cs="宋体"/>
          <w:kern w:val="0"/>
          <w:sz w:val="24"/>
          <w:u w:val="single"/>
        </w:rPr>
        <w:t>砂浆包封，有条件可用麻絮浸沥青填满全缝。</w:t>
      </w:r>
    </w:p>
    <w:p>
      <w:pPr>
        <w:pStyle w:val="5"/>
        <w:ind w:left="567" w:hanging="567"/>
        <w:rPr>
          <w:color w:val="000000"/>
          <w:u w:val="single"/>
        </w:rPr>
      </w:pPr>
      <w:r>
        <w:rPr>
          <w:rFonts w:hint="eastAsia"/>
          <w:color w:val="000000"/>
          <w:u w:val="single"/>
        </w:rPr>
        <w:t>交叉工程</w:t>
      </w:r>
    </w:p>
    <w:p>
      <w:pPr>
        <w:pStyle w:val="3"/>
        <w:rPr>
          <w:rFonts w:hint="eastAsia" w:eastAsia="宋体"/>
          <w:lang w:val="en-US" w:eastAsia="zh-CN"/>
        </w:rPr>
      </w:pPr>
      <w:r>
        <w:rPr>
          <w:rFonts w:hint="eastAsia"/>
          <w:color w:val="000000"/>
          <w:u w:val="single"/>
          <w:lang w:val="en-US" w:eastAsia="zh-CN"/>
        </w:rPr>
        <w:t>①与道路交叉</w:t>
      </w:r>
    </w:p>
    <w:p>
      <w:pPr>
        <w:adjustRightInd w:val="0"/>
        <w:snapToGrid w:val="0"/>
        <w:spacing w:line="360" w:lineRule="auto"/>
        <w:ind w:firstLine="480"/>
        <w:rPr>
          <w:color w:val="000000"/>
          <w:sz w:val="24"/>
          <w:szCs w:val="24"/>
          <w:u w:val="single"/>
        </w:rPr>
      </w:pPr>
      <w:r>
        <w:rPr>
          <w:rFonts w:hint="eastAsia"/>
          <w:color w:val="000000"/>
          <w:sz w:val="24"/>
          <w:szCs w:val="24"/>
          <w:u w:val="single"/>
        </w:rPr>
        <w:t>本项目</w:t>
      </w:r>
      <w:r>
        <w:rPr>
          <w:rFonts w:hint="eastAsia"/>
          <w:color w:val="000000"/>
          <w:spacing w:val="-4"/>
          <w:sz w:val="24"/>
          <w:u w:val="single"/>
        </w:rPr>
        <w:t>全线交叉工程主要为平面交叉，</w:t>
      </w:r>
      <w:r>
        <w:rPr>
          <w:rFonts w:hint="eastAsia"/>
          <w:color w:val="000000"/>
          <w:sz w:val="24"/>
          <w:szCs w:val="24"/>
          <w:u w:val="single"/>
        </w:rPr>
        <w:t>平面交叉</w:t>
      </w:r>
      <w:r>
        <w:rPr>
          <w:color w:val="000000"/>
          <w:sz w:val="24"/>
          <w:szCs w:val="24"/>
          <w:u w:val="single"/>
        </w:rPr>
        <w:t>6</w:t>
      </w:r>
      <w:r>
        <w:rPr>
          <w:rFonts w:hint="eastAsia"/>
          <w:color w:val="000000"/>
          <w:sz w:val="24"/>
          <w:szCs w:val="24"/>
          <w:u w:val="single"/>
        </w:rPr>
        <w:t>处，交叉工程详见表</w:t>
      </w:r>
      <w:r>
        <w:rPr>
          <w:color w:val="000000"/>
          <w:sz w:val="24"/>
          <w:szCs w:val="24"/>
          <w:u w:val="single"/>
        </w:rPr>
        <w:t>3.5-2</w:t>
      </w:r>
      <w:r>
        <w:rPr>
          <w:rFonts w:hint="eastAsia"/>
          <w:color w:val="000000"/>
          <w:sz w:val="24"/>
          <w:szCs w:val="24"/>
          <w:u w:val="single"/>
        </w:rPr>
        <w:t>。</w:t>
      </w:r>
    </w:p>
    <w:p>
      <w:pPr>
        <w:pStyle w:val="19"/>
        <w:jc w:val="center"/>
        <w:rPr>
          <w:color w:val="000000"/>
          <w:u w:val="single"/>
        </w:rPr>
      </w:pPr>
      <w:r>
        <w:rPr>
          <w:rFonts w:hint="eastAsia"/>
          <w:color w:val="000000"/>
          <w:u w:val="single"/>
        </w:rPr>
        <w:t>表</w:t>
      </w:r>
      <w:r>
        <w:rPr>
          <w:color w:val="000000"/>
          <w:u w:val="single"/>
        </w:rPr>
        <w:t xml:space="preserve">3.5-2      </w:t>
      </w:r>
      <w:r>
        <w:rPr>
          <w:rFonts w:hint="eastAsia"/>
          <w:color w:val="000000"/>
          <w:u w:val="single"/>
        </w:rPr>
        <w:t>本工程交叉工程一览表</w:t>
      </w:r>
    </w:p>
    <w:tbl>
      <w:tblPr>
        <w:tblStyle w:val="65"/>
        <w:tblW w:w="9101" w:type="dxa"/>
        <w:tblInd w:w="0" w:type="dxa"/>
        <w:tblLayout w:type="fixed"/>
        <w:tblCellMar>
          <w:top w:w="0" w:type="dxa"/>
          <w:left w:w="0" w:type="dxa"/>
          <w:bottom w:w="0" w:type="dxa"/>
          <w:right w:w="0" w:type="dxa"/>
        </w:tblCellMar>
      </w:tblPr>
      <w:tblGrid>
        <w:gridCol w:w="724"/>
        <w:gridCol w:w="1276"/>
        <w:gridCol w:w="2268"/>
        <w:gridCol w:w="1416"/>
        <w:gridCol w:w="1278"/>
        <w:gridCol w:w="2139"/>
      </w:tblGrid>
      <w:tr>
        <w:tblPrEx>
          <w:tblLayout w:type="fixed"/>
          <w:tblCellMar>
            <w:top w:w="0" w:type="dxa"/>
            <w:left w:w="0" w:type="dxa"/>
            <w:bottom w:w="0" w:type="dxa"/>
            <w:right w:w="0" w:type="dxa"/>
          </w:tblCellMar>
        </w:tblPrEx>
        <w:trPr>
          <w:trHeight w:val="397" w:hRule="atLeast"/>
          <w:tblHeader/>
        </w:trPr>
        <w:tc>
          <w:tcPr>
            <w:tcW w:w="724" w:type="dxa"/>
            <w:tcBorders>
              <w:top w:val="single" w:color="auto" w:sz="8" w:space="0"/>
              <w:left w:val="single" w:color="auto" w:sz="8" w:space="0"/>
              <w:bottom w:val="single" w:color="auto" w:sz="4" w:space="0"/>
              <w:right w:val="single" w:color="auto" w:sz="4" w:space="0"/>
            </w:tcBorders>
            <w:tcMar>
              <w:top w:w="15" w:type="dxa"/>
              <w:left w:w="15" w:type="dxa"/>
              <w:bottom w:w="0" w:type="dxa"/>
              <w:right w:w="15" w:type="dxa"/>
            </w:tcMar>
            <w:vAlign w:val="center"/>
          </w:tcPr>
          <w:p>
            <w:pPr>
              <w:widowControl/>
              <w:jc w:val="center"/>
              <w:rPr>
                <w:color w:val="000000"/>
                <w:kern w:val="0"/>
                <w:sz w:val="21"/>
                <w:szCs w:val="21"/>
                <w:u w:val="single"/>
              </w:rPr>
            </w:pPr>
            <w:r>
              <w:rPr>
                <w:rFonts w:hint="eastAsia" w:hAnsi="宋体"/>
                <w:color w:val="000000"/>
                <w:kern w:val="0"/>
                <w:sz w:val="21"/>
                <w:szCs w:val="21"/>
                <w:u w:val="single"/>
              </w:rPr>
              <w:t>序号</w:t>
            </w:r>
          </w:p>
        </w:tc>
        <w:tc>
          <w:tcPr>
            <w:tcW w:w="1276"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widowControl/>
              <w:jc w:val="center"/>
              <w:rPr>
                <w:color w:val="000000"/>
                <w:kern w:val="0"/>
                <w:sz w:val="21"/>
                <w:szCs w:val="21"/>
                <w:u w:val="single"/>
              </w:rPr>
            </w:pPr>
            <w:r>
              <w:rPr>
                <w:rFonts w:hint="eastAsia" w:hAnsi="宋体"/>
                <w:color w:val="000000"/>
                <w:kern w:val="0"/>
                <w:sz w:val="21"/>
                <w:szCs w:val="21"/>
                <w:u w:val="single"/>
              </w:rPr>
              <w:t>中心桩号</w:t>
            </w:r>
          </w:p>
        </w:tc>
        <w:tc>
          <w:tcPr>
            <w:tcW w:w="2268"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widowControl/>
              <w:jc w:val="center"/>
              <w:rPr>
                <w:color w:val="000000"/>
                <w:kern w:val="0"/>
                <w:sz w:val="21"/>
                <w:szCs w:val="21"/>
                <w:u w:val="single"/>
              </w:rPr>
            </w:pPr>
            <w:r>
              <w:rPr>
                <w:rFonts w:hint="eastAsia" w:hAnsi="宋体"/>
                <w:color w:val="000000"/>
                <w:kern w:val="0"/>
                <w:sz w:val="21"/>
                <w:szCs w:val="21"/>
                <w:u w:val="single"/>
              </w:rPr>
              <w:t>被交叉道路名称及等级</w:t>
            </w:r>
          </w:p>
        </w:tc>
        <w:tc>
          <w:tcPr>
            <w:tcW w:w="1416" w:type="dxa"/>
            <w:tcBorders>
              <w:top w:val="single" w:color="auto" w:sz="8" w:space="0"/>
              <w:left w:val="nil"/>
              <w:bottom w:val="single" w:color="auto" w:sz="4" w:space="0"/>
              <w:right w:val="single" w:color="auto" w:sz="6" w:space="0"/>
            </w:tcBorders>
            <w:tcMar>
              <w:top w:w="15" w:type="dxa"/>
              <w:left w:w="15" w:type="dxa"/>
              <w:bottom w:w="0" w:type="dxa"/>
              <w:right w:w="15" w:type="dxa"/>
            </w:tcMar>
            <w:vAlign w:val="center"/>
          </w:tcPr>
          <w:p>
            <w:pPr>
              <w:adjustRightInd w:val="0"/>
              <w:snapToGrid w:val="0"/>
              <w:jc w:val="center"/>
              <w:rPr>
                <w:color w:val="000000"/>
                <w:kern w:val="0"/>
                <w:sz w:val="21"/>
                <w:szCs w:val="21"/>
                <w:u w:val="single"/>
              </w:rPr>
            </w:pPr>
            <w:r>
              <w:rPr>
                <w:rFonts w:hint="eastAsia" w:ascii="宋体" w:hAnsi="宋体" w:cs="宋体"/>
                <w:color w:val="000000"/>
                <w:kern w:val="0"/>
                <w:sz w:val="21"/>
                <w:szCs w:val="21"/>
                <w:u w:val="single"/>
              </w:rPr>
              <w:t>交叉类型</w:t>
            </w:r>
          </w:p>
        </w:tc>
        <w:tc>
          <w:tcPr>
            <w:tcW w:w="1278" w:type="dxa"/>
            <w:tcBorders>
              <w:top w:val="single" w:color="auto" w:sz="8" w:space="0"/>
              <w:left w:val="single" w:color="auto" w:sz="6" w:space="0"/>
              <w:bottom w:val="single" w:color="auto" w:sz="4" w:space="0"/>
              <w:right w:val="single" w:color="auto" w:sz="4" w:space="0"/>
            </w:tcBorders>
            <w:vAlign w:val="center"/>
          </w:tcPr>
          <w:p>
            <w:pPr>
              <w:adjustRightInd w:val="0"/>
              <w:snapToGrid w:val="0"/>
              <w:jc w:val="center"/>
              <w:rPr>
                <w:color w:val="000000"/>
                <w:kern w:val="0"/>
                <w:sz w:val="21"/>
                <w:szCs w:val="21"/>
                <w:u w:val="single"/>
              </w:rPr>
            </w:pPr>
            <w:r>
              <w:rPr>
                <w:rFonts w:hint="eastAsia" w:hAnsi="宋体"/>
                <w:color w:val="000000"/>
                <w:kern w:val="0"/>
                <w:sz w:val="21"/>
                <w:szCs w:val="21"/>
                <w:u w:val="single"/>
              </w:rPr>
              <w:t>交角</w:t>
            </w:r>
            <w:r>
              <w:rPr>
                <w:rFonts w:hAnsi="宋体"/>
                <w:color w:val="000000"/>
                <w:kern w:val="0"/>
                <w:sz w:val="21"/>
                <w:szCs w:val="21"/>
                <w:u w:val="single"/>
              </w:rPr>
              <w:t>(</w:t>
            </w:r>
            <w:r>
              <w:rPr>
                <w:rFonts w:hint="eastAsia" w:hAnsi="宋体"/>
                <w:color w:val="000000"/>
                <w:kern w:val="0"/>
                <w:sz w:val="21"/>
                <w:szCs w:val="21"/>
                <w:u w:val="single"/>
              </w:rPr>
              <w:t>°</w:t>
            </w:r>
            <w:r>
              <w:rPr>
                <w:rFonts w:hAnsi="宋体"/>
                <w:color w:val="000000"/>
                <w:kern w:val="0"/>
                <w:sz w:val="21"/>
                <w:szCs w:val="21"/>
                <w:u w:val="single"/>
              </w:rPr>
              <w:t>)</w:t>
            </w:r>
          </w:p>
        </w:tc>
        <w:tc>
          <w:tcPr>
            <w:tcW w:w="2139" w:type="dxa"/>
            <w:tcBorders>
              <w:top w:val="single" w:color="auto" w:sz="8" w:space="0"/>
              <w:left w:val="nil"/>
              <w:bottom w:val="single" w:color="auto" w:sz="4" w:space="0"/>
              <w:right w:val="single" w:color="auto" w:sz="8" w:space="0"/>
            </w:tcBorders>
            <w:tcMar>
              <w:top w:w="15" w:type="dxa"/>
              <w:left w:w="15" w:type="dxa"/>
              <w:bottom w:w="0" w:type="dxa"/>
              <w:right w:w="15" w:type="dxa"/>
            </w:tcMar>
            <w:vAlign w:val="center"/>
          </w:tcPr>
          <w:p>
            <w:pPr>
              <w:widowControl/>
              <w:jc w:val="center"/>
              <w:rPr>
                <w:color w:val="000000"/>
                <w:kern w:val="0"/>
                <w:sz w:val="21"/>
                <w:szCs w:val="21"/>
                <w:u w:val="single"/>
              </w:rPr>
            </w:pPr>
            <w:r>
              <w:rPr>
                <w:rFonts w:hint="eastAsia"/>
                <w:color w:val="000000"/>
                <w:kern w:val="0"/>
                <w:sz w:val="21"/>
                <w:szCs w:val="21"/>
                <w:u w:val="single"/>
              </w:rPr>
              <w:t>备注</w:t>
            </w:r>
          </w:p>
        </w:tc>
      </w:tr>
      <w:tr>
        <w:tblPrEx>
          <w:tblLayout w:type="fixed"/>
          <w:tblCellMar>
            <w:top w:w="0" w:type="dxa"/>
            <w:left w:w="0" w:type="dxa"/>
            <w:bottom w:w="0" w:type="dxa"/>
            <w:right w:w="0" w:type="dxa"/>
          </w:tblCellMar>
        </w:tblPrEx>
        <w:trPr>
          <w:trHeight w:val="397" w:hRule="atLeast"/>
        </w:trPr>
        <w:tc>
          <w:tcPr>
            <w:tcW w:w="724" w:type="dxa"/>
            <w:tcBorders>
              <w:top w:val="nil"/>
              <w:left w:val="single" w:color="auto" w:sz="8" w:space="0"/>
              <w:bottom w:val="single" w:color="auto" w:sz="4" w:space="0"/>
              <w:right w:val="single" w:color="auto" w:sz="4" w:space="0"/>
            </w:tcBorders>
            <w:tcMar>
              <w:top w:w="15" w:type="dxa"/>
              <w:left w:w="15" w:type="dxa"/>
              <w:bottom w:w="0" w:type="dxa"/>
              <w:right w:w="15" w:type="dxa"/>
            </w:tcMar>
            <w:vAlign w:val="center"/>
          </w:tcPr>
          <w:p>
            <w:pPr>
              <w:widowControl/>
              <w:adjustRightInd w:val="0"/>
              <w:snapToGrid w:val="0"/>
              <w:jc w:val="center"/>
              <w:rPr>
                <w:color w:val="000000"/>
                <w:kern w:val="0"/>
                <w:sz w:val="21"/>
                <w:szCs w:val="21"/>
                <w:u w:val="single"/>
              </w:rPr>
            </w:pPr>
            <w:r>
              <w:rPr>
                <w:color w:val="000000"/>
                <w:kern w:val="0"/>
                <w:sz w:val="21"/>
                <w:szCs w:val="21"/>
                <w:u w:val="single"/>
              </w:rPr>
              <w:t>1</w:t>
            </w:r>
          </w:p>
        </w:tc>
        <w:tc>
          <w:tcPr>
            <w:tcW w:w="1276"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ind w:firstLine="31680" w:firstLineChars="95"/>
              <w:rPr>
                <w:rFonts w:cs="宋体"/>
                <w:color w:val="000000"/>
                <w:kern w:val="0"/>
                <w:sz w:val="21"/>
                <w:szCs w:val="21"/>
                <w:u w:val="single"/>
              </w:rPr>
            </w:pPr>
            <w:r>
              <w:rPr>
                <w:rFonts w:cs="宋体"/>
                <w:color w:val="000000"/>
                <w:kern w:val="0"/>
                <w:sz w:val="21"/>
                <w:szCs w:val="21"/>
                <w:u w:val="single"/>
              </w:rPr>
              <w:t>K0+000</w:t>
            </w:r>
          </w:p>
        </w:tc>
        <w:tc>
          <w:tcPr>
            <w:tcW w:w="226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二级</w:t>
            </w:r>
          </w:p>
        </w:tc>
        <w:tc>
          <w:tcPr>
            <w:tcW w:w="1416" w:type="dxa"/>
            <w:tcBorders>
              <w:top w:val="nil"/>
              <w:left w:val="nil"/>
              <w:bottom w:val="single" w:color="auto" w:sz="4" w:space="0"/>
              <w:right w:val="single" w:color="auto" w:sz="6"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cs="宋体"/>
                <w:color w:val="000000"/>
                <w:kern w:val="0"/>
                <w:sz w:val="21"/>
                <w:szCs w:val="21"/>
                <w:u w:val="single"/>
              </w:rPr>
              <w:t>T</w:t>
            </w:r>
          </w:p>
        </w:tc>
        <w:tc>
          <w:tcPr>
            <w:tcW w:w="1278" w:type="dxa"/>
            <w:tcBorders>
              <w:top w:val="nil"/>
              <w:left w:val="single" w:color="auto" w:sz="6" w:space="0"/>
              <w:bottom w:val="single" w:color="auto" w:sz="4" w:space="0"/>
              <w:right w:val="single" w:color="auto" w:sz="4" w:space="0"/>
            </w:tcBorders>
            <w:vAlign w:val="center"/>
          </w:tcPr>
          <w:p>
            <w:pPr>
              <w:jc w:val="center"/>
              <w:rPr>
                <w:rFonts w:cs="宋体"/>
                <w:color w:val="000000"/>
                <w:kern w:val="0"/>
                <w:sz w:val="21"/>
                <w:szCs w:val="21"/>
                <w:u w:val="single"/>
              </w:rPr>
            </w:pPr>
            <w:r>
              <w:rPr>
                <w:rFonts w:cs="宋体"/>
                <w:color w:val="000000"/>
                <w:kern w:val="0"/>
                <w:sz w:val="21"/>
                <w:szCs w:val="21"/>
                <w:u w:val="single"/>
              </w:rPr>
              <w:t>70</w:t>
            </w:r>
          </w:p>
        </w:tc>
        <w:tc>
          <w:tcPr>
            <w:tcW w:w="2139" w:type="dxa"/>
            <w:tcBorders>
              <w:top w:val="nil"/>
              <w:left w:val="nil"/>
              <w:bottom w:val="single" w:color="auto" w:sz="4" w:space="0"/>
              <w:right w:val="single" w:color="auto" w:sz="8"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老国道</w:t>
            </w:r>
            <w:r>
              <w:rPr>
                <w:rFonts w:cs="宋体"/>
                <w:color w:val="000000"/>
                <w:kern w:val="0"/>
                <w:sz w:val="21"/>
                <w:szCs w:val="21"/>
                <w:u w:val="single"/>
              </w:rPr>
              <w:t>G107</w:t>
            </w:r>
          </w:p>
        </w:tc>
      </w:tr>
      <w:tr>
        <w:tblPrEx>
          <w:tblLayout w:type="fixed"/>
          <w:tblCellMar>
            <w:top w:w="0" w:type="dxa"/>
            <w:left w:w="0" w:type="dxa"/>
            <w:bottom w:w="0" w:type="dxa"/>
            <w:right w:w="0" w:type="dxa"/>
          </w:tblCellMar>
        </w:tblPrEx>
        <w:trPr>
          <w:trHeight w:val="397" w:hRule="atLeast"/>
        </w:trPr>
        <w:tc>
          <w:tcPr>
            <w:tcW w:w="724" w:type="dxa"/>
            <w:tcBorders>
              <w:top w:val="nil"/>
              <w:left w:val="single" w:color="auto" w:sz="8" w:space="0"/>
              <w:bottom w:val="single" w:color="auto" w:sz="4" w:space="0"/>
              <w:right w:val="single" w:color="auto" w:sz="4" w:space="0"/>
            </w:tcBorders>
            <w:tcMar>
              <w:top w:w="15" w:type="dxa"/>
              <w:left w:w="15" w:type="dxa"/>
              <w:bottom w:w="0" w:type="dxa"/>
              <w:right w:w="15" w:type="dxa"/>
            </w:tcMar>
            <w:vAlign w:val="center"/>
          </w:tcPr>
          <w:p>
            <w:pPr>
              <w:widowControl/>
              <w:adjustRightInd w:val="0"/>
              <w:snapToGrid w:val="0"/>
              <w:jc w:val="center"/>
              <w:rPr>
                <w:color w:val="000000"/>
                <w:kern w:val="0"/>
                <w:sz w:val="21"/>
                <w:szCs w:val="21"/>
                <w:u w:val="single"/>
              </w:rPr>
            </w:pPr>
            <w:r>
              <w:rPr>
                <w:color w:val="000000"/>
                <w:kern w:val="0"/>
                <w:sz w:val="21"/>
                <w:szCs w:val="21"/>
                <w:u w:val="single"/>
              </w:rPr>
              <w:t>2</w:t>
            </w:r>
          </w:p>
        </w:tc>
        <w:tc>
          <w:tcPr>
            <w:tcW w:w="1276"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ind w:firstLine="31680" w:firstLineChars="95"/>
              <w:rPr>
                <w:rFonts w:cs="宋体"/>
                <w:color w:val="000000"/>
                <w:kern w:val="0"/>
                <w:sz w:val="21"/>
                <w:szCs w:val="21"/>
                <w:u w:val="single"/>
              </w:rPr>
            </w:pPr>
            <w:r>
              <w:rPr>
                <w:rFonts w:cs="宋体"/>
                <w:color w:val="000000"/>
                <w:kern w:val="0"/>
                <w:sz w:val="21"/>
                <w:szCs w:val="21"/>
                <w:u w:val="single"/>
              </w:rPr>
              <w:t>K2+400</w:t>
            </w:r>
          </w:p>
        </w:tc>
        <w:tc>
          <w:tcPr>
            <w:tcW w:w="226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四级</w:t>
            </w:r>
          </w:p>
        </w:tc>
        <w:tc>
          <w:tcPr>
            <w:tcW w:w="1416" w:type="dxa"/>
            <w:tcBorders>
              <w:top w:val="nil"/>
              <w:left w:val="nil"/>
              <w:bottom w:val="single" w:color="auto" w:sz="4" w:space="0"/>
              <w:right w:val="single" w:color="auto" w:sz="6"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cs="宋体"/>
                <w:color w:val="000000"/>
                <w:kern w:val="0"/>
                <w:sz w:val="21"/>
                <w:szCs w:val="21"/>
                <w:u w:val="single"/>
              </w:rPr>
              <w:t>+</w:t>
            </w:r>
          </w:p>
        </w:tc>
        <w:tc>
          <w:tcPr>
            <w:tcW w:w="1278" w:type="dxa"/>
            <w:tcBorders>
              <w:top w:val="nil"/>
              <w:left w:val="single" w:color="auto" w:sz="6" w:space="0"/>
              <w:bottom w:val="single" w:color="auto" w:sz="4" w:space="0"/>
              <w:right w:val="single" w:color="auto" w:sz="4" w:space="0"/>
            </w:tcBorders>
            <w:vAlign w:val="center"/>
          </w:tcPr>
          <w:p>
            <w:pPr>
              <w:jc w:val="center"/>
              <w:rPr>
                <w:rFonts w:cs="宋体"/>
                <w:color w:val="000000"/>
                <w:kern w:val="0"/>
                <w:sz w:val="21"/>
                <w:szCs w:val="21"/>
                <w:u w:val="single"/>
              </w:rPr>
            </w:pPr>
            <w:r>
              <w:rPr>
                <w:rFonts w:cs="宋体"/>
                <w:color w:val="000000"/>
                <w:kern w:val="0"/>
                <w:sz w:val="21"/>
                <w:szCs w:val="21"/>
                <w:u w:val="single"/>
              </w:rPr>
              <w:t>90</w:t>
            </w:r>
          </w:p>
        </w:tc>
        <w:tc>
          <w:tcPr>
            <w:tcW w:w="2139" w:type="dxa"/>
            <w:tcBorders>
              <w:top w:val="nil"/>
              <w:left w:val="nil"/>
              <w:bottom w:val="single" w:color="auto" w:sz="4" w:space="0"/>
              <w:right w:val="single" w:color="auto" w:sz="8"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村道，水泥砼路面</w:t>
            </w:r>
          </w:p>
        </w:tc>
      </w:tr>
      <w:tr>
        <w:tblPrEx>
          <w:tblLayout w:type="fixed"/>
          <w:tblCellMar>
            <w:top w:w="0" w:type="dxa"/>
            <w:left w:w="0" w:type="dxa"/>
            <w:bottom w:w="0" w:type="dxa"/>
            <w:right w:w="0" w:type="dxa"/>
          </w:tblCellMar>
        </w:tblPrEx>
        <w:trPr>
          <w:trHeight w:val="397" w:hRule="atLeast"/>
        </w:trPr>
        <w:tc>
          <w:tcPr>
            <w:tcW w:w="724" w:type="dxa"/>
            <w:tcBorders>
              <w:top w:val="nil"/>
              <w:left w:val="single" w:color="auto" w:sz="8" w:space="0"/>
              <w:bottom w:val="single" w:color="auto" w:sz="4" w:space="0"/>
              <w:right w:val="single" w:color="auto" w:sz="4" w:space="0"/>
            </w:tcBorders>
            <w:tcMar>
              <w:top w:w="15" w:type="dxa"/>
              <w:left w:w="15" w:type="dxa"/>
              <w:bottom w:w="0" w:type="dxa"/>
              <w:right w:w="15" w:type="dxa"/>
            </w:tcMar>
            <w:vAlign w:val="center"/>
          </w:tcPr>
          <w:p>
            <w:pPr>
              <w:widowControl/>
              <w:adjustRightInd w:val="0"/>
              <w:snapToGrid w:val="0"/>
              <w:jc w:val="center"/>
              <w:rPr>
                <w:color w:val="000000"/>
                <w:kern w:val="0"/>
                <w:sz w:val="21"/>
                <w:szCs w:val="21"/>
                <w:u w:val="single"/>
              </w:rPr>
            </w:pPr>
            <w:r>
              <w:rPr>
                <w:color w:val="000000"/>
                <w:kern w:val="0"/>
                <w:sz w:val="21"/>
                <w:szCs w:val="21"/>
                <w:u w:val="single"/>
              </w:rPr>
              <w:t>3</w:t>
            </w:r>
          </w:p>
        </w:tc>
        <w:tc>
          <w:tcPr>
            <w:tcW w:w="1276"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ind w:firstLine="31680" w:firstLineChars="95"/>
              <w:rPr>
                <w:rFonts w:cs="宋体"/>
                <w:color w:val="000000"/>
                <w:kern w:val="0"/>
                <w:sz w:val="21"/>
                <w:szCs w:val="21"/>
                <w:u w:val="single"/>
              </w:rPr>
            </w:pPr>
            <w:r>
              <w:rPr>
                <w:rFonts w:cs="宋体"/>
                <w:color w:val="000000"/>
                <w:kern w:val="0"/>
                <w:sz w:val="21"/>
                <w:szCs w:val="21"/>
                <w:u w:val="single"/>
              </w:rPr>
              <w:t>K3+150</w:t>
            </w:r>
          </w:p>
        </w:tc>
        <w:tc>
          <w:tcPr>
            <w:tcW w:w="226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四级</w:t>
            </w:r>
          </w:p>
        </w:tc>
        <w:tc>
          <w:tcPr>
            <w:tcW w:w="1416" w:type="dxa"/>
            <w:tcBorders>
              <w:top w:val="nil"/>
              <w:left w:val="nil"/>
              <w:bottom w:val="single" w:color="auto" w:sz="4" w:space="0"/>
              <w:right w:val="single" w:color="auto" w:sz="6"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cs="宋体"/>
                <w:color w:val="000000"/>
                <w:kern w:val="0"/>
                <w:sz w:val="21"/>
                <w:szCs w:val="21"/>
                <w:u w:val="single"/>
              </w:rPr>
              <w:t>+</w:t>
            </w:r>
          </w:p>
        </w:tc>
        <w:tc>
          <w:tcPr>
            <w:tcW w:w="1278" w:type="dxa"/>
            <w:tcBorders>
              <w:top w:val="nil"/>
              <w:left w:val="single" w:color="auto" w:sz="6" w:space="0"/>
              <w:bottom w:val="single" w:color="auto" w:sz="4" w:space="0"/>
              <w:right w:val="single" w:color="auto" w:sz="4" w:space="0"/>
            </w:tcBorders>
            <w:vAlign w:val="center"/>
          </w:tcPr>
          <w:p>
            <w:pPr>
              <w:jc w:val="center"/>
              <w:rPr>
                <w:rFonts w:cs="宋体"/>
                <w:color w:val="000000"/>
                <w:kern w:val="0"/>
                <w:sz w:val="21"/>
                <w:szCs w:val="21"/>
                <w:u w:val="single"/>
              </w:rPr>
            </w:pPr>
            <w:r>
              <w:rPr>
                <w:rFonts w:cs="宋体"/>
                <w:color w:val="000000"/>
                <w:kern w:val="0"/>
                <w:sz w:val="21"/>
                <w:szCs w:val="21"/>
                <w:u w:val="single"/>
              </w:rPr>
              <w:t>80</w:t>
            </w:r>
          </w:p>
        </w:tc>
        <w:tc>
          <w:tcPr>
            <w:tcW w:w="2139" w:type="dxa"/>
            <w:tcBorders>
              <w:top w:val="nil"/>
              <w:left w:val="nil"/>
              <w:bottom w:val="single" w:color="auto" w:sz="4" w:space="0"/>
              <w:right w:val="single" w:color="auto" w:sz="8"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村道，水泥砼路面</w:t>
            </w:r>
          </w:p>
        </w:tc>
      </w:tr>
      <w:tr>
        <w:tblPrEx>
          <w:tblLayout w:type="fixed"/>
          <w:tblCellMar>
            <w:top w:w="0" w:type="dxa"/>
            <w:left w:w="0" w:type="dxa"/>
            <w:bottom w:w="0" w:type="dxa"/>
            <w:right w:w="0" w:type="dxa"/>
          </w:tblCellMar>
        </w:tblPrEx>
        <w:trPr>
          <w:trHeight w:val="397" w:hRule="atLeast"/>
        </w:trPr>
        <w:tc>
          <w:tcPr>
            <w:tcW w:w="724" w:type="dxa"/>
            <w:tcBorders>
              <w:top w:val="nil"/>
              <w:left w:val="single" w:color="auto" w:sz="8" w:space="0"/>
              <w:bottom w:val="single" w:color="auto" w:sz="4" w:space="0"/>
              <w:right w:val="single" w:color="auto" w:sz="4" w:space="0"/>
            </w:tcBorders>
            <w:tcMar>
              <w:top w:w="15" w:type="dxa"/>
              <w:left w:w="15" w:type="dxa"/>
              <w:bottom w:w="0" w:type="dxa"/>
              <w:right w:w="15" w:type="dxa"/>
            </w:tcMar>
            <w:vAlign w:val="center"/>
          </w:tcPr>
          <w:p>
            <w:pPr>
              <w:widowControl/>
              <w:adjustRightInd w:val="0"/>
              <w:snapToGrid w:val="0"/>
              <w:jc w:val="center"/>
              <w:rPr>
                <w:color w:val="000000"/>
                <w:sz w:val="21"/>
                <w:szCs w:val="21"/>
                <w:u w:val="single"/>
              </w:rPr>
            </w:pPr>
            <w:r>
              <w:rPr>
                <w:color w:val="000000"/>
                <w:sz w:val="21"/>
                <w:szCs w:val="21"/>
                <w:u w:val="single"/>
              </w:rPr>
              <w:t>4</w:t>
            </w:r>
          </w:p>
        </w:tc>
        <w:tc>
          <w:tcPr>
            <w:tcW w:w="1276"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ind w:firstLine="31680" w:firstLineChars="95"/>
              <w:rPr>
                <w:rFonts w:cs="宋体"/>
                <w:color w:val="000000"/>
                <w:kern w:val="0"/>
                <w:sz w:val="21"/>
                <w:szCs w:val="21"/>
                <w:u w:val="single"/>
              </w:rPr>
            </w:pPr>
            <w:r>
              <w:rPr>
                <w:rFonts w:cs="宋体"/>
                <w:color w:val="000000"/>
                <w:kern w:val="0"/>
                <w:sz w:val="21"/>
                <w:szCs w:val="21"/>
                <w:u w:val="single"/>
              </w:rPr>
              <w:t>K4+600</w:t>
            </w:r>
          </w:p>
        </w:tc>
        <w:tc>
          <w:tcPr>
            <w:tcW w:w="226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四级</w:t>
            </w:r>
          </w:p>
        </w:tc>
        <w:tc>
          <w:tcPr>
            <w:tcW w:w="1416" w:type="dxa"/>
            <w:tcBorders>
              <w:top w:val="nil"/>
              <w:left w:val="nil"/>
              <w:bottom w:val="single" w:color="auto" w:sz="4" w:space="0"/>
              <w:right w:val="single" w:color="auto" w:sz="6"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cs="宋体"/>
                <w:color w:val="000000"/>
                <w:kern w:val="0"/>
                <w:sz w:val="21"/>
                <w:szCs w:val="21"/>
                <w:u w:val="single"/>
              </w:rPr>
              <w:t>+</w:t>
            </w:r>
          </w:p>
        </w:tc>
        <w:tc>
          <w:tcPr>
            <w:tcW w:w="1278" w:type="dxa"/>
            <w:tcBorders>
              <w:top w:val="nil"/>
              <w:left w:val="single" w:color="auto" w:sz="6" w:space="0"/>
              <w:bottom w:val="single" w:color="auto" w:sz="4" w:space="0"/>
              <w:right w:val="single" w:color="auto" w:sz="4" w:space="0"/>
            </w:tcBorders>
            <w:vAlign w:val="center"/>
          </w:tcPr>
          <w:p>
            <w:pPr>
              <w:jc w:val="center"/>
              <w:rPr>
                <w:rFonts w:cs="宋体"/>
                <w:color w:val="000000"/>
                <w:kern w:val="0"/>
                <w:sz w:val="21"/>
                <w:szCs w:val="21"/>
                <w:u w:val="single"/>
              </w:rPr>
            </w:pPr>
            <w:r>
              <w:rPr>
                <w:rFonts w:cs="宋体"/>
                <w:color w:val="000000"/>
                <w:kern w:val="0"/>
                <w:sz w:val="21"/>
                <w:szCs w:val="21"/>
                <w:u w:val="single"/>
              </w:rPr>
              <w:t>80</w:t>
            </w:r>
          </w:p>
        </w:tc>
        <w:tc>
          <w:tcPr>
            <w:tcW w:w="2139" w:type="dxa"/>
            <w:tcBorders>
              <w:top w:val="nil"/>
              <w:left w:val="nil"/>
              <w:bottom w:val="single" w:color="auto" w:sz="4" w:space="0"/>
              <w:right w:val="single" w:color="auto" w:sz="8"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村道，水泥砼路面</w:t>
            </w:r>
          </w:p>
        </w:tc>
      </w:tr>
      <w:tr>
        <w:tblPrEx>
          <w:tblLayout w:type="fixed"/>
          <w:tblCellMar>
            <w:top w:w="0" w:type="dxa"/>
            <w:left w:w="0" w:type="dxa"/>
            <w:bottom w:w="0" w:type="dxa"/>
            <w:right w:w="0" w:type="dxa"/>
          </w:tblCellMar>
        </w:tblPrEx>
        <w:trPr>
          <w:trHeight w:val="397" w:hRule="atLeast"/>
        </w:trPr>
        <w:tc>
          <w:tcPr>
            <w:tcW w:w="724" w:type="dxa"/>
            <w:tcBorders>
              <w:top w:val="nil"/>
              <w:left w:val="single" w:color="auto" w:sz="8" w:space="0"/>
              <w:bottom w:val="single" w:color="auto" w:sz="4" w:space="0"/>
              <w:right w:val="single" w:color="auto" w:sz="4" w:space="0"/>
            </w:tcBorders>
            <w:tcMar>
              <w:top w:w="15" w:type="dxa"/>
              <w:left w:w="15" w:type="dxa"/>
              <w:bottom w:w="0" w:type="dxa"/>
              <w:right w:w="15" w:type="dxa"/>
            </w:tcMar>
            <w:vAlign w:val="center"/>
          </w:tcPr>
          <w:p>
            <w:pPr>
              <w:widowControl/>
              <w:adjustRightInd w:val="0"/>
              <w:snapToGrid w:val="0"/>
              <w:jc w:val="center"/>
              <w:rPr>
                <w:color w:val="000000"/>
                <w:sz w:val="21"/>
                <w:szCs w:val="21"/>
                <w:u w:val="single"/>
              </w:rPr>
            </w:pPr>
            <w:r>
              <w:rPr>
                <w:color w:val="000000"/>
                <w:sz w:val="21"/>
                <w:szCs w:val="21"/>
                <w:u w:val="single"/>
              </w:rPr>
              <w:t>5</w:t>
            </w:r>
          </w:p>
        </w:tc>
        <w:tc>
          <w:tcPr>
            <w:tcW w:w="1276"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ind w:firstLine="31680" w:firstLineChars="95"/>
              <w:rPr>
                <w:rFonts w:cs="宋体"/>
                <w:color w:val="000000"/>
                <w:kern w:val="0"/>
                <w:sz w:val="21"/>
                <w:szCs w:val="21"/>
                <w:u w:val="single"/>
              </w:rPr>
            </w:pPr>
            <w:r>
              <w:rPr>
                <w:rFonts w:cs="宋体"/>
                <w:color w:val="000000"/>
                <w:kern w:val="0"/>
                <w:sz w:val="21"/>
                <w:szCs w:val="21"/>
                <w:u w:val="single"/>
              </w:rPr>
              <w:t>K5+800</w:t>
            </w:r>
          </w:p>
        </w:tc>
        <w:tc>
          <w:tcPr>
            <w:tcW w:w="226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四级</w:t>
            </w:r>
          </w:p>
        </w:tc>
        <w:tc>
          <w:tcPr>
            <w:tcW w:w="1416" w:type="dxa"/>
            <w:tcBorders>
              <w:top w:val="nil"/>
              <w:left w:val="nil"/>
              <w:bottom w:val="single" w:color="auto" w:sz="4" w:space="0"/>
              <w:right w:val="single" w:color="auto" w:sz="6"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cs="宋体"/>
                <w:color w:val="000000"/>
                <w:kern w:val="0"/>
                <w:sz w:val="21"/>
                <w:szCs w:val="21"/>
                <w:u w:val="single"/>
              </w:rPr>
              <w:t>+</w:t>
            </w:r>
          </w:p>
        </w:tc>
        <w:tc>
          <w:tcPr>
            <w:tcW w:w="1278" w:type="dxa"/>
            <w:tcBorders>
              <w:top w:val="nil"/>
              <w:left w:val="single" w:color="auto" w:sz="6" w:space="0"/>
              <w:bottom w:val="single" w:color="auto" w:sz="4" w:space="0"/>
              <w:right w:val="single" w:color="auto" w:sz="4" w:space="0"/>
            </w:tcBorders>
            <w:vAlign w:val="center"/>
          </w:tcPr>
          <w:p>
            <w:pPr>
              <w:jc w:val="center"/>
              <w:rPr>
                <w:rFonts w:cs="宋体"/>
                <w:color w:val="000000"/>
                <w:kern w:val="0"/>
                <w:sz w:val="21"/>
                <w:szCs w:val="21"/>
                <w:u w:val="single"/>
              </w:rPr>
            </w:pPr>
            <w:r>
              <w:rPr>
                <w:rFonts w:cs="宋体"/>
                <w:color w:val="000000"/>
                <w:kern w:val="0"/>
                <w:sz w:val="21"/>
                <w:szCs w:val="21"/>
                <w:u w:val="single"/>
              </w:rPr>
              <w:t>80</w:t>
            </w:r>
          </w:p>
        </w:tc>
        <w:tc>
          <w:tcPr>
            <w:tcW w:w="2139" w:type="dxa"/>
            <w:tcBorders>
              <w:top w:val="nil"/>
              <w:left w:val="nil"/>
              <w:bottom w:val="single" w:color="auto" w:sz="4" w:space="0"/>
              <w:right w:val="single" w:color="auto" w:sz="8"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村道，水泥砼路面</w:t>
            </w:r>
          </w:p>
        </w:tc>
      </w:tr>
      <w:tr>
        <w:tblPrEx>
          <w:tblLayout w:type="fixed"/>
          <w:tblCellMar>
            <w:top w:w="0" w:type="dxa"/>
            <w:left w:w="0" w:type="dxa"/>
            <w:bottom w:w="0" w:type="dxa"/>
            <w:right w:w="0" w:type="dxa"/>
          </w:tblCellMar>
        </w:tblPrEx>
        <w:trPr>
          <w:trHeight w:val="397" w:hRule="atLeast"/>
        </w:trPr>
        <w:tc>
          <w:tcPr>
            <w:tcW w:w="724" w:type="dxa"/>
            <w:tcBorders>
              <w:top w:val="nil"/>
              <w:left w:val="single" w:color="auto" w:sz="8" w:space="0"/>
              <w:bottom w:val="single" w:color="auto" w:sz="4" w:space="0"/>
              <w:right w:val="single" w:color="auto" w:sz="4" w:space="0"/>
            </w:tcBorders>
            <w:tcMar>
              <w:top w:w="15" w:type="dxa"/>
              <w:left w:w="15" w:type="dxa"/>
              <w:bottom w:w="0" w:type="dxa"/>
              <w:right w:w="15" w:type="dxa"/>
            </w:tcMar>
            <w:vAlign w:val="center"/>
          </w:tcPr>
          <w:p>
            <w:pPr>
              <w:widowControl/>
              <w:adjustRightInd w:val="0"/>
              <w:snapToGrid w:val="0"/>
              <w:jc w:val="center"/>
              <w:rPr>
                <w:color w:val="000000"/>
                <w:kern w:val="0"/>
                <w:sz w:val="21"/>
                <w:szCs w:val="21"/>
                <w:u w:val="single"/>
              </w:rPr>
            </w:pPr>
            <w:r>
              <w:rPr>
                <w:color w:val="000000"/>
                <w:kern w:val="0"/>
                <w:sz w:val="21"/>
                <w:szCs w:val="21"/>
                <w:u w:val="single"/>
              </w:rPr>
              <w:t>6</w:t>
            </w:r>
          </w:p>
        </w:tc>
        <w:tc>
          <w:tcPr>
            <w:tcW w:w="1276" w:type="dxa"/>
            <w:tcBorders>
              <w:top w:val="nil"/>
              <w:left w:val="nil"/>
              <w:bottom w:val="single" w:color="auto" w:sz="4" w:space="0"/>
              <w:right w:val="single" w:color="auto" w:sz="4" w:space="0"/>
            </w:tcBorders>
            <w:tcMar>
              <w:top w:w="15" w:type="dxa"/>
              <w:left w:w="15" w:type="dxa"/>
              <w:bottom w:w="0" w:type="dxa"/>
              <w:right w:w="15" w:type="dxa"/>
            </w:tcMar>
            <w:vAlign w:val="center"/>
          </w:tcPr>
          <w:p>
            <w:pPr>
              <w:adjustRightInd w:val="0"/>
              <w:snapToGrid w:val="0"/>
              <w:ind w:firstLine="31680" w:firstLineChars="95"/>
              <w:rPr>
                <w:rFonts w:cs="宋体"/>
                <w:color w:val="000000"/>
                <w:kern w:val="0"/>
                <w:sz w:val="21"/>
                <w:szCs w:val="21"/>
                <w:u w:val="single"/>
              </w:rPr>
            </w:pPr>
            <w:r>
              <w:rPr>
                <w:rFonts w:cs="宋体"/>
                <w:color w:val="000000"/>
                <w:kern w:val="0"/>
                <w:sz w:val="21"/>
                <w:szCs w:val="21"/>
                <w:u w:val="single"/>
              </w:rPr>
              <w:t>K7+200</w:t>
            </w:r>
          </w:p>
        </w:tc>
        <w:tc>
          <w:tcPr>
            <w:tcW w:w="226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四级</w:t>
            </w:r>
          </w:p>
        </w:tc>
        <w:tc>
          <w:tcPr>
            <w:tcW w:w="1416" w:type="dxa"/>
            <w:tcBorders>
              <w:top w:val="nil"/>
              <w:left w:val="nil"/>
              <w:bottom w:val="single" w:color="auto" w:sz="4" w:space="0"/>
              <w:right w:val="single" w:color="auto" w:sz="6"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cs="宋体"/>
                <w:color w:val="000000"/>
                <w:kern w:val="0"/>
                <w:sz w:val="21"/>
                <w:szCs w:val="21"/>
                <w:u w:val="single"/>
              </w:rPr>
              <w:t>+</w:t>
            </w:r>
          </w:p>
        </w:tc>
        <w:tc>
          <w:tcPr>
            <w:tcW w:w="1278" w:type="dxa"/>
            <w:tcBorders>
              <w:top w:val="nil"/>
              <w:left w:val="single" w:color="auto" w:sz="6" w:space="0"/>
              <w:bottom w:val="single" w:color="auto" w:sz="4" w:space="0"/>
              <w:right w:val="single" w:color="auto" w:sz="4" w:space="0"/>
            </w:tcBorders>
            <w:vAlign w:val="center"/>
          </w:tcPr>
          <w:p>
            <w:pPr>
              <w:jc w:val="center"/>
              <w:rPr>
                <w:rFonts w:cs="宋体"/>
                <w:color w:val="000000"/>
                <w:kern w:val="0"/>
                <w:sz w:val="21"/>
                <w:szCs w:val="21"/>
                <w:u w:val="single"/>
              </w:rPr>
            </w:pPr>
            <w:r>
              <w:rPr>
                <w:rFonts w:cs="宋体"/>
                <w:color w:val="000000"/>
                <w:kern w:val="0"/>
                <w:sz w:val="21"/>
                <w:szCs w:val="21"/>
                <w:u w:val="single"/>
              </w:rPr>
              <w:t>80</w:t>
            </w:r>
          </w:p>
        </w:tc>
        <w:tc>
          <w:tcPr>
            <w:tcW w:w="2139" w:type="dxa"/>
            <w:tcBorders>
              <w:top w:val="nil"/>
              <w:left w:val="nil"/>
              <w:bottom w:val="single" w:color="auto" w:sz="4" w:space="0"/>
              <w:right w:val="single" w:color="auto" w:sz="8" w:space="0"/>
            </w:tcBorders>
            <w:tcMar>
              <w:top w:w="15" w:type="dxa"/>
              <w:left w:w="15" w:type="dxa"/>
              <w:bottom w:w="0" w:type="dxa"/>
              <w:right w:w="15" w:type="dxa"/>
            </w:tcMar>
            <w:vAlign w:val="center"/>
          </w:tcPr>
          <w:p>
            <w:pPr>
              <w:jc w:val="center"/>
              <w:rPr>
                <w:rFonts w:cs="宋体"/>
                <w:color w:val="000000"/>
                <w:kern w:val="0"/>
                <w:sz w:val="21"/>
                <w:szCs w:val="21"/>
                <w:u w:val="single"/>
              </w:rPr>
            </w:pPr>
            <w:r>
              <w:rPr>
                <w:rFonts w:hint="eastAsia" w:cs="宋体"/>
                <w:color w:val="000000"/>
                <w:kern w:val="0"/>
                <w:sz w:val="21"/>
                <w:szCs w:val="21"/>
                <w:u w:val="single"/>
              </w:rPr>
              <w:t>村道，水泥砼路面</w:t>
            </w:r>
          </w:p>
        </w:tc>
      </w:tr>
    </w:tbl>
    <w:p>
      <w:pPr>
        <w:pStyle w:val="5"/>
        <w:widowControl/>
        <w:numPr>
          <w:numId w:val="0"/>
        </w:numPr>
        <w:ind w:leftChars="0"/>
        <w:rPr>
          <w:rFonts w:hint="eastAsia"/>
          <w:color w:val="000000"/>
          <w:u w:val="single"/>
          <w:lang w:val="en-US" w:eastAsia="zh-CN"/>
        </w:rPr>
      </w:pPr>
      <w:r>
        <w:rPr>
          <w:rFonts w:hint="eastAsia"/>
          <w:color w:val="000000"/>
          <w:u w:val="none"/>
          <w:lang w:val="en-US" w:eastAsia="zh-CN"/>
        </w:rPr>
        <w:t xml:space="preserve">    </w:t>
      </w:r>
      <w:r>
        <w:rPr>
          <w:rFonts w:hint="eastAsia"/>
          <w:color w:val="000000"/>
          <w:u w:val="single"/>
          <w:lang w:val="en-US" w:eastAsia="zh-CN"/>
        </w:rPr>
        <w:t>②与地下管线交叉</w:t>
      </w:r>
    </w:p>
    <w:p>
      <w:pPr>
        <w:adjustRightInd w:val="0"/>
        <w:snapToGrid w:val="0"/>
        <w:spacing w:line="360" w:lineRule="auto"/>
        <w:ind w:firstLine="482"/>
        <w:rPr>
          <w:rFonts w:hint="eastAsia"/>
          <w:color w:val="000000"/>
          <w:sz w:val="24"/>
          <w:szCs w:val="24"/>
          <w:u w:val="single"/>
          <w:lang w:val="en-US" w:eastAsia="zh-CN"/>
        </w:rPr>
      </w:pPr>
      <w:r>
        <w:rPr>
          <w:rFonts w:hint="eastAsia"/>
          <w:color w:val="000000"/>
          <w:sz w:val="24"/>
          <w:szCs w:val="24"/>
          <w:u w:val="single"/>
          <w:lang w:val="en-US" w:eastAsia="zh-CN"/>
        </w:rPr>
        <w:t>本项目沿途地下没有输油管线，没有地埋电缆，与跨园区的已有地下光缆相交2次，另外在拟建公路东边规划的有天然气长输工程，沿本工程走线。根据相关部门了解，园区规划的地下管线均已开工建设，但涉及到与道路平行走线的管线则与道路同步施工同步进行。</w:t>
      </w:r>
    </w:p>
    <w:p>
      <w:pPr>
        <w:pStyle w:val="5"/>
        <w:widowControl/>
        <w:ind w:left="0" w:firstLine="0"/>
        <w:rPr>
          <w:color w:val="000000"/>
          <w:u w:val="single"/>
        </w:rPr>
      </w:pPr>
      <w:r>
        <w:rPr>
          <w:rFonts w:hint="eastAsia"/>
          <w:color w:val="000000"/>
          <w:u w:val="single"/>
        </w:rPr>
        <w:t>交通工程及沿线设施</w:t>
      </w:r>
    </w:p>
    <w:p>
      <w:pPr>
        <w:adjustRightInd w:val="0"/>
        <w:snapToGrid w:val="0"/>
        <w:spacing w:line="360" w:lineRule="auto"/>
        <w:ind w:firstLine="482"/>
        <w:rPr>
          <w:color w:val="000000"/>
          <w:sz w:val="24"/>
          <w:szCs w:val="24"/>
          <w:u w:val="single"/>
        </w:rPr>
      </w:pPr>
      <w:r>
        <w:rPr>
          <w:rFonts w:hint="eastAsia"/>
          <w:color w:val="000000"/>
          <w:sz w:val="24"/>
          <w:szCs w:val="24"/>
          <w:u w:val="single"/>
        </w:rPr>
        <w:t>本工程适当设置指示、警告、禁令、指路牌、交通信号灯等标志及路面标线等。</w:t>
      </w:r>
    </w:p>
    <w:p>
      <w:pPr>
        <w:pStyle w:val="5"/>
        <w:widowControl/>
        <w:ind w:left="0" w:firstLine="0"/>
        <w:rPr>
          <w:color w:val="000000"/>
          <w:u w:val="single"/>
        </w:rPr>
      </w:pPr>
      <w:r>
        <w:rPr>
          <w:rFonts w:hint="eastAsia"/>
          <w:color w:val="000000"/>
          <w:u w:val="single"/>
        </w:rPr>
        <w:t>绿化工程</w:t>
      </w:r>
    </w:p>
    <w:p>
      <w:pPr>
        <w:adjustRightInd w:val="0"/>
        <w:snapToGrid w:val="0"/>
        <w:spacing w:line="360" w:lineRule="auto"/>
        <w:ind w:firstLine="31680" w:firstLineChars="200"/>
        <w:rPr>
          <w:color w:val="000000"/>
          <w:sz w:val="24"/>
          <w:szCs w:val="24"/>
          <w:u w:val="single"/>
        </w:rPr>
      </w:pPr>
      <w:r>
        <w:rPr>
          <w:rFonts w:hint="eastAsia"/>
          <w:color w:val="000000"/>
          <w:sz w:val="24"/>
          <w:szCs w:val="24"/>
          <w:u w:val="single"/>
        </w:rPr>
        <w:t>根据《湖南省普通干线公路文明样板路创建标准</w:t>
      </w:r>
      <w:r>
        <w:rPr>
          <w:color w:val="000000"/>
          <w:sz w:val="24"/>
          <w:szCs w:val="24"/>
          <w:u w:val="single"/>
        </w:rPr>
        <w:t>(</w:t>
      </w:r>
      <w:r>
        <w:rPr>
          <w:rFonts w:hint="eastAsia"/>
          <w:color w:val="000000"/>
          <w:sz w:val="24"/>
          <w:szCs w:val="24"/>
          <w:u w:val="single"/>
        </w:rPr>
        <w:t>试行</w:t>
      </w:r>
      <w:r>
        <w:rPr>
          <w:color w:val="000000"/>
          <w:sz w:val="24"/>
          <w:szCs w:val="24"/>
          <w:u w:val="single"/>
        </w:rPr>
        <w:t>)</w:t>
      </w:r>
      <w:r>
        <w:rPr>
          <w:rFonts w:hint="eastAsia"/>
          <w:color w:val="000000"/>
          <w:sz w:val="24"/>
          <w:szCs w:val="24"/>
          <w:u w:val="single"/>
        </w:rPr>
        <w:t>》，结合本工程具体特点，从以下几方面进行绿化和美化设计。</w:t>
      </w:r>
    </w:p>
    <w:p>
      <w:pPr>
        <w:adjustRightInd w:val="0"/>
        <w:snapToGrid w:val="0"/>
        <w:spacing w:line="360" w:lineRule="auto"/>
        <w:ind w:firstLine="31680" w:firstLineChars="200"/>
        <w:rPr>
          <w:color w:val="000000"/>
          <w:sz w:val="24"/>
          <w:szCs w:val="24"/>
          <w:u w:val="single"/>
        </w:rPr>
      </w:pPr>
      <w:r>
        <w:rPr>
          <w:color w:val="000000"/>
          <w:sz w:val="24"/>
          <w:szCs w:val="24"/>
          <w:u w:val="single"/>
        </w:rPr>
        <w:t>a</w:t>
      </w:r>
      <w:r>
        <w:rPr>
          <w:rFonts w:hint="eastAsia"/>
          <w:color w:val="000000"/>
          <w:sz w:val="24"/>
          <w:szCs w:val="24"/>
          <w:u w:val="single"/>
        </w:rPr>
        <w:t>）公路沿线用地范围内按照《公路绿色通道绿化工程建设技术规范》（</w:t>
      </w:r>
      <w:r>
        <w:rPr>
          <w:color w:val="000000"/>
          <w:sz w:val="24"/>
          <w:szCs w:val="24"/>
          <w:u w:val="single"/>
        </w:rPr>
        <w:t>DB43/T_619—2011</w:t>
      </w:r>
      <w:r>
        <w:rPr>
          <w:rFonts w:hint="eastAsia"/>
          <w:color w:val="000000"/>
          <w:sz w:val="24"/>
          <w:szCs w:val="24"/>
          <w:u w:val="single"/>
        </w:rPr>
        <w:t>）因地制宜进行绿化。</w:t>
      </w:r>
    </w:p>
    <w:p>
      <w:pPr>
        <w:adjustRightInd w:val="0"/>
        <w:snapToGrid w:val="0"/>
        <w:spacing w:line="360" w:lineRule="auto"/>
        <w:ind w:firstLine="31680" w:firstLineChars="200"/>
        <w:rPr>
          <w:color w:val="000000"/>
          <w:sz w:val="24"/>
          <w:szCs w:val="24"/>
          <w:u w:val="single"/>
        </w:rPr>
      </w:pPr>
      <w:r>
        <w:rPr>
          <w:color w:val="000000"/>
          <w:sz w:val="24"/>
          <w:szCs w:val="24"/>
          <w:u w:val="single"/>
        </w:rPr>
        <w:t>b</w:t>
      </w:r>
      <w:r>
        <w:rPr>
          <w:rFonts w:hint="eastAsia"/>
          <w:color w:val="000000"/>
          <w:sz w:val="24"/>
          <w:szCs w:val="24"/>
          <w:u w:val="single"/>
        </w:rPr>
        <w:t>）主线两侧以乔木</w:t>
      </w:r>
      <w:r>
        <w:rPr>
          <w:color w:val="000000"/>
          <w:sz w:val="24"/>
          <w:szCs w:val="24"/>
          <w:u w:val="single"/>
        </w:rPr>
        <w:t>+</w:t>
      </w:r>
      <w:r>
        <w:rPr>
          <w:rFonts w:hint="eastAsia"/>
          <w:color w:val="000000"/>
          <w:sz w:val="24"/>
          <w:szCs w:val="24"/>
          <w:u w:val="single"/>
        </w:rPr>
        <w:t>花灌木配置，初植乔木胸径不小于</w:t>
      </w:r>
      <w:r>
        <w:rPr>
          <w:color w:val="000000"/>
          <w:sz w:val="24"/>
          <w:szCs w:val="24"/>
          <w:u w:val="single"/>
        </w:rPr>
        <w:t>4~6cm</w:t>
      </w:r>
      <w:r>
        <w:rPr>
          <w:rFonts w:hint="eastAsia"/>
          <w:color w:val="000000"/>
          <w:sz w:val="24"/>
          <w:szCs w:val="24"/>
          <w:u w:val="single"/>
        </w:rPr>
        <w:t>，树高不低于</w:t>
      </w:r>
      <w:r>
        <w:rPr>
          <w:color w:val="000000"/>
          <w:sz w:val="24"/>
          <w:szCs w:val="24"/>
          <w:u w:val="single"/>
        </w:rPr>
        <w:t>2m</w:t>
      </w:r>
      <w:r>
        <w:rPr>
          <w:rFonts w:hint="eastAsia"/>
          <w:color w:val="000000"/>
          <w:sz w:val="24"/>
          <w:szCs w:val="24"/>
          <w:u w:val="single"/>
        </w:rPr>
        <w:t>；窄冠型乔木树种株距为</w:t>
      </w:r>
      <w:r>
        <w:rPr>
          <w:color w:val="000000"/>
          <w:sz w:val="24"/>
          <w:szCs w:val="24"/>
          <w:u w:val="single"/>
        </w:rPr>
        <w:t>4~6m</w:t>
      </w:r>
      <w:r>
        <w:rPr>
          <w:rFonts w:hint="eastAsia"/>
          <w:color w:val="000000"/>
          <w:sz w:val="24"/>
          <w:szCs w:val="24"/>
          <w:u w:val="single"/>
        </w:rPr>
        <w:t>，宽冠型乔木树种株距为</w:t>
      </w:r>
      <w:r>
        <w:rPr>
          <w:color w:val="000000"/>
          <w:sz w:val="24"/>
          <w:szCs w:val="24"/>
          <w:u w:val="single"/>
        </w:rPr>
        <w:t>8~10m</w:t>
      </w:r>
      <w:r>
        <w:rPr>
          <w:rFonts w:hint="eastAsia"/>
          <w:color w:val="000000"/>
          <w:sz w:val="24"/>
          <w:szCs w:val="24"/>
          <w:u w:val="single"/>
        </w:rPr>
        <w:t>，灌木株距为</w:t>
      </w:r>
      <w:r>
        <w:rPr>
          <w:color w:val="000000"/>
          <w:sz w:val="24"/>
          <w:szCs w:val="24"/>
          <w:u w:val="single"/>
        </w:rPr>
        <w:t>1~2m</w:t>
      </w:r>
      <w:r>
        <w:rPr>
          <w:rFonts w:hint="eastAsia"/>
          <w:color w:val="000000"/>
          <w:sz w:val="24"/>
          <w:szCs w:val="24"/>
          <w:u w:val="single"/>
        </w:rPr>
        <w:t>；土路肩不裸露。中央分隔带绿化选择适应性强树种，以小乔灌木、灌木球、地被结合形成具有节奏韵律感的植物景观。集镇段一般应设置以乔、灌木为主适当点缀花草的花坛。</w:t>
      </w:r>
    </w:p>
    <w:p>
      <w:pPr>
        <w:adjustRightInd w:val="0"/>
        <w:snapToGrid w:val="0"/>
        <w:spacing w:line="360" w:lineRule="auto"/>
        <w:ind w:firstLine="31680" w:firstLineChars="200"/>
        <w:rPr>
          <w:color w:val="000000"/>
          <w:sz w:val="24"/>
          <w:szCs w:val="24"/>
          <w:u w:val="single"/>
        </w:rPr>
      </w:pPr>
      <w:r>
        <w:rPr>
          <w:color w:val="000000"/>
          <w:sz w:val="24"/>
          <w:szCs w:val="24"/>
          <w:u w:val="single"/>
        </w:rPr>
        <w:t>c</w:t>
      </w:r>
      <w:r>
        <w:rPr>
          <w:rFonts w:hint="eastAsia"/>
          <w:color w:val="000000"/>
          <w:sz w:val="24"/>
          <w:szCs w:val="24"/>
          <w:u w:val="single"/>
        </w:rPr>
        <w:t>）路树应满足行车安全要求，不得侵入公路建筑限界或遮挡路侧标志、弯道内侧不影响视距。道路两侧等绿化用地保持整洁。路树、草坪修剪整齐规范。路树宜整齐刷白，刷白高度为路基边缘线以上</w:t>
      </w:r>
      <w:r>
        <w:rPr>
          <w:color w:val="000000"/>
          <w:sz w:val="24"/>
          <w:szCs w:val="24"/>
          <w:u w:val="single"/>
        </w:rPr>
        <w:t>1.2m</w:t>
      </w:r>
      <w:r>
        <w:rPr>
          <w:rFonts w:hint="eastAsia"/>
          <w:color w:val="000000"/>
          <w:sz w:val="24"/>
          <w:szCs w:val="24"/>
          <w:u w:val="single"/>
        </w:rPr>
        <w:t>。</w:t>
      </w:r>
    </w:p>
    <w:p>
      <w:pPr>
        <w:adjustRightInd w:val="0"/>
        <w:snapToGrid w:val="0"/>
        <w:spacing w:line="360" w:lineRule="auto"/>
        <w:ind w:firstLine="31680" w:firstLineChars="200"/>
        <w:rPr>
          <w:color w:val="000000"/>
          <w:sz w:val="24"/>
          <w:szCs w:val="24"/>
          <w:u w:val="single"/>
        </w:rPr>
      </w:pPr>
      <w:r>
        <w:rPr>
          <w:color w:val="000000"/>
          <w:sz w:val="24"/>
          <w:szCs w:val="24"/>
          <w:u w:val="single"/>
        </w:rPr>
        <w:t>d</w:t>
      </w:r>
      <w:r>
        <w:rPr>
          <w:rFonts w:hint="eastAsia"/>
          <w:color w:val="000000"/>
          <w:sz w:val="24"/>
          <w:szCs w:val="24"/>
          <w:u w:val="single"/>
        </w:rPr>
        <w:t>）苗木应选择适应</w:t>
      </w:r>
      <w:r>
        <w:rPr>
          <w:rFonts w:hint="eastAsia"/>
          <w:color w:val="000000"/>
          <w:sz w:val="24"/>
          <w:szCs w:val="24"/>
          <w:u w:val="single"/>
          <w:lang w:val="en-US" w:eastAsia="zh-CN"/>
        </w:rPr>
        <w:t>汨罗</w:t>
      </w:r>
      <w:r>
        <w:rPr>
          <w:rFonts w:hint="eastAsia"/>
          <w:color w:val="000000"/>
          <w:sz w:val="24"/>
          <w:szCs w:val="24"/>
          <w:u w:val="single"/>
        </w:rPr>
        <w:t>市气候、土壤条件、公路环境及管理粗放、抗性较强的品种，同时必须满足生长健壮、冠形完整、色泽正常、根系发达、无检疫病虫害、无机械损伤、无冻害等基本质量要求。</w:t>
      </w:r>
    </w:p>
    <w:p>
      <w:pPr>
        <w:adjustRightInd w:val="0"/>
        <w:snapToGrid w:val="0"/>
        <w:spacing w:line="360" w:lineRule="auto"/>
        <w:ind w:firstLine="31680" w:firstLineChars="200"/>
        <w:rPr>
          <w:color w:val="000000"/>
          <w:sz w:val="24"/>
          <w:szCs w:val="24"/>
        </w:rPr>
      </w:pPr>
      <w:r>
        <w:rPr>
          <w:color w:val="000000"/>
          <w:sz w:val="24"/>
          <w:szCs w:val="24"/>
          <w:u w:val="single"/>
        </w:rPr>
        <w:t>e</w:t>
      </w:r>
      <w:r>
        <w:rPr>
          <w:rFonts w:hint="eastAsia"/>
          <w:color w:val="000000"/>
          <w:sz w:val="24"/>
          <w:szCs w:val="24"/>
          <w:u w:val="single"/>
        </w:rPr>
        <w:t>）结合本项目特点，可适当移植既有道路两侧的行道树。</w:t>
      </w:r>
    </w:p>
    <w:p>
      <w:pPr>
        <w:pStyle w:val="4"/>
        <w:widowControl/>
        <w:ind w:left="567" w:hanging="567"/>
        <w:jc w:val="left"/>
        <w:rPr>
          <w:color w:val="000000"/>
        </w:rPr>
      </w:pPr>
      <w:bookmarkStart w:id="122" w:name="_Toc349903654"/>
      <w:bookmarkStart w:id="123" w:name="_Toc27834"/>
      <w:bookmarkStart w:id="124" w:name="_Toc408503556"/>
      <w:r>
        <w:rPr>
          <w:rFonts w:hint="eastAsia"/>
          <w:color w:val="000000"/>
        </w:rPr>
        <w:t>工程占地</w:t>
      </w:r>
      <w:bookmarkEnd w:id="122"/>
      <w:r>
        <w:rPr>
          <w:rFonts w:hint="eastAsia"/>
          <w:color w:val="000000"/>
        </w:rPr>
        <w:t>及拆迁情况</w:t>
      </w:r>
      <w:bookmarkEnd w:id="123"/>
      <w:bookmarkEnd w:id="124"/>
    </w:p>
    <w:p>
      <w:pPr>
        <w:pStyle w:val="5"/>
        <w:ind w:left="567" w:hanging="567"/>
        <w:rPr>
          <w:color w:val="000000"/>
        </w:rPr>
      </w:pPr>
      <w:r>
        <w:rPr>
          <w:rFonts w:hint="eastAsia"/>
          <w:color w:val="000000"/>
        </w:rPr>
        <w:t>永久占地</w:t>
      </w:r>
    </w:p>
    <w:p>
      <w:pPr>
        <w:pStyle w:val="3"/>
        <w:ind w:firstLine="31680"/>
        <w:rPr>
          <w:color w:val="000000"/>
        </w:rPr>
      </w:pPr>
      <w:r>
        <w:rPr>
          <w:rFonts w:hint="eastAsia"/>
          <w:color w:val="000000"/>
        </w:rPr>
        <w:t>根据工可统计资料，本工程永久占地用地类型汇总见表</w:t>
      </w:r>
      <w:r>
        <w:rPr>
          <w:color w:val="000000"/>
        </w:rPr>
        <w:t>3.6-1</w:t>
      </w:r>
      <w:r>
        <w:rPr>
          <w:rFonts w:hint="eastAsia"/>
          <w:color w:val="000000"/>
        </w:rPr>
        <w:t>。</w:t>
      </w:r>
    </w:p>
    <w:p>
      <w:pPr>
        <w:pStyle w:val="19"/>
        <w:jc w:val="center"/>
        <w:rPr>
          <w:color w:val="000000"/>
        </w:rPr>
      </w:pPr>
      <w:r>
        <w:rPr>
          <w:rFonts w:hint="eastAsia"/>
          <w:color w:val="000000"/>
        </w:rPr>
        <w:t>表</w:t>
      </w:r>
      <w:r>
        <w:rPr>
          <w:color w:val="000000"/>
        </w:rPr>
        <w:t xml:space="preserve">3.6-1      </w:t>
      </w:r>
      <w:r>
        <w:rPr>
          <w:rFonts w:hint="eastAsia"/>
          <w:color w:val="000000"/>
        </w:rPr>
        <w:t>工程永久占地汇总表</w:t>
      </w:r>
      <w:r>
        <w:rPr>
          <w:color w:val="000000"/>
        </w:rPr>
        <w:t xml:space="preserve">    </w:t>
      </w:r>
      <w:r>
        <w:rPr>
          <w:rFonts w:hint="eastAsia"/>
          <w:color w:val="000000"/>
        </w:rPr>
        <w:t>单位：</w:t>
      </w:r>
      <w:r>
        <w:rPr>
          <w:color w:val="000000"/>
        </w:rPr>
        <w:t>hm</w:t>
      </w:r>
      <w:r>
        <w:rPr>
          <w:color w:val="000000"/>
          <w:vertAlign w:val="superscript"/>
        </w:rPr>
        <w:t>2</w:t>
      </w:r>
    </w:p>
    <w:tbl>
      <w:tblPr>
        <w:tblStyle w:val="65"/>
        <w:tblW w:w="934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44"/>
        <w:gridCol w:w="899"/>
        <w:gridCol w:w="899"/>
        <w:gridCol w:w="899"/>
        <w:gridCol w:w="899"/>
        <w:gridCol w:w="899"/>
        <w:gridCol w:w="899"/>
        <w:gridCol w:w="898"/>
        <w:gridCol w:w="899"/>
        <w:gridCol w:w="9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3" w:hRule="atLeast"/>
          <w:tblHeader/>
        </w:trPr>
        <w:tc>
          <w:tcPr>
            <w:tcW w:w="1244" w:type="dxa"/>
            <w:vAlign w:val="center"/>
          </w:tcPr>
          <w:p>
            <w:pPr>
              <w:widowControl/>
              <w:jc w:val="center"/>
              <w:rPr>
                <w:rFonts w:ascii="宋体" w:cs="宋体"/>
                <w:color w:val="000000"/>
                <w:kern w:val="0"/>
                <w:sz w:val="21"/>
                <w:szCs w:val="21"/>
              </w:rPr>
            </w:pPr>
            <w:r>
              <w:rPr>
                <w:rFonts w:hint="eastAsia" w:ascii="宋体" w:hAnsi="宋体" w:cs="宋体"/>
                <w:color w:val="000000"/>
                <w:kern w:val="0"/>
                <w:sz w:val="21"/>
                <w:szCs w:val="21"/>
              </w:rPr>
              <w:t>占地类型</w:t>
            </w:r>
          </w:p>
        </w:tc>
        <w:tc>
          <w:tcPr>
            <w:tcW w:w="899" w:type="dxa"/>
            <w:tcBorders>
              <w:right w:val="single" w:color="auto" w:sz="4" w:space="0"/>
            </w:tcBorders>
            <w:vAlign w:val="center"/>
          </w:tcPr>
          <w:p>
            <w:pPr>
              <w:widowControl/>
              <w:jc w:val="center"/>
              <w:rPr>
                <w:rFonts w:ascii="宋体" w:cs="宋体"/>
                <w:color w:val="000000"/>
                <w:kern w:val="0"/>
                <w:sz w:val="21"/>
                <w:szCs w:val="21"/>
              </w:rPr>
            </w:pPr>
            <w:r>
              <w:rPr>
                <w:rFonts w:hint="eastAsia" w:ascii="宋体" w:hAnsi="宋体" w:cs="宋体"/>
                <w:color w:val="000000"/>
                <w:kern w:val="0"/>
                <w:sz w:val="21"/>
                <w:szCs w:val="21"/>
              </w:rPr>
              <w:t>水田</w:t>
            </w:r>
          </w:p>
        </w:tc>
        <w:tc>
          <w:tcPr>
            <w:tcW w:w="899" w:type="dxa"/>
            <w:tcBorders>
              <w:left w:val="single" w:color="auto" w:sz="4" w:space="0"/>
            </w:tcBorders>
            <w:vAlign w:val="center"/>
          </w:tcPr>
          <w:p>
            <w:pPr>
              <w:widowControl/>
              <w:jc w:val="center"/>
              <w:rPr>
                <w:rFonts w:ascii="宋体" w:cs="宋体"/>
                <w:color w:val="000000"/>
                <w:kern w:val="0"/>
                <w:sz w:val="21"/>
                <w:szCs w:val="21"/>
              </w:rPr>
            </w:pPr>
            <w:r>
              <w:rPr>
                <w:rFonts w:hint="eastAsia" w:ascii="宋体" w:hAnsi="宋体" w:cs="宋体"/>
                <w:color w:val="000000"/>
                <w:kern w:val="0"/>
                <w:sz w:val="21"/>
                <w:szCs w:val="21"/>
              </w:rPr>
              <w:t>旱地</w:t>
            </w:r>
          </w:p>
        </w:tc>
        <w:tc>
          <w:tcPr>
            <w:tcW w:w="899" w:type="dxa"/>
            <w:vAlign w:val="center"/>
          </w:tcPr>
          <w:p>
            <w:pPr>
              <w:widowControl/>
              <w:jc w:val="center"/>
              <w:rPr>
                <w:rFonts w:ascii="宋体" w:cs="宋体"/>
                <w:color w:val="000000"/>
                <w:kern w:val="0"/>
                <w:sz w:val="21"/>
                <w:szCs w:val="21"/>
              </w:rPr>
            </w:pPr>
            <w:r>
              <w:rPr>
                <w:rFonts w:hint="eastAsia" w:ascii="宋体" w:hAnsi="宋体" w:cs="宋体"/>
                <w:color w:val="000000"/>
                <w:kern w:val="0"/>
                <w:sz w:val="21"/>
                <w:szCs w:val="21"/>
              </w:rPr>
              <w:t>水塘</w:t>
            </w:r>
          </w:p>
        </w:tc>
        <w:tc>
          <w:tcPr>
            <w:tcW w:w="899" w:type="dxa"/>
            <w:tcBorders>
              <w:right w:val="single" w:color="auto" w:sz="4" w:space="0"/>
            </w:tcBorders>
            <w:vAlign w:val="center"/>
          </w:tcPr>
          <w:p>
            <w:pPr>
              <w:widowControl/>
              <w:jc w:val="center"/>
              <w:rPr>
                <w:rFonts w:ascii="宋体" w:cs="宋体"/>
                <w:color w:val="000000"/>
                <w:kern w:val="0"/>
                <w:sz w:val="21"/>
                <w:szCs w:val="21"/>
              </w:rPr>
            </w:pPr>
            <w:r>
              <w:rPr>
                <w:rFonts w:hint="eastAsia" w:ascii="宋体" w:hAnsi="宋体" w:cs="宋体"/>
                <w:color w:val="000000"/>
                <w:kern w:val="0"/>
                <w:sz w:val="21"/>
                <w:szCs w:val="21"/>
              </w:rPr>
              <w:t>宅基地</w:t>
            </w:r>
          </w:p>
        </w:tc>
        <w:tc>
          <w:tcPr>
            <w:tcW w:w="899" w:type="dxa"/>
            <w:tcBorders>
              <w:left w:val="single" w:color="auto" w:sz="4" w:space="0"/>
            </w:tcBorders>
            <w:vAlign w:val="center"/>
          </w:tcPr>
          <w:p>
            <w:pPr>
              <w:widowControl/>
              <w:jc w:val="center"/>
              <w:rPr>
                <w:rFonts w:ascii="宋体" w:cs="宋体"/>
                <w:color w:val="000000"/>
                <w:kern w:val="0"/>
                <w:sz w:val="21"/>
                <w:szCs w:val="21"/>
              </w:rPr>
            </w:pPr>
            <w:r>
              <w:rPr>
                <w:rFonts w:hint="eastAsia" w:ascii="宋体" w:hAnsi="宋体" w:cs="宋体"/>
                <w:color w:val="000000"/>
                <w:kern w:val="0"/>
                <w:sz w:val="21"/>
                <w:szCs w:val="21"/>
              </w:rPr>
              <w:t>荒地</w:t>
            </w:r>
          </w:p>
        </w:tc>
        <w:tc>
          <w:tcPr>
            <w:tcW w:w="899" w:type="dxa"/>
            <w:vAlign w:val="center"/>
          </w:tcPr>
          <w:p>
            <w:pPr>
              <w:widowControl/>
              <w:jc w:val="center"/>
              <w:rPr>
                <w:rFonts w:ascii="宋体" w:cs="宋体"/>
                <w:color w:val="000000"/>
                <w:kern w:val="0"/>
                <w:sz w:val="21"/>
                <w:szCs w:val="21"/>
              </w:rPr>
            </w:pPr>
            <w:r>
              <w:rPr>
                <w:rFonts w:hint="eastAsia" w:ascii="宋体" w:hAnsi="宋体" w:cs="宋体"/>
                <w:color w:val="000000"/>
                <w:kern w:val="0"/>
                <w:sz w:val="21"/>
                <w:szCs w:val="21"/>
              </w:rPr>
              <w:t>林地</w:t>
            </w:r>
          </w:p>
        </w:tc>
        <w:tc>
          <w:tcPr>
            <w:tcW w:w="898" w:type="dxa"/>
            <w:vAlign w:val="center"/>
          </w:tcPr>
          <w:p>
            <w:pPr>
              <w:widowControl/>
              <w:jc w:val="center"/>
              <w:rPr>
                <w:rFonts w:ascii="宋体" w:cs="宋体"/>
                <w:color w:val="000000"/>
                <w:kern w:val="0"/>
                <w:sz w:val="21"/>
                <w:szCs w:val="21"/>
              </w:rPr>
            </w:pPr>
            <w:r>
              <w:rPr>
                <w:rFonts w:hint="eastAsia" w:ascii="宋体" w:hAnsi="宋体" w:cs="宋体"/>
                <w:color w:val="000000"/>
                <w:kern w:val="0"/>
                <w:sz w:val="21"/>
                <w:szCs w:val="21"/>
              </w:rPr>
              <w:t>老路</w:t>
            </w:r>
          </w:p>
        </w:tc>
        <w:tc>
          <w:tcPr>
            <w:tcW w:w="899" w:type="dxa"/>
            <w:tcBorders>
              <w:right w:val="single" w:color="auto" w:sz="4" w:space="0"/>
            </w:tcBorders>
            <w:vAlign w:val="center"/>
          </w:tcPr>
          <w:p>
            <w:pPr>
              <w:widowControl/>
              <w:jc w:val="center"/>
              <w:rPr>
                <w:rFonts w:ascii="宋体" w:cs="宋体"/>
                <w:color w:val="000000"/>
                <w:kern w:val="0"/>
                <w:sz w:val="21"/>
                <w:szCs w:val="21"/>
              </w:rPr>
            </w:pPr>
            <w:r>
              <w:rPr>
                <w:rFonts w:hint="eastAsia" w:ascii="宋体" w:hAnsi="宋体" w:cs="宋体"/>
                <w:color w:val="000000"/>
                <w:kern w:val="0"/>
                <w:sz w:val="21"/>
                <w:szCs w:val="21"/>
              </w:rPr>
              <w:t>河道</w:t>
            </w:r>
          </w:p>
        </w:tc>
        <w:tc>
          <w:tcPr>
            <w:tcW w:w="905" w:type="dxa"/>
            <w:vAlign w:val="center"/>
          </w:tcPr>
          <w:p>
            <w:pPr>
              <w:widowControl/>
              <w:jc w:val="center"/>
              <w:rPr>
                <w:rFonts w:ascii="宋体" w:cs="宋体"/>
                <w:color w:val="000000"/>
                <w:kern w:val="0"/>
                <w:sz w:val="21"/>
                <w:szCs w:val="21"/>
              </w:rPr>
            </w:pPr>
            <w:r>
              <w:rPr>
                <w:rFonts w:hint="eastAsia" w:ascii="宋体" w:hAnsi="宋体" w:cs="宋体"/>
                <w:color w:val="000000"/>
                <w:kern w:val="0"/>
                <w:sz w:val="21"/>
                <w:szCs w:val="21"/>
              </w:rPr>
              <w:t>合计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8" w:hRule="atLeast"/>
        </w:trPr>
        <w:tc>
          <w:tcPr>
            <w:tcW w:w="1244" w:type="dxa"/>
            <w:vAlign w:val="center"/>
          </w:tcPr>
          <w:p>
            <w:pPr>
              <w:widowControl/>
              <w:jc w:val="center"/>
              <w:rPr>
                <w:rFonts w:ascii="宋体" w:cs="宋体"/>
                <w:color w:val="000000"/>
                <w:kern w:val="0"/>
                <w:sz w:val="21"/>
                <w:szCs w:val="21"/>
              </w:rPr>
            </w:pPr>
            <w:r>
              <w:rPr>
                <w:rFonts w:hint="eastAsia" w:ascii="宋体" w:hAnsi="宋体" w:cs="宋体"/>
                <w:color w:val="000000"/>
                <w:kern w:val="0"/>
                <w:sz w:val="21"/>
                <w:szCs w:val="21"/>
              </w:rPr>
              <w:t>永久占地</w:t>
            </w:r>
          </w:p>
        </w:tc>
        <w:tc>
          <w:tcPr>
            <w:tcW w:w="899" w:type="dxa"/>
            <w:tcBorders>
              <w:right w:val="single" w:color="auto" w:sz="4" w:space="0"/>
            </w:tcBorders>
            <w:vAlign w:val="center"/>
          </w:tcPr>
          <w:p>
            <w:pPr>
              <w:widowControl/>
              <w:jc w:val="center"/>
              <w:rPr>
                <w:color w:val="000000"/>
                <w:kern w:val="0"/>
                <w:sz w:val="21"/>
                <w:szCs w:val="21"/>
              </w:rPr>
            </w:pPr>
            <w:r>
              <w:rPr>
                <w:color w:val="000000"/>
                <w:kern w:val="0"/>
                <w:sz w:val="21"/>
                <w:szCs w:val="21"/>
              </w:rPr>
              <w:t>6.36</w:t>
            </w:r>
          </w:p>
        </w:tc>
        <w:tc>
          <w:tcPr>
            <w:tcW w:w="899" w:type="dxa"/>
            <w:tcBorders>
              <w:left w:val="single" w:color="auto" w:sz="4" w:space="0"/>
            </w:tcBorders>
            <w:vAlign w:val="center"/>
          </w:tcPr>
          <w:p>
            <w:pPr>
              <w:widowControl/>
              <w:jc w:val="center"/>
              <w:rPr>
                <w:color w:val="000000"/>
                <w:kern w:val="0"/>
                <w:sz w:val="21"/>
                <w:szCs w:val="21"/>
              </w:rPr>
            </w:pPr>
            <w:r>
              <w:rPr>
                <w:color w:val="000000"/>
                <w:kern w:val="0"/>
                <w:sz w:val="21"/>
                <w:szCs w:val="21"/>
              </w:rPr>
              <w:t>2.34</w:t>
            </w:r>
          </w:p>
        </w:tc>
        <w:tc>
          <w:tcPr>
            <w:tcW w:w="899" w:type="dxa"/>
            <w:vAlign w:val="center"/>
          </w:tcPr>
          <w:p>
            <w:pPr>
              <w:widowControl/>
              <w:jc w:val="center"/>
              <w:rPr>
                <w:color w:val="000000"/>
                <w:kern w:val="0"/>
                <w:sz w:val="21"/>
                <w:szCs w:val="21"/>
              </w:rPr>
            </w:pPr>
            <w:r>
              <w:rPr>
                <w:color w:val="000000"/>
                <w:kern w:val="0"/>
                <w:sz w:val="21"/>
                <w:szCs w:val="21"/>
              </w:rPr>
              <w:t>0.67</w:t>
            </w:r>
          </w:p>
        </w:tc>
        <w:tc>
          <w:tcPr>
            <w:tcW w:w="899" w:type="dxa"/>
            <w:tcBorders>
              <w:right w:val="single" w:color="auto" w:sz="4" w:space="0"/>
            </w:tcBorders>
            <w:vAlign w:val="center"/>
          </w:tcPr>
          <w:p>
            <w:pPr>
              <w:widowControl/>
              <w:jc w:val="center"/>
              <w:rPr>
                <w:color w:val="000000"/>
                <w:kern w:val="0"/>
                <w:sz w:val="21"/>
                <w:szCs w:val="21"/>
              </w:rPr>
            </w:pPr>
            <w:r>
              <w:rPr>
                <w:color w:val="000000"/>
                <w:kern w:val="0"/>
                <w:sz w:val="21"/>
                <w:szCs w:val="21"/>
              </w:rPr>
              <w:t>2.01</w:t>
            </w:r>
          </w:p>
        </w:tc>
        <w:tc>
          <w:tcPr>
            <w:tcW w:w="899" w:type="dxa"/>
            <w:tcBorders>
              <w:left w:val="single" w:color="auto" w:sz="4" w:space="0"/>
            </w:tcBorders>
            <w:vAlign w:val="center"/>
          </w:tcPr>
          <w:p>
            <w:pPr>
              <w:widowControl/>
              <w:jc w:val="center"/>
              <w:rPr>
                <w:color w:val="000000"/>
                <w:kern w:val="0"/>
                <w:sz w:val="21"/>
                <w:szCs w:val="21"/>
              </w:rPr>
            </w:pPr>
            <w:r>
              <w:rPr>
                <w:color w:val="000000"/>
                <w:kern w:val="0"/>
                <w:sz w:val="21"/>
                <w:szCs w:val="21"/>
              </w:rPr>
              <w:t>4.69</w:t>
            </w:r>
          </w:p>
        </w:tc>
        <w:tc>
          <w:tcPr>
            <w:tcW w:w="899" w:type="dxa"/>
            <w:vAlign w:val="center"/>
          </w:tcPr>
          <w:p>
            <w:pPr>
              <w:widowControl/>
              <w:jc w:val="center"/>
              <w:rPr>
                <w:color w:val="000000"/>
                <w:kern w:val="0"/>
                <w:sz w:val="21"/>
                <w:szCs w:val="21"/>
              </w:rPr>
            </w:pPr>
            <w:r>
              <w:rPr>
                <w:color w:val="000000"/>
                <w:kern w:val="0"/>
                <w:sz w:val="21"/>
                <w:szCs w:val="21"/>
              </w:rPr>
              <w:t>16.07</w:t>
            </w:r>
          </w:p>
        </w:tc>
        <w:tc>
          <w:tcPr>
            <w:tcW w:w="898" w:type="dxa"/>
            <w:vAlign w:val="center"/>
          </w:tcPr>
          <w:p>
            <w:pPr>
              <w:widowControl/>
              <w:jc w:val="center"/>
              <w:rPr>
                <w:color w:val="000000"/>
                <w:kern w:val="0"/>
                <w:sz w:val="21"/>
                <w:szCs w:val="21"/>
              </w:rPr>
            </w:pPr>
            <w:r>
              <w:rPr>
                <w:color w:val="000000"/>
                <w:kern w:val="0"/>
                <w:sz w:val="21"/>
                <w:szCs w:val="21"/>
              </w:rPr>
              <w:t>1.00</w:t>
            </w:r>
          </w:p>
        </w:tc>
        <w:tc>
          <w:tcPr>
            <w:tcW w:w="899" w:type="dxa"/>
            <w:tcBorders>
              <w:right w:val="single" w:color="auto" w:sz="4" w:space="0"/>
            </w:tcBorders>
            <w:vAlign w:val="center"/>
          </w:tcPr>
          <w:p>
            <w:pPr>
              <w:widowControl/>
              <w:jc w:val="center"/>
              <w:rPr>
                <w:color w:val="000000"/>
                <w:kern w:val="0"/>
                <w:sz w:val="21"/>
                <w:szCs w:val="21"/>
              </w:rPr>
            </w:pPr>
            <w:r>
              <w:rPr>
                <w:color w:val="000000"/>
                <w:kern w:val="0"/>
                <w:sz w:val="21"/>
                <w:szCs w:val="21"/>
              </w:rPr>
              <w:t>0.27</w:t>
            </w:r>
          </w:p>
        </w:tc>
        <w:tc>
          <w:tcPr>
            <w:tcW w:w="905" w:type="dxa"/>
            <w:vAlign w:val="center"/>
          </w:tcPr>
          <w:p>
            <w:pPr>
              <w:widowControl/>
              <w:jc w:val="center"/>
              <w:rPr>
                <w:color w:val="000000"/>
                <w:kern w:val="0"/>
                <w:sz w:val="21"/>
                <w:szCs w:val="21"/>
              </w:rPr>
            </w:pPr>
            <w:r>
              <w:rPr>
                <w:color w:val="000000"/>
                <w:kern w:val="0"/>
                <w:sz w:val="21"/>
                <w:szCs w:val="21"/>
              </w:rPr>
              <w:t>33.41</w:t>
            </w:r>
          </w:p>
        </w:tc>
      </w:tr>
    </w:tbl>
    <w:p>
      <w:pPr>
        <w:spacing w:line="360" w:lineRule="auto"/>
        <w:ind w:firstLine="31680" w:firstLineChars="200"/>
        <w:rPr>
          <w:color w:val="000000"/>
          <w:sz w:val="24"/>
          <w:szCs w:val="24"/>
        </w:rPr>
      </w:pPr>
      <w:r>
        <w:rPr>
          <w:rFonts w:hint="eastAsia"/>
          <w:color w:val="000000"/>
          <w:sz w:val="24"/>
          <w:szCs w:val="24"/>
        </w:rPr>
        <w:t>本工程永久占地</w:t>
      </w:r>
      <w:r>
        <w:rPr>
          <w:color w:val="000000"/>
          <w:sz w:val="24"/>
          <w:szCs w:val="24"/>
        </w:rPr>
        <w:t>33.41hm</w:t>
      </w:r>
      <w:r>
        <w:rPr>
          <w:color w:val="000000"/>
          <w:sz w:val="24"/>
          <w:szCs w:val="24"/>
          <w:vertAlign w:val="superscript"/>
        </w:rPr>
        <w:t>2</w:t>
      </w:r>
      <w:r>
        <w:rPr>
          <w:rFonts w:hint="eastAsia"/>
          <w:color w:val="000000"/>
          <w:sz w:val="24"/>
          <w:szCs w:val="24"/>
        </w:rPr>
        <w:t>，新占用地</w:t>
      </w:r>
      <w:r>
        <w:rPr>
          <w:color w:val="000000"/>
          <w:sz w:val="24"/>
          <w:szCs w:val="24"/>
        </w:rPr>
        <w:t>32.37hm</w:t>
      </w:r>
      <w:r>
        <w:rPr>
          <w:color w:val="000000"/>
          <w:sz w:val="24"/>
          <w:szCs w:val="24"/>
          <w:vertAlign w:val="superscript"/>
        </w:rPr>
        <w:t>2</w:t>
      </w:r>
      <w:r>
        <w:rPr>
          <w:rFonts w:hint="eastAsia"/>
          <w:color w:val="000000"/>
          <w:sz w:val="24"/>
          <w:szCs w:val="24"/>
        </w:rPr>
        <w:t>，其中，占用耕地</w:t>
      </w:r>
      <w:r>
        <w:rPr>
          <w:color w:val="000000"/>
          <w:sz w:val="24"/>
          <w:szCs w:val="24"/>
        </w:rPr>
        <w:t>8.7m</w:t>
      </w:r>
      <w:r>
        <w:rPr>
          <w:color w:val="000000"/>
          <w:sz w:val="24"/>
          <w:szCs w:val="24"/>
          <w:vertAlign w:val="superscript"/>
        </w:rPr>
        <w:t>2</w:t>
      </w:r>
      <w:r>
        <w:rPr>
          <w:rFonts w:hint="eastAsia"/>
          <w:color w:val="000000"/>
          <w:sz w:val="24"/>
          <w:szCs w:val="24"/>
        </w:rPr>
        <w:t>，其中水田</w:t>
      </w:r>
      <w:r>
        <w:rPr>
          <w:color w:val="000000"/>
          <w:sz w:val="24"/>
          <w:szCs w:val="24"/>
        </w:rPr>
        <w:t>6.36hm</w:t>
      </w:r>
      <w:r>
        <w:rPr>
          <w:color w:val="000000"/>
          <w:sz w:val="24"/>
          <w:szCs w:val="24"/>
          <w:vertAlign w:val="superscript"/>
        </w:rPr>
        <w:t>2</w:t>
      </w:r>
      <w:r>
        <w:rPr>
          <w:rFonts w:hint="eastAsia"/>
          <w:color w:val="000000"/>
          <w:sz w:val="24"/>
          <w:szCs w:val="24"/>
        </w:rPr>
        <w:t>，旱地</w:t>
      </w:r>
      <w:r>
        <w:rPr>
          <w:color w:val="000000"/>
          <w:sz w:val="24"/>
          <w:szCs w:val="24"/>
        </w:rPr>
        <w:t>2.34hm</w:t>
      </w:r>
      <w:r>
        <w:rPr>
          <w:color w:val="000000"/>
          <w:sz w:val="24"/>
          <w:szCs w:val="24"/>
          <w:vertAlign w:val="superscript"/>
        </w:rPr>
        <w:t>2</w:t>
      </w:r>
      <w:r>
        <w:rPr>
          <w:rFonts w:hint="eastAsia"/>
          <w:color w:val="000000"/>
          <w:sz w:val="24"/>
          <w:szCs w:val="24"/>
        </w:rPr>
        <w:t>。项目用地现正在进行土地利用性质调整，土地性质调整后不涉及基本农田。项目占用林地在下一步初步设计阶段根据具体的红线图勘察和确定沿线占用林地的种类和数量，建设单位将会同</w:t>
      </w:r>
      <w:r>
        <w:rPr>
          <w:rFonts w:hint="eastAsia"/>
          <w:color w:val="000000"/>
          <w:sz w:val="24"/>
          <w:szCs w:val="24"/>
          <w:lang w:val="en-US" w:eastAsia="zh-CN"/>
        </w:rPr>
        <w:t>汨罗</w:t>
      </w:r>
      <w:r>
        <w:rPr>
          <w:rFonts w:hint="eastAsia"/>
          <w:color w:val="000000"/>
          <w:sz w:val="24"/>
          <w:szCs w:val="24"/>
        </w:rPr>
        <w:t>市林业局做好占用林地的补偿、审批工作。</w:t>
      </w:r>
    </w:p>
    <w:p>
      <w:pPr>
        <w:pStyle w:val="5"/>
        <w:ind w:left="567" w:hanging="567"/>
        <w:rPr>
          <w:color w:val="000000"/>
          <w:u w:val="single"/>
        </w:rPr>
      </w:pPr>
      <w:r>
        <w:rPr>
          <w:rFonts w:hint="eastAsia"/>
          <w:color w:val="000000"/>
          <w:u w:val="single"/>
        </w:rPr>
        <w:t>临时占地</w:t>
      </w:r>
    </w:p>
    <w:p>
      <w:pPr>
        <w:pStyle w:val="3"/>
        <w:ind w:firstLine="31680"/>
        <w:rPr>
          <w:u w:val="single"/>
        </w:rPr>
      </w:pPr>
      <w:r>
        <w:rPr>
          <w:rFonts w:hint="eastAsia"/>
          <w:color w:val="000000"/>
          <w:u w:val="single"/>
        </w:rPr>
        <w:t>本工程临时占地包括弃渣场、施工生产生活区及施工便道占地。根据水土保持方案，</w:t>
      </w:r>
      <w:r>
        <w:rPr>
          <w:rFonts w:hint="eastAsia"/>
          <w:u w:val="single"/>
        </w:rPr>
        <w:t>公路沿线共设置</w:t>
      </w:r>
      <w:r>
        <w:rPr>
          <w:u w:val="single"/>
        </w:rPr>
        <w:t>3</w:t>
      </w:r>
      <w:r>
        <w:rPr>
          <w:rFonts w:hint="eastAsia"/>
          <w:u w:val="single"/>
        </w:rPr>
        <w:t>处弃土场、</w:t>
      </w:r>
      <w:r>
        <w:rPr>
          <w:u w:val="single"/>
        </w:rPr>
        <w:t>3</w:t>
      </w:r>
      <w:r>
        <w:rPr>
          <w:rFonts w:hint="eastAsia"/>
          <w:u w:val="single"/>
        </w:rPr>
        <w:t>处施工生产生活场地、</w:t>
      </w:r>
      <w:r>
        <w:rPr>
          <w:u w:val="single"/>
        </w:rPr>
        <w:t>4.185km</w:t>
      </w:r>
      <w:r>
        <w:rPr>
          <w:rFonts w:hint="eastAsia"/>
          <w:u w:val="single"/>
        </w:rPr>
        <w:t>施工便道。临时占地总面积为</w:t>
      </w:r>
      <w:r>
        <w:rPr>
          <w:u w:val="single"/>
        </w:rPr>
        <w:t>5.81hm</w:t>
      </w:r>
      <w:r>
        <w:rPr>
          <w:u w:val="single"/>
          <w:vertAlign w:val="superscript"/>
        </w:rPr>
        <w:t>2</w:t>
      </w:r>
      <w:r>
        <w:rPr>
          <w:rFonts w:hint="eastAsia"/>
          <w:u w:val="single"/>
        </w:rPr>
        <w:t>，其中：弃渣场占地</w:t>
      </w:r>
      <w:r>
        <w:rPr>
          <w:u w:val="single"/>
        </w:rPr>
        <w:t>0.99hm</w:t>
      </w:r>
      <w:r>
        <w:rPr>
          <w:u w:val="single"/>
          <w:vertAlign w:val="superscript"/>
        </w:rPr>
        <w:t>2</w:t>
      </w:r>
      <w:r>
        <w:rPr>
          <w:rFonts w:hint="eastAsia"/>
          <w:u w:val="single"/>
        </w:rPr>
        <w:t>，施工生产生活区占地</w:t>
      </w:r>
      <w:r>
        <w:rPr>
          <w:u w:val="single"/>
        </w:rPr>
        <w:t>2.23hm</w:t>
      </w:r>
      <w:r>
        <w:rPr>
          <w:u w:val="single"/>
          <w:vertAlign w:val="superscript"/>
        </w:rPr>
        <w:t>2</w:t>
      </w:r>
      <w:r>
        <w:rPr>
          <w:rFonts w:hint="eastAsia"/>
          <w:u w:val="single"/>
        </w:rPr>
        <w:t>，施工便道区占地</w:t>
      </w:r>
      <w:r>
        <w:rPr>
          <w:u w:val="single"/>
        </w:rPr>
        <w:t>2.59hm</w:t>
      </w:r>
      <w:r>
        <w:rPr>
          <w:u w:val="single"/>
          <w:vertAlign w:val="superscript"/>
        </w:rPr>
        <w:t>2</w:t>
      </w:r>
      <w:r>
        <w:rPr>
          <w:rFonts w:hint="eastAsia"/>
          <w:u w:val="single"/>
        </w:rPr>
        <w:t>。</w:t>
      </w:r>
    </w:p>
    <w:p>
      <w:pPr>
        <w:pStyle w:val="3"/>
        <w:ind w:firstLine="31680"/>
        <w:rPr>
          <w:color w:val="000000"/>
          <w:u w:val="single"/>
        </w:rPr>
      </w:pPr>
      <w:r>
        <w:rPr>
          <w:rFonts w:hint="eastAsia"/>
          <w:color w:val="000000"/>
          <w:u w:val="single"/>
        </w:rPr>
        <w:t>环评建议施工生产生活场地应尽量设在公路附近平缓地区，施工人员生活营地可就近租用当地的民房，或在施工生产生活区内搭建临时住房。临时占地要尽量少占耕地和林地，待工程建设完工后清理场地，全部复垦。临时占地情况见表</w:t>
      </w:r>
      <w:r>
        <w:rPr>
          <w:color w:val="000000"/>
          <w:u w:val="single"/>
        </w:rPr>
        <w:t>3.6-2</w:t>
      </w:r>
      <w:r>
        <w:rPr>
          <w:rFonts w:hint="eastAsia"/>
          <w:color w:val="000000"/>
          <w:u w:val="single"/>
        </w:rPr>
        <w:t>。</w:t>
      </w:r>
    </w:p>
    <w:p>
      <w:pPr>
        <w:pStyle w:val="19"/>
        <w:jc w:val="center"/>
        <w:rPr>
          <w:rFonts w:hint="eastAsia"/>
          <w:color w:val="000000"/>
          <w:u w:val="single"/>
        </w:rPr>
      </w:pPr>
    </w:p>
    <w:p>
      <w:pPr>
        <w:pStyle w:val="19"/>
        <w:jc w:val="center"/>
        <w:rPr>
          <w:rFonts w:hint="eastAsia"/>
          <w:color w:val="000000"/>
          <w:u w:val="single"/>
        </w:rPr>
      </w:pPr>
    </w:p>
    <w:p>
      <w:pPr>
        <w:pStyle w:val="19"/>
        <w:jc w:val="center"/>
        <w:rPr>
          <w:color w:val="000000"/>
          <w:u w:val="single"/>
        </w:rPr>
      </w:pPr>
      <w:r>
        <w:rPr>
          <w:rFonts w:hint="eastAsia"/>
          <w:color w:val="000000"/>
          <w:u w:val="single"/>
        </w:rPr>
        <w:t>表</w:t>
      </w:r>
      <w:r>
        <w:rPr>
          <w:color w:val="000000"/>
          <w:u w:val="single"/>
        </w:rPr>
        <w:t xml:space="preserve">3.6-2      </w:t>
      </w:r>
      <w:r>
        <w:rPr>
          <w:rFonts w:hint="eastAsia"/>
          <w:color w:val="000000"/>
          <w:u w:val="single"/>
        </w:rPr>
        <w:t>工程临时占地汇总表</w:t>
      </w:r>
      <w:r>
        <w:rPr>
          <w:color w:val="000000"/>
          <w:u w:val="single"/>
        </w:rPr>
        <w:t xml:space="preserve">    </w:t>
      </w:r>
      <w:r>
        <w:rPr>
          <w:rFonts w:hint="eastAsia"/>
          <w:color w:val="000000"/>
          <w:u w:val="single"/>
        </w:rPr>
        <w:t>单位：</w:t>
      </w:r>
      <w:r>
        <w:rPr>
          <w:color w:val="000000"/>
          <w:u w:val="single"/>
        </w:rPr>
        <w:t>hm</w:t>
      </w:r>
      <w:r>
        <w:rPr>
          <w:color w:val="000000"/>
          <w:u w:val="single"/>
          <w:vertAlign w:val="superscript"/>
        </w:rPr>
        <w:t>2</w:t>
      </w:r>
    </w:p>
    <w:tbl>
      <w:tblPr>
        <w:tblStyle w:val="65"/>
        <w:tblW w:w="922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31"/>
        <w:gridCol w:w="2091"/>
        <w:gridCol w:w="1560"/>
        <w:gridCol w:w="1418"/>
        <w:gridCol w:w="1563"/>
        <w:gridCol w:w="14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25" w:hRule="atLeast"/>
          <w:tblHeader/>
        </w:trPr>
        <w:tc>
          <w:tcPr>
            <w:tcW w:w="1131" w:type="dxa"/>
            <w:vMerge w:val="restart"/>
            <w:vAlign w:val="center"/>
          </w:tcPr>
          <w:p>
            <w:pPr>
              <w:widowControl/>
              <w:jc w:val="center"/>
              <w:rPr>
                <w:rFonts w:ascii="宋体" w:cs="宋体"/>
                <w:color w:val="000000"/>
                <w:kern w:val="0"/>
                <w:sz w:val="21"/>
                <w:szCs w:val="21"/>
                <w:u w:val="single"/>
              </w:rPr>
            </w:pPr>
            <w:bookmarkStart w:id="125" w:name="RANGE!A1"/>
            <w:bookmarkEnd w:id="125"/>
            <w:r>
              <w:rPr>
                <w:rFonts w:hint="eastAsia" w:ascii="宋体" w:hAnsi="宋体" w:cs="宋体"/>
                <w:color w:val="000000"/>
                <w:kern w:val="0"/>
                <w:sz w:val="21"/>
                <w:szCs w:val="21"/>
                <w:u w:val="single"/>
              </w:rPr>
              <w:t>占地类型</w:t>
            </w:r>
          </w:p>
        </w:tc>
        <w:tc>
          <w:tcPr>
            <w:tcW w:w="2091" w:type="dxa"/>
            <w:vMerge w:val="restart"/>
            <w:vAlign w:val="center"/>
          </w:tcPr>
          <w:p>
            <w:pPr>
              <w:widowControl/>
              <w:jc w:val="center"/>
              <w:rPr>
                <w:rFonts w:ascii="宋体" w:cs="宋体"/>
                <w:kern w:val="0"/>
                <w:sz w:val="21"/>
                <w:szCs w:val="21"/>
                <w:u w:val="single"/>
              </w:rPr>
            </w:pPr>
            <w:r>
              <w:rPr>
                <w:rFonts w:hint="eastAsia" w:ascii="宋体" w:hAnsi="宋体" w:cs="宋体"/>
                <w:kern w:val="0"/>
                <w:sz w:val="21"/>
                <w:szCs w:val="21"/>
                <w:u w:val="single"/>
              </w:rPr>
              <w:t>分区</w:t>
            </w:r>
          </w:p>
        </w:tc>
        <w:tc>
          <w:tcPr>
            <w:tcW w:w="4541" w:type="dxa"/>
            <w:gridSpan w:val="3"/>
            <w:vAlign w:val="center"/>
          </w:tcPr>
          <w:p>
            <w:pPr>
              <w:widowControl/>
              <w:jc w:val="center"/>
              <w:rPr>
                <w:rFonts w:ascii="宋体" w:cs="宋体"/>
                <w:kern w:val="0"/>
                <w:sz w:val="21"/>
                <w:szCs w:val="21"/>
                <w:u w:val="single"/>
              </w:rPr>
            </w:pPr>
            <w:r>
              <w:rPr>
                <w:rFonts w:hint="eastAsia" w:ascii="宋体" w:hAnsi="宋体" w:cs="宋体"/>
                <w:kern w:val="0"/>
                <w:sz w:val="21"/>
                <w:szCs w:val="21"/>
                <w:u w:val="single"/>
              </w:rPr>
              <w:t>主体已有</w:t>
            </w:r>
          </w:p>
        </w:tc>
        <w:tc>
          <w:tcPr>
            <w:tcW w:w="1466" w:type="dxa"/>
            <w:vMerge w:val="restart"/>
            <w:vAlign w:val="center"/>
          </w:tcPr>
          <w:p>
            <w:pPr>
              <w:widowControl/>
              <w:jc w:val="center"/>
              <w:rPr>
                <w:rFonts w:ascii="宋体" w:cs="宋体"/>
                <w:color w:val="000000"/>
                <w:kern w:val="0"/>
                <w:sz w:val="21"/>
                <w:szCs w:val="21"/>
                <w:u w:val="single"/>
              </w:rPr>
            </w:pPr>
            <w:r>
              <w:rPr>
                <w:rFonts w:hint="eastAsia" w:ascii="宋体" w:hAnsi="宋体" w:cs="宋体"/>
                <w:color w:val="000000"/>
                <w:kern w:val="0"/>
                <w:sz w:val="21"/>
                <w:szCs w:val="21"/>
                <w:u w:val="single"/>
              </w:rPr>
              <w:t>合计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22" w:hRule="atLeast"/>
          <w:tblHeader/>
        </w:trPr>
        <w:tc>
          <w:tcPr>
            <w:tcW w:w="1131" w:type="dxa"/>
            <w:vMerge w:val="continue"/>
            <w:vAlign w:val="center"/>
          </w:tcPr>
          <w:p>
            <w:pPr>
              <w:widowControl/>
              <w:jc w:val="center"/>
              <w:rPr>
                <w:rFonts w:ascii="宋体" w:cs="宋体"/>
                <w:color w:val="FF0000"/>
                <w:kern w:val="0"/>
                <w:sz w:val="21"/>
                <w:szCs w:val="21"/>
                <w:u w:val="single"/>
              </w:rPr>
            </w:pPr>
          </w:p>
        </w:tc>
        <w:tc>
          <w:tcPr>
            <w:tcW w:w="2091" w:type="dxa"/>
            <w:vMerge w:val="continue"/>
            <w:vAlign w:val="center"/>
          </w:tcPr>
          <w:p>
            <w:pPr>
              <w:widowControl/>
              <w:jc w:val="center"/>
              <w:rPr>
                <w:rFonts w:ascii="宋体" w:cs="宋体"/>
                <w:kern w:val="0"/>
                <w:sz w:val="21"/>
                <w:szCs w:val="21"/>
                <w:u w:val="single"/>
              </w:rPr>
            </w:pPr>
          </w:p>
        </w:tc>
        <w:tc>
          <w:tcPr>
            <w:tcW w:w="1560" w:type="dxa"/>
            <w:tcBorders>
              <w:right w:val="single" w:color="auto" w:sz="4" w:space="0"/>
            </w:tcBorders>
            <w:vAlign w:val="center"/>
          </w:tcPr>
          <w:p>
            <w:pPr>
              <w:widowControl/>
              <w:jc w:val="center"/>
              <w:rPr>
                <w:rFonts w:ascii="宋体" w:cs="宋体"/>
                <w:kern w:val="0"/>
                <w:sz w:val="21"/>
                <w:szCs w:val="21"/>
                <w:u w:val="single"/>
              </w:rPr>
            </w:pPr>
            <w:r>
              <w:rPr>
                <w:rFonts w:hint="eastAsia" w:ascii="宋体" w:hAnsi="宋体" w:cs="宋体"/>
                <w:kern w:val="0"/>
                <w:sz w:val="21"/>
                <w:szCs w:val="21"/>
                <w:u w:val="single"/>
              </w:rPr>
              <w:t>旱地</w:t>
            </w:r>
          </w:p>
        </w:tc>
        <w:tc>
          <w:tcPr>
            <w:tcW w:w="1418" w:type="dxa"/>
            <w:tcBorders>
              <w:left w:val="single" w:color="auto" w:sz="4" w:space="0"/>
              <w:right w:val="single" w:color="auto" w:sz="4" w:space="0"/>
            </w:tcBorders>
            <w:vAlign w:val="center"/>
          </w:tcPr>
          <w:p>
            <w:pPr>
              <w:widowControl/>
              <w:jc w:val="center"/>
              <w:rPr>
                <w:rFonts w:ascii="宋体" w:cs="宋体"/>
                <w:kern w:val="0"/>
                <w:sz w:val="21"/>
                <w:szCs w:val="21"/>
                <w:u w:val="single"/>
              </w:rPr>
            </w:pPr>
            <w:r>
              <w:rPr>
                <w:rFonts w:hint="eastAsia" w:ascii="宋体" w:hAnsi="宋体" w:cs="宋体"/>
                <w:kern w:val="0"/>
                <w:sz w:val="21"/>
                <w:szCs w:val="21"/>
                <w:u w:val="single"/>
              </w:rPr>
              <w:t>林地</w:t>
            </w:r>
          </w:p>
        </w:tc>
        <w:tc>
          <w:tcPr>
            <w:tcW w:w="1563" w:type="dxa"/>
            <w:tcBorders>
              <w:left w:val="single" w:color="auto" w:sz="4" w:space="0"/>
            </w:tcBorders>
            <w:vAlign w:val="center"/>
          </w:tcPr>
          <w:p>
            <w:pPr>
              <w:jc w:val="center"/>
              <w:rPr>
                <w:rFonts w:ascii="宋体" w:cs="宋体"/>
                <w:kern w:val="0"/>
                <w:sz w:val="21"/>
                <w:szCs w:val="21"/>
                <w:u w:val="single"/>
              </w:rPr>
            </w:pPr>
            <w:r>
              <w:rPr>
                <w:rFonts w:hint="eastAsia" w:ascii="宋体" w:hAnsi="宋体" w:cs="宋体"/>
                <w:kern w:val="0"/>
                <w:sz w:val="21"/>
                <w:szCs w:val="21"/>
                <w:u w:val="single"/>
              </w:rPr>
              <w:t>荒地</w:t>
            </w:r>
            <w:r>
              <w:rPr>
                <w:rFonts w:ascii="宋体" w:hAnsi="宋体" w:cs="宋体"/>
                <w:kern w:val="0"/>
                <w:sz w:val="21"/>
                <w:szCs w:val="21"/>
                <w:u w:val="single"/>
              </w:rPr>
              <w:t>/</w:t>
            </w:r>
            <w:r>
              <w:rPr>
                <w:rFonts w:hint="eastAsia" w:ascii="宋体" w:hAnsi="宋体" w:cs="宋体"/>
                <w:kern w:val="0"/>
                <w:sz w:val="21"/>
                <w:szCs w:val="21"/>
                <w:u w:val="single"/>
              </w:rPr>
              <w:t>荒山</w:t>
            </w:r>
          </w:p>
        </w:tc>
        <w:tc>
          <w:tcPr>
            <w:tcW w:w="1466" w:type="dxa"/>
            <w:vMerge w:val="continue"/>
            <w:vAlign w:val="center"/>
          </w:tcPr>
          <w:p>
            <w:pPr>
              <w:widowControl/>
              <w:jc w:val="center"/>
              <w:rPr>
                <w:rFonts w:ascii="宋体" w:cs="宋体"/>
                <w:color w:val="FF0000"/>
                <w:kern w:val="0"/>
                <w:sz w:val="21"/>
                <w:szCs w:val="21"/>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6" w:hRule="atLeast"/>
        </w:trPr>
        <w:tc>
          <w:tcPr>
            <w:tcW w:w="1131" w:type="dxa"/>
            <w:vMerge w:val="restart"/>
            <w:vAlign w:val="center"/>
          </w:tcPr>
          <w:p>
            <w:pPr>
              <w:widowControl/>
              <w:jc w:val="center"/>
              <w:rPr>
                <w:rFonts w:ascii="宋体" w:cs="宋体"/>
                <w:color w:val="FF0000"/>
                <w:kern w:val="0"/>
                <w:sz w:val="21"/>
                <w:szCs w:val="21"/>
                <w:u w:val="single"/>
              </w:rPr>
            </w:pPr>
            <w:r>
              <w:rPr>
                <w:rFonts w:hint="eastAsia" w:ascii="宋体" w:hAnsi="宋体" w:cs="宋体"/>
                <w:kern w:val="0"/>
                <w:sz w:val="21"/>
                <w:szCs w:val="21"/>
                <w:u w:val="single"/>
              </w:rPr>
              <w:t>临时占地</w:t>
            </w:r>
          </w:p>
        </w:tc>
        <w:tc>
          <w:tcPr>
            <w:tcW w:w="2091" w:type="dxa"/>
            <w:vAlign w:val="center"/>
          </w:tcPr>
          <w:p>
            <w:pPr>
              <w:widowControl/>
              <w:jc w:val="center"/>
              <w:rPr>
                <w:rFonts w:ascii="宋体" w:cs="宋体"/>
                <w:kern w:val="0"/>
                <w:sz w:val="21"/>
                <w:szCs w:val="21"/>
                <w:u w:val="single"/>
              </w:rPr>
            </w:pPr>
            <w:r>
              <w:rPr>
                <w:rFonts w:hint="eastAsia" w:ascii="宋体" w:hAnsi="宋体" w:cs="宋体"/>
                <w:kern w:val="0"/>
                <w:sz w:val="21"/>
                <w:szCs w:val="21"/>
                <w:u w:val="single"/>
              </w:rPr>
              <w:t>施工便道</w:t>
            </w:r>
          </w:p>
        </w:tc>
        <w:tc>
          <w:tcPr>
            <w:tcW w:w="1560" w:type="dxa"/>
            <w:vAlign w:val="center"/>
          </w:tcPr>
          <w:p>
            <w:pPr>
              <w:widowControl/>
              <w:jc w:val="center"/>
              <w:textAlignment w:val="center"/>
              <w:rPr>
                <w:kern w:val="0"/>
                <w:sz w:val="21"/>
                <w:szCs w:val="21"/>
                <w:u w:val="single"/>
              </w:rPr>
            </w:pPr>
            <w:r>
              <w:rPr>
                <w:kern w:val="0"/>
                <w:sz w:val="21"/>
                <w:szCs w:val="21"/>
                <w:u w:val="single"/>
              </w:rPr>
              <w:t xml:space="preserve">/ </w:t>
            </w:r>
          </w:p>
        </w:tc>
        <w:tc>
          <w:tcPr>
            <w:tcW w:w="1418" w:type="dxa"/>
            <w:vAlign w:val="center"/>
          </w:tcPr>
          <w:p>
            <w:pPr>
              <w:jc w:val="center"/>
              <w:rPr>
                <w:kern w:val="0"/>
                <w:sz w:val="21"/>
                <w:szCs w:val="21"/>
                <w:u w:val="single"/>
              </w:rPr>
            </w:pPr>
            <w:r>
              <w:rPr>
                <w:kern w:val="0"/>
                <w:sz w:val="21"/>
                <w:szCs w:val="21"/>
                <w:u w:val="single"/>
              </w:rPr>
              <w:t>1.19</w:t>
            </w:r>
          </w:p>
        </w:tc>
        <w:tc>
          <w:tcPr>
            <w:tcW w:w="1563" w:type="dxa"/>
            <w:vAlign w:val="center"/>
          </w:tcPr>
          <w:p>
            <w:pPr>
              <w:widowControl/>
              <w:jc w:val="center"/>
              <w:textAlignment w:val="center"/>
              <w:rPr>
                <w:kern w:val="0"/>
                <w:sz w:val="21"/>
                <w:szCs w:val="21"/>
                <w:u w:val="single"/>
              </w:rPr>
            </w:pPr>
            <w:r>
              <w:rPr>
                <w:kern w:val="0"/>
                <w:sz w:val="21"/>
                <w:szCs w:val="21"/>
                <w:u w:val="single"/>
              </w:rPr>
              <w:t xml:space="preserve">1.40 </w:t>
            </w:r>
          </w:p>
        </w:tc>
        <w:tc>
          <w:tcPr>
            <w:tcW w:w="1466" w:type="dxa"/>
            <w:vAlign w:val="center"/>
          </w:tcPr>
          <w:p>
            <w:pPr>
              <w:widowControl/>
              <w:jc w:val="center"/>
              <w:rPr>
                <w:kern w:val="0"/>
                <w:sz w:val="21"/>
                <w:szCs w:val="21"/>
                <w:u w:val="single"/>
              </w:rPr>
            </w:pPr>
            <w:r>
              <w:rPr>
                <w:kern w:val="0"/>
                <w:sz w:val="21"/>
                <w:szCs w:val="21"/>
                <w:u w:val="single"/>
              </w:rPr>
              <w:t>2.59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46" w:hRule="atLeast"/>
        </w:trPr>
        <w:tc>
          <w:tcPr>
            <w:tcW w:w="1131" w:type="dxa"/>
            <w:vMerge w:val="continue"/>
            <w:vAlign w:val="center"/>
          </w:tcPr>
          <w:p>
            <w:pPr>
              <w:widowControl/>
              <w:jc w:val="center"/>
              <w:rPr>
                <w:rFonts w:ascii="宋体" w:cs="宋体"/>
                <w:color w:val="FF0000"/>
                <w:kern w:val="0"/>
                <w:sz w:val="21"/>
                <w:szCs w:val="21"/>
                <w:u w:val="single"/>
              </w:rPr>
            </w:pPr>
          </w:p>
        </w:tc>
        <w:tc>
          <w:tcPr>
            <w:tcW w:w="2091" w:type="dxa"/>
            <w:vAlign w:val="center"/>
          </w:tcPr>
          <w:p>
            <w:pPr>
              <w:widowControl/>
              <w:jc w:val="center"/>
              <w:rPr>
                <w:rFonts w:ascii="宋体" w:cs="宋体"/>
                <w:kern w:val="0"/>
                <w:sz w:val="21"/>
                <w:szCs w:val="21"/>
                <w:u w:val="single"/>
              </w:rPr>
            </w:pPr>
            <w:r>
              <w:rPr>
                <w:rFonts w:hint="eastAsia" w:ascii="宋体" w:hAnsi="宋体" w:cs="宋体"/>
                <w:kern w:val="0"/>
                <w:sz w:val="21"/>
                <w:szCs w:val="21"/>
                <w:u w:val="single"/>
              </w:rPr>
              <w:t>施工生产生活区</w:t>
            </w:r>
          </w:p>
        </w:tc>
        <w:tc>
          <w:tcPr>
            <w:tcW w:w="1560" w:type="dxa"/>
            <w:vAlign w:val="center"/>
          </w:tcPr>
          <w:p>
            <w:pPr>
              <w:widowControl/>
              <w:jc w:val="center"/>
              <w:rPr>
                <w:kern w:val="0"/>
                <w:sz w:val="21"/>
                <w:szCs w:val="21"/>
                <w:u w:val="single"/>
              </w:rPr>
            </w:pPr>
            <w:r>
              <w:rPr>
                <w:kern w:val="0"/>
                <w:sz w:val="21"/>
                <w:szCs w:val="21"/>
                <w:u w:val="single"/>
              </w:rPr>
              <w:t>2.23</w:t>
            </w:r>
          </w:p>
        </w:tc>
        <w:tc>
          <w:tcPr>
            <w:tcW w:w="1418" w:type="dxa"/>
            <w:vAlign w:val="center"/>
          </w:tcPr>
          <w:p>
            <w:pPr>
              <w:widowControl/>
              <w:jc w:val="center"/>
              <w:rPr>
                <w:kern w:val="0"/>
                <w:sz w:val="21"/>
                <w:szCs w:val="21"/>
                <w:u w:val="single"/>
              </w:rPr>
            </w:pPr>
            <w:r>
              <w:rPr>
                <w:kern w:val="0"/>
                <w:sz w:val="21"/>
                <w:szCs w:val="21"/>
                <w:u w:val="single"/>
              </w:rPr>
              <w:t xml:space="preserve">/ </w:t>
            </w:r>
          </w:p>
        </w:tc>
        <w:tc>
          <w:tcPr>
            <w:tcW w:w="1563" w:type="dxa"/>
            <w:vAlign w:val="center"/>
          </w:tcPr>
          <w:p>
            <w:pPr>
              <w:widowControl/>
              <w:jc w:val="center"/>
              <w:rPr>
                <w:kern w:val="0"/>
                <w:sz w:val="21"/>
                <w:szCs w:val="21"/>
                <w:u w:val="single"/>
              </w:rPr>
            </w:pPr>
            <w:r>
              <w:rPr>
                <w:kern w:val="0"/>
                <w:sz w:val="21"/>
                <w:szCs w:val="21"/>
                <w:u w:val="single"/>
              </w:rPr>
              <w:t xml:space="preserve">/ </w:t>
            </w:r>
          </w:p>
        </w:tc>
        <w:tc>
          <w:tcPr>
            <w:tcW w:w="1466" w:type="dxa"/>
            <w:vAlign w:val="center"/>
          </w:tcPr>
          <w:p>
            <w:pPr>
              <w:widowControl/>
              <w:jc w:val="center"/>
              <w:rPr>
                <w:kern w:val="0"/>
                <w:sz w:val="21"/>
                <w:szCs w:val="21"/>
                <w:u w:val="single"/>
              </w:rPr>
            </w:pPr>
            <w:r>
              <w:rPr>
                <w:kern w:val="0"/>
                <w:sz w:val="21"/>
                <w:szCs w:val="21"/>
                <w:u w:val="single"/>
              </w:rPr>
              <w:t>2.23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69" w:hRule="atLeast"/>
        </w:trPr>
        <w:tc>
          <w:tcPr>
            <w:tcW w:w="1131" w:type="dxa"/>
            <w:vMerge w:val="continue"/>
            <w:vAlign w:val="center"/>
          </w:tcPr>
          <w:p>
            <w:pPr>
              <w:widowControl/>
              <w:jc w:val="center"/>
              <w:rPr>
                <w:rFonts w:ascii="宋体" w:cs="宋体"/>
                <w:color w:val="FF0000"/>
                <w:kern w:val="0"/>
                <w:sz w:val="21"/>
                <w:szCs w:val="21"/>
                <w:u w:val="single"/>
              </w:rPr>
            </w:pPr>
          </w:p>
        </w:tc>
        <w:tc>
          <w:tcPr>
            <w:tcW w:w="2091" w:type="dxa"/>
            <w:vAlign w:val="center"/>
          </w:tcPr>
          <w:p>
            <w:pPr>
              <w:widowControl/>
              <w:jc w:val="center"/>
              <w:rPr>
                <w:rFonts w:ascii="宋体" w:cs="宋体"/>
                <w:kern w:val="0"/>
                <w:sz w:val="21"/>
                <w:szCs w:val="21"/>
                <w:u w:val="single"/>
              </w:rPr>
            </w:pPr>
            <w:r>
              <w:rPr>
                <w:rFonts w:hint="eastAsia" w:ascii="宋体" w:hAnsi="宋体" w:cs="宋体"/>
                <w:kern w:val="0"/>
                <w:sz w:val="21"/>
                <w:szCs w:val="21"/>
                <w:u w:val="single"/>
              </w:rPr>
              <w:t>弃渣场</w:t>
            </w:r>
          </w:p>
        </w:tc>
        <w:tc>
          <w:tcPr>
            <w:tcW w:w="1560" w:type="dxa"/>
            <w:vAlign w:val="center"/>
          </w:tcPr>
          <w:p>
            <w:pPr>
              <w:widowControl/>
              <w:jc w:val="center"/>
              <w:rPr>
                <w:kern w:val="0"/>
                <w:sz w:val="21"/>
                <w:szCs w:val="21"/>
                <w:u w:val="single"/>
              </w:rPr>
            </w:pPr>
            <w:r>
              <w:rPr>
                <w:kern w:val="0"/>
                <w:sz w:val="21"/>
                <w:szCs w:val="21"/>
                <w:u w:val="single"/>
              </w:rPr>
              <w:t>0.69</w:t>
            </w:r>
          </w:p>
        </w:tc>
        <w:tc>
          <w:tcPr>
            <w:tcW w:w="1418" w:type="dxa"/>
            <w:vAlign w:val="center"/>
          </w:tcPr>
          <w:p>
            <w:pPr>
              <w:widowControl/>
              <w:jc w:val="center"/>
              <w:rPr>
                <w:kern w:val="0"/>
                <w:sz w:val="21"/>
                <w:szCs w:val="21"/>
                <w:u w:val="single"/>
              </w:rPr>
            </w:pPr>
            <w:r>
              <w:rPr>
                <w:kern w:val="0"/>
                <w:sz w:val="21"/>
                <w:szCs w:val="21"/>
                <w:u w:val="single"/>
              </w:rPr>
              <w:t>0.30</w:t>
            </w:r>
          </w:p>
        </w:tc>
        <w:tc>
          <w:tcPr>
            <w:tcW w:w="1563" w:type="dxa"/>
            <w:vAlign w:val="center"/>
          </w:tcPr>
          <w:p>
            <w:pPr>
              <w:widowControl/>
              <w:jc w:val="center"/>
              <w:rPr>
                <w:kern w:val="0"/>
                <w:sz w:val="21"/>
                <w:szCs w:val="21"/>
                <w:u w:val="single"/>
              </w:rPr>
            </w:pPr>
            <w:r>
              <w:rPr>
                <w:kern w:val="0"/>
                <w:sz w:val="21"/>
                <w:szCs w:val="21"/>
                <w:u w:val="single"/>
              </w:rPr>
              <w:t xml:space="preserve">/ </w:t>
            </w:r>
          </w:p>
        </w:tc>
        <w:tc>
          <w:tcPr>
            <w:tcW w:w="1466" w:type="dxa"/>
            <w:vAlign w:val="center"/>
          </w:tcPr>
          <w:p>
            <w:pPr>
              <w:widowControl/>
              <w:jc w:val="center"/>
              <w:rPr>
                <w:kern w:val="0"/>
                <w:sz w:val="21"/>
                <w:szCs w:val="21"/>
                <w:u w:val="single"/>
              </w:rPr>
            </w:pPr>
            <w:r>
              <w:rPr>
                <w:kern w:val="0"/>
                <w:sz w:val="21"/>
                <w:szCs w:val="21"/>
                <w:u w:val="single"/>
              </w:rPr>
              <w:t>0.99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8" w:hRule="atLeast"/>
        </w:trPr>
        <w:tc>
          <w:tcPr>
            <w:tcW w:w="3222" w:type="dxa"/>
            <w:gridSpan w:val="2"/>
            <w:vAlign w:val="center"/>
          </w:tcPr>
          <w:p>
            <w:pPr>
              <w:widowControl/>
              <w:jc w:val="center"/>
              <w:rPr>
                <w:rFonts w:ascii="宋体" w:cs="宋体"/>
                <w:kern w:val="0"/>
                <w:sz w:val="21"/>
                <w:szCs w:val="21"/>
                <w:u w:val="single"/>
              </w:rPr>
            </w:pPr>
            <w:r>
              <w:rPr>
                <w:rFonts w:hint="eastAsia" w:ascii="宋体" w:hAnsi="宋体" w:cs="宋体"/>
                <w:kern w:val="0"/>
                <w:sz w:val="21"/>
                <w:szCs w:val="21"/>
                <w:u w:val="single"/>
              </w:rPr>
              <w:t>合计</w:t>
            </w:r>
          </w:p>
        </w:tc>
        <w:tc>
          <w:tcPr>
            <w:tcW w:w="1560" w:type="dxa"/>
            <w:vAlign w:val="center"/>
          </w:tcPr>
          <w:p>
            <w:pPr>
              <w:widowControl/>
              <w:jc w:val="center"/>
              <w:rPr>
                <w:kern w:val="0"/>
                <w:sz w:val="21"/>
                <w:szCs w:val="21"/>
                <w:u w:val="single"/>
              </w:rPr>
            </w:pPr>
            <w:r>
              <w:rPr>
                <w:kern w:val="0"/>
                <w:sz w:val="21"/>
                <w:szCs w:val="21"/>
                <w:u w:val="single"/>
              </w:rPr>
              <w:t>2.92</w:t>
            </w:r>
          </w:p>
        </w:tc>
        <w:tc>
          <w:tcPr>
            <w:tcW w:w="1418" w:type="dxa"/>
            <w:vAlign w:val="center"/>
          </w:tcPr>
          <w:p>
            <w:pPr>
              <w:widowControl/>
              <w:jc w:val="center"/>
              <w:rPr>
                <w:kern w:val="0"/>
                <w:sz w:val="21"/>
                <w:szCs w:val="21"/>
                <w:u w:val="single"/>
              </w:rPr>
            </w:pPr>
            <w:r>
              <w:rPr>
                <w:kern w:val="0"/>
                <w:sz w:val="21"/>
                <w:szCs w:val="21"/>
                <w:u w:val="single"/>
              </w:rPr>
              <w:t>1.49</w:t>
            </w:r>
          </w:p>
        </w:tc>
        <w:tc>
          <w:tcPr>
            <w:tcW w:w="1563" w:type="dxa"/>
            <w:vAlign w:val="center"/>
          </w:tcPr>
          <w:p>
            <w:pPr>
              <w:widowControl/>
              <w:jc w:val="center"/>
              <w:rPr>
                <w:kern w:val="0"/>
                <w:sz w:val="21"/>
                <w:szCs w:val="21"/>
                <w:u w:val="single"/>
              </w:rPr>
            </w:pPr>
            <w:r>
              <w:rPr>
                <w:kern w:val="0"/>
                <w:sz w:val="21"/>
                <w:szCs w:val="21"/>
                <w:u w:val="single"/>
              </w:rPr>
              <w:t>1.40</w:t>
            </w:r>
          </w:p>
        </w:tc>
        <w:tc>
          <w:tcPr>
            <w:tcW w:w="1466" w:type="dxa"/>
            <w:vAlign w:val="center"/>
          </w:tcPr>
          <w:p>
            <w:pPr>
              <w:widowControl/>
              <w:jc w:val="center"/>
              <w:rPr>
                <w:kern w:val="0"/>
                <w:sz w:val="21"/>
                <w:szCs w:val="21"/>
                <w:u w:val="single"/>
              </w:rPr>
            </w:pPr>
            <w:r>
              <w:rPr>
                <w:kern w:val="0"/>
                <w:sz w:val="21"/>
                <w:szCs w:val="21"/>
                <w:u w:val="single"/>
              </w:rPr>
              <w:t>5.81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0" w:hRule="atLeast"/>
        </w:trPr>
        <w:tc>
          <w:tcPr>
            <w:tcW w:w="3222" w:type="dxa"/>
            <w:gridSpan w:val="2"/>
            <w:vAlign w:val="center"/>
          </w:tcPr>
          <w:p>
            <w:pPr>
              <w:widowControl/>
              <w:jc w:val="center"/>
              <w:rPr>
                <w:rFonts w:ascii="宋体" w:cs="宋体"/>
                <w:kern w:val="0"/>
                <w:sz w:val="21"/>
                <w:szCs w:val="21"/>
                <w:u w:val="single"/>
              </w:rPr>
            </w:pPr>
            <w:r>
              <w:rPr>
                <w:rFonts w:hint="eastAsia" w:ascii="宋体" w:hAnsi="宋体" w:cs="宋体"/>
                <w:kern w:val="0"/>
                <w:sz w:val="21"/>
                <w:szCs w:val="21"/>
                <w:u w:val="single"/>
              </w:rPr>
              <w:t>比例（</w:t>
            </w:r>
            <w:r>
              <w:rPr>
                <w:kern w:val="0"/>
                <w:sz w:val="21"/>
                <w:szCs w:val="21"/>
                <w:u w:val="single"/>
              </w:rPr>
              <w:t>%</w:t>
            </w:r>
            <w:r>
              <w:rPr>
                <w:rFonts w:hint="eastAsia" w:ascii="宋体" w:hAnsi="宋体" w:cs="宋体"/>
                <w:kern w:val="0"/>
                <w:sz w:val="21"/>
                <w:szCs w:val="21"/>
                <w:u w:val="single"/>
              </w:rPr>
              <w:t>）</w:t>
            </w:r>
          </w:p>
        </w:tc>
        <w:tc>
          <w:tcPr>
            <w:tcW w:w="1560" w:type="dxa"/>
            <w:vAlign w:val="center"/>
          </w:tcPr>
          <w:p>
            <w:pPr>
              <w:widowControl/>
              <w:jc w:val="center"/>
              <w:rPr>
                <w:kern w:val="0"/>
                <w:sz w:val="21"/>
                <w:szCs w:val="21"/>
                <w:u w:val="single"/>
              </w:rPr>
            </w:pPr>
            <w:r>
              <w:rPr>
                <w:kern w:val="0"/>
                <w:sz w:val="21"/>
                <w:szCs w:val="21"/>
                <w:u w:val="single"/>
              </w:rPr>
              <w:t>50.0</w:t>
            </w:r>
          </w:p>
        </w:tc>
        <w:tc>
          <w:tcPr>
            <w:tcW w:w="1418" w:type="dxa"/>
            <w:vAlign w:val="center"/>
          </w:tcPr>
          <w:p>
            <w:pPr>
              <w:widowControl/>
              <w:jc w:val="center"/>
              <w:rPr>
                <w:kern w:val="0"/>
                <w:sz w:val="21"/>
                <w:szCs w:val="21"/>
                <w:u w:val="single"/>
              </w:rPr>
            </w:pPr>
            <w:r>
              <w:rPr>
                <w:kern w:val="0"/>
                <w:sz w:val="21"/>
                <w:szCs w:val="21"/>
                <w:u w:val="single"/>
              </w:rPr>
              <w:t>25.6</w:t>
            </w:r>
          </w:p>
        </w:tc>
        <w:tc>
          <w:tcPr>
            <w:tcW w:w="1563" w:type="dxa"/>
            <w:vAlign w:val="center"/>
          </w:tcPr>
          <w:p>
            <w:pPr>
              <w:widowControl/>
              <w:jc w:val="center"/>
              <w:rPr>
                <w:kern w:val="0"/>
                <w:sz w:val="21"/>
                <w:szCs w:val="21"/>
                <w:u w:val="single"/>
              </w:rPr>
            </w:pPr>
            <w:r>
              <w:rPr>
                <w:kern w:val="0"/>
                <w:sz w:val="21"/>
                <w:szCs w:val="21"/>
                <w:u w:val="single"/>
              </w:rPr>
              <w:t>24.4</w:t>
            </w:r>
          </w:p>
        </w:tc>
        <w:tc>
          <w:tcPr>
            <w:tcW w:w="1466" w:type="dxa"/>
            <w:vAlign w:val="center"/>
          </w:tcPr>
          <w:p>
            <w:pPr>
              <w:widowControl/>
              <w:jc w:val="center"/>
              <w:rPr>
                <w:kern w:val="0"/>
                <w:sz w:val="21"/>
                <w:szCs w:val="21"/>
                <w:u w:val="single"/>
              </w:rPr>
            </w:pPr>
            <w:r>
              <w:rPr>
                <w:kern w:val="0"/>
                <w:sz w:val="21"/>
                <w:szCs w:val="21"/>
                <w:u w:val="single"/>
              </w:rPr>
              <w:t>100.00</w:t>
            </w:r>
          </w:p>
        </w:tc>
      </w:tr>
    </w:tbl>
    <w:p>
      <w:pPr>
        <w:pStyle w:val="5"/>
        <w:widowControl/>
        <w:ind w:left="567" w:hanging="567"/>
        <w:rPr>
          <w:u w:val="single"/>
        </w:rPr>
      </w:pPr>
      <w:r>
        <w:rPr>
          <w:rFonts w:hint="eastAsia"/>
          <w:u w:val="single"/>
        </w:rPr>
        <w:t>拆迁及安置</w:t>
      </w:r>
    </w:p>
    <w:p>
      <w:pPr>
        <w:pStyle w:val="3"/>
        <w:ind w:firstLine="31680"/>
        <w:rPr>
          <w:u w:val="single"/>
        </w:rPr>
      </w:pPr>
      <w:r>
        <w:rPr>
          <w:rFonts w:hint="eastAsia"/>
          <w:u w:val="single"/>
        </w:rPr>
        <w:t>因项目建设占地需要，本项目推荐方案沿线需拆迁房屋</w:t>
      </w:r>
      <w:r>
        <w:rPr>
          <w:u w:val="single"/>
        </w:rPr>
        <w:t>6124m</w:t>
      </w:r>
      <w:r>
        <w:rPr>
          <w:u w:val="single"/>
          <w:vertAlign w:val="superscript"/>
        </w:rPr>
        <w:t>2</w:t>
      </w:r>
      <w:r>
        <w:rPr>
          <w:rFonts w:hint="eastAsia"/>
          <w:u w:val="single"/>
        </w:rPr>
        <w:t>，设计拆迁户数约</w:t>
      </w:r>
      <w:r>
        <w:rPr>
          <w:u w:val="single"/>
        </w:rPr>
        <w:t>65</w:t>
      </w:r>
      <w:r>
        <w:rPr>
          <w:rFonts w:hint="eastAsia"/>
          <w:u w:val="single"/>
        </w:rPr>
        <w:t>户；拆迁电力电讯线</w:t>
      </w:r>
      <w:r>
        <w:rPr>
          <w:u w:val="single"/>
        </w:rPr>
        <w:t>43</w:t>
      </w:r>
      <w:r>
        <w:rPr>
          <w:rFonts w:hint="eastAsia"/>
          <w:u w:val="single"/>
        </w:rPr>
        <w:t>根，未涉及其它专项设施拆建内容。</w:t>
      </w:r>
    </w:p>
    <w:p>
      <w:pPr>
        <w:pStyle w:val="3"/>
        <w:ind w:firstLine="31680"/>
        <w:rPr>
          <w:u w:val="single"/>
        </w:rPr>
      </w:pPr>
      <w:r>
        <w:rPr>
          <w:rFonts w:hint="eastAsia"/>
          <w:u w:val="single"/>
        </w:rPr>
        <w:t>由于公路呈线状分布，对沿线各乡镇的耕地和房屋拆迁影响比较分散，占地和拆迁安置由业主出资、政府组织统一安排。拆迁安置采取货币补偿、就地后靠安置的方式，村民生产安置通过村组内调剂耕地进行解决。电力电讯杆的拆迁重建工作由当地政府负责解决。</w:t>
      </w:r>
    </w:p>
    <w:p>
      <w:pPr>
        <w:pStyle w:val="4"/>
        <w:widowControl/>
        <w:ind w:left="660" w:hanging="660"/>
        <w:jc w:val="left"/>
        <w:rPr>
          <w:u w:val="single"/>
        </w:rPr>
      </w:pPr>
      <w:bookmarkStart w:id="126" w:name="_Toc408503557"/>
      <w:bookmarkStart w:id="127" w:name="_Toc22306"/>
      <w:r>
        <w:rPr>
          <w:rFonts w:hint="eastAsia"/>
          <w:u w:val="single"/>
        </w:rPr>
        <w:t>工程土石方平衡</w:t>
      </w:r>
      <w:bookmarkEnd w:id="126"/>
      <w:bookmarkEnd w:id="127"/>
    </w:p>
    <w:p>
      <w:pPr>
        <w:spacing w:line="480" w:lineRule="exact"/>
        <w:ind w:firstLine="31680" w:firstLineChars="200"/>
        <w:rPr>
          <w:sz w:val="24"/>
          <w:u w:val="single"/>
        </w:rPr>
      </w:pPr>
      <w:r>
        <w:rPr>
          <w:rFonts w:hint="eastAsia"/>
          <w:sz w:val="24"/>
          <w:u w:val="single"/>
        </w:rPr>
        <w:t>根据建设方及水土保持方案提供的资料，本工程最终需开挖土石方总量为</w:t>
      </w:r>
      <w:r>
        <w:rPr>
          <w:sz w:val="24"/>
          <w:u w:val="single"/>
        </w:rPr>
        <w:t>787513m</w:t>
      </w:r>
      <w:r>
        <w:rPr>
          <w:sz w:val="24"/>
          <w:u w:val="single"/>
          <w:vertAlign w:val="superscript"/>
        </w:rPr>
        <w:t>3</w:t>
      </w:r>
      <w:r>
        <w:rPr>
          <w:rFonts w:hint="eastAsia"/>
          <w:sz w:val="24"/>
          <w:u w:val="single"/>
        </w:rPr>
        <w:t>，填方总量为</w:t>
      </w:r>
      <w:r>
        <w:rPr>
          <w:sz w:val="24"/>
          <w:u w:val="single"/>
        </w:rPr>
        <w:t>757928m</w:t>
      </w:r>
      <w:r>
        <w:rPr>
          <w:sz w:val="24"/>
          <w:u w:val="single"/>
          <w:vertAlign w:val="superscript"/>
        </w:rPr>
        <w:t>3</w:t>
      </w:r>
      <w:r>
        <w:rPr>
          <w:rFonts w:hint="eastAsia"/>
          <w:sz w:val="24"/>
          <w:u w:val="single"/>
        </w:rPr>
        <w:t>。弃方总量为</w:t>
      </w:r>
      <w:r>
        <w:rPr>
          <w:sz w:val="24"/>
          <w:u w:val="single"/>
        </w:rPr>
        <w:t>29585m</w:t>
      </w:r>
      <w:r>
        <w:rPr>
          <w:sz w:val="24"/>
          <w:u w:val="single"/>
          <w:vertAlign w:val="superscript"/>
        </w:rPr>
        <w:t>3</w:t>
      </w:r>
      <w:r>
        <w:rPr>
          <w:rFonts w:hint="eastAsia"/>
          <w:sz w:val="24"/>
          <w:u w:val="single"/>
        </w:rPr>
        <w:t>。路基清淤清表量已计入路基土石方开挖量中，项目土石方平衡方案见</w:t>
      </w:r>
      <w:r>
        <w:rPr>
          <w:sz w:val="24"/>
          <w:u w:val="single"/>
        </w:rPr>
        <w:t>3.7-1</w:t>
      </w:r>
      <w:r>
        <w:rPr>
          <w:rFonts w:hint="eastAsia"/>
          <w:sz w:val="24"/>
          <w:u w:val="single"/>
        </w:rPr>
        <w:t>，土石方流向见图</w:t>
      </w:r>
      <w:r>
        <w:rPr>
          <w:sz w:val="24"/>
          <w:u w:val="single"/>
        </w:rPr>
        <w:t>3.7-1</w:t>
      </w:r>
      <w:r>
        <w:rPr>
          <w:rFonts w:hint="eastAsia"/>
          <w:sz w:val="24"/>
          <w:u w:val="single"/>
        </w:rPr>
        <w:t>。</w:t>
      </w:r>
    </w:p>
    <w:p>
      <w:pPr>
        <w:pStyle w:val="3"/>
        <w:ind w:firstLine="31680"/>
        <w:rPr>
          <w:u w:val="single"/>
        </w:rPr>
      </w:pPr>
    </w:p>
    <w:p>
      <w:pPr>
        <w:pStyle w:val="19"/>
        <w:jc w:val="center"/>
        <w:rPr>
          <w:u w:val="single"/>
        </w:rPr>
      </w:pPr>
      <w:r>
        <w:rPr>
          <w:rFonts w:hint="eastAsia"/>
          <w:u w:val="single"/>
        </w:rPr>
        <w:t>表</w:t>
      </w:r>
      <w:r>
        <w:rPr>
          <w:u w:val="single"/>
        </w:rPr>
        <w:t xml:space="preserve">3.7-1     </w:t>
      </w:r>
      <w:r>
        <w:rPr>
          <w:rFonts w:hint="eastAsia"/>
          <w:u w:val="single"/>
        </w:rPr>
        <w:t>线路土石方平衡表</w:t>
      </w:r>
      <w:r>
        <w:rPr>
          <w:u w:val="single"/>
        </w:rPr>
        <w:t xml:space="preserve">    </w:t>
      </w:r>
      <w:r>
        <w:rPr>
          <w:rFonts w:hint="eastAsia"/>
          <w:u w:val="single"/>
        </w:rPr>
        <w:t>单位：</w:t>
      </w:r>
      <w:r>
        <w:rPr>
          <w:u w:val="single"/>
        </w:rPr>
        <w:t>m</w:t>
      </w:r>
      <w:r>
        <w:rPr>
          <w:u w:val="single"/>
          <w:vertAlign w:val="superscript"/>
        </w:rPr>
        <w:t>3</w:t>
      </w:r>
    </w:p>
    <w:tbl>
      <w:tblPr>
        <w:tblStyle w:val="65"/>
        <w:tblW w:w="9820" w:type="dxa"/>
        <w:jc w:val="center"/>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15" w:type="dxa"/>
          <w:left w:w="15" w:type="dxa"/>
          <w:bottom w:w="15" w:type="dxa"/>
          <w:right w:w="15" w:type="dxa"/>
        </w:tblCellMar>
      </w:tblPr>
      <w:tblGrid>
        <w:gridCol w:w="367"/>
        <w:gridCol w:w="565"/>
        <w:gridCol w:w="543"/>
        <w:gridCol w:w="492"/>
        <w:gridCol w:w="492"/>
        <w:gridCol w:w="492"/>
        <w:gridCol w:w="492"/>
        <w:gridCol w:w="491"/>
        <w:gridCol w:w="492"/>
        <w:gridCol w:w="492"/>
        <w:gridCol w:w="490"/>
        <w:gridCol w:w="492"/>
        <w:gridCol w:w="491"/>
        <w:gridCol w:w="492"/>
        <w:gridCol w:w="493"/>
        <w:gridCol w:w="491"/>
        <w:gridCol w:w="492"/>
        <w:gridCol w:w="492"/>
        <w:gridCol w:w="489"/>
        <w:gridCol w:w="480"/>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jc w:val="center"/>
        </w:trPr>
        <w:tc>
          <w:tcPr>
            <w:tcW w:w="367" w:type="dxa"/>
            <w:vMerge w:val="restart"/>
            <w:tcBorders>
              <w:top w:val="single" w:color="000000" w:sz="12"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序号</w:t>
            </w:r>
          </w:p>
        </w:tc>
        <w:tc>
          <w:tcPr>
            <w:tcW w:w="1108" w:type="dxa"/>
            <w:gridSpan w:val="2"/>
            <w:vMerge w:val="restart"/>
            <w:tcBorders>
              <w:top w:val="single" w:color="000000" w:sz="12"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起讫桩号</w:t>
            </w:r>
          </w:p>
        </w:tc>
        <w:tc>
          <w:tcPr>
            <w:tcW w:w="492" w:type="dxa"/>
            <w:vMerge w:val="restart"/>
            <w:tcBorders>
              <w:top w:val="single" w:color="000000" w:sz="12" w:space="0"/>
              <w:left w:val="single" w:color="000000" w:sz="4" w:space="0"/>
              <w:right w:val="single" w:color="000000" w:sz="4" w:space="0"/>
            </w:tcBorders>
            <w:vAlign w:val="center"/>
          </w:tcPr>
          <w:p>
            <w:pPr>
              <w:widowControl/>
              <w:jc w:val="center"/>
              <w:textAlignment w:val="center"/>
              <w:rPr>
                <w:kern w:val="0"/>
                <w:sz w:val="21"/>
                <w:szCs w:val="21"/>
                <w:u w:val="single"/>
              </w:rPr>
            </w:pPr>
            <w:r>
              <w:rPr>
                <w:rFonts w:hint="eastAsia"/>
                <w:kern w:val="0"/>
                <w:sz w:val="21"/>
                <w:szCs w:val="21"/>
                <w:u w:val="single"/>
              </w:rPr>
              <w:t>施工</w:t>
            </w:r>
          </w:p>
          <w:p>
            <w:pPr>
              <w:widowControl/>
              <w:jc w:val="center"/>
              <w:textAlignment w:val="center"/>
              <w:rPr>
                <w:sz w:val="21"/>
                <w:szCs w:val="21"/>
                <w:u w:val="single"/>
              </w:rPr>
            </w:pPr>
            <w:r>
              <w:rPr>
                <w:rFonts w:hint="eastAsia"/>
                <w:kern w:val="0"/>
                <w:sz w:val="21"/>
                <w:szCs w:val="21"/>
                <w:u w:val="single"/>
              </w:rPr>
              <w:t>单元</w:t>
            </w:r>
          </w:p>
        </w:tc>
        <w:tc>
          <w:tcPr>
            <w:tcW w:w="492" w:type="dxa"/>
            <w:vMerge w:val="restart"/>
            <w:tcBorders>
              <w:top w:val="single" w:color="000000" w:sz="12"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长度</w:t>
            </w:r>
            <w:r>
              <w:rPr>
                <w:kern w:val="0"/>
                <w:sz w:val="21"/>
                <w:szCs w:val="21"/>
                <w:u w:val="single"/>
              </w:rPr>
              <w:t>(m)</w:t>
            </w:r>
          </w:p>
        </w:tc>
        <w:tc>
          <w:tcPr>
            <w:tcW w:w="2949" w:type="dxa"/>
            <w:gridSpan w:val="6"/>
            <w:tcBorders>
              <w:top w:val="single" w:color="000000" w:sz="12"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挖方</w:t>
            </w:r>
          </w:p>
        </w:tc>
        <w:tc>
          <w:tcPr>
            <w:tcW w:w="1968" w:type="dxa"/>
            <w:gridSpan w:val="4"/>
            <w:tcBorders>
              <w:top w:val="single" w:color="000000" w:sz="12"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填方</w:t>
            </w:r>
          </w:p>
        </w:tc>
        <w:tc>
          <w:tcPr>
            <w:tcW w:w="1964" w:type="dxa"/>
            <w:gridSpan w:val="4"/>
            <w:tcBorders>
              <w:top w:val="single" w:color="000000" w:sz="12" w:space="0"/>
              <w:left w:val="single" w:color="000000" w:sz="4" w:space="0"/>
              <w:bottom w:val="single" w:color="000000" w:sz="4" w:space="0"/>
            </w:tcBorders>
            <w:vAlign w:val="center"/>
          </w:tcPr>
          <w:p>
            <w:pPr>
              <w:widowControl/>
              <w:jc w:val="center"/>
              <w:textAlignment w:val="center"/>
              <w:rPr>
                <w:sz w:val="21"/>
                <w:szCs w:val="21"/>
                <w:u w:val="single"/>
              </w:rPr>
            </w:pPr>
            <w:r>
              <w:rPr>
                <w:rFonts w:hint="eastAsia"/>
                <w:kern w:val="0"/>
                <w:sz w:val="21"/>
                <w:szCs w:val="21"/>
                <w:u w:val="single"/>
              </w:rPr>
              <w:t>弃方</w:t>
            </w:r>
          </w:p>
        </w:tc>
        <w:tc>
          <w:tcPr>
            <w:tcW w:w="480" w:type="dxa"/>
            <w:tcBorders>
              <w:top w:val="single" w:color="000000" w:sz="12" w:space="0"/>
              <w:left w:val="single" w:color="000000" w:sz="4" w:space="0"/>
            </w:tcBorders>
            <w:vAlign w:val="center"/>
          </w:tcPr>
          <w:p>
            <w:pPr>
              <w:widowControl/>
              <w:jc w:val="center"/>
              <w:textAlignment w:val="center"/>
              <w:rPr>
                <w:kern w:val="0"/>
                <w:sz w:val="21"/>
                <w:szCs w:val="21"/>
                <w:u w:val="single"/>
              </w:rPr>
            </w:pPr>
          </w:p>
          <w:p>
            <w:pPr>
              <w:widowControl/>
              <w:jc w:val="center"/>
              <w:textAlignment w:val="center"/>
              <w:rPr>
                <w:kern w:val="0"/>
                <w:sz w:val="21"/>
                <w:szCs w:val="21"/>
                <w:u w:val="single"/>
              </w:rPr>
            </w:pPr>
            <w:r>
              <w:rPr>
                <w:rFonts w:hint="eastAsia"/>
                <w:kern w:val="0"/>
                <w:sz w:val="21"/>
                <w:szCs w:val="21"/>
                <w:u w:val="single"/>
              </w:rPr>
              <w:t>备注</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15" w:type="dxa"/>
            <w:left w:w="15" w:type="dxa"/>
            <w:bottom w:w="15" w:type="dxa"/>
            <w:right w:w="15" w:type="dxa"/>
          </w:tblCellMar>
        </w:tblPrEx>
        <w:trPr>
          <w:trHeight w:val="270" w:hRule="atLeast"/>
          <w:jc w:val="center"/>
        </w:trPr>
        <w:tc>
          <w:tcPr>
            <w:tcW w:w="367" w:type="dxa"/>
            <w:vMerge w:val="continue"/>
            <w:tcBorders>
              <w:top w:val="single" w:color="000000" w:sz="4" w:space="0"/>
              <w:bottom w:val="single" w:color="000000" w:sz="4" w:space="0"/>
              <w:right w:val="single" w:color="000000" w:sz="4" w:space="0"/>
            </w:tcBorders>
            <w:vAlign w:val="center"/>
          </w:tcPr>
          <w:p>
            <w:pPr>
              <w:jc w:val="center"/>
              <w:rPr>
                <w:sz w:val="21"/>
                <w:szCs w:val="21"/>
                <w:u w:val="single"/>
              </w:rPr>
            </w:pPr>
          </w:p>
        </w:tc>
        <w:tc>
          <w:tcPr>
            <w:tcW w:w="1108"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continue"/>
            <w:tcBorders>
              <w:left w:val="single" w:color="000000" w:sz="4" w:space="0"/>
              <w:right w:val="single" w:color="000000" w:sz="4" w:space="0"/>
            </w:tcBorders>
            <w:vAlign w:val="center"/>
          </w:tcPr>
          <w:p>
            <w:pPr>
              <w:widowControl/>
              <w:jc w:val="center"/>
              <w:textAlignment w:val="center"/>
              <w:rPr>
                <w:sz w:val="21"/>
                <w:szCs w:val="21"/>
                <w:u w:val="single"/>
              </w:rPr>
            </w:pP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总量</w:t>
            </w:r>
          </w:p>
        </w:tc>
        <w:tc>
          <w:tcPr>
            <w:tcW w:w="49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土方</w:t>
            </w:r>
          </w:p>
        </w:tc>
        <w:tc>
          <w:tcPr>
            <w:tcW w:w="49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石方</w:t>
            </w:r>
          </w:p>
        </w:tc>
        <w:tc>
          <w:tcPr>
            <w:tcW w:w="49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表土</w:t>
            </w:r>
          </w:p>
        </w:tc>
        <w:tc>
          <w:tcPr>
            <w:tcW w:w="49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清淤</w:t>
            </w:r>
          </w:p>
        </w:tc>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路面</w:t>
            </w:r>
          </w:p>
        </w:tc>
        <w:tc>
          <w:tcPr>
            <w:tcW w:w="49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总量</w:t>
            </w:r>
          </w:p>
        </w:tc>
        <w:tc>
          <w:tcPr>
            <w:tcW w:w="49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土方</w:t>
            </w:r>
          </w:p>
        </w:tc>
        <w:tc>
          <w:tcPr>
            <w:tcW w:w="49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石方</w:t>
            </w:r>
          </w:p>
        </w:tc>
        <w:tc>
          <w:tcPr>
            <w:tcW w:w="49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表土</w:t>
            </w:r>
          </w:p>
        </w:tc>
        <w:tc>
          <w:tcPr>
            <w:tcW w:w="49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总量</w:t>
            </w:r>
          </w:p>
        </w:tc>
        <w:tc>
          <w:tcPr>
            <w:tcW w:w="49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清淤</w:t>
            </w:r>
          </w:p>
        </w:tc>
        <w:tc>
          <w:tcPr>
            <w:tcW w:w="49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石方</w:t>
            </w:r>
          </w:p>
        </w:tc>
        <w:tc>
          <w:tcPr>
            <w:tcW w:w="489" w:type="dxa"/>
            <w:tcBorders>
              <w:top w:val="single" w:color="000000" w:sz="4" w:space="0"/>
              <w:left w:val="single" w:color="000000" w:sz="4" w:space="0"/>
              <w:bottom w:val="single" w:color="000000" w:sz="4" w:space="0"/>
            </w:tcBorders>
            <w:vAlign w:val="center"/>
          </w:tcPr>
          <w:p>
            <w:pPr>
              <w:widowControl/>
              <w:jc w:val="center"/>
              <w:textAlignment w:val="center"/>
              <w:rPr>
                <w:sz w:val="21"/>
                <w:szCs w:val="21"/>
                <w:u w:val="single"/>
              </w:rPr>
            </w:pPr>
            <w:r>
              <w:rPr>
                <w:rFonts w:hint="eastAsia"/>
                <w:kern w:val="0"/>
                <w:sz w:val="21"/>
                <w:szCs w:val="21"/>
                <w:u w:val="single"/>
              </w:rPr>
              <w:t>去向</w:t>
            </w:r>
          </w:p>
        </w:tc>
        <w:tc>
          <w:tcPr>
            <w:tcW w:w="480" w:type="dxa"/>
            <w:tcBorders>
              <w:left w:val="single" w:color="000000" w:sz="4" w:space="0"/>
            </w:tcBorders>
            <w:vAlign w:val="center"/>
          </w:tcPr>
          <w:p>
            <w:pPr>
              <w:widowControl/>
              <w:jc w:val="center"/>
              <w:textAlignment w:val="center"/>
              <w:rPr>
                <w:kern w:val="0"/>
                <w:sz w:val="21"/>
                <w:szCs w:val="21"/>
                <w:u w:val="single"/>
              </w:rPr>
            </w:pP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67" w:type="dxa"/>
            <w:vMerge w:val="continue"/>
            <w:tcBorders>
              <w:top w:val="single" w:color="000000" w:sz="4" w:space="0"/>
              <w:bottom w:val="single" w:color="000000" w:sz="4" w:space="0"/>
              <w:right w:val="single" w:color="000000" w:sz="4" w:space="0"/>
            </w:tcBorders>
            <w:vAlign w:val="center"/>
          </w:tcPr>
          <w:p>
            <w:pPr>
              <w:jc w:val="center"/>
              <w:rPr>
                <w:sz w:val="21"/>
                <w:szCs w:val="21"/>
                <w:u w:val="single"/>
              </w:rPr>
            </w:pPr>
          </w:p>
        </w:tc>
        <w:tc>
          <w:tcPr>
            <w:tcW w:w="1108"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continue"/>
            <w:tcBorders>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89" w:type="dxa"/>
            <w:tcBorders>
              <w:top w:val="single" w:color="000000" w:sz="4" w:space="0"/>
              <w:left w:val="single" w:color="000000" w:sz="4" w:space="0"/>
              <w:bottom w:val="single" w:color="000000" w:sz="4" w:space="0"/>
            </w:tcBorders>
            <w:vAlign w:val="center"/>
          </w:tcPr>
          <w:p>
            <w:pPr>
              <w:widowControl/>
              <w:jc w:val="center"/>
              <w:textAlignment w:val="center"/>
              <w:rPr>
                <w:sz w:val="21"/>
                <w:szCs w:val="21"/>
                <w:u w:val="single"/>
              </w:rPr>
            </w:pPr>
            <w:r>
              <w:rPr>
                <w:rFonts w:hint="eastAsia"/>
                <w:kern w:val="0"/>
                <w:sz w:val="21"/>
                <w:szCs w:val="21"/>
                <w:u w:val="single"/>
              </w:rPr>
              <w:t>弃渣场</w:t>
            </w:r>
          </w:p>
        </w:tc>
        <w:tc>
          <w:tcPr>
            <w:tcW w:w="480" w:type="dxa"/>
            <w:tcBorders>
              <w:left w:val="single" w:color="000000" w:sz="4" w:space="0"/>
              <w:bottom w:val="single" w:color="000000" w:sz="4" w:space="0"/>
            </w:tcBorders>
            <w:vAlign w:val="center"/>
          </w:tcPr>
          <w:p>
            <w:pPr>
              <w:widowControl/>
              <w:jc w:val="center"/>
              <w:textAlignment w:val="center"/>
              <w:rPr>
                <w:kern w:val="0"/>
                <w:sz w:val="21"/>
                <w:szCs w:val="21"/>
                <w:u w:val="single"/>
              </w:rPr>
            </w:pP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jc w:val="center"/>
        </w:trPr>
        <w:tc>
          <w:tcPr>
            <w:tcW w:w="367" w:type="dxa"/>
            <w:vMerge w:val="restart"/>
            <w:tcBorders>
              <w:top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1</w:t>
            </w:r>
          </w:p>
        </w:tc>
        <w:tc>
          <w:tcPr>
            <w:tcW w:w="56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K0+000</w:t>
            </w:r>
          </w:p>
        </w:tc>
        <w:tc>
          <w:tcPr>
            <w:tcW w:w="54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K8+369</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路基</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8317</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786172</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546657</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184579</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26112</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26313</w:t>
            </w:r>
          </w:p>
        </w:tc>
        <w:tc>
          <w:tcPr>
            <w:tcW w:w="49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2511</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757348</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546657</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184579</w:t>
            </w:r>
          </w:p>
        </w:tc>
        <w:tc>
          <w:tcPr>
            <w:tcW w:w="4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26112</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29585</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26313</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3272</w:t>
            </w:r>
          </w:p>
        </w:tc>
        <w:tc>
          <w:tcPr>
            <w:tcW w:w="489" w:type="dxa"/>
            <w:vMerge w:val="restart"/>
            <w:tcBorders>
              <w:top w:val="single" w:color="000000" w:sz="4" w:space="0"/>
              <w:left w:val="single" w:color="000000" w:sz="4" w:space="0"/>
            </w:tcBorders>
            <w:vAlign w:val="center"/>
          </w:tcPr>
          <w:p>
            <w:pPr>
              <w:jc w:val="center"/>
              <w:rPr>
                <w:sz w:val="21"/>
                <w:szCs w:val="21"/>
                <w:u w:val="single"/>
              </w:rPr>
            </w:pPr>
            <w:r>
              <w:rPr>
                <w:sz w:val="21"/>
                <w:szCs w:val="21"/>
                <w:u w:val="single"/>
              </w:rPr>
              <w:t>Z1</w:t>
            </w:r>
            <w:r>
              <w:rPr>
                <w:rFonts w:hint="eastAsia"/>
                <w:sz w:val="21"/>
                <w:szCs w:val="21"/>
                <w:u w:val="single"/>
              </w:rPr>
              <w:t>、</w:t>
            </w:r>
            <w:r>
              <w:rPr>
                <w:sz w:val="21"/>
                <w:szCs w:val="21"/>
                <w:u w:val="single"/>
              </w:rPr>
              <w:t>Z2</w:t>
            </w:r>
            <w:r>
              <w:rPr>
                <w:rFonts w:hint="eastAsia"/>
                <w:sz w:val="21"/>
                <w:szCs w:val="21"/>
                <w:u w:val="single"/>
              </w:rPr>
              <w:t>、</w:t>
            </w:r>
            <w:r>
              <w:rPr>
                <w:sz w:val="21"/>
                <w:szCs w:val="21"/>
                <w:u w:val="single"/>
              </w:rPr>
              <w:t>Z3</w:t>
            </w:r>
          </w:p>
        </w:tc>
        <w:tc>
          <w:tcPr>
            <w:tcW w:w="480" w:type="dxa"/>
            <w:vMerge w:val="restart"/>
            <w:tcBorders>
              <w:top w:val="single" w:color="000000" w:sz="4" w:space="0"/>
              <w:left w:val="single" w:color="000000" w:sz="4" w:space="0"/>
            </w:tcBorders>
            <w:vAlign w:val="center"/>
          </w:tcPr>
          <w:p>
            <w:pPr>
              <w:jc w:val="center"/>
              <w:rPr>
                <w:sz w:val="21"/>
                <w:szCs w:val="21"/>
                <w:u w:val="single"/>
              </w:rPr>
            </w:pPr>
            <w:r>
              <w:rPr>
                <w:rFonts w:hint="eastAsia"/>
                <w:sz w:val="21"/>
                <w:szCs w:val="21"/>
                <w:u w:val="single"/>
              </w:rPr>
              <w:t>运距</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15" w:type="dxa"/>
            <w:left w:w="15" w:type="dxa"/>
            <w:bottom w:w="15" w:type="dxa"/>
            <w:right w:w="15" w:type="dxa"/>
          </w:tblCellMar>
        </w:tblPrEx>
        <w:trPr>
          <w:trHeight w:val="270" w:hRule="atLeast"/>
          <w:jc w:val="center"/>
        </w:trPr>
        <w:tc>
          <w:tcPr>
            <w:tcW w:w="367" w:type="dxa"/>
            <w:vMerge w:val="continue"/>
            <w:tcBorders>
              <w:top w:val="single" w:color="000000" w:sz="4" w:space="0"/>
              <w:bottom w:val="single" w:color="000000" w:sz="4" w:space="0"/>
              <w:right w:val="single" w:color="000000" w:sz="4" w:space="0"/>
            </w:tcBorders>
            <w:vAlign w:val="center"/>
          </w:tcPr>
          <w:p>
            <w:pPr>
              <w:jc w:val="center"/>
              <w:rPr>
                <w:sz w:val="21"/>
                <w:szCs w:val="21"/>
                <w:u w:val="single"/>
              </w:rPr>
            </w:pPr>
          </w:p>
        </w:tc>
        <w:tc>
          <w:tcPr>
            <w:tcW w:w="56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54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sz w:val="21"/>
                <w:szCs w:val="21"/>
                <w:u w:val="single"/>
              </w:rPr>
            </w:pP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桥梁</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52</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1341</w:t>
            </w: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580</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760</w:t>
            </w:r>
          </w:p>
        </w:tc>
        <w:tc>
          <w:tcPr>
            <w:tcW w:w="492" w:type="dxa"/>
            <w:tcBorders>
              <w:top w:val="single" w:color="000000" w:sz="4" w:space="0"/>
              <w:left w:val="single" w:color="000000" w:sz="4" w:space="0"/>
              <w:bottom w:val="single" w:color="000000" w:sz="4" w:space="0"/>
              <w:right w:val="single" w:color="000000" w:sz="4" w:space="0"/>
            </w:tcBorders>
            <w:vAlign w:val="bottom"/>
          </w:tcPr>
          <w:p>
            <w:pPr>
              <w:jc w:val="center"/>
              <w:rPr>
                <w:sz w:val="21"/>
                <w:szCs w:val="21"/>
                <w:u w:val="single"/>
              </w:rPr>
            </w:pPr>
          </w:p>
        </w:tc>
        <w:tc>
          <w:tcPr>
            <w:tcW w:w="492" w:type="dxa"/>
            <w:tcBorders>
              <w:top w:val="single" w:color="000000" w:sz="4" w:space="0"/>
              <w:left w:val="single" w:color="000000" w:sz="4" w:space="0"/>
              <w:bottom w:val="single" w:color="000000" w:sz="4" w:space="0"/>
              <w:right w:val="single" w:color="000000" w:sz="4" w:space="0"/>
            </w:tcBorders>
            <w:vAlign w:val="bottom"/>
          </w:tcPr>
          <w:p>
            <w:pPr>
              <w:jc w:val="center"/>
              <w:rPr>
                <w:sz w:val="21"/>
                <w:szCs w:val="21"/>
                <w:u w:val="single"/>
              </w:rPr>
            </w:pPr>
          </w:p>
        </w:tc>
        <w:tc>
          <w:tcPr>
            <w:tcW w:w="490" w:type="dxa"/>
            <w:tcBorders>
              <w:top w:val="single" w:color="000000" w:sz="4" w:space="0"/>
              <w:left w:val="single" w:color="000000" w:sz="4" w:space="0"/>
              <w:bottom w:val="single" w:color="000000" w:sz="4" w:space="0"/>
              <w:right w:val="single" w:color="000000" w:sz="4" w:space="0"/>
            </w:tcBorders>
            <w:vAlign w:val="bottom"/>
          </w:tcPr>
          <w:p>
            <w:pPr>
              <w:jc w:val="center"/>
              <w:rPr>
                <w:sz w:val="21"/>
                <w:szCs w:val="21"/>
                <w:u w:val="single"/>
              </w:rPr>
            </w:pP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580</w:t>
            </w:r>
          </w:p>
        </w:tc>
        <w:tc>
          <w:tcPr>
            <w:tcW w:w="4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580</w:t>
            </w:r>
          </w:p>
        </w:tc>
        <w:tc>
          <w:tcPr>
            <w:tcW w:w="492" w:type="dxa"/>
            <w:tcBorders>
              <w:top w:val="single" w:color="000000" w:sz="4" w:space="0"/>
              <w:left w:val="single" w:color="000000" w:sz="4" w:space="0"/>
              <w:bottom w:val="single" w:color="000000" w:sz="4" w:space="0"/>
              <w:right w:val="single" w:color="000000" w:sz="4" w:space="0"/>
            </w:tcBorders>
            <w:vAlign w:val="bottom"/>
          </w:tcPr>
          <w:p>
            <w:pPr>
              <w:jc w:val="center"/>
              <w:rPr>
                <w:sz w:val="21"/>
                <w:szCs w:val="21"/>
                <w:u w:val="single"/>
              </w:rPr>
            </w:pPr>
          </w:p>
        </w:tc>
        <w:tc>
          <w:tcPr>
            <w:tcW w:w="4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0</w:t>
            </w:r>
          </w:p>
        </w:tc>
        <w:tc>
          <w:tcPr>
            <w:tcW w:w="491" w:type="dxa"/>
            <w:tcBorders>
              <w:top w:val="single" w:color="000000" w:sz="4" w:space="0"/>
              <w:left w:val="single" w:color="000000" w:sz="4" w:space="0"/>
              <w:bottom w:val="single" w:color="000000" w:sz="4" w:space="0"/>
              <w:right w:val="single" w:color="000000" w:sz="4" w:space="0"/>
            </w:tcBorders>
            <w:vAlign w:val="bottom"/>
          </w:tcPr>
          <w:p>
            <w:pPr>
              <w:jc w:val="center"/>
              <w:rPr>
                <w:sz w:val="21"/>
                <w:szCs w:val="21"/>
                <w:u w:val="single"/>
              </w:rPr>
            </w:pPr>
          </w:p>
        </w:tc>
        <w:tc>
          <w:tcPr>
            <w:tcW w:w="492" w:type="dxa"/>
            <w:tcBorders>
              <w:top w:val="single" w:color="000000" w:sz="4" w:space="0"/>
              <w:left w:val="single" w:color="000000" w:sz="4" w:space="0"/>
              <w:bottom w:val="single" w:color="000000" w:sz="4" w:space="0"/>
              <w:right w:val="single" w:color="000000" w:sz="4" w:space="0"/>
            </w:tcBorders>
            <w:vAlign w:val="bottom"/>
          </w:tcPr>
          <w:p>
            <w:pPr>
              <w:jc w:val="center"/>
              <w:rPr>
                <w:sz w:val="21"/>
                <w:szCs w:val="21"/>
                <w:u w:val="single"/>
              </w:rPr>
            </w:pPr>
          </w:p>
        </w:tc>
        <w:tc>
          <w:tcPr>
            <w:tcW w:w="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sz w:val="21"/>
                <w:szCs w:val="21"/>
                <w:u w:val="single"/>
              </w:rPr>
            </w:pPr>
            <w:r>
              <w:rPr>
                <w:kern w:val="0"/>
                <w:sz w:val="21"/>
                <w:szCs w:val="21"/>
                <w:u w:val="single"/>
              </w:rPr>
              <w:t>0</w:t>
            </w:r>
          </w:p>
        </w:tc>
        <w:tc>
          <w:tcPr>
            <w:tcW w:w="489" w:type="dxa"/>
            <w:vMerge w:val="continue"/>
            <w:tcBorders>
              <w:left w:val="single" w:color="000000" w:sz="4" w:space="0"/>
              <w:bottom w:val="single" w:color="000000" w:sz="4" w:space="0"/>
            </w:tcBorders>
            <w:vAlign w:val="center"/>
          </w:tcPr>
          <w:p>
            <w:pPr>
              <w:jc w:val="center"/>
              <w:rPr>
                <w:sz w:val="21"/>
                <w:szCs w:val="21"/>
                <w:u w:val="single"/>
              </w:rPr>
            </w:pPr>
          </w:p>
        </w:tc>
        <w:tc>
          <w:tcPr>
            <w:tcW w:w="480" w:type="dxa"/>
            <w:vMerge w:val="continue"/>
            <w:tcBorders>
              <w:left w:val="single" w:color="000000" w:sz="4" w:space="0"/>
              <w:bottom w:val="single" w:color="000000" w:sz="4" w:space="0"/>
            </w:tcBorders>
            <w:vAlign w:val="center"/>
          </w:tcPr>
          <w:p>
            <w:pPr>
              <w:jc w:val="center"/>
              <w:rPr>
                <w:sz w:val="21"/>
                <w:szCs w:val="21"/>
                <w:u w:val="single"/>
              </w:rPr>
            </w:pP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15" w:type="dxa"/>
            <w:left w:w="15" w:type="dxa"/>
            <w:bottom w:w="15" w:type="dxa"/>
            <w:right w:w="15" w:type="dxa"/>
          </w:tblCellMar>
        </w:tblPrEx>
        <w:trPr>
          <w:trHeight w:val="533" w:hRule="atLeast"/>
          <w:jc w:val="center"/>
        </w:trPr>
        <w:tc>
          <w:tcPr>
            <w:tcW w:w="367" w:type="dxa"/>
            <w:vMerge w:val="continue"/>
            <w:tcBorders>
              <w:top w:val="single" w:color="000000" w:sz="4" w:space="0"/>
              <w:bottom w:val="single" w:color="000000" w:sz="12" w:space="0"/>
              <w:right w:val="single" w:color="000000" w:sz="4" w:space="0"/>
            </w:tcBorders>
            <w:vAlign w:val="center"/>
          </w:tcPr>
          <w:p>
            <w:pPr>
              <w:jc w:val="center"/>
              <w:rPr>
                <w:sz w:val="21"/>
                <w:szCs w:val="21"/>
                <w:u w:val="single"/>
              </w:rPr>
            </w:pPr>
          </w:p>
        </w:tc>
        <w:tc>
          <w:tcPr>
            <w:tcW w:w="565" w:type="dxa"/>
            <w:vMerge w:val="continue"/>
            <w:tcBorders>
              <w:top w:val="single" w:color="000000" w:sz="4" w:space="0"/>
              <w:left w:val="single" w:color="000000" w:sz="4" w:space="0"/>
              <w:bottom w:val="single" w:color="000000" w:sz="12" w:space="0"/>
              <w:right w:val="single" w:color="000000" w:sz="4" w:space="0"/>
            </w:tcBorders>
            <w:vAlign w:val="center"/>
          </w:tcPr>
          <w:p>
            <w:pPr>
              <w:jc w:val="center"/>
              <w:rPr>
                <w:sz w:val="21"/>
                <w:szCs w:val="21"/>
                <w:u w:val="single"/>
              </w:rPr>
            </w:pPr>
          </w:p>
        </w:tc>
        <w:tc>
          <w:tcPr>
            <w:tcW w:w="543" w:type="dxa"/>
            <w:vMerge w:val="continue"/>
            <w:tcBorders>
              <w:top w:val="single" w:color="000000" w:sz="4" w:space="0"/>
              <w:left w:val="single" w:color="000000" w:sz="4" w:space="0"/>
              <w:bottom w:val="single" w:color="000000" w:sz="12" w:space="0"/>
              <w:right w:val="single" w:color="000000" w:sz="4" w:space="0"/>
            </w:tcBorders>
            <w:vAlign w:val="center"/>
          </w:tcPr>
          <w:p>
            <w:pPr>
              <w:jc w:val="center"/>
              <w:rPr>
                <w:sz w:val="21"/>
                <w:szCs w:val="21"/>
                <w:u w:val="single"/>
              </w:rPr>
            </w:pPr>
          </w:p>
        </w:tc>
        <w:tc>
          <w:tcPr>
            <w:tcW w:w="492"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rFonts w:hint="eastAsia"/>
                <w:kern w:val="0"/>
                <w:sz w:val="21"/>
                <w:szCs w:val="21"/>
                <w:u w:val="single"/>
              </w:rPr>
              <w:t>合计</w:t>
            </w:r>
          </w:p>
        </w:tc>
        <w:tc>
          <w:tcPr>
            <w:tcW w:w="492"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1"/>
                <w:szCs w:val="21"/>
                <w:u w:val="single"/>
              </w:rPr>
              <w:t>8369</w:t>
            </w:r>
          </w:p>
        </w:tc>
        <w:tc>
          <w:tcPr>
            <w:tcW w:w="492"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2"/>
                <w:szCs w:val="22"/>
                <w:u w:val="single"/>
              </w:rPr>
              <w:t>787513</w:t>
            </w:r>
          </w:p>
        </w:tc>
        <w:tc>
          <w:tcPr>
            <w:tcW w:w="492"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2"/>
                <w:szCs w:val="22"/>
                <w:u w:val="single"/>
              </w:rPr>
              <w:t>547237</w:t>
            </w:r>
          </w:p>
        </w:tc>
        <w:tc>
          <w:tcPr>
            <w:tcW w:w="491"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2"/>
                <w:szCs w:val="22"/>
                <w:u w:val="single"/>
              </w:rPr>
              <w:t>185339</w:t>
            </w:r>
          </w:p>
        </w:tc>
        <w:tc>
          <w:tcPr>
            <w:tcW w:w="492"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2"/>
                <w:szCs w:val="22"/>
                <w:u w:val="single"/>
              </w:rPr>
              <w:t>26112</w:t>
            </w:r>
          </w:p>
        </w:tc>
        <w:tc>
          <w:tcPr>
            <w:tcW w:w="492"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2"/>
                <w:szCs w:val="22"/>
                <w:u w:val="single"/>
              </w:rPr>
              <w:t>26313</w:t>
            </w:r>
          </w:p>
        </w:tc>
        <w:tc>
          <w:tcPr>
            <w:tcW w:w="490"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2"/>
                <w:szCs w:val="22"/>
                <w:u w:val="single"/>
              </w:rPr>
              <w:t>2511</w:t>
            </w:r>
          </w:p>
        </w:tc>
        <w:tc>
          <w:tcPr>
            <w:tcW w:w="492"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2"/>
                <w:szCs w:val="22"/>
                <w:u w:val="single"/>
              </w:rPr>
              <w:t>757928</w:t>
            </w:r>
          </w:p>
        </w:tc>
        <w:tc>
          <w:tcPr>
            <w:tcW w:w="491"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2"/>
                <w:szCs w:val="22"/>
                <w:u w:val="single"/>
              </w:rPr>
              <w:t>547237</w:t>
            </w:r>
          </w:p>
        </w:tc>
        <w:tc>
          <w:tcPr>
            <w:tcW w:w="492"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2"/>
                <w:szCs w:val="22"/>
                <w:u w:val="single"/>
              </w:rPr>
              <w:t>184579</w:t>
            </w:r>
          </w:p>
        </w:tc>
        <w:tc>
          <w:tcPr>
            <w:tcW w:w="493"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2"/>
                <w:szCs w:val="22"/>
                <w:u w:val="single"/>
              </w:rPr>
              <w:t>26112</w:t>
            </w:r>
          </w:p>
        </w:tc>
        <w:tc>
          <w:tcPr>
            <w:tcW w:w="491"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1"/>
                <w:szCs w:val="21"/>
                <w:u w:val="single"/>
              </w:rPr>
              <w:t>29585</w:t>
            </w:r>
          </w:p>
        </w:tc>
        <w:tc>
          <w:tcPr>
            <w:tcW w:w="492"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1"/>
                <w:szCs w:val="21"/>
                <w:u w:val="single"/>
              </w:rPr>
              <w:t>26313</w:t>
            </w:r>
          </w:p>
        </w:tc>
        <w:tc>
          <w:tcPr>
            <w:tcW w:w="492" w:type="dxa"/>
            <w:tcBorders>
              <w:top w:val="single" w:color="000000" w:sz="4" w:space="0"/>
              <w:left w:val="single" w:color="000000" w:sz="4" w:space="0"/>
              <w:bottom w:val="single" w:color="000000" w:sz="12" w:space="0"/>
              <w:right w:val="single" w:color="000000" w:sz="4" w:space="0"/>
            </w:tcBorders>
            <w:vAlign w:val="center"/>
          </w:tcPr>
          <w:p>
            <w:pPr>
              <w:widowControl/>
              <w:jc w:val="center"/>
              <w:textAlignment w:val="center"/>
              <w:rPr>
                <w:sz w:val="21"/>
                <w:szCs w:val="21"/>
                <w:u w:val="single"/>
              </w:rPr>
            </w:pPr>
            <w:r>
              <w:rPr>
                <w:kern w:val="0"/>
                <w:sz w:val="21"/>
                <w:szCs w:val="21"/>
                <w:u w:val="single"/>
              </w:rPr>
              <w:t>3272</w:t>
            </w:r>
          </w:p>
        </w:tc>
        <w:tc>
          <w:tcPr>
            <w:tcW w:w="489" w:type="dxa"/>
            <w:tcBorders>
              <w:top w:val="single" w:color="000000" w:sz="4" w:space="0"/>
              <w:left w:val="single" w:color="000000" w:sz="4" w:space="0"/>
              <w:bottom w:val="single" w:color="000000" w:sz="12" w:space="0"/>
            </w:tcBorders>
            <w:vAlign w:val="center"/>
          </w:tcPr>
          <w:p>
            <w:pPr>
              <w:jc w:val="center"/>
              <w:rPr>
                <w:sz w:val="21"/>
                <w:szCs w:val="21"/>
                <w:u w:val="single"/>
              </w:rPr>
            </w:pPr>
          </w:p>
        </w:tc>
        <w:tc>
          <w:tcPr>
            <w:tcW w:w="480" w:type="dxa"/>
            <w:tcBorders>
              <w:top w:val="single" w:color="000000" w:sz="4" w:space="0"/>
              <w:left w:val="single" w:color="000000" w:sz="4" w:space="0"/>
              <w:bottom w:val="single" w:color="000000" w:sz="12" w:space="0"/>
            </w:tcBorders>
            <w:vAlign w:val="center"/>
          </w:tcPr>
          <w:p>
            <w:pPr>
              <w:jc w:val="center"/>
              <w:rPr>
                <w:sz w:val="21"/>
                <w:szCs w:val="21"/>
                <w:u w:val="single"/>
              </w:rPr>
            </w:pPr>
          </w:p>
        </w:tc>
      </w:tr>
    </w:tbl>
    <w:p>
      <w:pPr>
        <w:ind w:left="31680" w:leftChars="-257" w:right="31680" w:rightChars="-101"/>
        <w:jc w:val="center"/>
        <w:rPr>
          <w:sz w:val="18"/>
          <w:szCs w:val="18"/>
          <w:u w:val="single"/>
        </w:rPr>
      </w:pPr>
      <w:r>
        <w:rPr>
          <w:sz w:val="18"/>
          <w:szCs w:val="18"/>
          <w:u w:val="single"/>
        </w:rPr>
        <w:object>
          <v:shape id="_x0000_i1038" o:spt="75" type="#_x0000_t75" style="height:144pt;width:513.75pt;" o:ole="t" filled="f" o:preferrelative="t" stroked="f" coordsize="21600,21600">
            <v:path/>
            <v:fill on="f" focussize="0,0"/>
            <v:stroke on="f" joinstyle="miter"/>
            <v:imagedata r:id="rId31" cropleft="16871f" croptop="35163f" cropright="20654f" cropbottom="12201f" o:title=""/>
            <o:lock v:ext="edit" aspectratio="f"/>
            <w10:wrap type="none"/>
            <w10:anchorlock/>
          </v:shape>
          <o:OLEObject Type="Embed" ProgID="AutoCAD.Drawing.19" ShapeID="_x0000_i1038" DrawAspect="Content" ObjectID="_1468075726" r:id="rId30">
            <o:LockedField>false</o:LockedField>
          </o:OLEObject>
        </w:object>
      </w:r>
    </w:p>
    <w:p>
      <w:pPr>
        <w:pStyle w:val="3"/>
        <w:ind w:firstLine="31680"/>
        <w:jc w:val="center"/>
        <w:rPr>
          <w:rFonts w:eastAsia="黑体"/>
          <w:u w:val="single"/>
        </w:rPr>
      </w:pPr>
      <w:r>
        <w:rPr>
          <w:rFonts w:hint="eastAsia" w:eastAsia="黑体"/>
          <w:u w:val="single"/>
        </w:rPr>
        <w:t>图</w:t>
      </w:r>
      <w:r>
        <w:rPr>
          <w:rFonts w:eastAsia="黑体"/>
          <w:u w:val="single"/>
        </w:rPr>
        <w:t xml:space="preserve">3.7-1     </w:t>
      </w:r>
      <w:r>
        <w:rPr>
          <w:rFonts w:hint="eastAsia" w:eastAsia="黑体"/>
          <w:u w:val="single"/>
        </w:rPr>
        <w:t>线路土石方平衡表</w:t>
      </w:r>
      <w:r>
        <w:rPr>
          <w:rFonts w:eastAsia="黑体"/>
          <w:u w:val="single"/>
        </w:rPr>
        <w:t xml:space="preserve">    </w:t>
      </w:r>
      <w:r>
        <w:rPr>
          <w:rFonts w:hint="eastAsia" w:eastAsia="黑体"/>
          <w:u w:val="single"/>
        </w:rPr>
        <w:t>单位：万</w:t>
      </w:r>
      <w:r>
        <w:rPr>
          <w:rFonts w:eastAsia="黑体"/>
          <w:u w:val="single"/>
        </w:rPr>
        <w:t>m</w:t>
      </w:r>
      <w:r>
        <w:rPr>
          <w:rFonts w:eastAsia="黑体"/>
          <w:u w:val="single"/>
          <w:vertAlign w:val="superscript"/>
        </w:rPr>
        <w:t>3</w:t>
      </w:r>
    </w:p>
    <w:p>
      <w:pPr>
        <w:pStyle w:val="3"/>
        <w:ind w:firstLine="31680"/>
        <w:rPr>
          <w:rFonts w:eastAsia="黑体"/>
          <w:u w:val="single"/>
        </w:rPr>
        <w:sectPr>
          <w:footerReference r:id="rId7" w:type="default"/>
          <w:pgSz w:w="11906" w:h="16838"/>
          <w:pgMar w:top="1588" w:right="1361" w:bottom="1474" w:left="1474" w:header="1020" w:footer="851" w:gutter="0"/>
          <w:pgBorders>
            <w:top w:val="none" w:sz="0" w:space="0"/>
            <w:left w:val="none" w:sz="0" w:space="0"/>
            <w:bottom w:val="none" w:sz="0" w:space="0"/>
            <w:right w:val="none" w:sz="0" w:space="0"/>
          </w:pgBorders>
          <w:cols w:space="425" w:num="1"/>
          <w:docGrid w:type="lines" w:linePitch="326" w:charSpace="0"/>
        </w:sectPr>
      </w:pPr>
    </w:p>
    <w:p>
      <w:pPr>
        <w:pStyle w:val="4"/>
        <w:widowControl/>
        <w:ind w:left="567" w:hanging="567"/>
        <w:jc w:val="left"/>
        <w:rPr>
          <w:u w:val="single"/>
        </w:rPr>
      </w:pPr>
      <w:bookmarkStart w:id="128" w:name="_Toc408503558"/>
      <w:bookmarkStart w:id="129" w:name="_Toc23746"/>
      <w:r>
        <w:rPr>
          <w:rFonts w:hint="eastAsia"/>
          <w:u w:val="single"/>
        </w:rPr>
        <w:t>工程施工方案</w:t>
      </w:r>
      <w:bookmarkEnd w:id="128"/>
      <w:bookmarkEnd w:id="129"/>
    </w:p>
    <w:p>
      <w:pPr>
        <w:pStyle w:val="5"/>
        <w:widowControl/>
        <w:ind w:left="567" w:hanging="567"/>
        <w:rPr>
          <w:u w:val="single"/>
        </w:rPr>
      </w:pPr>
      <w:r>
        <w:rPr>
          <w:rFonts w:hint="eastAsia"/>
          <w:u w:val="single"/>
        </w:rPr>
        <w:t>路基、路面施工方案</w:t>
      </w:r>
    </w:p>
    <w:p>
      <w:pPr>
        <w:pStyle w:val="3"/>
        <w:ind w:firstLine="31680"/>
        <w:rPr>
          <w:u w:val="single"/>
        </w:rPr>
      </w:pPr>
      <w:r>
        <w:rPr>
          <w:u w:val="single"/>
        </w:rPr>
        <w:t>a</w:t>
      </w:r>
      <w:r>
        <w:rPr>
          <w:rFonts w:hint="eastAsia"/>
          <w:u w:val="single"/>
        </w:rPr>
        <w:t>）路基施工</w:t>
      </w:r>
    </w:p>
    <w:p>
      <w:pPr>
        <w:pStyle w:val="3"/>
        <w:ind w:firstLine="31680"/>
        <w:rPr>
          <w:u w:val="single"/>
        </w:rPr>
      </w:pPr>
      <w:r>
        <w:rPr>
          <w:rFonts w:hint="eastAsia"/>
          <w:u w:val="single"/>
        </w:rPr>
        <w:t>路基工程采用机械施工为主，适当配合人工施工的方案。对于土方路段施工，本项目所在地区雨季在每年的</w:t>
      </w:r>
      <w:r>
        <w:rPr>
          <w:u w:val="single"/>
        </w:rPr>
        <w:t>4~6</w:t>
      </w:r>
      <w:r>
        <w:rPr>
          <w:rFonts w:hint="eastAsia"/>
          <w:u w:val="single"/>
        </w:rPr>
        <w:t>月，降雨量集中，要做好施工的临时排水，尽量保持路基在中等干燥状态；应切实控制路基填料的最佳含水量，确保路基压实度符合规范要求；石方开挖可以考虑采用大型机械加松土器开挖，并做好施工安全管理。软基处理要控制填土速度，预留充分的排水固结期，搅拌桩要按照要求做好复喷工序。填挖交界的过渡路段，应采取必要的设计及施工措施，防止产生不均匀沉降的发生。填筑路基和挖方路基的施工工艺分别见图</w:t>
      </w:r>
      <w:r>
        <w:rPr>
          <w:u w:val="single"/>
        </w:rPr>
        <w:t>3.8-1</w:t>
      </w:r>
      <w:r>
        <w:rPr>
          <w:rFonts w:hint="eastAsia"/>
          <w:u w:val="single"/>
        </w:rPr>
        <w:t>、图</w:t>
      </w:r>
      <w:r>
        <w:rPr>
          <w:u w:val="single"/>
        </w:rPr>
        <w:t>3.8-2</w:t>
      </w:r>
      <w:r>
        <w:rPr>
          <w:rFonts w:hint="eastAsia"/>
          <w:u w:val="single"/>
        </w:rPr>
        <w:t>。</w:t>
      </w:r>
    </w:p>
    <w:p>
      <w:pPr>
        <w:jc w:val="center"/>
        <w:rPr>
          <w:color w:val="FF0000"/>
          <w:u w:val="single"/>
        </w:rPr>
      </w:pPr>
      <w:r>
        <w:rPr>
          <w:color w:val="FF0000"/>
          <w:u w:val="single"/>
        </w:rPr>
        <w:pict>
          <v:shape id="_x0000_i1039" o:spt="75" alt="说明: 路基填筑施工工艺" type="#_x0000_t75" style="height:329.25pt;width:331.5pt;" filled="f" o:preferrelative="t" stroked="f" coordsize="21600,21600">
            <v:path/>
            <v:fill on="f" focussize="0,0"/>
            <v:stroke on="f" joinstyle="miter"/>
            <v:imagedata r:id="rId32" o:title=""/>
            <o:lock v:ext="edit" aspectratio="t"/>
            <w10:wrap type="none"/>
            <w10:anchorlock/>
          </v:shape>
        </w:pict>
      </w:r>
    </w:p>
    <w:p>
      <w:pPr>
        <w:pStyle w:val="19"/>
        <w:jc w:val="center"/>
        <w:rPr>
          <w:u w:val="single"/>
        </w:rPr>
      </w:pPr>
      <w:bookmarkStart w:id="130" w:name="_Ref401498029"/>
      <w:r>
        <w:rPr>
          <w:rFonts w:hint="eastAsia"/>
          <w:u w:val="single"/>
        </w:rPr>
        <w:t>图</w:t>
      </w:r>
      <w:r>
        <w:rPr>
          <w:u w:val="single"/>
        </w:rPr>
        <w:t>3.8-</w:t>
      </w:r>
      <w:r>
        <w:rPr>
          <w:u w:val="single"/>
        </w:rPr>
        <w:fldChar w:fldCharType="begin"/>
      </w:r>
      <w:r>
        <w:rPr>
          <w:u w:val="single"/>
        </w:rPr>
        <w:instrText xml:space="preserve"> SEQ </w:instrText>
      </w:r>
      <w:r>
        <w:rPr>
          <w:rFonts w:hint="eastAsia"/>
          <w:u w:val="single"/>
        </w:rPr>
        <w:instrText xml:space="preserve">图</w:instrText>
      </w:r>
      <w:r>
        <w:rPr>
          <w:u w:val="single"/>
        </w:rPr>
        <w:instrText xml:space="preserve"> \* ARABIC \s 2 </w:instrText>
      </w:r>
      <w:r>
        <w:rPr>
          <w:u w:val="single"/>
        </w:rPr>
        <w:fldChar w:fldCharType="separate"/>
      </w:r>
      <w:r>
        <w:rPr>
          <w:u w:val="single"/>
        </w:rPr>
        <w:t>1</w:t>
      </w:r>
      <w:r>
        <w:rPr>
          <w:u w:val="single"/>
        </w:rPr>
        <w:fldChar w:fldCharType="end"/>
      </w:r>
      <w:bookmarkEnd w:id="130"/>
      <w:r>
        <w:rPr>
          <w:u w:val="single"/>
        </w:rPr>
        <w:t xml:space="preserve">   </w:t>
      </w:r>
      <w:r>
        <w:rPr>
          <w:rFonts w:hint="eastAsia" w:hAnsi="黑体"/>
          <w:u w:val="single"/>
        </w:rPr>
        <w:t>填方路基</w:t>
      </w:r>
      <w:r>
        <w:rPr>
          <w:rFonts w:hint="eastAsia"/>
          <w:u w:val="single"/>
        </w:rPr>
        <w:t>施工工艺流程</w:t>
      </w:r>
    </w:p>
    <w:p>
      <w:pPr>
        <w:rPr>
          <w:color w:val="FF0000"/>
          <w:u w:val="single"/>
        </w:rPr>
      </w:pPr>
      <w:r>
        <w:rPr>
          <w:color w:val="FF0000"/>
          <w:u w:val="single"/>
        </w:rPr>
        <w:t xml:space="preserve">        </w:t>
      </w:r>
      <w:r>
        <w:rPr>
          <w:color w:val="FF0000"/>
          <w:u w:val="single"/>
        </w:rPr>
        <w:pict>
          <v:shape id="_x0000_i1040" o:spt="75" alt="说明: 路堑开挖" type="#_x0000_t75" style="height:404.25pt;width:362.25pt;" filled="f" o:preferrelative="t" stroked="f" coordsize="21600,21600">
            <v:path/>
            <v:fill on="f" focussize="0,0"/>
            <v:stroke on="f" joinstyle="miter"/>
            <v:imagedata r:id="rId33" o:title=""/>
            <o:lock v:ext="edit" aspectratio="t"/>
            <w10:wrap type="none"/>
            <w10:anchorlock/>
          </v:shape>
        </w:pict>
      </w:r>
      <w:bookmarkStart w:id="131" w:name="_Ref360479489"/>
    </w:p>
    <w:bookmarkEnd w:id="131"/>
    <w:p>
      <w:pPr>
        <w:pStyle w:val="19"/>
        <w:jc w:val="center"/>
        <w:rPr>
          <w:u w:val="single"/>
        </w:rPr>
      </w:pPr>
      <w:bookmarkStart w:id="132" w:name="_Ref401498055"/>
      <w:r>
        <w:rPr>
          <w:rFonts w:hint="eastAsia"/>
          <w:u w:val="single"/>
        </w:rPr>
        <w:t>图</w:t>
      </w:r>
      <w:r>
        <w:rPr>
          <w:u w:val="single"/>
        </w:rPr>
        <w:t>3.8-</w:t>
      </w:r>
      <w:r>
        <w:rPr>
          <w:u w:val="single"/>
        </w:rPr>
        <w:fldChar w:fldCharType="begin"/>
      </w:r>
      <w:r>
        <w:rPr>
          <w:u w:val="single"/>
        </w:rPr>
        <w:instrText xml:space="preserve"> SEQ </w:instrText>
      </w:r>
      <w:r>
        <w:rPr>
          <w:rFonts w:hint="eastAsia"/>
          <w:u w:val="single"/>
        </w:rPr>
        <w:instrText xml:space="preserve">图</w:instrText>
      </w:r>
      <w:r>
        <w:rPr>
          <w:u w:val="single"/>
        </w:rPr>
        <w:instrText xml:space="preserve"> \* ARABIC \s 2 </w:instrText>
      </w:r>
      <w:r>
        <w:rPr>
          <w:u w:val="single"/>
        </w:rPr>
        <w:fldChar w:fldCharType="separate"/>
      </w:r>
      <w:r>
        <w:rPr>
          <w:u w:val="single"/>
        </w:rPr>
        <w:t>2</w:t>
      </w:r>
      <w:r>
        <w:rPr>
          <w:u w:val="single"/>
        </w:rPr>
        <w:fldChar w:fldCharType="end"/>
      </w:r>
      <w:bookmarkEnd w:id="132"/>
      <w:r>
        <w:rPr>
          <w:u w:val="single"/>
        </w:rPr>
        <w:t xml:space="preserve">   </w:t>
      </w:r>
      <w:r>
        <w:rPr>
          <w:rFonts w:hint="eastAsia"/>
          <w:u w:val="single"/>
        </w:rPr>
        <w:t>挖方路基施工工艺流程</w:t>
      </w:r>
    </w:p>
    <w:p>
      <w:pPr>
        <w:pStyle w:val="3"/>
        <w:ind w:firstLine="31680"/>
        <w:rPr>
          <w:u w:val="single"/>
        </w:rPr>
      </w:pPr>
      <w:r>
        <w:rPr>
          <w:u w:val="single"/>
        </w:rPr>
        <w:t>b</w:t>
      </w:r>
      <w:r>
        <w:rPr>
          <w:rFonts w:hint="eastAsia"/>
          <w:u w:val="single"/>
        </w:rPr>
        <w:t>）路面施工</w:t>
      </w:r>
    </w:p>
    <w:p>
      <w:pPr>
        <w:pStyle w:val="3"/>
        <w:ind w:firstLine="31680"/>
        <w:rPr>
          <w:u w:val="single"/>
        </w:rPr>
      </w:pPr>
      <w:r>
        <w:rPr>
          <w:rFonts w:hint="eastAsia"/>
          <w:u w:val="single"/>
        </w:rPr>
        <w:t>路面施工应采用专门的路面机械施工，选择有丰富经验、有先进设备的专业施工队伍。项目采用商品沥青混凝土，不专设混凝土和沥青拌和场。使用设备主要为挖掘机、自卸汽车、平地机、推土机、振动压路机、灰土拌和机（路拌）等。施工采用分段半封闭式施工，当施工临近交叉公路时，应派专人进行交通疏导，维持交通顺畅，以免阻碍交叉公路的交通。</w:t>
      </w:r>
    </w:p>
    <w:p>
      <w:pPr>
        <w:pStyle w:val="5"/>
        <w:ind w:left="567" w:hanging="567"/>
        <w:rPr>
          <w:u w:val="single"/>
        </w:rPr>
      </w:pPr>
      <w:r>
        <w:rPr>
          <w:rFonts w:hint="eastAsia"/>
          <w:u w:val="single"/>
        </w:rPr>
        <w:t>桥梁工程施工方案</w:t>
      </w:r>
    </w:p>
    <w:p>
      <w:pPr>
        <w:pStyle w:val="3"/>
        <w:ind w:firstLine="31680"/>
        <w:rPr>
          <w:bCs/>
          <w:szCs w:val="32"/>
          <w:u w:val="single"/>
        </w:rPr>
      </w:pPr>
      <w:r>
        <w:rPr>
          <w:rFonts w:hint="eastAsia"/>
          <w:bCs/>
          <w:szCs w:val="32"/>
          <w:u w:val="single"/>
        </w:rPr>
        <w:t>本工程全线共设中桥</w:t>
      </w:r>
      <w:r>
        <w:rPr>
          <w:bCs/>
          <w:szCs w:val="32"/>
          <w:u w:val="single"/>
        </w:rPr>
        <w:t>52m/2</w:t>
      </w:r>
      <w:r>
        <w:rPr>
          <w:rFonts w:hint="eastAsia"/>
          <w:bCs/>
          <w:szCs w:val="32"/>
          <w:u w:val="single"/>
        </w:rPr>
        <w:t>座（新建）。</w:t>
      </w:r>
    </w:p>
    <w:p>
      <w:pPr>
        <w:spacing w:line="360" w:lineRule="auto"/>
        <w:ind w:firstLine="31680" w:firstLineChars="200"/>
        <w:rPr>
          <w:sz w:val="24"/>
          <w:szCs w:val="24"/>
          <w:u w:val="single"/>
        </w:rPr>
      </w:pPr>
      <w:r>
        <w:rPr>
          <w:rFonts w:hint="eastAsia"/>
          <w:sz w:val="24"/>
          <w:szCs w:val="24"/>
          <w:u w:val="single"/>
        </w:rPr>
        <w:t>本工程桥梁上部结构采用标准跨径的预应力混凝土空心板，下部结构采用柱式桥墩、肋板式桥台或重力式桥台；桥梁基础根据地质情况，采用扩大基础或桩基础。涵洞类型以盖板涵、圆管涵为主，均采用标准孔径。施工以预制安装为主，大型拖车运输的形式，根据地形及运输条件分别采用架桥机、龙门架或大型吊车架设。</w:t>
      </w:r>
    </w:p>
    <w:p>
      <w:pPr>
        <w:spacing w:line="360" w:lineRule="auto"/>
        <w:ind w:firstLine="31680" w:firstLineChars="200"/>
        <w:rPr>
          <w:sz w:val="24"/>
          <w:szCs w:val="24"/>
          <w:u w:val="single"/>
        </w:rPr>
      </w:pPr>
      <w:r>
        <w:rPr>
          <w:rFonts w:hint="eastAsia"/>
          <w:sz w:val="24"/>
          <w:szCs w:val="24"/>
          <w:u w:val="single"/>
        </w:rPr>
        <w:t>跨径小于</w:t>
      </w:r>
      <w:r>
        <w:rPr>
          <w:sz w:val="24"/>
          <w:szCs w:val="24"/>
          <w:u w:val="single"/>
        </w:rPr>
        <w:t>10m</w:t>
      </w:r>
      <w:r>
        <w:rPr>
          <w:rFonts w:hint="eastAsia"/>
          <w:sz w:val="24"/>
          <w:szCs w:val="24"/>
          <w:u w:val="single"/>
        </w:rPr>
        <w:t>的涵洞可根据结构型式、施工设备等实际情况采用预制安装或现浇方法施工。</w:t>
      </w:r>
    </w:p>
    <w:p>
      <w:pPr>
        <w:spacing w:line="360" w:lineRule="auto"/>
        <w:ind w:firstLine="31680" w:firstLineChars="200"/>
        <w:rPr>
          <w:sz w:val="24"/>
          <w:szCs w:val="24"/>
          <w:u w:val="single"/>
        </w:rPr>
      </w:pPr>
      <w:r>
        <w:rPr>
          <w:rFonts w:hint="eastAsia"/>
          <w:sz w:val="24"/>
          <w:szCs w:val="24"/>
          <w:u w:val="single"/>
        </w:rPr>
        <w:t>桥梁墩台的施工工艺流程参见图</w:t>
      </w:r>
      <w:r>
        <w:rPr>
          <w:sz w:val="24"/>
          <w:szCs w:val="24"/>
          <w:u w:val="single"/>
        </w:rPr>
        <w:t>3.8-3</w:t>
      </w:r>
      <w:r>
        <w:rPr>
          <w:rFonts w:hint="eastAsia"/>
          <w:sz w:val="24"/>
          <w:szCs w:val="24"/>
          <w:u w:val="single"/>
        </w:rPr>
        <w:t>。</w:t>
      </w:r>
    </w:p>
    <w:p>
      <w:pPr>
        <w:jc w:val="center"/>
        <w:rPr>
          <w:highlight w:val="yellow"/>
          <w:u w:val="single"/>
        </w:rPr>
      </w:pPr>
      <w:r>
        <w:rPr>
          <w:u w:val="single"/>
        </w:rPr>
        <w:pict>
          <v:shape id="_x0000_i1041" o:spt="75" alt="墩台施工" type="#_x0000_t75" style="height:189.75pt;width:260.25pt;" filled="f" o:preferrelative="t" stroked="f" coordsize="21600,21600">
            <v:path/>
            <v:fill on="f" focussize="0,0"/>
            <v:stroke on="f" joinstyle="miter"/>
            <v:imagedata r:id="rId34" o:title=""/>
            <o:lock v:ext="edit" aspectratio="t"/>
            <w10:wrap type="none"/>
            <w10:anchorlock/>
          </v:shape>
        </w:pict>
      </w:r>
    </w:p>
    <w:p>
      <w:pPr>
        <w:pStyle w:val="373"/>
        <w:rPr>
          <w:u w:val="single"/>
        </w:rPr>
      </w:pPr>
      <w:r>
        <w:rPr>
          <w:rFonts w:hint="eastAsia"/>
          <w:u w:val="single"/>
        </w:rPr>
        <w:t>图</w:t>
      </w:r>
      <w:r>
        <w:rPr>
          <w:u w:val="single"/>
        </w:rPr>
        <w:t xml:space="preserve">3.8-3      </w:t>
      </w:r>
      <w:r>
        <w:rPr>
          <w:rFonts w:hint="eastAsia"/>
          <w:u w:val="single"/>
        </w:rPr>
        <w:t>桥梁墩台施工工艺流程</w:t>
      </w:r>
    </w:p>
    <w:p>
      <w:pPr>
        <w:pStyle w:val="5"/>
        <w:widowControl/>
        <w:spacing w:beforeLines="50"/>
        <w:ind w:left="567" w:hanging="567"/>
        <w:rPr>
          <w:u w:val="single"/>
        </w:rPr>
      </w:pPr>
      <w:r>
        <w:rPr>
          <w:rFonts w:hint="eastAsia"/>
          <w:u w:val="single"/>
        </w:rPr>
        <w:t>交通工程及附属设施施工方案</w:t>
      </w:r>
    </w:p>
    <w:p>
      <w:pPr>
        <w:spacing w:line="360" w:lineRule="auto"/>
        <w:ind w:firstLine="31680" w:firstLineChars="200"/>
        <w:rPr>
          <w:sz w:val="24"/>
          <w:szCs w:val="24"/>
          <w:u w:val="single"/>
        </w:rPr>
      </w:pPr>
      <w:r>
        <w:rPr>
          <w:rFonts w:hint="eastAsia"/>
          <w:sz w:val="24"/>
          <w:szCs w:val="24"/>
          <w:u w:val="single"/>
        </w:rPr>
        <w:t>交通工程及附属设施施工应严格按照国家有关规范进行施工。</w:t>
      </w:r>
    </w:p>
    <w:p>
      <w:pPr>
        <w:pStyle w:val="5"/>
        <w:widowControl/>
        <w:ind w:left="567" w:hanging="567"/>
        <w:rPr>
          <w:u w:val="single"/>
        </w:rPr>
      </w:pPr>
      <w:r>
        <w:rPr>
          <w:rFonts w:hint="eastAsia"/>
          <w:u w:val="single"/>
        </w:rPr>
        <w:t>弃渣场施工方案</w:t>
      </w:r>
    </w:p>
    <w:p>
      <w:pPr>
        <w:pStyle w:val="3"/>
        <w:ind w:firstLine="31680"/>
        <w:rPr>
          <w:u w:val="single"/>
        </w:rPr>
      </w:pPr>
      <w:r>
        <w:rPr>
          <w:rFonts w:hint="eastAsia"/>
          <w:u w:val="single"/>
        </w:rPr>
        <w:t>工程弃渣由自卸汽车运输至渣场集中堆放。弃渣前先剥离渣场表土至一旁堆放，弃渣过程中采用分层堆放、碾压的施工方法，弃渣完成后表土回填，恢复林草。</w:t>
      </w:r>
    </w:p>
    <w:p>
      <w:pPr>
        <w:pStyle w:val="4"/>
        <w:widowControl/>
        <w:ind w:left="516" w:hanging="516"/>
        <w:jc w:val="left"/>
        <w:rPr>
          <w:u w:val="single"/>
        </w:rPr>
      </w:pPr>
      <w:bookmarkStart w:id="133" w:name="_Toc15181"/>
      <w:bookmarkStart w:id="134" w:name="_Toc408503559"/>
      <w:r>
        <w:rPr>
          <w:rFonts w:hint="eastAsia"/>
          <w:u w:val="single"/>
        </w:rPr>
        <w:t>施工布置</w:t>
      </w:r>
      <w:bookmarkEnd w:id="133"/>
      <w:bookmarkEnd w:id="134"/>
    </w:p>
    <w:p>
      <w:pPr>
        <w:pStyle w:val="5"/>
        <w:widowControl/>
        <w:ind w:left="567" w:hanging="567"/>
        <w:rPr>
          <w:u w:val="single"/>
        </w:rPr>
      </w:pPr>
      <w:r>
        <w:rPr>
          <w:rFonts w:hint="eastAsia"/>
          <w:u w:val="single"/>
        </w:rPr>
        <w:t>施工生产生活区布置</w:t>
      </w:r>
    </w:p>
    <w:p>
      <w:pPr>
        <w:pStyle w:val="3"/>
        <w:ind w:firstLine="31680"/>
        <w:rPr>
          <w:u w:val="single"/>
        </w:rPr>
      </w:pPr>
      <w:r>
        <w:rPr>
          <w:rFonts w:hint="eastAsia"/>
          <w:u w:val="single"/>
        </w:rPr>
        <w:t>因设计阶段所限，“工可设计”阶段未明确施工生产生活区布置位置。根据公路建设特点及当地建设条件，水保方案中在全线设置施工生产生活区</w:t>
      </w:r>
      <w:r>
        <w:rPr>
          <w:u w:val="single"/>
        </w:rPr>
        <w:t>3</w:t>
      </w:r>
      <w:r>
        <w:rPr>
          <w:rFonts w:hint="eastAsia"/>
          <w:u w:val="single"/>
        </w:rPr>
        <w:t>处，估列占地面积</w:t>
      </w:r>
      <w:r>
        <w:rPr>
          <w:u w:val="single"/>
        </w:rPr>
        <w:t>2.23hm</w:t>
      </w:r>
      <w:r>
        <w:rPr>
          <w:u w:val="single"/>
          <w:vertAlign w:val="superscript"/>
        </w:rPr>
        <w:t>2</w:t>
      </w:r>
      <w:r>
        <w:rPr>
          <w:rFonts w:hint="eastAsia"/>
          <w:u w:val="single"/>
        </w:rPr>
        <w:t>，作为生活营地、预制场和临时堆土使用。</w:t>
      </w:r>
    </w:p>
    <w:p>
      <w:pPr>
        <w:pStyle w:val="3"/>
        <w:ind w:firstLine="31680"/>
        <w:rPr>
          <w:u w:val="single"/>
        </w:rPr>
      </w:pPr>
      <w:r>
        <w:rPr>
          <w:rFonts w:hint="eastAsia"/>
          <w:u w:val="single"/>
        </w:rPr>
        <w:t>在下一阶段的具体设计工作中，本评价对施工生产生活场地的设置提出以下要求：</w:t>
      </w:r>
    </w:p>
    <w:p>
      <w:pPr>
        <w:pStyle w:val="3"/>
        <w:ind w:firstLine="31680"/>
        <w:rPr>
          <w:u w:val="single"/>
        </w:rPr>
      </w:pPr>
      <w:r>
        <w:rPr>
          <w:u w:val="single"/>
        </w:rPr>
        <w:t>a</w:t>
      </w:r>
      <w:r>
        <w:rPr>
          <w:rFonts w:hint="eastAsia"/>
          <w:u w:val="single"/>
        </w:rPr>
        <w:t>）施工生产生活场地应尽量设在道路附近平缓地区，施工人员生活营地就近租用当地的民房，如无租用条件的在施工生产生活区内搭建临时住房。</w:t>
      </w:r>
    </w:p>
    <w:p>
      <w:pPr>
        <w:pStyle w:val="3"/>
        <w:ind w:firstLine="31680"/>
        <w:rPr>
          <w:u w:val="single"/>
        </w:rPr>
      </w:pPr>
      <w:r>
        <w:rPr>
          <w:u w:val="single"/>
        </w:rPr>
        <w:t>b</w:t>
      </w:r>
      <w:r>
        <w:rPr>
          <w:rFonts w:hint="eastAsia"/>
          <w:u w:val="single"/>
        </w:rPr>
        <w:t>）临时占地要尽量少占耕地和林地，待工程建设完工后清理场地，根据原土地利用方式进行复耕或绿化。</w:t>
      </w:r>
    </w:p>
    <w:p>
      <w:pPr>
        <w:pStyle w:val="3"/>
        <w:ind w:firstLine="31680"/>
        <w:jc w:val="center"/>
        <w:rPr>
          <w:rFonts w:hint="eastAsia" w:hAnsi="黑体" w:eastAsia="黑体"/>
          <w:szCs w:val="24"/>
          <w:u w:val="single"/>
        </w:rPr>
      </w:pPr>
    </w:p>
    <w:p>
      <w:pPr>
        <w:pStyle w:val="3"/>
        <w:ind w:firstLine="31680"/>
        <w:jc w:val="center"/>
        <w:rPr>
          <w:u w:val="single"/>
        </w:rPr>
      </w:pPr>
      <w:r>
        <w:rPr>
          <w:rFonts w:hint="eastAsia" w:hAnsi="黑体" w:eastAsia="黑体"/>
          <w:szCs w:val="24"/>
          <w:u w:val="single"/>
        </w:rPr>
        <w:t>表</w:t>
      </w:r>
      <w:r>
        <w:rPr>
          <w:rFonts w:eastAsia="黑体"/>
          <w:szCs w:val="24"/>
          <w:u w:val="single"/>
        </w:rPr>
        <w:t xml:space="preserve">3.9-1    </w:t>
      </w:r>
      <w:r>
        <w:rPr>
          <w:rFonts w:hint="eastAsia" w:hAnsi="黑体" w:eastAsia="黑体"/>
          <w:szCs w:val="24"/>
          <w:u w:val="single"/>
        </w:rPr>
        <w:t>施工生产生活区布置情况表</w:t>
      </w:r>
      <w:r>
        <w:rPr>
          <w:rFonts w:hAnsi="黑体" w:eastAsia="黑体"/>
          <w:szCs w:val="24"/>
          <w:u w:val="single"/>
        </w:rPr>
        <w:t>(</w:t>
      </w:r>
      <w:r>
        <w:rPr>
          <w:rFonts w:hint="eastAsia" w:hAnsi="黑体" w:eastAsia="黑体"/>
          <w:szCs w:val="24"/>
          <w:u w:val="single"/>
        </w:rPr>
        <w:t>单位：</w:t>
      </w:r>
      <w:r>
        <w:rPr>
          <w:rFonts w:hAnsi="黑体" w:eastAsia="黑体"/>
          <w:szCs w:val="24"/>
          <w:u w:val="single"/>
        </w:rPr>
        <w:t>hm</w:t>
      </w:r>
      <w:r>
        <w:rPr>
          <w:rFonts w:hAnsi="黑体" w:eastAsia="黑体"/>
          <w:szCs w:val="24"/>
          <w:u w:val="single"/>
          <w:vertAlign w:val="superscript"/>
        </w:rPr>
        <w:t>2</w:t>
      </w:r>
      <w:r>
        <w:rPr>
          <w:rFonts w:hAnsi="黑体" w:eastAsia="黑体"/>
          <w:szCs w:val="24"/>
          <w:u w:val="single"/>
        </w:rPr>
        <w:t>)</w:t>
      </w:r>
    </w:p>
    <w:tbl>
      <w:tblPr>
        <w:tblStyle w:val="65"/>
        <w:tblW w:w="8860" w:type="dxa"/>
        <w:jc w:val="center"/>
        <w:tblInd w:w="5" w:type="dxa"/>
        <w:tblLayout w:type="fixed"/>
        <w:tblCellMar>
          <w:top w:w="0" w:type="dxa"/>
          <w:left w:w="0" w:type="dxa"/>
          <w:bottom w:w="0" w:type="dxa"/>
          <w:right w:w="0" w:type="dxa"/>
        </w:tblCellMar>
      </w:tblPr>
      <w:tblGrid>
        <w:gridCol w:w="1475"/>
        <w:gridCol w:w="2248"/>
        <w:gridCol w:w="1728"/>
        <w:gridCol w:w="1728"/>
        <w:gridCol w:w="1681"/>
      </w:tblGrid>
      <w:tr>
        <w:tblPrEx>
          <w:tblLayout w:type="fixed"/>
          <w:tblCellMar>
            <w:top w:w="0" w:type="dxa"/>
            <w:left w:w="0" w:type="dxa"/>
            <w:bottom w:w="0" w:type="dxa"/>
            <w:right w:w="0" w:type="dxa"/>
          </w:tblCellMar>
        </w:tblPrEx>
        <w:trPr>
          <w:trHeight w:val="288" w:hRule="atLeast"/>
          <w:tblHeader/>
          <w:jc w:val="center"/>
        </w:trPr>
        <w:tc>
          <w:tcPr>
            <w:tcW w:w="1475" w:type="dxa"/>
            <w:vMerge w:val="restart"/>
            <w:tcBorders>
              <w:top w:val="single" w:color="auto" w:sz="4" w:space="0"/>
              <w:left w:val="single" w:color="auto" w:sz="4" w:space="0"/>
              <w:right w:val="single" w:color="auto" w:sz="4" w:space="0"/>
            </w:tcBorders>
            <w:vAlign w:val="center"/>
          </w:tcPr>
          <w:p>
            <w:pPr>
              <w:widowControl/>
              <w:jc w:val="center"/>
              <w:rPr>
                <w:kern w:val="0"/>
                <w:sz w:val="21"/>
                <w:szCs w:val="21"/>
                <w:u w:val="single"/>
              </w:rPr>
            </w:pPr>
            <w:r>
              <w:rPr>
                <w:rFonts w:hint="eastAsia" w:hAnsi="宋体"/>
                <w:kern w:val="0"/>
                <w:sz w:val="21"/>
                <w:szCs w:val="21"/>
                <w:u w:val="single"/>
              </w:rPr>
              <w:t>序号</w:t>
            </w:r>
          </w:p>
        </w:tc>
        <w:tc>
          <w:tcPr>
            <w:tcW w:w="2248" w:type="dxa"/>
            <w:vMerge w:val="restart"/>
            <w:tcBorders>
              <w:top w:val="single" w:color="auto" w:sz="4" w:space="0"/>
              <w:left w:val="nil"/>
              <w:right w:val="single" w:color="auto" w:sz="4" w:space="0"/>
            </w:tcBorders>
            <w:vAlign w:val="center"/>
          </w:tcPr>
          <w:p>
            <w:pPr>
              <w:widowControl/>
              <w:jc w:val="center"/>
              <w:rPr>
                <w:kern w:val="0"/>
                <w:sz w:val="21"/>
                <w:szCs w:val="21"/>
                <w:u w:val="single"/>
              </w:rPr>
            </w:pPr>
            <w:r>
              <w:rPr>
                <w:rFonts w:hint="eastAsia"/>
                <w:kern w:val="0"/>
                <w:sz w:val="21"/>
                <w:szCs w:val="21"/>
                <w:u w:val="single"/>
              </w:rPr>
              <w:t>布设位置</w:t>
            </w:r>
          </w:p>
        </w:tc>
        <w:tc>
          <w:tcPr>
            <w:tcW w:w="3456" w:type="dxa"/>
            <w:gridSpan w:val="2"/>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占地面积</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恢复措施</w:t>
            </w:r>
          </w:p>
        </w:tc>
      </w:tr>
      <w:tr>
        <w:tblPrEx>
          <w:tblLayout w:type="fixed"/>
          <w:tblCellMar>
            <w:top w:w="0" w:type="dxa"/>
            <w:left w:w="0" w:type="dxa"/>
            <w:bottom w:w="0" w:type="dxa"/>
            <w:right w:w="0" w:type="dxa"/>
          </w:tblCellMar>
        </w:tblPrEx>
        <w:trPr>
          <w:trHeight w:val="288" w:hRule="atLeast"/>
          <w:jc w:val="center"/>
        </w:trPr>
        <w:tc>
          <w:tcPr>
            <w:tcW w:w="1475" w:type="dxa"/>
            <w:vMerge w:val="continue"/>
            <w:tcBorders>
              <w:left w:val="single" w:color="auto" w:sz="4" w:space="0"/>
              <w:bottom w:val="single" w:color="auto" w:sz="4" w:space="0"/>
              <w:right w:val="single" w:color="auto" w:sz="4" w:space="0"/>
            </w:tcBorders>
            <w:vAlign w:val="center"/>
          </w:tcPr>
          <w:p>
            <w:pPr>
              <w:widowControl/>
              <w:jc w:val="center"/>
              <w:rPr>
                <w:kern w:val="0"/>
                <w:sz w:val="21"/>
                <w:szCs w:val="21"/>
                <w:u w:val="single"/>
              </w:rPr>
            </w:pPr>
          </w:p>
        </w:tc>
        <w:tc>
          <w:tcPr>
            <w:tcW w:w="2248" w:type="dxa"/>
            <w:vMerge w:val="continue"/>
            <w:tcBorders>
              <w:left w:val="nil"/>
              <w:bottom w:val="single" w:color="auto" w:sz="4" w:space="0"/>
              <w:right w:val="single" w:color="auto" w:sz="4" w:space="0"/>
            </w:tcBorders>
            <w:vAlign w:val="center"/>
          </w:tcPr>
          <w:p>
            <w:pPr>
              <w:widowControl/>
              <w:jc w:val="center"/>
              <w:rPr>
                <w:kern w:val="0"/>
                <w:sz w:val="21"/>
                <w:szCs w:val="21"/>
                <w:u w:val="single"/>
              </w:rPr>
            </w:pPr>
          </w:p>
        </w:tc>
        <w:tc>
          <w:tcPr>
            <w:tcW w:w="1728"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合计</w:t>
            </w:r>
          </w:p>
        </w:tc>
        <w:tc>
          <w:tcPr>
            <w:tcW w:w="1728"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旱地</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复耕</w:t>
            </w:r>
          </w:p>
        </w:tc>
      </w:tr>
      <w:tr>
        <w:tblPrEx>
          <w:tblLayout w:type="fixed"/>
          <w:tblCellMar>
            <w:top w:w="0" w:type="dxa"/>
            <w:left w:w="0" w:type="dxa"/>
            <w:bottom w:w="0" w:type="dxa"/>
            <w:right w:w="0" w:type="dxa"/>
          </w:tblCellMar>
        </w:tblPrEx>
        <w:trPr>
          <w:trHeight w:val="256" w:hRule="atLeast"/>
          <w:jc w:val="center"/>
        </w:trPr>
        <w:tc>
          <w:tcPr>
            <w:tcW w:w="1475"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C1</w:t>
            </w:r>
          </w:p>
        </w:tc>
        <w:tc>
          <w:tcPr>
            <w:tcW w:w="2248"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K1+400</w:t>
            </w:r>
          </w:p>
        </w:tc>
        <w:tc>
          <w:tcPr>
            <w:tcW w:w="1728"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0.66</w:t>
            </w:r>
          </w:p>
        </w:tc>
        <w:tc>
          <w:tcPr>
            <w:tcW w:w="1728"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0.66</w:t>
            </w:r>
          </w:p>
        </w:tc>
        <w:tc>
          <w:tcPr>
            <w:tcW w:w="1681"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0.66</w:t>
            </w:r>
          </w:p>
        </w:tc>
      </w:tr>
      <w:tr>
        <w:tblPrEx>
          <w:tblLayout w:type="fixed"/>
          <w:tblCellMar>
            <w:top w:w="0" w:type="dxa"/>
            <w:left w:w="0" w:type="dxa"/>
            <w:bottom w:w="0" w:type="dxa"/>
            <w:right w:w="0" w:type="dxa"/>
          </w:tblCellMar>
        </w:tblPrEx>
        <w:trPr>
          <w:trHeight w:val="256" w:hRule="atLeast"/>
          <w:jc w:val="center"/>
        </w:trPr>
        <w:tc>
          <w:tcPr>
            <w:tcW w:w="1475"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C2</w:t>
            </w:r>
          </w:p>
        </w:tc>
        <w:tc>
          <w:tcPr>
            <w:tcW w:w="2248"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K4+950</w:t>
            </w:r>
          </w:p>
        </w:tc>
        <w:tc>
          <w:tcPr>
            <w:tcW w:w="1728"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0.94</w:t>
            </w:r>
          </w:p>
        </w:tc>
        <w:tc>
          <w:tcPr>
            <w:tcW w:w="1728"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0.94</w:t>
            </w:r>
          </w:p>
        </w:tc>
        <w:tc>
          <w:tcPr>
            <w:tcW w:w="1681"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0.94</w:t>
            </w:r>
          </w:p>
        </w:tc>
      </w:tr>
      <w:tr>
        <w:tblPrEx>
          <w:tblLayout w:type="fixed"/>
          <w:tblCellMar>
            <w:top w:w="0" w:type="dxa"/>
            <w:left w:w="0" w:type="dxa"/>
            <w:bottom w:w="0" w:type="dxa"/>
            <w:right w:w="0" w:type="dxa"/>
          </w:tblCellMar>
        </w:tblPrEx>
        <w:trPr>
          <w:trHeight w:val="256" w:hRule="atLeast"/>
          <w:jc w:val="center"/>
        </w:trPr>
        <w:tc>
          <w:tcPr>
            <w:tcW w:w="1475"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C3</w:t>
            </w:r>
          </w:p>
        </w:tc>
        <w:tc>
          <w:tcPr>
            <w:tcW w:w="2248"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K7+500</w:t>
            </w:r>
          </w:p>
        </w:tc>
        <w:tc>
          <w:tcPr>
            <w:tcW w:w="1728"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0.63</w:t>
            </w:r>
          </w:p>
        </w:tc>
        <w:tc>
          <w:tcPr>
            <w:tcW w:w="1728"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0.63</w:t>
            </w:r>
          </w:p>
        </w:tc>
        <w:tc>
          <w:tcPr>
            <w:tcW w:w="1681" w:type="dxa"/>
            <w:tcBorders>
              <w:top w:val="single" w:color="auto" w:sz="4" w:space="0"/>
              <w:left w:val="nil"/>
              <w:bottom w:val="single" w:color="auto" w:sz="4" w:space="0"/>
              <w:right w:val="single" w:color="auto" w:sz="4" w:space="0"/>
            </w:tcBorders>
            <w:vAlign w:val="center"/>
          </w:tcPr>
          <w:p>
            <w:pPr>
              <w:widowControl/>
              <w:jc w:val="center"/>
              <w:textAlignment w:val="center"/>
              <w:rPr>
                <w:kern w:val="0"/>
                <w:sz w:val="21"/>
                <w:szCs w:val="21"/>
                <w:u w:val="single"/>
              </w:rPr>
            </w:pPr>
            <w:r>
              <w:rPr>
                <w:kern w:val="0"/>
                <w:sz w:val="21"/>
                <w:szCs w:val="21"/>
                <w:u w:val="single"/>
              </w:rPr>
              <w:t>0.63</w:t>
            </w:r>
          </w:p>
        </w:tc>
      </w:tr>
      <w:tr>
        <w:tblPrEx>
          <w:tblLayout w:type="fixed"/>
          <w:tblCellMar>
            <w:top w:w="0" w:type="dxa"/>
            <w:left w:w="0" w:type="dxa"/>
            <w:bottom w:w="0" w:type="dxa"/>
            <w:right w:w="0" w:type="dxa"/>
          </w:tblCellMar>
        </w:tblPrEx>
        <w:trPr>
          <w:trHeight w:val="298" w:hRule="atLeast"/>
          <w:jc w:val="center"/>
        </w:trPr>
        <w:tc>
          <w:tcPr>
            <w:tcW w:w="372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合计</w:t>
            </w:r>
          </w:p>
        </w:tc>
        <w:tc>
          <w:tcPr>
            <w:tcW w:w="1728"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2.23</w:t>
            </w:r>
          </w:p>
        </w:tc>
        <w:tc>
          <w:tcPr>
            <w:tcW w:w="1728"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2.23</w:t>
            </w:r>
          </w:p>
        </w:tc>
        <w:tc>
          <w:tcPr>
            <w:tcW w:w="1681"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2.23</w:t>
            </w:r>
          </w:p>
        </w:tc>
      </w:tr>
    </w:tbl>
    <w:p>
      <w:pPr>
        <w:pStyle w:val="5"/>
        <w:ind w:left="567" w:hanging="567"/>
        <w:rPr>
          <w:u w:val="single"/>
        </w:rPr>
      </w:pPr>
      <w:r>
        <w:rPr>
          <w:rFonts w:hint="eastAsia"/>
          <w:u w:val="single"/>
        </w:rPr>
        <w:t>施工便道布置</w:t>
      </w:r>
    </w:p>
    <w:p>
      <w:pPr>
        <w:pStyle w:val="168"/>
        <w:ind w:firstLine="31680"/>
        <w:rPr>
          <w:u w:val="single"/>
        </w:rPr>
      </w:pPr>
      <w:r>
        <w:rPr>
          <w:rFonts w:hint="eastAsia"/>
          <w:u w:val="single"/>
        </w:rPr>
        <w:t>本项目为新建工程，周边乡村道路发达，部分绕镇拉直路段需增设部分保通道路，另外还需新增连接弃渣场的便道。施工便道采用泥结碎石路面，路面宽</w:t>
      </w:r>
      <w:r>
        <w:rPr>
          <w:u w:val="single"/>
        </w:rPr>
        <w:t>4.5m</w:t>
      </w:r>
      <w:r>
        <w:rPr>
          <w:rFonts w:hint="eastAsia"/>
          <w:u w:val="single"/>
        </w:rPr>
        <w:t>，占地按</w:t>
      </w:r>
      <w:r>
        <w:rPr>
          <w:u w:val="single"/>
        </w:rPr>
        <w:t>6m</w:t>
      </w:r>
      <w:r>
        <w:rPr>
          <w:rFonts w:hint="eastAsia"/>
          <w:u w:val="single"/>
        </w:rPr>
        <w:t>宽计算。平坦地区两侧设置排水沟，局部地段设置排水涵，傍山路段在靠山一侧设置排水沟，每隔一定距离设置排水涵。</w:t>
      </w:r>
    </w:p>
    <w:p>
      <w:pPr>
        <w:pStyle w:val="168"/>
        <w:ind w:firstLine="31680"/>
        <w:rPr>
          <w:u w:val="single"/>
        </w:rPr>
      </w:pPr>
      <w:r>
        <w:rPr>
          <w:rFonts w:hint="eastAsia"/>
          <w:u w:val="single"/>
        </w:rPr>
        <w:t>估列布设施工便道总长</w:t>
      </w:r>
      <w:r>
        <w:rPr>
          <w:u w:val="single"/>
        </w:rPr>
        <w:t>4.185km</w:t>
      </w:r>
      <w:r>
        <w:rPr>
          <w:rFonts w:hint="eastAsia"/>
          <w:u w:val="single"/>
        </w:rPr>
        <w:t>，占地</w:t>
      </w:r>
      <w:r>
        <w:rPr>
          <w:u w:val="single"/>
        </w:rPr>
        <w:t>2.59hm</w:t>
      </w:r>
      <w:r>
        <w:rPr>
          <w:u w:val="single"/>
          <w:vertAlign w:val="superscript"/>
        </w:rPr>
        <w:t>2</w:t>
      </w:r>
      <w:r>
        <w:rPr>
          <w:rFonts w:hint="eastAsia"/>
          <w:u w:val="single"/>
        </w:rPr>
        <w:t>，施工便道的布设尽可能的绕开水系，不得将土石方填于水系内，并对边坡进行防护，对路基进行加固。施工结束后对占地进行土地整治，恢复植被。</w:t>
      </w:r>
    </w:p>
    <w:p>
      <w:pPr>
        <w:pStyle w:val="3"/>
        <w:ind w:firstLine="31680"/>
        <w:jc w:val="center"/>
        <w:rPr>
          <w:u w:val="single"/>
        </w:rPr>
      </w:pPr>
      <w:r>
        <w:rPr>
          <w:rFonts w:hint="eastAsia" w:hAnsi="黑体" w:eastAsia="黑体"/>
          <w:szCs w:val="24"/>
          <w:u w:val="single"/>
        </w:rPr>
        <w:t>表</w:t>
      </w:r>
      <w:r>
        <w:rPr>
          <w:rFonts w:eastAsia="黑体"/>
          <w:szCs w:val="24"/>
          <w:u w:val="single"/>
        </w:rPr>
        <w:t xml:space="preserve">3.9-2    </w:t>
      </w:r>
      <w:r>
        <w:rPr>
          <w:rFonts w:hint="eastAsia" w:hAnsi="黑体" w:eastAsia="黑体"/>
          <w:szCs w:val="24"/>
          <w:u w:val="single"/>
        </w:rPr>
        <w:t>施工便道布置一览表</w:t>
      </w:r>
      <w:r>
        <w:rPr>
          <w:rFonts w:hAnsi="黑体" w:eastAsia="黑体"/>
          <w:szCs w:val="24"/>
          <w:u w:val="single"/>
        </w:rPr>
        <w:t>(</w:t>
      </w:r>
      <w:r>
        <w:rPr>
          <w:rFonts w:hint="eastAsia" w:hAnsi="黑体" w:eastAsia="黑体"/>
          <w:szCs w:val="24"/>
          <w:u w:val="single"/>
        </w:rPr>
        <w:t>单位：</w:t>
      </w:r>
      <w:r>
        <w:rPr>
          <w:rFonts w:hAnsi="黑体" w:eastAsia="黑体"/>
          <w:szCs w:val="24"/>
          <w:u w:val="single"/>
        </w:rPr>
        <w:t>hm</w:t>
      </w:r>
      <w:r>
        <w:rPr>
          <w:rFonts w:hAnsi="黑体" w:eastAsia="黑体"/>
          <w:szCs w:val="24"/>
          <w:u w:val="single"/>
          <w:vertAlign w:val="superscript"/>
        </w:rPr>
        <w:t>2</w:t>
      </w:r>
      <w:r>
        <w:rPr>
          <w:rFonts w:hAnsi="黑体" w:eastAsia="黑体"/>
          <w:szCs w:val="24"/>
          <w:u w:val="single"/>
        </w:rPr>
        <w:t>)</w:t>
      </w:r>
    </w:p>
    <w:tbl>
      <w:tblPr>
        <w:tblStyle w:val="65"/>
        <w:tblW w:w="9958" w:type="dxa"/>
        <w:jc w:val="center"/>
        <w:tblInd w:w="5" w:type="dxa"/>
        <w:tblLayout w:type="fixed"/>
        <w:tblCellMar>
          <w:top w:w="0" w:type="dxa"/>
          <w:left w:w="0" w:type="dxa"/>
          <w:bottom w:w="0" w:type="dxa"/>
          <w:right w:w="0" w:type="dxa"/>
        </w:tblCellMar>
      </w:tblPr>
      <w:tblGrid>
        <w:gridCol w:w="784"/>
        <w:gridCol w:w="2268"/>
        <w:gridCol w:w="992"/>
        <w:gridCol w:w="1134"/>
        <w:gridCol w:w="1276"/>
        <w:gridCol w:w="1134"/>
        <w:gridCol w:w="1134"/>
        <w:gridCol w:w="1236"/>
      </w:tblGrid>
      <w:tr>
        <w:tblPrEx>
          <w:tblLayout w:type="fixed"/>
          <w:tblCellMar>
            <w:top w:w="0" w:type="dxa"/>
            <w:left w:w="0" w:type="dxa"/>
            <w:bottom w:w="0" w:type="dxa"/>
            <w:right w:w="0" w:type="dxa"/>
          </w:tblCellMar>
        </w:tblPrEx>
        <w:trPr>
          <w:tblHeader/>
          <w:jc w:val="center"/>
        </w:trPr>
        <w:tc>
          <w:tcPr>
            <w:tcW w:w="784" w:type="dxa"/>
            <w:vMerge w:val="restart"/>
            <w:tcBorders>
              <w:top w:val="single" w:color="auto" w:sz="4" w:space="0"/>
              <w:left w:val="single" w:color="auto" w:sz="4" w:space="0"/>
              <w:right w:val="single" w:color="auto" w:sz="4" w:space="0"/>
            </w:tcBorders>
            <w:vAlign w:val="center"/>
          </w:tcPr>
          <w:p>
            <w:pPr>
              <w:widowControl/>
              <w:jc w:val="center"/>
              <w:rPr>
                <w:kern w:val="0"/>
                <w:sz w:val="21"/>
                <w:szCs w:val="21"/>
                <w:u w:val="single"/>
              </w:rPr>
            </w:pPr>
            <w:r>
              <w:rPr>
                <w:rFonts w:hint="eastAsia" w:hAnsi="宋体"/>
                <w:kern w:val="0"/>
                <w:sz w:val="21"/>
                <w:szCs w:val="21"/>
                <w:u w:val="single"/>
              </w:rPr>
              <w:t>序号</w:t>
            </w:r>
          </w:p>
        </w:tc>
        <w:tc>
          <w:tcPr>
            <w:tcW w:w="2268" w:type="dxa"/>
            <w:vMerge w:val="restart"/>
            <w:tcBorders>
              <w:top w:val="single" w:color="auto" w:sz="4" w:space="0"/>
              <w:left w:val="nil"/>
              <w:right w:val="single" w:color="auto" w:sz="4" w:space="0"/>
            </w:tcBorders>
            <w:vAlign w:val="center"/>
          </w:tcPr>
          <w:p>
            <w:pPr>
              <w:widowControl/>
              <w:jc w:val="center"/>
              <w:rPr>
                <w:kern w:val="0"/>
                <w:sz w:val="21"/>
                <w:szCs w:val="21"/>
                <w:u w:val="single"/>
              </w:rPr>
            </w:pPr>
            <w:r>
              <w:rPr>
                <w:rFonts w:hint="eastAsia"/>
                <w:kern w:val="0"/>
                <w:sz w:val="21"/>
                <w:szCs w:val="21"/>
                <w:u w:val="single"/>
              </w:rPr>
              <w:t>布设位置</w:t>
            </w:r>
          </w:p>
        </w:tc>
        <w:tc>
          <w:tcPr>
            <w:tcW w:w="992" w:type="dxa"/>
            <w:vMerge w:val="restart"/>
            <w:tcBorders>
              <w:top w:val="single" w:color="auto" w:sz="4" w:space="0"/>
              <w:left w:val="nil"/>
              <w:right w:val="single" w:color="auto" w:sz="4" w:space="0"/>
            </w:tcBorders>
            <w:vAlign w:val="center"/>
          </w:tcPr>
          <w:p>
            <w:pPr>
              <w:widowControl/>
              <w:jc w:val="center"/>
              <w:rPr>
                <w:kern w:val="0"/>
                <w:sz w:val="21"/>
                <w:szCs w:val="21"/>
                <w:u w:val="single"/>
              </w:rPr>
            </w:pPr>
            <w:r>
              <w:rPr>
                <w:rFonts w:hint="eastAsia"/>
                <w:kern w:val="0"/>
                <w:sz w:val="21"/>
                <w:szCs w:val="21"/>
                <w:u w:val="single"/>
              </w:rPr>
              <w:t>长度（</w:t>
            </w:r>
            <w:r>
              <w:rPr>
                <w:kern w:val="0"/>
                <w:sz w:val="21"/>
                <w:szCs w:val="21"/>
                <w:u w:val="single"/>
              </w:rPr>
              <w:t>m</w:t>
            </w:r>
            <w:r>
              <w:rPr>
                <w:rFonts w:hint="eastAsia"/>
                <w:kern w:val="0"/>
                <w:sz w:val="21"/>
                <w:szCs w:val="21"/>
                <w:u w:val="single"/>
              </w:rPr>
              <w:t>）</w:t>
            </w:r>
          </w:p>
        </w:tc>
        <w:tc>
          <w:tcPr>
            <w:tcW w:w="3544" w:type="dxa"/>
            <w:gridSpan w:val="3"/>
            <w:tcBorders>
              <w:top w:val="single" w:color="auto" w:sz="4" w:space="0"/>
              <w:left w:val="nil"/>
              <w:bottom w:val="single" w:color="auto" w:sz="4" w:space="0"/>
              <w:right w:val="single" w:color="auto" w:sz="4" w:space="0"/>
            </w:tcBorders>
            <w:vAlign w:val="center"/>
          </w:tcPr>
          <w:p>
            <w:pPr>
              <w:jc w:val="center"/>
              <w:rPr>
                <w:kern w:val="0"/>
                <w:sz w:val="21"/>
                <w:szCs w:val="21"/>
                <w:u w:val="single"/>
              </w:rPr>
            </w:pPr>
            <w:r>
              <w:rPr>
                <w:rFonts w:hint="eastAsia"/>
                <w:kern w:val="0"/>
                <w:sz w:val="21"/>
                <w:szCs w:val="21"/>
                <w:u w:val="single"/>
              </w:rPr>
              <w:t>占地面积</w:t>
            </w:r>
          </w:p>
        </w:tc>
        <w:tc>
          <w:tcPr>
            <w:tcW w:w="2370" w:type="dxa"/>
            <w:gridSpan w:val="2"/>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后期恢复方向</w:t>
            </w:r>
          </w:p>
        </w:tc>
      </w:tr>
      <w:tr>
        <w:tblPrEx>
          <w:tblLayout w:type="fixed"/>
          <w:tblCellMar>
            <w:top w:w="0" w:type="dxa"/>
            <w:left w:w="0" w:type="dxa"/>
            <w:bottom w:w="0" w:type="dxa"/>
            <w:right w:w="0" w:type="dxa"/>
          </w:tblCellMar>
        </w:tblPrEx>
        <w:trPr>
          <w:jc w:val="center"/>
        </w:trPr>
        <w:tc>
          <w:tcPr>
            <w:tcW w:w="784" w:type="dxa"/>
            <w:vMerge w:val="continue"/>
            <w:tcBorders>
              <w:left w:val="single" w:color="auto" w:sz="4" w:space="0"/>
              <w:bottom w:val="single" w:color="auto" w:sz="4" w:space="0"/>
              <w:right w:val="single" w:color="auto" w:sz="4" w:space="0"/>
            </w:tcBorders>
            <w:vAlign w:val="center"/>
          </w:tcPr>
          <w:p>
            <w:pPr>
              <w:widowControl/>
              <w:jc w:val="center"/>
              <w:rPr>
                <w:kern w:val="0"/>
                <w:sz w:val="21"/>
                <w:szCs w:val="21"/>
                <w:u w:val="single"/>
              </w:rPr>
            </w:pPr>
          </w:p>
        </w:tc>
        <w:tc>
          <w:tcPr>
            <w:tcW w:w="2268" w:type="dxa"/>
            <w:vMerge w:val="continue"/>
            <w:tcBorders>
              <w:left w:val="nil"/>
              <w:bottom w:val="single" w:color="auto" w:sz="4" w:space="0"/>
              <w:right w:val="single" w:color="auto" w:sz="4" w:space="0"/>
            </w:tcBorders>
            <w:vAlign w:val="center"/>
          </w:tcPr>
          <w:p>
            <w:pPr>
              <w:widowControl/>
              <w:jc w:val="center"/>
              <w:rPr>
                <w:kern w:val="0"/>
                <w:sz w:val="21"/>
                <w:szCs w:val="21"/>
                <w:u w:val="single"/>
              </w:rPr>
            </w:pPr>
          </w:p>
        </w:tc>
        <w:tc>
          <w:tcPr>
            <w:tcW w:w="992" w:type="dxa"/>
            <w:vMerge w:val="continue"/>
            <w:tcBorders>
              <w:left w:val="nil"/>
              <w:bottom w:val="single" w:color="auto" w:sz="4" w:space="0"/>
              <w:right w:val="single" w:color="auto" w:sz="4" w:space="0"/>
            </w:tcBorders>
            <w:vAlign w:val="center"/>
          </w:tcPr>
          <w:p>
            <w:pPr>
              <w:widowControl/>
              <w:jc w:val="center"/>
              <w:rPr>
                <w:kern w:val="0"/>
                <w:sz w:val="21"/>
                <w:szCs w:val="21"/>
                <w:u w:val="single"/>
              </w:rPr>
            </w:pPr>
          </w:p>
        </w:tc>
        <w:tc>
          <w:tcPr>
            <w:tcW w:w="1134"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合计</w:t>
            </w:r>
          </w:p>
        </w:tc>
        <w:tc>
          <w:tcPr>
            <w:tcW w:w="1276"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林地</w:t>
            </w:r>
          </w:p>
        </w:tc>
        <w:tc>
          <w:tcPr>
            <w:tcW w:w="1134"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荒地</w:t>
            </w:r>
          </w:p>
        </w:tc>
        <w:tc>
          <w:tcPr>
            <w:tcW w:w="1134"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水保林</w:t>
            </w:r>
          </w:p>
        </w:tc>
        <w:tc>
          <w:tcPr>
            <w:tcW w:w="1236"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复耕</w:t>
            </w:r>
          </w:p>
        </w:tc>
      </w:tr>
      <w:tr>
        <w:tblPrEx>
          <w:tblLayout w:type="fixed"/>
          <w:tblCellMar>
            <w:top w:w="0" w:type="dxa"/>
            <w:left w:w="0" w:type="dxa"/>
            <w:bottom w:w="0" w:type="dxa"/>
            <w:right w:w="0" w:type="dxa"/>
          </w:tblCellMar>
        </w:tblPrEx>
        <w:trPr>
          <w:jc w:val="center"/>
        </w:trPr>
        <w:tc>
          <w:tcPr>
            <w:tcW w:w="784" w:type="dxa"/>
            <w:tcBorders>
              <w:top w:val="single" w:color="auto" w:sz="4" w:space="0"/>
              <w:left w:val="single" w:color="auto" w:sz="4" w:space="0"/>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1</w:t>
            </w:r>
          </w:p>
        </w:tc>
        <w:tc>
          <w:tcPr>
            <w:tcW w:w="2268"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rFonts w:hint="eastAsia"/>
                <w:kern w:val="0"/>
                <w:sz w:val="21"/>
                <w:szCs w:val="21"/>
                <w:u w:val="single"/>
              </w:rPr>
              <w:t>保通道路</w:t>
            </w:r>
          </w:p>
        </w:tc>
        <w:tc>
          <w:tcPr>
            <w:tcW w:w="992"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4.185</w:t>
            </w:r>
          </w:p>
        </w:tc>
        <w:tc>
          <w:tcPr>
            <w:tcW w:w="1134"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2.59</w:t>
            </w:r>
          </w:p>
        </w:tc>
        <w:tc>
          <w:tcPr>
            <w:tcW w:w="1276"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1.19</w:t>
            </w:r>
          </w:p>
        </w:tc>
        <w:tc>
          <w:tcPr>
            <w:tcW w:w="1134"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1.40</w:t>
            </w:r>
          </w:p>
        </w:tc>
        <w:tc>
          <w:tcPr>
            <w:tcW w:w="1134"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r>
              <w:rPr>
                <w:kern w:val="0"/>
                <w:sz w:val="21"/>
                <w:szCs w:val="21"/>
                <w:u w:val="single"/>
              </w:rPr>
              <w:t>2.59</w:t>
            </w:r>
          </w:p>
        </w:tc>
        <w:tc>
          <w:tcPr>
            <w:tcW w:w="1236" w:type="dxa"/>
            <w:tcBorders>
              <w:top w:val="single" w:color="auto" w:sz="4" w:space="0"/>
              <w:left w:val="nil"/>
              <w:bottom w:val="single" w:color="auto" w:sz="4" w:space="0"/>
              <w:right w:val="single" w:color="auto" w:sz="4" w:space="0"/>
            </w:tcBorders>
            <w:vAlign w:val="center"/>
          </w:tcPr>
          <w:p>
            <w:pPr>
              <w:widowControl/>
              <w:jc w:val="center"/>
              <w:rPr>
                <w:kern w:val="0"/>
                <w:sz w:val="21"/>
                <w:szCs w:val="21"/>
                <w:u w:val="single"/>
              </w:rPr>
            </w:pPr>
          </w:p>
        </w:tc>
      </w:tr>
    </w:tbl>
    <w:p>
      <w:pPr>
        <w:pStyle w:val="5"/>
        <w:ind w:left="567" w:hanging="567"/>
        <w:rPr>
          <w:u w:val="single"/>
        </w:rPr>
      </w:pPr>
      <w:r>
        <w:rPr>
          <w:rFonts w:hint="eastAsia"/>
          <w:u w:val="single"/>
          <w:lang w:val="en-US" w:eastAsia="zh-CN"/>
        </w:rPr>
        <w:t>取土场设置</w:t>
      </w:r>
    </w:p>
    <w:p>
      <w:pPr>
        <w:spacing w:line="360" w:lineRule="auto"/>
        <w:ind w:firstLine="31680" w:firstLineChars="200"/>
        <w:rPr>
          <w:u w:val="single"/>
        </w:rPr>
      </w:pPr>
      <w:r>
        <w:rPr>
          <w:rFonts w:hint="eastAsia"/>
          <w:sz w:val="24"/>
          <w:u w:val="single"/>
        </w:rPr>
        <w:t>本线主体工程经土石方调配后，本工程最终需开挖土石方总量为</w:t>
      </w:r>
      <w:r>
        <w:rPr>
          <w:sz w:val="24"/>
          <w:u w:val="single"/>
        </w:rPr>
        <w:t>787513m</w:t>
      </w:r>
      <w:r>
        <w:rPr>
          <w:sz w:val="24"/>
          <w:u w:val="single"/>
          <w:vertAlign w:val="superscript"/>
        </w:rPr>
        <w:t>3</w:t>
      </w:r>
      <w:r>
        <w:rPr>
          <w:rFonts w:hint="eastAsia"/>
          <w:sz w:val="24"/>
          <w:u w:val="single"/>
        </w:rPr>
        <w:t>，填方总量为</w:t>
      </w:r>
      <w:r>
        <w:rPr>
          <w:sz w:val="24"/>
          <w:u w:val="single"/>
        </w:rPr>
        <w:t>757928m</w:t>
      </w:r>
      <w:r>
        <w:rPr>
          <w:sz w:val="24"/>
          <w:u w:val="single"/>
          <w:vertAlign w:val="superscript"/>
        </w:rPr>
        <w:t>3</w:t>
      </w:r>
      <w:r>
        <w:rPr>
          <w:rFonts w:hint="eastAsia"/>
          <w:sz w:val="24"/>
          <w:u w:val="single"/>
        </w:rPr>
        <w:t>。弃方总量为</w:t>
      </w:r>
      <w:r>
        <w:rPr>
          <w:sz w:val="24"/>
          <w:u w:val="single"/>
        </w:rPr>
        <w:t>29585m</w:t>
      </w:r>
      <w:r>
        <w:rPr>
          <w:sz w:val="24"/>
          <w:u w:val="single"/>
          <w:vertAlign w:val="superscript"/>
        </w:rPr>
        <w:t>3</w:t>
      </w:r>
      <w:r>
        <w:rPr>
          <w:rFonts w:hint="eastAsia"/>
          <w:sz w:val="24"/>
          <w:u w:val="single"/>
        </w:rPr>
        <w:t>。项目不需设置取土场。</w:t>
      </w:r>
      <w:r>
        <w:rPr>
          <w:sz w:val="24"/>
          <w:u w:val="single"/>
        </w:rPr>
        <w:t xml:space="preserve">          </w:t>
      </w:r>
    </w:p>
    <w:p>
      <w:pPr>
        <w:pStyle w:val="5"/>
        <w:widowControl/>
        <w:ind w:left="567" w:hanging="567"/>
        <w:rPr>
          <w:u w:val="single"/>
        </w:rPr>
      </w:pPr>
      <w:r>
        <w:rPr>
          <w:rFonts w:hint="eastAsia"/>
          <w:u w:val="single"/>
        </w:rPr>
        <w:t>弃渣场设置</w:t>
      </w:r>
    </w:p>
    <w:p>
      <w:pPr>
        <w:pStyle w:val="3"/>
        <w:ind w:firstLine="31680"/>
        <w:rPr>
          <w:u w:val="single"/>
        </w:rPr>
      </w:pPr>
      <w:r>
        <w:rPr>
          <w:rFonts w:hint="eastAsia"/>
          <w:u w:val="single"/>
        </w:rPr>
        <w:t>本项目建设共产生弃方总量为</w:t>
      </w:r>
      <w:r>
        <w:rPr>
          <w:u w:val="single"/>
        </w:rPr>
        <w:t>29585m</w:t>
      </w:r>
      <w:r>
        <w:rPr>
          <w:u w:val="single"/>
          <w:vertAlign w:val="superscript"/>
        </w:rPr>
        <w:t>3</w:t>
      </w:r>
      <w:r>
        <w:rPr>
          <w:rFonts w:hint="eastAsia"/>
          <w:u w:val="single"/>
        </w:rPr>
        <w:t>，均为石方。主要弃渣来源为路基开挖多余土石方挖方及桥梁基础废渣。项目水土保持方案设计根据土石方调运情况共设置弃渣场</w:t>
      </w:r>
      <w:r>
        <w:rPr>
          <w:u w:val="single"/>
        </w:rPr>
        <w:t>3</w:t>
      </w:r>
      <w:r>
        <w:rPr>
          <w:rFonts w:hint="eastAsia"/>
          <w:u w:val="single"/>
        </w:rPr>
        <w:t>处，弃渣场现状为旱地和林地，占地面积</w:t>
      </w:r>
      <w:r>
        <w:rPr>
          <w:u w:val="single"/>
        </w:rPr>
        <w:t>0.99hm</w:t>
      </w:r>
      <w:r>
        <w:rPr>
          <w:u w:val="single"/>
          <w:vertAlign w:val="superscript"/>
        </w:rPr>
        <w:t>2</w:t>
      </w:r>
      <w:r>
        <w:rPr>
          <w:rFonts w:hint="eastAsia"/>
          <w:u w:val="single"/>
        </w:rPr>
        <w:t>。拟选渣场分布见表</w:t>
      </w:r>
      <w:r>
        <w:rPr>
          <w:u w:val="single"/>
        </w:rPr>
        <w:t>3.9-3</w:t>
      </w:r>
      <w:r>
        <w:rPr>
          <w:rFonts w:hint="eastAsia"/>
          <w:u w:val="single"/>
        </w:rPr>
        <w:t>，现状见下图。</w:t>
      </w:r>
    </w:p>
    <w:p>
      <w:pPr>
        <w:pStyle w:val="19"/>
        <w:jc w:val="center"/>
        <w:rPr>
          <w:u w:val="single"/>
        </w:rPr>
      </w:pPr>
      <w:r>
        <w:rPr>
          <w:rFonts w:hint="eastAsia"/>
          <w:u w:val="single"/>
        </w:rPr>
        <w:t>表</w:t>
      </w:r>
      <w:r>
        <w:rPr>
          <w:u w:val="single"/>
        </w:rPr>
        <w:t xml:space="preserve">3.9-3   </w:t>
      </w:r>
      <w:r>
        <w:rPr>
          <w:rFonts w:hint="eastAsia"/>
          <w:u w:val="single"/>
        </w:rPr>
        <w:t>弃渣场基本情况表</w:t>
      </w:r>
    </w:p>
    <w:tbl>
      <w:tblPr>
        <w:tblStyle w:val="65"/>
        <w:tblW w:w="9323"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34"/>
        <w:gridCol w:w="1706"/>
        <w:gridCol w:w="848"/>
        <w:gridCol w:w="1738"/>
        <w:gridCol w:w="960"/>
        <w:gridCol w:w="850"/>
        <w:gridCol w:w="992"/>
        <w:gridCol w:w="710"/>
        <w:gridCol w:w="9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534" w:type="dxa"/>
            <w:vAlign w:val="center"/>
          </w:tcPr>
          <w:p>
            <w:pPr>
              <w:widowControl/>
              <w:jc w:val="center"/>
              <w:rPr>
                <w:snapToGrid w:val="0"/>
                <w:sz w:val="18"/>
                <w:szCs w:val="18"/>
                <w:u w:val="single"/>
              </w:rPr>
            </w:pPr>
            <w:r>
              <w:rPr>
                <w:rFonts w:hint="eastAsia" w:hAnsi="宋体"/>
                <w:snapToGrid w:val="0"/>
                <w:sz w:val="18"/>
                <w:szCs w:val="18"/>
                <w:u w:val="single"/>
              </w:rPr>
              <w:t>编号</w:t>
            </w:r>
          </w:p>
        </w:tc>
        <w:tc>
          <w:tcPr>
            <w:tcW w:w="1706" w:type="dxa"/>
            <w:vAlign w:val="center"/>
          </w:tcPr>
          <w:p>
            <w:pPr>
              <w:widowControl/>
              <w:jc w:val="center"/>
              <w:rPr>
                <w:snapToGrid w:val="0"/>
                <w:sz w:val="18"/>
                <w:szCs w:val="18"/>
                <w:u w:val="single"/>
              </w:rPr>
            </w:pPr>
            <w:r>
              <w:rPr>
                <w:rFonts w:hint="eastAsia" w:hAnsi="宋体"/>
                <w:snapToGrid w:val="0"/>
                <w:sz w:val="18"/>
                <w:szCs w:val="18"/>
                <w:u w:val="single"/>
              </w:rPr>
              <w:t>弃渣地点</w:t>
            </w:r>
          </w:p>
        </w:tc>
        <w:tc>
          <w:tcPr>
            <w:tcW w:w="848" w:type="dxa"/>
            <w:vAlign w:val="center"/>
          </w:tcPr>
          <w:p>
            <w:pPr>
              <w:widowControl/>
              <w:jc w:val="center"/>
              <w:rPr>
                <w:snapToGrid w:val="0"/>
                <w:sz w:val="18"/>
                <w:szCs w:val="18"/>
                <w:u w:val="single"/>
              </w:rPr>
            </w:pPr>
            <w:r>
              <w:rPr>
                <w:rFonts w:hint="eastAsia" w:hAnsi="宋体"/>
                <w:snapToGrid w:val="0"/>
                <w:sz w:val="18"/>
                <w:szCs w:val="18"/>
                <w:u w:val="single"/>
              </w:rPr>
              <w:t>占地（</w:t>
            </w:r>
            <w:r>
              <w:rPr>
                <w:snapToGrid w:val="0"/>
                <w:sz w:val="18"/>
                <w:szCs w:val="18"/>
                <w:u w:val="single"/>
              </w:rPr>
              <w:t>hm</w:t>
            </w:r>
            <w:r>
              <w:rPr>
                <w:snapToGrid w:val="0"/>
                <w:sz w:val="18"/>
                <w:szCs w:val="18"/>
                <w:u w:val="single"/>
                <w:vertAlign w:val="superscript"/>
              </w:rPr>
              <w:t>2</w:t>
            </w:r>
            <w:r>
              <w:rPr>
                <w:rFonts w:hint="eastAsia" w:hAnsi="宋体"/>
                <w:snapToGrid w:val="0"/>
                <w:sz w:val="18"/>
                <w:szCs w:val="18"/>
                <w:u w:val="single"/>
              </w:rPr>
              <w:t>）</w:t>
            </w:r>
          </w:p>
        </w:tc>
        <w:tc>
          <w:tcPr>
            <w:tcW w:w="1738" w:type="dxa"/>
            <w:vAlign w:val="center"/>
          </w:tcPr>
          <w:p>
            <w:pPr>
              <w:widowControl/>
              <w:jc w:val="center"/>
              <w:rPr>
                <w:snapToGrid w:val="0"/>
                <w:sz w:val="18"/>
                <w:szCs w:val="18"/>
                <w:u w:val="single"/>
              </w:rPr>
            </w:pPr>
            <w:r>
              <w:rPr>
                <w:rFonts w:hint="eastAsia"/>
                <w:snapToGrid w:val="0"/>
                <w:sz w:val="18"/>
                <w:szCs w:val="18"/>
                <w:u w:val="single"/>
              </w:rPr>
              <w:t>弃渣来源</w:t>
            </w:r>
          </w:p>
        </w:tc>
        <w:tc>
          <w:tcPr>
            <w:tcW w:w="960" w:type="dxa"/>
            <w:vAlign w:val="center"/>
          </w:tcPr>
          <w:p>
            <w:pPr>
              <w:widowControl/>
              <w:jc w:val="center"/>
              <w:rPr>
                <w:rFonts w:hAnsi="宋体"/>
                <w:snapToGrid w:val="0"/>
                <w:sz w:val="18"/>
                <w:szCs w:val="18"/>
                <w:u w:val="single"/>
              </w:rPr>
            </w:pPr>
            <w:r>
              <w:rPr>
                <w:rFonts w:hint="eastAsia" w:hAnsi="宋体"/>
                <w:snapToGrid w:val="0"/>
                <w:sz w:val="18"/>
                <w:szCs w:val="18"/>
                <w:u w:val="single"/>
              </w:rPr>
              <w:t>弃渣量</w:t>
            </w:r>
          </w:p>
          <w:p>
            <w:pPr>
              <w:widowControl/>
              <w:jc w:val="center"/>
              <w:rPr>
                <w:snapToGrid w:val="0"/>
                <w:sz w:val="18"/>
                <w:szCs w:val="18"/>
                <w:u w:val="single"/>
              </w:rPr>
            </w:pPr>
            <w:r>
              <w:rPr>
                <w:rFonts w:hint="eastAsia" w:hAnsi="宋体"/>
                <w:snapToGrid w:val="0"/>
                <w:sz w:val="18"/>
                <w:szCs w:val="18"/>
                <w:u w:val="single"/>
              </w:rPr>
              <w:t>（万</w:t>
            </w:r>
            <w:r>
              <w:rPr>
                <w:snapToGrid w:val="0"/>
                <w:sz w:val="18"/>
                <w:szCs w:val="18"/>
                <w:u w:val="single"/>
              </w:rPr>
              <w:t>m</w:t>
            </w:r>
            <w:r>
              <w:rPr>
                <w:snapToGrid w:val="0"/>
                <w:sz w:val="18"/>
                <w:szCs w:val="18"/>
                <w:u w:val="single"/>
                <w:vertAlign w:val="superscript"/>
              </w:rPr>
              <w:t>3</w:t>
            </w:r>
            <w:r>
              <w:rPr>
                <w:rFonts w:hint="eastAsia" w:hAnsi="宋体"/>
                <w:snapToGrid w:val="0"/>
                <w:sz w:val="18"/>
                <w:szCs w:val="18"/>
                <w:u w:val="single"/>
              </w:rPr>
              <w:t>）</w:t>
            </w:r>
          </w:p>
        </w:tc>
        <w:tc>
          <w:tcPr>
            <w:tcW w:w="850" w:type="dxa"/>
            <w:tcBorders>
              <w:right w:val="single" w:color="auto" w:sz="4" w:space="0"/>
            </w:tcBorders>
            <w:vAlign w:val="center"/>
          </w:tcPr>
          <w:p>
            <w:pPr>
              <w:widowControl/>
              <w:jc w:val="center"/>
              <w:rPr>
                <w:snapToGrid w:val="0"/>
                <w:sz w:val="18"/>
                <w:szCs w:val="18"/>
                <w:u w:val="single"/>
              </w:rPr>
            </w:pPr>
            <w:r>
              <w:rPr>
                <w:rFonts w:hint="eastAsia" w:hAnsi="宋体"/>
                <w:snapToGrid w:val="0"/>
                <w:sz w:val="18"/>
                <w:szCs w:val="18"/>
                <w:u w:val="single"/>
              </w:rPr>
              <w:t>弃渣高（</w:t>
            </w:r>
            <w:r>
              <w:rPr>
                <w:snapToGrid w:val="0"/>
                <w:sz w:val="18"/>
                <w:szCs w:val="18"/>
                <w:u w:val="single"/>
              </w:rPr>
              <w:t>m</w:t>
            </w:r>
            <w:r>
              <w:rPr>
                <w:rFonts w:hint="eastAsia" w:hAnsi="宋体"/>
                <w:snapToGrid w:val="0"/>
                <w:sz w:val="18"/>
                <w:szCs w:val="18"/>
                <w:u w:val="single"/>
              </w:rPr>
              <w:t>）</w:t>
            </w:r>
          </w:p>
        </w:tc>
        <w:tc>
          <w:tcPr>
            <w:tcW w:w="992" w:type="dxa"/>
            <w:tcBorders>
              <w:left w:val="single" w:color="auto" w:sz="4" w:space="0"/>
            </w:tcBorders>
            <w:vAlign w:val="center"/>
          </w:tcPr>
          <w:p>
            <w:pPr>
              <w:widowControl/>
              <w:jc w:val="center"/>
              <w:rPr>
                <w:snapToGrid w:val="0"/>
                <w:sz w:val="18"/>
                <w:szCs w:val="18"/>
                <w:u w:val="single"/>
              </w:rPr>
            </w:pPr>
            <w:r>
              <w:rPr>
                <w:rFonts w:hint="eastAsia"/>
                <w:snapToGrid w:val="0"/>
                <w:sz w:val="18"/>
                <w:szCs w:val="18"/>
                <w:u w:val="single"/>
              </w:rPr>
              <w:t>渣场容量</w:t>
            </w:r>
            <w:r>
              <w:rPr>
                <w:rFonts w:hint="eastAsia" w:hAnsi="宋体"/>
                <w:snapToGrid w:val="0"/>
                <w:sz w:val="18"/>
                <w:szCs w:val="18"/>
                <w:u w:val="single"/>
              </w:rPr>
              <w:t>（万</w:t>
            </w:r>
            <w:r>
              <w:rPr>
                <w:snapToGrid w:val="0"/>
                <w:sz w:val="18"/>
                <w:szCs w:val="18"/>
                <w:u w:val="single"/>
              </w:rPr>
              <w:t>m</w:t>
            </w:r>
            <w:r>
              <w:rPr>
                <w:snapToGrid w:val="0"/>
                <w:sz w:val="18"/>
                <w:szCs w:val="18"/>
                <w:u w:val="single"/>
                <w:vertAlign w:val="superscript"/>
              </w:rPr>
              <w:t>3</w:t>
            </w:r>
            <w:r>
              <w:rPr>
                <w:rFonts w:hint="eastAsia" w:hAnsi="宋体"/>
                <w:snapToGrid w:val="0"/>
                <w:sz w:val="18"/>
                <w:szCs w:val="18"/>
                <w:u w:val="single"/>
              </w:rPr>
              <w:t>）</w:t>
            </w:r>
          </w:p>
        </w:tc>
        <w:tc>
          <w:tcPr>
            <w:tcW w:w="710" w:type="dxa"/>
            <w:vAlign w:val="center"/>
          </w:tcPr>
          <w:p>
            <w:pPr>
              <w:widowControl/>
              <w:jc w:val="center"/>
              <w:rPr>
                <w:snapToGrid w:val="0"/>
                <w:sz w:val="18"/>
                <w:szCs w:val="18"/>
                <w:u w:val="single"/>
              </w:rPr>
            </w:pPr>
            <w:r>
              <w:rPr>
                <w:rFonts w:hint="eastAsia" w:hAnsi="宋体"/>
                <w:snapToGrid w:val="0"/>
                <w:sz w:val="18"/>
                <w:szCs w:val="18"/>
                <w:u w:val="single"/>
              </w:rPr>
              <w:t>占地类型</w:t>
            </w:r>
          </w:p>
        </w:tc>
        <w:tc>
          <w:tcPr>
            <w:tcW w:w="985" w:type="dxa"/>
            <w:vAlign w:val="center"/>
          </w:tcPr>
          <w:p>
            <w:pPr>
              <w:widowControl/>
              <w:jc w:val="center"/>
              <w:rPr>
                <w:snapToGrid w:val="0"/>
                <w:sz w:val="18"/>
                <w:szCs w:val="18"/>
                <w:u w:val="single"/>
              </w:rPr>
            </w:pPr>
            <w:r>
              <w:rPr>
                <w:rFonts w:hint="eastAsia" w:hAnsi="宋体"/>
                <w:snapToGrid w:val="0"/>
                <w:sz w:val="18"/>
                <w:szCs w:val="18"/>
                <w:u w:val="single"/>
              </w:rPr>
              <w:t>恢复方向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534" w:type="dxa"/>
            <w:vAlign w:val="center"/>
          </w:tcPr>
          <w:p>
            <w:pPr>
              <w:adjustRightInd w:val="0"/>
              <w:snapToGrid w:val="0"/>
              <w:jc w:val="center"/>
              <w:rPr>
                <w:snapToGrid w:val="0"/>
                <w:sz w:val="18"/>
                <w:szCs w:val="18"/>
                <w:u w:val="single"/>
              </w:rPr>
            </w:pPr>
            <w:r>
              <w:rPr>
                <w:snapToGrid w:val="0"/>
                <w:sz w:val="18"/>
                <w:szCs w:val="18"/>
                <w:u w:val="single"/>
              </w:rPr>
              <w:t>Z1</w:t>
            </w:r>
          </w:p>
        </w:tc>
        <w:tc>
          <w:tcPr>
            <w:tcW w:w="1706" w:type="dxa"/>
            <w:vAlign w:val="center"/>
          </w:tcPr>
          <w:p>
            <w:pPr>
              <w:pStyle w:val="112"/>
              <w:rPr>
                <w:snapToGrid w:val="0"/>
                <w:sz w:val="18"/>
                <w:szCs w:val="18"/>
                <w:u w:val="single"/>
              </w:rPr>
            </w:pPr>
            <w:r>
              <w:rPr>
                <w:rFonts w:hAnsi="宋体"/>
                <w:kern w:val="2"/>
                <w:szCs w:val="21"/>
                <w:u w:val="single"/>
              </w:rPr>
              <w:t>K0+000</w:t>
            </w:r>
            <w:r>
              <w:rPr>
                <w:rFonts w:hint="eastAsia" w:hAnsi="宋体"/>
                <w:kern w:val="2"/>
                <w:szCs w:val="21"/>
                <w:u w:val="single"/>
              </w:rPr>
              <w:t>东侧</w:t>
            </w:r>
            <w:r>
              <w:rPr>
                <w:rFonts w:hAnsi="宋体"/>
                <w:kern w:val="2"/>
                <w:szCs w:val="21"/>
                <w:u w:val="single"/>
              </w:rPr>
              <w:t>25m</w:t>
            </w:r>
          </w:p>
        </w:tc>
        <w:tc>
          <w:tcPr>
            <w:tcW w:w="848" w:type="dxa"/>
            <w:vAlign w:val="center"/>
          </w:tcPr>
          <w:p>
            <w:pPr>
              <w:adjustRightInd w:val="0"/>
              <w:snapToGrid w:val="0"/>
              <w:jc w:val="center"/>
              <w:rPr>
                <w:snapToGrid w:val="0"/>
                <w:sz w:val="18"/>
                <w:szCs w:val="18"/>
                <w:u w:val="single"/>
              </w:rPr>
            </w:pPr>
            <w:r>
              <w:rPr>
                <w:snapToGrid w:val="0"/>
                <w:sz w:val="18"/>
                <w:szCs w:val="18"/>
                <w:u w:val="single"/>
              </w:rPr>
              <w:t>0.33</w:t>
            </w:r>
          </w:p>
        </w:tc>
        <w:tc>
          <w:tcPr>
            <w:tcW w:w="1738" w:type="dxa"/>
            <w:vAlign w:val="center"/>
          </w:tcPr>
          <w:p>
            <w:pPr>
              <w:adjustRightInd w:val="0"/>
              <w:snapToGrid w:val="0"/>
              <w:jc w:val="center"/>
              <w:rPr>
                <w:snapToGrid w:val="0"/>
                <w:sz w:val="18"/>
                <w:szCs w:val="18"/>
                <w:u w:val="single"/>
              </w:rPr>
            </w:pPr>
            <w:r>
              <w:rPr>
                <w:kern w:val="0"/>
                <w:sz w:val="18"/>
                <w:szCs w:val="18"/>
                <w:u w:val="single"/>
              </w:rPr>
              <w:t>K0+000~K2+700</w:t>
            </w:r>
          </w:p>
        </w:tc>
        <w:tc>
          <w:tcPr>
            <w:tcW w:w="960" w:type="dxa"/>
            <w:vAlign w:val="center"/>
          </w:tcPr>
          <w:p>
            <w:pPr>
              <w:adjustRightInd w:val="0"/>
              <w:snapToGrid w:val="0"/>
              <w:jc w:val="center"/>
              <w:rPr>
                <w:kern w:val="0"/>
                <w:sz w:val="18"/>
                <w:szCs w:val="18"/>
                <w:u w:val="single"/>
              </w:rPr>
            </w:pPr>
            <w:r>
              <w:rPr>
                <w:kern w:val="0"/>
                <w:sz w:val="18"/>
                <w:szCs w:val="18"/>
                <w:u w:val="single"/>
              </w:rPr>
              <w:t>0.98</w:t>
            </w:r>
          </w:p>
        </w:tc>
        <w:tc>
          <w:tcPr>
            <w:tcW w:w="850" w:type="dxa"/>
            <w:tcBorders>
              <w:right w:val="single" w:color="auto" w:sz="4" w:space="0"/>
            </w:tcBorders>
            <w:vAlign w:val="center"/>
          </w:tcPr>
          <w:p>
            <w:pPr>
              <w:adjustRightInd w:val="0"/>
              <w:snapToGrid w:val="0"/>
              <w:jc w:val="center"/>
              <w:rPr>
                <w:kern w:val="0"/>
                <w:sz w:val="18"/>
                <w:szCs w:val="18"/>
                <w:u w:val="single"/>
              </w:rPr>
            </w:pPr>
            <w:r>
              <w:rPr>
                <w:kern w:val="0"/>
                <w:sz w:val="18"/>
                <w:szCs w:val="18"/>
                <w:u w:val="single"/>
              </w:rPr>
              <w:t>3.0</w:t>
            </w:r>
          </w:p>
        </w:tc>
        <w:tc>
          <w:tcPr>
            <w:tcW w:w="992" w:type="dxa"/>
            <w:tcBorders>
              <w:left w:val="single" w:color="auto" w:sz="4" w:space="0"/>
            </w:tcBorders>
            <w:vAlign w:val="center"/>
          </w:tcPr>
          <w:p>
            <w:pPr>
              <w:adjustRightInd w:val="0"/>
              <w:snapToGrid w:val="0"/>
              <w:jc w:val="center"/>
              <w:rPr>
                <w:snapToGrid w:val="0"/>
                <w:sz w:val="18"/>
                <w:szCs w:val="18"/>
                <w:u w:val="single"/>
              </w:rPr>
            </w:pPr>
            <w:r>
              <w:rPr>
                <w:snapToGrid w:val="0"/>
                <w:sz w:val="18"/>
                <w:szCs w:val="18"/>
                <w:u w:val="single"/>
              </w:rPr>
              <w:t>1.27</w:t>
            </w:r>
          </w:p>
        </w:tc>
        <w:tc>
          <w:tcPr>
            <w:tcW w:w="710" w:type="dxa"/>
            <w:vAlign w:val="center"/>
          </w:tcPr>
          <w:p>
            <w:pPr>
              <w:adjustRightInd w:val="0"/>
              <w:snapToGrid w:val="0"/>
              <w:jc w:val="center"/>
              <w:rPr>
                <w:snapToGrid w:val="0"/>
                <w:sz w:val="18"/>
                <w:szCs w:val="18"/>
                <w:u w:val="single"/>
              </w:rPr>
            </w:pPr>
            <w:r>
              <w:rPr>
                <w:rFonts w:hint="eastAsia" w:hAnsi="宋体"/>
                <w:snapToGrid w:val="0"/>
                <w:sz w:val="18"/>
                <w:szCs w:val="18"/>
                <w:u w:val="single"/>
              </w:rPr>
              <w:t>旱地林地</w:t>
            </w:r>
          </w:p>
        </w:tc>
        <w:tc>
          <w:tcPr>
            <w:tcW w:w="985" w:type="dxa"/>
            <w:vAlign w:val="center"/>
          </w:tcPr>
          <w:p>
            <w:pPr>
              <w:adjustRightInd w:val="0"/>
              <w:snapToGrid w:val="0"/>
              <w:jc w:val="center"/>
              <w:rPr>
                <w:snapToGrid w:val="0"/>
                <w:sz w:val="18"/>
                <w:szCs w:val="18"/>
                <w:u w:val="single"/>
              </w:rPr>
            </w:pPr>
            <w:r>
              <w:rPr>
                <w:rFonts w:hint="eastAsia" w:hAnsi="宋体"/>
                <w:snapToGrid w:val="0"/>
                <w:sz w:val="18"/>
                <w:szCs w:val="18"/>
                <w:u w:val="single"/>
              </w:rPr>
              <w:t>复耕、绿化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534" w:type="dxa"/>
            <w:vAlign w:val="center"/>
          </w:tcPr>
          <w:p>
            <w:pPr>
              <w:adjustRightInd w:val="0"/>
              <w:snapToGrid w:val="0"/>
              <w:jc w:val="center"/>
              <w:rPr>
                <w:snapToGrid w:val="0"/>
                <w:sz w:val="18"/>
                <w:szCs w:val="18"/>
                <w:u w:val="single"/>
              </w:rPr>
            </w:pPr>
            <w:r>
              <w:rPr>
                <w:snapToGrid w:val="0"/>
                <w:sz w:val="18"/>
                <w:szCs w:val="18"/>
                <w:u w:val="single"/>
              </w:rPr>
              <w:t>Z2</w:t>
            </w:r>
          </w:p>
        </w:tc>
        <w:tc>
          <w:tcPr>
            <w:tcW w:w="1706" w:type="dxa"/>
            <w:vAlign w:val="center"/>
          </w:tcPr>
          <w:p>
            <w:pPr>
              <w:adjustRightInd w:val="0"/>
              <w:snapToGrid w:val="0"/>
              <w:jc w:val="center"/>
              <w:rPr>
                <w:snapToGrid w:val="0"/>
                <w:sz w:val="18"/>
                <w:szCs w:val="18"/>
                <w:u w:val="single"/>
              </w:rPr>
            </w:pPr>
            <w:r>
              <w:rPr>
                <w:rFonts w:hAnsi="宋体"/>
                <w:szCs w:val="21"/>
                <w:u w:val="single"/>
              </w:rPr>
              <w:t>K4+200</w:t>
            </w:r>
            <w:r>
              <w:rPr>
                <w:rFonts w:hint="eastAsia" w:hAnsi="宋体"/>
                <w:sz w:val="21"/>
                <w:szCs w:val="21"/>
                <w:u w:val="single"/>
              </w:rPr>
              <w:t>东侧</w:t>
            </w:r>
            <w:r>
              <w:rPr>
                <w:rFonts w:hAnsi="宋体"/>
                <w:szCs w:val="21"/>
                <w:u w:val="single"/>
              </w:rPr>
              <w:t>20m</w:t>
            </w:r>
          </w:p>
        </w:tc>
        <w:tc>
          <w:tcPr>
            <w:tcW w:w="848" w:type="dxa"/>
            <w:vAlign w:val="center"/>
          </w:tcPr>
          <w:p>
            <w:pPr>
              <w:adjustRightInd w:val="0"/>
              <w:snapToGrid w:val="0"/>
              <w:jc w:val="center"/>
              <w:rPr>
                <w:snapToGrid w:val="0"/>
                <w:sz w:val="18"/>
                <w:szCs w:val="18"/>
                <w:u w:val="single"/>
              </w:rPr>
            </w:pPr>
            <w:r>
              <w:rPr>
                <w:snapToGrid w:val="0"/>
                <w:sz w:val="18"/>
                <w:szCs w:val="18"/>
                <w:u w:val="single"/>
              </w:rPr>
              <w:t>0.37</w:t>
            </w:r>
          </w:p>
        </w:tc>
        <w:tc>
          <w:tcPr>
            <w:tcW w:w="1738" w:type="dxa"/>
            <w:vAlign w:val="center"/>
          </w:tcPr>
          <w:p>
            <w:pPr>
              <w:adjustRightInd w:val="0"/>
              <w:snapToGrid w:val="0"/>
              <w:jc w:val="center"/>
              <w:rPr>
                <w:snapToGrid w:val="0"/>
                <w:sz w:val="18"/>
                <w:szCs w:val="18"/>
                <w:u w:val="single"/>
              </w:rPr>
            </w:pPr>
            <w:r>
              <w:rPr>
                <w:kern w:val="0"/>
                <w:sz w:val="18"/>
                <w:szCs w:val="18"/>
                <w:u w:val="single"/>
              </w:rPr>
              <w:t>K2+700~K6+100</w:t>
            </w:r>
          </w:p>
        </w:tc>
        <w:tc>
          <w:tcPr>
            <w:tcW w:w="960" w:type="dxa"/>
            <w:vAlign w:val="center"/>
          </w:tcPr>
          <w:p>
            <w:pPr>
              <w:adjustRightInd w:val="0"/>
              <w:snapToGrid w:val="0"/>
              <w:jc w:val="center"/>
              <w:rPr>
                <w:snapToGrid w:val="0"/>
                <w:sz w:val="18"/>
                <w:szCs w:val="18"/>
                <w:u w:val="single"/>
              </w:rPr>
            </w:pPr>
            <w:r>
              <w:rPr>
                <w:snapToGrid w:val="0"/>
                <w:sz w:val="18"/>
                <w:szCs w:val="18"/>
                <w:u w:val="single"/>
              </w:rPr>
              <w:t>1.12</w:t>
            </w:r>
          </w:p>
        </w:tc>
        <w:tc>
          <w:tcPr>
            <w:tcW w:w="850" w:type="dxa"/>
            <w:tcBorders>
              <w:right w:val="single" w:color="auto" w:sz="4" w:space="0"/>
            </w:tcBorders>
            <w:vAlign w:val="center"/>
          </w:tcPr>
          <w:p>
            <w:pPr>
              <w:adjustRightInd w:val="0"/>
              <w:snapToGrid w:val="0"/>
              <w:jc w:val="center"/>
              <w:rPr>
                <w:snapToGrid w:val="0"/>
                <w:sz w:val="18"/>
                <w:szCs w:val="18"/>
                <w:u w:val="single"/>
              </w:rPr>
            </w:pPr>
            <w:r>
              <w:rPr>
                <w:snapToGrid w:val="0"/>
                <w:sz w:val="18"/>
                <w:szCs w:val="18"/>
                <w:u w:val="single"/>
              </w:rPr>
              <w:t>3.0</w:t>
            </w:r>
          </w:p>
        </w:tc>
        <w:tc>
          <w:tcPr>
            <w:tcW w:w="992" w:type="dxa"/>
            <w:tcBorders>
              <w:left w:val="single" w:color="auto" w:sz="4" w:space="0"/>
            </w:tcBorders>
            <w:vAlign w:val="center"/>
          </w:tcPr>
          <w:p>
            <w:pPr>
              <w:adjustRightInd w:val="0"/>
              <w:snapToGrid w:val="0"/>
              <w:jc w:val="center"/>
              <w:rPr>
                <w:snapToGrid w:val="0"/>
                <w:sz w:val="18"/>
                <w:szCs w:val="18"/>
                <w:u w:val="single"/>
              </w:rPr>
            </w:pPr>
            <w:r>
              <w:rPr>
                <w:snapToGrid w:val="0"/>
                <w:sz w:val="18"/>
                <w:szCs w:val="18"/>
                <w:u w:val="single"/>
              </w:rPr>
              <w:t>1.45</w:t>
            </w:r>
          </w:p>
        </w:tc>
        <w:tc>
          <w:tcPr>
            <w:tcW w:w="710" w:type="dxa"/>
            <w:vAlign w:val="center"/>
          </w:tcPr>
          <w:p>
            <w:pPr>
              <w:adjustRightInd w:val="0"/>
              <w:snapToGrid w:val="0"/>
              <w:jc w:val="center"/>
              <w:rPr>
                <w:snapToGrid w:val="0"/>
                <w:sz w:val="18"/>
                <w:szCs w:val="18"/>
                <w:u w:val="single"/>
              </w:rPr>
            </w:pPr>
            <w:r>
              <w:rPr>
                <w:rFonts w:hint="eastAsia" w:hAnsi="宋体"/>
                <w:snapToGrid w:val="0"/>
                <w:sz w:val="18"/>
                <w:szCs w:val="18"/>
                <w:u w:val="single"/>
              </w:rPr>
              <w:t>旱地林地</w:t>
            </w:r>
          </w:p>
        </w:tc>
        <w:tc>
          <w:tcPr>
            <w:tcW w:w="985" w:type="dxa"/>
            <w:vAlign w:val="center"/>
          </w:tcPr>
          <w:p>
            <w:pPr>
              <w:adjustRightInd w:val="0"/>
              <w:snapToGrid w:val="0"/>
              <w:jc w:val="center"/>
              <w:rPr>
                <w:snapToGrid w:val="0"/>
                <w:sz w:val="18"/>
                <w:szCs w:val="18"/>
                <w:u w:val="single"/>
              </w:rPr>
            </w:pPr>
            <w:r>
              <w:rPr>
                <w:rFonts w:hint="eastAsia" w:hAnsi="宋体"/>
                <w:snapToGrid w:val="0"/>
                <w:sz w:val="18"/>
                <w:szCs w:val="18"/>
                <w:u w:val="single"/>
              </w:rPr>
              <w:t>复耕、绿化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534" w:type="dxa"/>
            <w:vAlign w:val="center"/>
          </w:tcPr>
          <w:p>
            <w:pPr>
              <w:adjustRightInd w:val="0"/>
              <w:snapToGrid w:val="0"/>
              <w:jc w:val="center"/>
              <w:rPr>
                <w:snapToGrid w:val="0"/>
                <w:sz w:val="18"/>
                <w:szCs w:val="18"/>
                <w:u w:val="single"/>
              </w:rPr>
            </w:pPr>
            <w:r>
              <w:rPr>
                <w:snapToGrid w:val="0"/>
                <w:sz w:val="18"/>
                <w:szCs w:val="18"/>
                <w:u w:val="single"/>
              </w:rPr>
              <w:t>Z3</w:t>
            </w:r>
          </w:p>
        </w:tc>
        <w:tc>
          <w:tcPr>
            <w:tcW w:w="1706" w:type="dxa"/>
            <w:vAlign w:val="center"/>
          </w:tcPr>
          <w:p>
            <w:pPr>
              <w:adjustRightInd w:val="0"/>
              <w:snapToGrid w:val="0"/>
              <w:jc w:val="center"/>
              <w:rPr>
                <w:snapToGrid w:val="0"/>
                <w:sz w:val="18"/>
                <w:szCs w:val="18"/>
                <w:u w:val="single"/>
              </w:rPr>
            </w:pPr>
            <w:r>
              <w:rPr>
                <w:rFonts w:hAnsi="宋体"/>
                <w:szCs w:val="21"/>
                <w:u w:val="single"/>
              </w:rPr>
              <w:t>K7+700</w:t>
            </w:r>
            <w:r>
              <w:rPr>
                <w:rFonts w:hint="eastAsia" w:hAnsi="宋体"/>
                <w:sz w:val="21"/>
                <w:szCs w:val="21"/>
                <w:u w:val="single"/>
              </w:rPr>
              <w:t>西侧</w:t>
            </w:r>
            <w:r>
              <w:rPr>
                <w:rFonts w:hAnsi="宋体"/>
                <w:sz w:val="21"/>
                <w:szCs w:val="21"/>
                <w:u w:val="single"/>
              </w:rPr>
              <w:t>200</w:t>
            </w:r>
            <w:r>
              <w:rPr>
                <w:rFonts w:hAnsi="宋体"/>
                <w:szCs w:val="21"/>
                <w:u w:val="single"/>
              </w:rPr>
              <w:t>m</w:t>
            </w:r>
          </w:p>
        </w:tc>
        <w:tc>
          <w:tcPr>
            <w:tcW w:w="848" w:type="dxa"/>
            <w:vAlign w:val="center"/>
          </w:tcPr>
          <w:p>
            <w:pPr>
              <w:adjustRightInd w:val="0"/>
              <w:snapToGrid w:val="0"/>
              <w:jc w:val="center"/>
              <w:rPr>
                <w:snapToGrid w:val="0"/>
                <w:sz w:val="18"/>
                <w:szCs w:val="18"/>
                <w:u w:val="single"/>
              </w:rPr>
            </w:pPr>
            <w:r>
              <w:rPr>
                <w:snapToGrid w:val="0"/>
                <w:sz w:val="18"/>
                <w:szCs w:val="18"/>
                <w:u w:val="single"/>
              </w:rPr>
              <w:t>0.29</w:t>
            </w:r>
          </w:p>
        </w:tc>
        <w:tc>
          <w:tcPr>
            <w:tcW w:w="1738" w:type="dxa"/>
            <w:vAlign w:val="center"/>
          </w:tcPr>
          <w:p>
            <w:pPr>
              <w:adjustRightInd w:val="0"/>
              <w:snapToGrid w:val="0"/>
              <w:jc w:val="center"/>
              <w:rPr>
                <w:kern w:val="0"/>
                <w:sz w:val="18"/>
                <w:szCs w:val="18"/>
                <w:u w:val="single"/>
              </w:rPr>
            </w:pPr>
            <w:r>
              <w:rPr>
                <w:kern w:val="0"/>
                <w:sz w:val="18"/>
                <w:szCs w:val="18"/>
                <w:u w:val="single"/>
              </w:rPr>
              <w:t>K6+100~K8+369</w:t>
            </w:r>
          </w:p>
        </w:tc>
        <w:tc>
          <w:tcPr>
            <w:tcW w:w="960" w:type="dxa"/>
            <w:vAlign w:val="center"/>
          </w:tcPr>
          <w:p>
            <w:pPr>
              <w:adjustRightInd w:val="0"/>
              <w:snapToGrid w:val="0"/>
              <w:jc w:val="center"/>
              <w:rPr>
                <w:snapToGrid w:val="0"/>
                <w:sz w:val="18"/>
                <w:szCs w:val="18"/>
                <w:u w:val="single"/>
              </w:rPr>
            </w:pPr>
            <w:r>
              <w:rPr>
                <w:snapToGrid w:val="0"/>
                <w:sz w:val="18"/>
                <w:szCs w:val="18"/>
                <w:u w:val="single"/>
              </w:rPr>
              <w:t>0.86</w:t>
            </w:r>
          </w:p>
        </w:tc>
        <w:tc>
          <w:tcPr>
            <w:tcW w:w="850" w:type="dxa"/>
            <w:tcBorders>
              <w:right w:val="single" w:color="auto" w:sz="4" w:space="0"/>
            </w:tcBorders>
            <w:vAlign w:val="center"/>
          </w:tcPr>
          <w:p>
            <w:pPr>
              <w:adjustRightInd w:val="0"/>
              <w:snapToGrid w:val="0"/>
              <w:jc w:val="center"/>
              <w:rPr>
                <w:snapToGrid w:val="0"/>
                <w:sz w:val="18"/>
                <w:szCs w:val="18"/>
                <w:u w:val="single"/>
              </w:rPr>
            </w:pPr>
            <w:r>
              <w:rPr>
                <w:snapToGrid w:val="0"/>
                <w:sz w:val="18"/>
                <w:szCs w:val="18"/>
                <w:u w:val="single"/>
              </w:rPr>
              <w:t>3.0</w:t>
            </w:r>
          </w:p>
        </w:tc>
        <w:tc>
          <w:tcPr>
            <w:tcW w:w="992" w:type="dxa"/>
            <w:tcBorders>
              <w:left w:val="single" w:color="auto" w:sz="4" w:space="0"/>
            </w:tcBorders>
            <w:vAlign w:val="center"/>
          </w:tcPr>
          <w:p>
            <w:pPr>
              <w:adjustRightInd w:val="0"/>
              <w:snapToGrid w:val="0"/>
              <w:jc w:val="center"/>
              <w:rPr>
                <w:snapToGrid w:val="0"/>
                <w:sz w:val="18"/>
                <w:szCs w:val="18"/>
                <w:u w:val="single"/>
              </w:rPr>
            </w:pPr>
            <w:r>
              <w:rPr>
                <w:snapToGrid w:val="0"/>
                <w:sz w:val="18"/>
                <w:szCs w:val="18"/>
                <w:u w:val="single"/>
              </w:rPr>
              <w:t>1.12</w:t>
            </w:r>
          </w:p>
        </w:tc>
        <w:tc>
          <w:tcPr>
            <w:tcW w:w="710" w:type="dxa"/>
            <w:vAlign w:val="center"/>
          </w:tcPr>
          <w:p>
            <w:pPr>
              <w:adjustRightInd w:val="0"/>
              <w:snapToGrid w:val="0"/>
              <w:jc w:val="center"/>
              <w:rPr>
                <w:rFonts w:hAnsi="宋体"/>
                <w:snapToGrid w:val="0"/>
                <w:sz w:val="18"/>
                <w:szCs w:val="18"/>
                <w:u w:val="single"/>
              </w:rPr>
            </w:pPr>
            <w:r>
              <w:rPr>
                <w:rFonts w:hint="eastAsia" w:hAnsi="宋体"/>
                <w:snapToGrid w:val="0"/>
                <w:sz w:val="18"/>
                <w:szCs w:val="18"/>
                <w:u w:val="single"/>
              </w:rPr>
              <w:t>旱地林地</w:t>
            </w:r>
          </w:p>
        </w:tc>
        <w:tc>
          <w:tcPr>
            <w:tcW w:w="985" w:type="dxa"/>
            <w:vAlign w:val="center"/>
          </w:tcPr>
          <w:p>
            <w:pPr>
              <w:adjustRightInd w:val="0"/>
              <w:snapToGrid w:val="0"/>
              <w:jc w:val="center"/>
              <w:rPr>
                <w:rFonts w:hAnsi="宋体"/>
                <w:snapToGrid w:val="0"/>
                <w:sz w:val="18"/>
                <w:szCs w:val="18"/>
                <w:u w:val="single"/>
              </w:rPr>
            </w:pPr>
            <w:r>
              <w:rPr>
                <w:rFonts w:hint="eastAsia" w:hAnsi="宋体"/>
                <w:snapToGrid w:val="0"/>
                <w:sz w:val="18"/>
                <w:szCs w:val="18"/>
                <w:u w:val="single"/>
              </w:rPr>
              <w:t>复耕、绿化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2240" w:type="dxa"/>
            <w:gridSpan w:val="2"/>
            <w:vAlign w:val="center"/>
          </w:tcPr>
          <w:p>
            <w:pPr>
              <w:adjustRightInd w:val="0"/>
              <w:snapToGrid w:val="0"/>
              <w:jc w:val="center"/>
              <w:rPr>
                <w:snapToGrid w:val="0"/>
                <w:sz w:val="18"/>
                <w:szCs w:val="18"/>
                <w:u w:val="single"/>
              </w:rPr>
            </w:pPr>
            <w:r>
              <w:rPr>
                <w:rFonts w:hint="eastAsia" w:hAnsi="宋体"/>
                <w:snapToGrid w:val="0"/>
                <w:sz w:val="18"/>
                <w:szCs w:val="18"/>
                <w:u w:val="single"/>
              </w:rPr>
              <w:t>合计</w:t>
            </w:r>
          </w:p>
        </w:tc>
        <w:tc>
          <w:tcPr>
            <w:tcW w:w="848" w:type="dxa"/>
            <w:vAlign w:val="center"/>
          </w:tcPr>
          <w:p>
            <w:pPr>
              <w:adjustRightInd w:val="0"/>
              <w:snapToGrid w:val="0"/>
              <w:jc w:val="center"/>
              <w:rPr>
                <w:snapToGrid w:val="0"/>
                <w:sz w:val="18"/>
                <w:szCs w:val="18"/>
                <w:u w:val="single"/>
              </w:rPr>
            </w:pPr>
            <w:r>
              <w:rPr>
                <w:snapToGrid w:val="0"/>
                <w:sz w:val="18"/>
                <w:szCs w:val="18"/>
                <w:u w:val="single"/>
              </w:rPr>
              <w:t>0.99</w:t>
            </w:r>
          </w:p>
        </w:tc>
        <w:tc>
          <w:tcPr>
            <w:tcW w:w="1738" w:type="dxa"/>
            <w:vAlign w:val="center"/>
          </w:tcPr>
          <w:p>
            <w:pPr>
              <w:adjustRightInd w:val="0"/>
              <w:snapToGrid w:val="0"/>
              <w:jc w:val="center"/>
              <w:rPr>
                <w:snapToGrid w:val="0"/>
                <w:sz w:val="18"/>
                <w:szCs w:val="18"/>
                <w:u w:val="single"/>
              </w:rPr>
            </w:pPr>
          </w:p>
        </w:tc>
        <w:tc>
          <w:tcPr>
            <w:tcW w:w="960" w:type="dxa"/>
            <w:vAlign w:val="center"/>
          </w:tcPr>
          <w:p>
            <w:pPr>
              <w:adjustRightInd w:val="0"/>
              <w:snapToGrid w:val="0"/>
              <w:jc w:val="center"/>
              <w:rPr>
                <w:snapToGrid w:val="0"/>
                <w:sz w:val="18"/>
                <w:szCs w:val="18"/>
                <w:u w:val="single"/>
              </w:rPr>
            </w:pPr>
            <w:r>
              <w:rPr>
                <w:snapToGrid w:val="0"/>
                <w:sz w:val="18"/>
                <w:szCs w:val="18"/>
                <w:u w:val="single"/>
              </w:rPr>
              <w:t>2.96</w:t>
            </w:r>
          </w:p>
        </w:tc>
        <w:tc>
          <w:tcPr>
            <w:tcW w:w="850" w:type="dxa"/>
            <w:tcBorders>
              <w:right w:val="single" w:color="auto" w:sz="4" w:space="0"/>
            </w:tcBorders>
            <w:vAlign w:val="center"/>
          </w:tcPr>
          <w:p>
            <w:pPr>
              <w:adjustRightInd w:val="0"/>
              <w:snapToGrid w:val="0"/>
              <w:jc w:val="center"/>
              <w:rPr>
                <w:snapToGrid w:val="0"/>
                <w:sz w:val="18"/>
                <w:szCs w:val="18"/>
                <w:u w:val="single"/>
              </w:rPr>
            </w:pPr>
          </w:p>
        </w:tc>
        <w:tc>
          <w:tcPr>
            <w:tcW w:w="992" w:type="dxa"/>
            <w:tcBorders>
              <w:left w:val="single" w:color="auto" w:sz="4" w:space="0"/>
            </w:tcBorders>
            <w:vAlign w:val="center"/>
          </w:tcPr>
          <w:p>
            <w:pPr>
              <w:jc w:val="center"/>
              <w:rPr>
                <w:snapToGrid w:val="0"/>
                <w:sz w:val="18"/>
                <w:szCs w:val="18"/>
                <w:u w:val="single"/>
              </w:rPr>
            </w:pPr>
            <w:r>
              <w:rPr>
                <w:snapToGrid w:val="0"/>
                <w:sz w:val="18"/>
                <w:szCs w:val="18"/>
                <w:u w:val="single"/>
              </w:rPr>
              <w:t>3.85</w:t>
            </w:r>
          </w:p>
        </w:tc>
        <w:tc>
          <w:tcPr>
            <w:tcW w:w="710" w:type="dxa"/>
            <w:vAlign w:val="center"/>
          </w:tcPr>
          <w:p>
            <w:pPr>
              <w:adjustRightInd w:val="0"/>
              <w:snapToGrid w:val="0"/>
              <w:jc w:val="center"/>
              <w:rPr>
                <w:snapToGrid w:val="0"/>
                <w:sz w:val="18"/>
                <w:szCs w:val="18"/>
                <w:u w:val="single"/>
              </w:rPr>
            </w:pPr>
          </w:p>
        </w:tc>
        <w:tc>
          <w:tcPr>
            <w:tcW w:w="985" w:type="dxa"/>
            <w:vAlign w:val="center"/>
          </w:tcPr>
          <w:p>
            <w:pPr>
              <w:adjustRightInd w:val="0"/>
              <w:snapToGrid w:val="0"/>
              <w:jc w:val="center"/>
              <w:rPr>
                <w:snapToGrid w:val="0"/>
                <w:sz w:val="18"/>
                <w:szCs w:val="18"/>
                <w:u w:val="single"/>
              </w:rPr>
            </w:pPr>
          </w:p>
        </w:tc>
      </w:tr>
    </w:tbl>
    <w:p>
      <w:pPr>
        <w:pStyle w:val="5"/>
        <w:widowControl/>
        <w:ind w:left="567" w:hanging="567"/>
        <w:rPr>
          <w:u w:val="single"/>
        </w:rPr>
      </w:pPr>
      <w:r>
        <w:rPr>
          <w:rFonts w:hint="eastAsia"/>
          <w:u w:val="single"/>
        </w:rPr>
        <w:t>拌和站布置</w:t>
      </w:r>
    </w:p>
    <w:p>
      <w:pPr>
        <w:pStyle w:val="168"/>
        <w:ind w:firstLine="31680"/>
        <w:rPr>
          <w:u w:val="single"/>
        </w:rPr>
      </w:pPr>
      <w:r>
        <w:rPr>
          <w:rFonts w:hint="eastAsia"/>
          <w:u w:val="single"/>
        </w:rPr>
        <w:t>拟建工程不设置沥青、水泥混凝土拌和站，可就近从汨罗市弼时镇采购成品料，由专业运输车辆运送。</w:t>
      </w:r>
    </w:p>
    <w:p>
      <w:pPr>
        <w:pStyle w:val="5"/>
        <w:spacing w:line="336" w:lineRule="auto"/>
        <w:ind w:left="567" w:hanging="567"/>
        <w:rPr>
          <w:u w:val="single"/>
        </w:rPr>
      </w:pPr>
      <w:r>
        <w:rPr>
          <w:rFonts w:hint="eastAsia"/>
          <w:u w:val="single"/>
        </w:rPr>
        <w:t>筑路材料及运输条件</w:t>
      </w:r>
    </w:p>
    <w:p>
      <w:pPr>
        <w:spacing w:line="360" w:lineRule="auto"/>
        <w:ind w:firstLine="31680" w:firstLineChars="200"/>
        <w:rPr>
          <w:rFonts w:ascii="Arial" w:hAnsi="Arial" w:cs="Arial"/>
          <w:sz w:val="24"/>
          <w:u w:val="single"/>
          <w:lang w:val="sq-AL"/>
        </w:rPr>
      </w:pPr>
      <w:r>
        <w:rPr>
          <w:rFonts w:hint="eastAsia" w:ascii="Arial" w:hAnsi="Arial" w:cs="Arial"/>
          <w:sz w:val="24"/>
          <w:u w:val="single"/>
          <w:lang w:val="sq-AL"/>
        </w:rPr>
        <w:t>粘土：本项目路线走廊带内山体较多，山体一般均有较厚的覆盖层，土料丰富；区内土质多为花岗岩风化土，具膨胀性，需改良方可作路床、路堤填料。区内路网发达，交通便利，土料场上线距离一般较近，适合开采运输。</w:t>
      </w:r>
    </w:p>
    <w:p>
      <w:pPr>
        <w:spacing w:line="360" w:lineRule="auto"/>
        <w:ind w:firstLine="31680" w:firstLineChars="200"/>
        <w:rPr>
          <w:rFonts w:ascii="Arial" w:hAnsi="Arial" w:cs="Arial"/>
          <w:sz w:val="24"/>
          <w:u w:val="single"/>
          <w:lang w:val="sq-AL"/>
        </w:rPr>
      </w:pPr>
      <w:r>
        <w:rPr>
          <w:rFonts w:hint="eastAsia" w:ascii="Arial" w:hAnsi="Arial" w:cs="Arial"/>
          <w:sz w:val="24"/>
          <w:u w:val="single"/>
          <w:lang w:val="sq-AL"/>
        </w:rPr>
        <w:t>石料：受地形、地质构造影响，区内基岩埋深一般较大，出露甚少，能满足公路建设所需的石料分布范围极小，石料相对匮乏。据本次野外地质调查并结合区内其它项目的勘察成果，汨罗市高家坊、川山坪均出产石料，且储量丰富，交通便利，适合开采运输，可满足本项目建设要求。</w:t>
      </w:r>
    </w:p>
    <w:p>
      <w:pPr>
        <w:spacing w:line="360" w:lineRule="auto"/>
        <w:ind w:firstLine="31680" w:firstLineChars="200"/>
        <w:rPr>
          <w:rFonts w:ascii="Arial" w:hAnsi="Arial" w:cs="Arial"/>
          <w:sz w:val="24"/>
          <w:u w:val="single"/>
          <w:lang w:val="sq-AL"/>
        </w:rPr>
      </w:pPr>
      <w:r>
        <w:rPr>
          <w:rFonts w:hint="eastAsia" w:ascii="Arial" w:hAnsi="Arial" w:cs="Arial"/>
          <w:sz w:val="24"/>
          <w:u w:val="single"/>
          <w:lang w:val="sq-AL"/>
        </w:rPr>
        <w:t>砂料：主要分布在汨罗江流域，现有大规模开采，砂料主要为中粗砂，含泥量较少，砂料质较好，储量丰富，可满足项目建设需要。</w:t>
      </w:r>
    </w:p>
    <w:p>
      <w:pPr>
        <w:spacing w:line="360" w:lineRule="auto"/>
        <w:ind w:firstLine="31680" w:firstLineChars="200"/>
        <w:rPr>
          <w:rFonts w:ascii="Arial" w:hAnsi="Arial" w:cs="Arial"/>
          <w:sz w:val="24"/>
          <w:u w:val="single"/>
          <w:lang w:val="sq-AL"/>
        </w:rPr>
      </w:pPr>
      <w:r>
        <w:rPr>
          <w:rFonts w:hint="eastAsia" w:ascii="Arial" w:hAnsi="Arial" w:cs="Arial"/>
          <w:sz w:val="24"/>
          <w:u w:val="single"/>
          <w:lang w:val="sq-AL"/>
        </w:rPr>
        <w:t>水泥：工程用水泥可从长沙县、平江县水泥厂等大型水泥厂采购。</w:t>
      </w:r>
    </w:p>
    <w:p>
      <w:pPr>
        <w:pStyle w:val="3"/>
        <w:spacing w:line="336" w:lineRule="auto"/>
        <w:ind w:firstLine="31680"/>
        <w:rPr>
          <w:u w:val="single"/>
        </w:rPr>
      </w:pPr>
      <w:r>
        <w:rPr>
          <w:rFonts w:hint="eastAsia"/>
          <w:u w:val="single"/>
        </w:rPr>
        <w:t>项目区域的运输条件较为方便，工程施工机具及施工物资可通过</w:t>
      </w:r>
      <w:r>
        <w:rPr>
          <w:u w:val="single"/>
        </w:rPr>
        <w:t>G107</w:t>
      </w:r>
      <w:r>
        <w:rPr>
          <w:rFonts w:hint="eastAsia"/>
          <w:u w:val="single"/>
        </w:rPr>
        <w:t>等公路进行运输。</w:t>
      </w:r>
    </w:p>
    <w:p>
      <w:pPr>
        <w:pStyle w:val="5"/>
        <w:spacing w:line="336" w:lineRule="auto"/>
        <w:ind w:left="567" w:hanging="567"/>
        <w:rPr>
          <w:u w:val="single"/>
        </w:rPr>
      </w:pPr>
      <w:r>
        <w:rPr>
          <w:rFonts w:hint="eastAsia"/>
          <w:u w:val="single"/>
        </w:rPr>
        <w:t>工程进度</w:t>
      </w:r>
    </w:p>
    <w:p>
      <w:pPr>
        <w:spacing w:line="360" w:lineRule="auto"/>
        <w:ind w:firstLine="31680" w:firstLineChars="200"/>
        <w:jc w:val="left"/>
        <w:rPr>
          <w:sz w:val="24"/>
          <w:u w:val="single"/>
        </w:rPr>
      </w:pPr>
      <w:r>
        <w:rPr>
          <w:rFonts w:hint="eastAsia"/>
          <w:sz w:val="24"/>
          <w:u w:val="single"/>
        </w:rPr>
        <w:t>本项目拟于</w:t>
      </w:r>
      <w:r>
        <w:rPr>
          <w:color w:val="auto"/>
          <w:sz w:val="24"/>
          <w:u w:val="single"/>
        </w:rPr>
        <w:t>2017</w:t>
      </w:r>
      <w:r>
        <w:rPr>
          <w:rFonts w:hint="eastAsia"/>
          <w:color w:val="auto"/>
          <w:sz w:val="24"/>
          <w:u w:val="single"/>
        </w:rPr>
        <w:t>年</w:t>
      </w:r>
      <w:r>
        <w:rPr>
          <w:rFonts w:hint="eastAsia"/>
          <w:color w:val="auto"/>
          <w:sz w:val="24"/>
          <w:u w:val="single"/>
          <w:lang w:val="en-US" w:eastAsia="zh-CN"/>
        </w:rPr>
        <w:t>5</w:t>
      </w:r>
      <w:r>
        <w:rPr>
          <w:rFonts w:hint="eastAsia"/>
          <w:color w:val="auto"/>
          <w:sz w:val="24"/>
          <w:u w:val="single"/>
        </w:rPr>
        <w:t>月</w:t>
      </w:r>
      <w:r>
        <w:rPr>
          <w:rFonts w:hint="eastAsia" w:ascii="宋体" w:hAnsi="宋体" w:cs="Arial"/>
          <w:color w:val="auto"/>
          <w:sz w:val="24"/>
          <w:u w:val="single"/>
          <w:lang w:val="sq-AL"/>
        </w:rPr>
        <w:t>开工，</w:t>
      </w:r>
      <w:r>
        <w:rPr>
          <w:rFonts w:ascii="宋体" w:hAnsi="宋体" w:cs="Arial"/>
          <w:color w:val="auto"/>
          <w:sz w:val="24"/>
          <w:u w:val="single"/>
          <w:lang w:val="sq-AL"/>
        </w:rPr>
        <w:t>20</w:t>
      </w:r>
      <w:r>
        <w:rPr>
          <w:rFonts w:ascii="宋体" w:hAnsi="宋体" w:cs="Arial"/>
          <w:color w:val="auto"/>
          <w:sz w:val="24"/>
          <w:u w:val="single"/>
        </w:rPr>
        <w:t>18</w:t>
      </w:r>
      <w:r>
        <w:rPr>
          <w:rFonts w:hint="eastAsia" w:ascii="宋体" w:hAnsi="宋体" w:cs="Arial"/>
          <w:color w:val="auto"/>
          <w:sz w:val="24"/>
          <w:u w:val="single"/>
          <w:lang w:val="sq-AL"/>
        </w:rPr>
        <w:t>年</w:t>
      </w:r>
      <w:r>
        <w:rPr>
          <w:rFonts w:hint="eastAsia" w:ascii="宋体" w:hAnsi="宋体" w:cs="Arial"/>
          <w:color w:val="auto"/>
          <w:sz w:val="24"/>
          <w:u w:val="single"/>
          <w:lang w:val="en-US" w:eastAsia="zh-CN"/>
        </w:rPr>
        <w:t>10</w:t>
      </w:r>
      <w:r>
        <w:rPr>
          <w:rFonts w:hint="eastAsia" w:ascii="宋体" w:hAnsi="宋体" w:cs="Arial"/>
          <w:color w:val="auto"/>
          <w:sz w:val="24"/>
          <w:u w:val="single"/>
          <w:lang w:val="sq-AL"/>
        </w:rPr>
        <w:t>月</w:t>
      </w:r>
      <w:r>
        <w:rPr>
          <w:rFonts w:hint="eastAsia"/>
          <w:sz w:val="24"/>
          <w:u w:val="single"/>
        </w:rPr>
        <w:t>竣工，建设期</w:t>
      </w:r>
      <w:r>
        <w:rPr>
          <w:sz w:val="24"/>
          <w:u w:val="single"/>
        </w:rPr>
        <w:t>18</w:t>
      </w:r>
      <w:r>
        <w:rPr>
          <w:rFonts w:hint="eastAsia"/>
          <w:sz w:val="24"/>
          <w:u w:val="single"/>
        </w:rPr>
        <w:t>个月。</w:t>
      </w:r>
    </w:p>
    <w:p>
      <w:pPr>
        <w:pStyle w:val="3"/>
        <w:ind w:firstLine="31680"/>
        <w:rPr>
          <w:color w:val="FF0000"/>
        </w:rPr>
      </w:pPr>
    </w:p>
    <w:p>
      <w:pPr>
        <w:pStyle w:val="3"/>
        <w:ind w:firstLine="31680"/>
        <w:rPr>
          <w:color w:val="FF0000"/>
        </w:rPr>
        <w:sectPr>
          <w:headerReference r:id="rId8" w:type="default"/>
          <w:footerReference r:id="rId9" w:type="default"/>
          <w:pgSz w:w="11907" w:h="16840"/>
          <w:pgMar w:top="1474" w:right="1361" w:bottom="1474" w:left="1588" w:header="1020" w:footer="851" w:gutter="0"/>
          <w:pgBorders>
            <w:top w:val="none" w:sz="0" w:space="0"/>
            <w:left w:val="none" w:sz="0" w:space="0"/>
            <w:bottom w:val="none" w:sz="0" w:space="0"/>
            <w:right w:val="none" w:sz="0" w:space="0"/>
          </w:pgBorders>
          <w:cols w:space="425" w:num="1"/>
          <w:docGrid w:linePitch="286" w:charSpace="0"/>
        </w:sectPr>
      </w:pPr>
    </w:p>
    <w:p>
      <w:pPr>
        <w:pStyle w:val="2"/>
      </w:pPr>
      <w:bookmarkStart w:id="135" w:name="_Toc22426"/>
      <w:r>
        <w:rPr>
          <w:rFonts w:hint="eastAsia"/>
        </w:rPr>
        <w:t>工程分析</w:t>
      </w:r>
      <w:bookmarkEnd w:id="135"/>
    </w:p>
    <w:p>
      <w:pPr>
        <w:pStyle w:val="4"/>
        <w:ind w:left="578" w:hanging="578"/>
      </w:pPr>
      <w:bookmarkStart w:id="136" w:name="_Toc2140"/>
      <w:r>
        <w:rPr>
          <w:rFonts w:hint="eastAsia"/>
        </w:rPr>
        <w:t>项目建设的必要性</w:t>
      </w:r>
      <w:bookmarkEnd w:id="136"/>
    </w:p>
    <w:p>
      <w:pPr>
        <w:widowControl/>
        <w:spacing w:line="360" w:lineRule="auto"/>
        <w:ind w:firstLine="31680" w:firstLineChars="200"/>
        <w:rPr>
          <w:rFonts w:ascii="宋体" w:cs="宋体"/>
          <w:kern w:val="0"/>
          <w:sz w:val="24"/>
        </w:rPr>
      </w:pPr>
      <w:r>
        <w:rPr>
          <w:rFonts w:ascii="宋体" w:hAnsi="宋体" w:cs="宋体"/>
          <w:kern w:val="0"/>
          <w:sz w:val="24"/>
        </w:rPr>
        <w:t>4.1.1</w:t>
      </w:r>
      <w:r>
        <w:rPr>
          <w:rFonts w:hint="eastAsia" w:ascii="宋体" w:hAnsi="宋体" w:cs="宋体"/>
          <w:kern w:val="0"/>
          <w:sz w:val="24"/>
        </w:rPr>
        <w:t>是加快区域社会经济发展的需要</w:t>
      </w:r>
    </w:p>
    <w:p>
      <w:pPr>
        <w:widowControl/>
        <w:spacing w:line="360" w:lineRule="auto"/>
        <w:ind w:firstLine="31680" w:firstLineChars="200"/>
        <w:rPr>
          <w:rFonts w:ascii="宋体" w:cs="宋体"/>
          <w:kern w:val="0"/>
          <w:sz w:val="24"/>
        </w:rPr>
      </w:pPr>
      <w:r>
        <w:rPr>
          <w:rFonts w:hint="eastAsia" w:ascii="宋体" w:hAnsi="宋体" w:cs="宋体"/>
          <w:kern w:val="0"/>
          <w:sz w:val="24"/>
        </w:rPr>
        <w:t>本项目的建设将打通汨罗南部南北向的另外一条主干道，可以改善区域交通条件，打通汨罗南部与长沙的沟通瓶颈，对加强沿线乡镇以及汨罗市与周边市县的经济交通往来，进一步搞活本地区商品流通，扩大汨罗市对外经济辐射范围有重要意义。其次，本项目的建设能够促进区域各类资源的开发，将资源优势转化为经济优势，实现县域经济发展的“弯道超车”，从而带动区域经济发展。</w:t>
      </w:r>
    </w:p>
    <w:p>
      <w:pPr>
        <w:widowControl/>
        <w:spacing w:line="360" w:lineRule="auto"/>
        <w:ind w:firstLine="31680" w:firstLineChars="200"/>
        <w:rPr>
          <w:rFonts w:ascii="宋体" w:cs="宋体"/>
          <w:kern w:val="0"/>
          <w:sz w:val="24"/>
        </w:rPr>
      </w:pPr>
      <w:r>
        <w:rPr>
          <w:rFonts w:ascii="宋体" w:hAnsi="宋体" w:cs="宋体"/>
          <w:kern w:val="0"/>
          <w:sz w:val="24"/>
        </w:rPr>
        <w:t>4.1.2</w:t>
      </w:r>
      <w:r>
        <w:rPr>
          <w:rFonts w:hint="eastAsia" w:ascii="宋体" w:hAnsi="宋体" w:cs="宋体"/>
          <w:kern w:val="0"/>
          <w:sz w:val="24"/>
        </w:rPr>
        <w:t>是提高公路通行能力、优化区域路网结构的需要</w:t>
      </w:r>
    </w:p>
    <w:p>
      <w:pPr>
        <w:widowControl/>
        <w:spacing w:line="360" w:lineRule="auto"/>
        <w:ind w:firstLine="31680" w:firstLineChars="200"/>
        <w:rPr>
          <w:rFonts w:ascii="宋体" w:cs="宋体"/>
          <w:kern w:val="0"/>
          <w:sz w:val="24"/>
        </w:rPr>
      </w:pPr>
      <w:r>
        <w:rPr>
          <w:rFonts w:hint="eastAsia" w:ascii="宋体" w:hAnsi="宋体" w:cs="宋体"/>
          <w:kern w:val="0"/>
          <w:sz w:val="24"/>
        </w:rPr>
        <w:t>由于社会经济快速发展，</w:t>
      </w:r>
      <w:r>
        <w:rPr>
          <w:rFonts w:ascii="宋体" w:hAnsi="宋体" w:cs="宋体"/>
          <w:kern w:val="0"/>
          <w:sz w:val="24"/>
        </w:rPr>
        <w:t>G107</w:t>
      </w:r>
      <w:r>
        <w:rPr>
          <w:rFonts w:hint="eastAsia" w:ascii="宋体" w:hAnsi="宋体" w:cs="宋体"/>
          <w:kern w:val="0"/>
          <w:sz w:val="24"/>
        </w:rPr>
        <w:t>弼时段已完全街道化，已严重影响过境车辆的快速通过，同时，过境车辆也给城市交通带来了很大的负担，高峰期容易造成交通堵塞。虽然</w:t>
      </w:r>
      <w:r>
        <w:rPr>
          <w:rFonts w:ascii="宋体" w:hAnsi="宋体" w:cs="宋体"/>
          <w:kern w:val="0"/>
          <w:sz w:val="24"/>
        </w:rPr>
        <w:t>2014</w:t>
      </w:r>
      <w:r>
        <w:rPr>
          <w:rFonts w:hint="eastAsia" w:ascii="宋体" w:hAnsi="宋体" w:cs="宋体"/>
          <w:kern w:val="0"/>
          <w:sz w:val="24"/>
        </w:rPr>
        <w:t>年，弼时镇针对</w:t>
      </w:r>
      <w:r>
        <w:rPr>
          <w:rFonts w:ascii="宋体" w:hAnsi="宋体" w:cs="宋体"/>
          <w:kern w:val="0"/>
          <w:sz w:val="24"/>
        </w:rPr>
        <w:t>G107</w:t>
      </w:r>
      <w:r>
        <w:rPr>
          <w:rFonts w:hint="eastAsia" w:ascii="宋体" w:hAnsi="宋体" w:cs="宋体"/>
          <w:kern w:val="0"/>
          <w:sz w:val="24"/>
        </w:rPr>
        <w:t>镇区段进行了改线，但建成后，公路两旁又迅速街道化。此外，随着长沙经开区汨罗（弼时）产业园的逐步建设，园区内的客货运交通量将剧增，街道化的</w:t>
      </w:r>
      <w:r>
        <w:rPr>
          <w:rFonts w:ascii="宋体" w:hAnsi="宋体" w:cs="宋体"/>
          <w:kern w:val="0"/>
          <w:sz w:val="24"/>
        </w:rPr>
        <w:t>G107</w:t>
      </w:r>
      <w:r>
        <w:rPr>
          <w:rFonts w:hint="eastAsia" w:ascii="宋体" w:hAnsi="宋体" w:cs="宋体"/>
          <w:kern w:val="0"/>
          <w:sz w:val="24"/>
        </w:rPr>
        <w:t>作为园区内的南北向出口公路，已无法满足现有的交通需求，重新打通一条南北向通行公路已是迫在眉睫。</w:t>
      </w:r>
    </w:p>
    <w:p>
      <w:pPr>
        <w:widowControl/>
        <w:spacing w:line="360" w:lineRule="auto"/>
        <w:ind w:firstLine="31680" w:firstLineChars="200"/>
        <w:rPr>
          <w:rFonts w:ascii="宋体" w:cs="宋体"/>
          <w:kern w:val="0"/>
          <w:sz w:val="24"/>
        </w:rPr>
      </w:pPr>
      <w:r>
        <w:rPr>
          <w:rFonts w:ascii="宋体" w:hAnsi="宋体" w:cs="宋体"/>
          <w:kern w:val="0"/>
          <w:sz w:val="24"/>
        </w:rPr>
        <w:t>4.1.3</w:t>
      </w:r>
      <w:r>
        <w:rPr>
          <w:rFonts w:hint="eastAsia" w:ascii="宋体" w:hAnsi="宋体" w:cs="宋体"/>
          <w:kern w:val="0"/>
          <w:sz w:val="24"/>
        </w:rPr>
        <w:t>是汨罗市及周边城镇发展的需要</w:t>
      </w:r>
    </w:p>
    <w:p>
      <w:pPr>
        <w:widowControl/>
        <w:spacing w:line="360" w:lineRule="auto"/>
        <w:ind w:firstLine="31680" w:firstLineChars="200"/>
        <w:rPr>
          <w:rFonts w:ascii="宋体" w:cs="Arial"/>
          <w:sz w:val="24"/>
          <w:lang w:val="sq-AL"/>
        </w:rPr>
      </w:pPr>
      <w:r>
        <w:rPr>
          <w:rFonts w:ascii="宋体" w:hAnsi="宋体" w:cs="宋体"/>
          <w:kern w:val="0"/>
          <w:sz w:val="24"/>
        </w:rPr>
        <w:t xml:space="preserve"> </w:t>
      </w:r>
      <w:r>
        <w:rPr>
          <w:rFonts w:hint="eastAsia" w:ascii="宋体" w:hAnsi="宋体" w:cs="宋体"/>
          <w:kern w:val="0"/>
          <w:sz w:val="24"/>
        </w:rPr>
        <w:t>本项目建成后，将解除</w:t>
      </w:r>
      <w:r>
        <w:rPr>
          <w:rFonts w:ascii="宋体" w:hAnsi="宋体" w:cs="宋体"/>
          <w:kern w:val="0"/>
          <w:sz w:val="24"/>
        </w:rPr>
        <w:t>G107</w:t>
      </w:r>
      <w:r>
        <w:rPr>
          <w:rFonts w:hint="eastAsia" w:ascii="宋体" w:hAnsi="宋体" w:cs="宋体"/>
          <w:kern w:val="0"/>
          <w:sz w:val="24"/>
        </w:rPr>
        <w:t>这条区域南北向主干道的交通“瓶颈”，解决区域的交通出行问题，将成为汨罗市对外交流与往来的重要出口，有利于城市经济的发展及弼时镇镇区规模的形成。因此，本项目的建设是汨罗市及周边城镇发展的需要。</w:t>
      </w:r>
    </w:p>
    <w:p>
      <w:pPr>
        <w:snapToGrid w:val="0"/>
        <w:spacing w:line="360" w:lineRule="auto"/>
        <w:ind w:firstLine="31680" w:firstLineChars="200"/>
        <w:rPr>
          <w:sz w:val="24"/>
        </w:rPr>
      </w:pPr>
      <w:r>
        <w:rPr>
          <w:rFonts w:hint="eastAsia"/>
          <w:sz w:val="24"/>
        </w:rPr>
        <w:t>综上所述，</w:t>
      </w:r>
      <w:r>
        <w:rPr>
          <w:rFonts w:hint="eastAsia"/>
          <w:sz w:val="24"/>
          <w:lang w:eastAsia="zh-CN"/>
        </w:rPr>
        <w:t>弼时镇铜盆至青山铺公路（飞地工业园区主干道桃花路）工程建设项目</w:t>
      </w:r>
      <w:r>
        <w:rPr>
          <w:rFonts w:hint="eastAsia"/>
          <w:sz w:val="24"/>
        </w:rPr>
        <w:t>的建设是是弼时镇公路建设的需要，是弼时集镇发展的需要，是推进汨罗市总体规划实施的要求，是全面提升汨罗市建设水平和提高招商引资吸引力的需要。项目建设是必要而且紧迫的，具有良好的社会效益和经济效益。</w:t>
      </w:r>
    </w:p>
    <w:p>
      <w:pPr>
        <w:pStyle w:val="4"/>
        <w:ind w:left="567" w:hanging="567"/>
      </w:pPr>
      <w:bookmarkStart w:id="137" w:name="_Toc7366"/>
      <w:r>
        <w:rPr>
          <w:rFonts w:hint="eastAsia"/>
        </w:rPr>
        <w:t>工程环境影响因素分析</w:t>
      </w:r>
      <w:bookmarkEnd w:id="137"/>
    </w:p>
    <w:p>
      <w:pPr>
        <w:spacing w:line="360" w:lineRule="auto"/>
        <w:ind w:firstLine="31680" w:firstLineChars="200"/>
        <w:rPr>
          <w:sz w:val="24"/>
          <w:szCs w:val="24"/>
        </w:rPr>
      </w:pPr>
      <w:r>
        <w:rPr>
          <w:rFonts w:hint="eastAsia" w:hAnsi="宋体"/>
          <w:sz w:val="24"/>
          <w:szCs w:val="24"/>
        </w:rPr>
        <w:t>公路工程对环境的影响与工程所处阶段紧密相关，不同的工程阶段对各环境要素的影响也不同。根据工程特点，环境影响因素的识别可按照勘察设计期（工程前期）、施工期和营运期三个阶段进行分析。</w:t>
      </w:r>
    </w:p>
    <w:p>
      <w:pPr>
        <w:pStyle w:val="5"/>
        <w:ind w:left="567" w:hanging="567"/>
      </w:pPr>
      <w:bookmarkStart w:id="138" w:name="_Toc424620881"/>
      <w:bookmarkStart w:id="139" w:name="_Toc83019231"/>
      <w:bookmarkStart w:id="140" w:name="_Toc91389273"/>
      <w:r>
        <w:rPr>
          <w:rFonts w:hint="eastAsia"/>
        </w:rPr>
        <w:t>勘察设计期</w:t>
      </w:r>
      <w:bookmarkEnd w:id="138"/>
      <w:bookmarkEnd w:id="139"/>
      <w:bookmarkEnd w:id="140"/>
    </w:p>
    <w:p>
      <w:pPr>
        <w:pStyle w:val="3"/>
        <w:ind w:firstLine="31680"/>
      </w:pPr>
      <w:r>
        <w:rPr>
          <w:rFonts w:hint="eastAsia"/>
        </w:rPr>
        <w:t>勘查设计阶段主要是线路走向的选择。这一阶段的选择对社会经济和生态环境影响较大，特别是对项目直接影响区的社会经济发展、城镇规划、土地利用、居民生活、自然生态及景观均会产生重大影响。</w:t>
      </w:r>
    </w:p>
    <w:p>
      <w:pPr>
        <w:pStyle w:val="3"/>
        <w:ind w:firstLine="31680"/>
      </w:pPr>
      <w:r>
        <w:t>a</w:t>
      </w:r>
      <w:r>
        <w:rPr>
          <w:rFonts w:hint="eastAsia"/>
        </w:rPr>
        <w:t>）线位的选择将影响当地城镇建设规划、公路网规划以及工程附近的人群生产生活等。</w:t>
      </w:r>
    </w:p>
    <w:p>
      <w:pPr>
        <w:pStyle w:val="3"/>
        <w:ind w:firstLine="31680"/>
      </w:pPr>
      <w:r>
        <w:t>b</w:t>
      </w:r>
      <w:r>
        <w:rPr>
          <w:rFonts w:hint="eastAsia"/>
        </w:rPr>
        <w:t>）线位的选择涉及到占用各种类型土地的比例、数量，从而直接或间接影响当地土地资源的开发利用，影响农业生产，农民收入。</w:t>
      </w:r>
    </w:p>
    <w:p>
      <w:pPr>
        <w:pStyle w:val="3"/>
        <w:ind w:firstLine="31680"/>
      </w:pPr>
      <w:r>
        <w:t>c</w:t>
      </w:r>
      <w:r>
        <w:rPr>
          <w:rFonts w:hint="eastAsia"/>
        </w:rPr>
        <w:t>）线位选择关系到居民拆迁问题，从而影响到居民的正常生产和生活。</w:t>
      </w:r>
    </w:p>
    <w:p>
      <w:pPr>
        <w:pStyle w:val="3"/>
        <w:ind w:firstLine="31680"/>
      </w:pPr>
      <w:r>
        <w:t>d</w:t>
      </w:r>
      <w:r>
        <w:rPr>
          <w:rFonts w:hint="eastAsia"/>
        </w:rPr>
        <w:t>）线位布设及设计方案选择会影响到农田灌溉水利设施、电力通讯等公用设施的正常运行。</w:t>
      </w:r>
    </w:p>
    <w:p>
      <w:pPr>
        <w:spacing w:line="360" w:lineRule="auto"/>
        <w:ind w:firstLine="31680" w:firstLineChars="200"/>
        <w:rPr>
          <w:rFonts w:hAnsi="宋体"/>
          <w:sz w:val="24"/>
          <w:szCs w:val="24"/>
        </w:rPr>
      </w:pPr>
      <w:r>
        <w:rPr>
          <w:sz w:val="24"/>
          <w:szCs w:val="24"/>
        </w:rPr>
        <w:t>e</w:t>
      </w:r>
      <w:r>
        <w:rPr>
          <w:rFonts w:hint="eastAsia" w:hAnsi="宋体"/>
          <w:sz w:val="24"/>
          <w:szCs w:val="24"/>
        </w:rPr>
        <w:t>）线位的布设将会使沿途景观格局发生变化。</w:t>
      </w:r>
    </w:p>
    <w:p>
      <w:pPr>
        <w:pStyle w:val="5"/>
        <w:widowControl/>
        <w:ind w:left="567" w:hanging="567"/>
      </w:pPr>
      <w:r>
        <w:rPr>
          <w:rFonts w:hint="eastAsia"/>
        </w:rPr>
        <w:t>施工期</w:t>
      </w:r>
    </w:p>
    <w:p>
      <w:pPr>
        <w:pStyle w:val="3"/>
        <w:ind w:firstLine="31680"/>
      </w:pPr>
      <w:r>
        <w:t>a</w:t>
      </w:r>
      <w:r>
        <w:rPr>
          <w:rFonts w:hint="eastAsia"/>
        </w:rPr>
        <w:t>）在施工准备期，拟建公路征地涉及到永久性和临时性占用地，从而将影响到当地农、林业生产。</w:t>
      </w:r>
    </w:p>
    <w:p>
      <w:pPr>
        <w:pStyle w:val="3"/>
        <w:ind w:firstLine="31680"/>
      </w:pPr>
      <w:r>
        <w:t>b</w:t>
      </w:r>
      <w:r>
        <w:rPr>
          <w:rFonts w:hint="eastAsia"/>
        </w:rPr>
        <w:t>）在施工准备期，公路征地将引起部分居民的拆迁，在短期内会对其生活和生产产生一定的不利影响。</w:t>
      </w:r>
    </w:p>
    <w:p>
      <w:pPr>
        <w:pStyle w:val="3"/>
        <w:ind w:firstLine="31680"/>
      </w:pPr>
      <w:r>
        <w:t>c</w:t>
      </w:r>
      <w:r>
        <w:rPr>
          <w:rFonts w:hint="eastAsia"/>
        </w:rPr>
        <w:t>）工程各类填、挖作业将对沿线自然植被及野生动物的生境形成破坏。另外，路基工程开挖与填筑将破坏地表原有植被，形成的裸露松散的地表和边坡，在雨水的作用下极易形成水土流失，从而影响生态环境；在天气干旱时，又容易引起扬尘，对附近区域环境空气质量产生影响。</w:t>
      </w:r>
    </w:p>
    <w:p>
      <w:pPr>
        <w:pStyle w:val="3"/>
        <w:ind w:firstLine="31680"/>
      </w:pPr>
      <w:r>
        <w:t>d</w:t>
      </w:r>
      <w:r>
        <w:rPr>
          <w:rFonts w:hint="eastAsia"/>
        </w:rPr>
        <w:t>）施工期间施工人员将产生一定量的生活污水（主要污染因子为</w:t>
      </w:r>
      <w:r>
        <w:t>COD</w:t>
      </w:r>
      <w:r>
        <w:rPr>
          <w:rFonts w:hint="eastAsia"/>
        </w:rPr>
        <w:t>、</w:t>
      </w:r>
      <w:r>
        <w:t>SS</w:t>
      </w:r>
      <w:r>
        <w:rPr>
          <w:rFonts w:hint="eastAsia"/>
        </w:rPr>
        <w:t>和氨氮等），可能会对沿线水体环境、农田产生影响。</w:t>
      </w:r>
    </w:p>
    <w:p>
      <w:pPr>
        <w:pStyle w:val="3"/>
        <w:ind w:firstLine="31680"/>
      </w:pPr>
      <w:r>
        <w:t>e</w:t>
      </w:r>
      <w:r>
        <w:rPr>
          <w:rFonts w:hint="eastAsia"/>
        </w:rPr>
        <w:t>）路基、桥涵施工过程中，容易产生扬尘、粉尘污染，沥青混凝土摊铺时产生的沥青烟也会对环境空气质量产生影响。</w:t>
      </w:r>
    </w:p>
    <w:p>
      <w:pPr>
        <w:pStyle w:val="3"/>
        <w:ind w:firstLine="31680"/>
      </w:pPr>
      <w:r>
        <w:t>f</w:t>
      </w:r>
      <w:r>
        <w:rPr>
          <w:rFonts w:hint="eastAsia"/>
        </w:rPr>
        <w:t>）施工便道等施工期临时工程以及弃土场也将占用一定数量的土地。因此，施工期工程临时用地也将对当地耕地资源和农业生产产生短期影响。同时，取土作业、弃渣堆填及运输过程中易产生粉尘，弃渣场将导致占地区地表植被的完全丧失，如不采取有效措施会引发水土流失。</w:t>
      </w:r>
    </w:p>
    <w:p>
      <w:pPr>
        <w:pStyle w:val="3"/>
        <w:ind w:firstLine="31680"/>
      </w:pPr>
      <w:r>
        <w:t>g</w:t>
      </w:r>
      <w:r>
        <w:rPr>
          <w:rFonts w:hint="eastAsia"/>
        </w:rPr>
        <w:t>）施工机械的运转将产生噪声和废气污染，从而对周围环境敏感保护目标的声环境质量和环境空气质量产生影响。</w:t>
      </w:r>
    </w:p>
    <w:p>
      <w:pPr>
        <w:pStyle w:val="3"/>
        <w:ind w:firstLine="31680"/>
        <w:rPr>
          <w:rFonts w:hAnsi="宋体"/>
        </w:rPr>
      </w:pPr>
      <w:r>
        <w:t>h</w:t>
      </w:r>
      <w:r>
        <w:rPr>
          <w:rFonts w:hint="eastAsia"/>
        </w:rPr>
        <w:t>）工程施工会影响正常的公路交通环境，对沿线居民正常生产和生活产生一定的不利影响。</w:t>
      </w:r>
      <w:r>
        <w:rPr>
          <w:rFonts w:hint="eastAsia" w:hAnsi="宋体"/>
        </w:rPr>
        <w:t>工程施工会影响到原有水利排灌系统及电力通讯设施的正常运行。</w:t>
      </w:r>
    </w:p>
    <w:p>
      <w:pPr>
        <w:pStyle w:val="3"/>
        <w:ind w:firstLine="31680"/>
      </w:pPr>
      <w:r>
        <w:t>i</w:t>
      </w:r>
      <w:r>
        <w:rPr>
          <w:rFonts w:hint="eastAsia"/>
        </w:rPr>
        <w:t>）施工期间路面、桥涵的施工，将产生一定量的生产废水（主要污染因子为</w:t>
      </w:r>
      <w:r>
        <w:t>SS</w:t>
      </w:r>
      <w:r>
        <w:rPr>
          <w:rFonts w:hint="eastAsia"/>
        </w:rPr>
        <w:t>和石油类），污染附近地表水体，另外，施工也对沿线地下水环境产生一定影响。</w:t>
      </w:r>
    </w:p>
    <w:p>
      <w:pPr>
        <w:pStyle w:val="5"/>
        <w:widowControl/>
        <w:ind w:left="567" w:hanging="567"/>
      </w:pPr>
      <w:r>
        <w:rPr>
          <w:rFonts w:hint="eastAsia"/>
        </w:rPr>
        <w:t>营运期</w:t>
      </w:r>
    </w:p>
    <w:p>
      <w:pPr>
        <w:pStyle w:val="3"/>
        <w:ind w:firstLine="31680"/>
      </w:pPr>
      <w:r>
        <w:t>a</w:t>
      </w:r>
      <w:r>
        <w:rPr>
          <w:rFonts w:hint="eastAsia"/>
        </w:rPr>
        <w:t>）交通量增长将促进沿线物质交流和经济发展，有利于改善居民交通便利和旅游业的发展。</w:t>
      </w:r>
    </w:p>
    <w:p>
      <w:pPr>
        <w:spacing w:line="360" w:lineRule="auto"/>
        <w:ind w:firstLine="31680" w:firstLineChars="200"/>
        <w:rPr>
          <w:rFonts w:hAnsi="宋体"/>
          <w:sz w:val="24"/>
          <w:szCs w:val="24"/>
        </w:rPr>
      </w:pPr>
      <w:r>
        <w:rPr>
          <w:sz w:val="24"/>
          <w:szCs w:val="24"/>
        </w:rPr>
        <w:t>b</w:t>
      </w:r>
      <w:r>
        <w:rPr>
          <w:rFonts w:hint="eastAsia"/>
          <w:sz w:val="24"/>
          <w:szCs w:val="24"/>
        </w:rPr>
        <w:t>）随着交通量的增加，交通噪声将影响邻近公路的居民点的正常工作、学习和休息环境；汽车尾气中所含的多种污染物，如</w:t>
      </w:r>
      <w:r>
        <w:rPr>
          <w:sz w:val="24"/>
          <w:szCs w:val="24"/>
        </w:rPr>
        <w:t>NO</w:t>
      </w:r>
      <w:r>
        <w:rPr>
          <w:sz w:val="24"/>
          <w:szCs w:val="24"/>
          <w:vertAlign w:val="subscript"/>
        </w:rPr>
        <w:t>2</w:t>
      </w:r>
      <w:r>
        <w:rPr>
          <w:rFonts w:hint="eastAsia"/>
          <w:sz w:val="24"/>
          <w:szCs w:val="24"/>
        </w:rPr>
        <w:t>、</w:t>
      </w:r>
      <w:r>
        <w:rPr>
          <w:sz w:val="24"/>
          <w:szCs w:val="24"/>
        </w:rPr>
        <w:t>CO</w:t>
      </w:r>
      <w:r>
        <w:rPr>
          <w:rFonts w:hint="eastAsia"/>
          <w:sz w:val="24"/>
          <w:szCs w:val="24"/>
        </w:rPr>
        <w:t>和烃类物质等，会污染环境</w:t>
      </w:r>
      <w:r>
        <w:rPr>
          <w:rFonts w:hint="eastAsia" w:hAnsi="宋体"/>
          <w:sz w:val="24"/>
          <w:szCs w:val="24"/>
        </w:rPr>
        <w:t>空气。</w:t>
      </w:r>
    </w:p>
    <w:p>
      <w:pPr>
        <w:pStyle w:val="3"/>
        <w:ind w:firstLine="31680"/>
      </w:pPr>
      <w:r>
        <w:t>c</w:t>
      </w:r>
      <w:r>
        <w:rPr>
          <w:rFonts w:hint="eastAsia"/>
        </w:rPr>
        <w:t>）突发性交通事故会影响公路的正常运营和安全，危险品运输车辆事故易引发环境空气、土壤污染、水环境污染等事件。</w:t>
      </w:r>
    </w:p>
    <w:p>
      <w:pPr>
        <w:pStyle w:val="3"/>
        <w:ind w:firstLine="31680"/>
      </w:pPr>
      <w:r>
        <w:t>d</w:t>
      </w:r>
      <w:r>
        <w:rPr>
          <w:rFonts w:hint="eastAsia"/>
        </w:rPr>
        <w:t>）由于局部工程防护稳定和植被恢复均需一定的时间，水土流失在工程营运初期可能存在；</w:t>
      </w:r>
    </w:p>
    <w:p>
      <w:pPr>
        <w:pStyle w:val="3"/>
        <w:ind w:firstLine="31680"/>
      </w:pPr>
      <w:r>
        <w:t>e</w:t>
      </w:r>
      <w:r>
        <w:rPr>
          <w:rFonts w:hint="eastAsia"/>
        </w:rPr>
        <w:t>）各类环境工程、生态保护和恢复工程的实施将恢复植被、改善被破坏的生态环境，减少水土流失，减轻交通噪声、生活污水、固体废物等对周围环境的污染，以及对居民生活质量的负面影响。</w:t>
      </w:r>
    </w:p>
    <w:p>
      <w:pPr>
        <w:pStyle w:val="3"/>
        <w:ind w:firstLine="31680"/>
      </w:pPr>
      <w:r>
        <w:rPr>
          <w:rFonts w:hint="eastAsia"/>
        </w:rPr>
        <w:t>工程各期主要环境影响因素汇总见表</w:t>
      </w:r>
      <w:r>
        <w:t>4.2-1</w:t>
      </w:r>
      <w:r>
        <w:rPr>
          <w:rFonts w:hint="eastAsia"/>
        </w:rPr>
        <w:t>。</w:t>
      </w:r>
    </w:p>
    <w:p>
      <w:pPr>
        <w:pStyle w:val="19"/>
        <w:jc w:val="center"/>
      </w:pPr>
      <w:bookmarkStart w:id="141" w:name="_Ref401484209"/>
      <w:r>
        <w:rPr>
          <w:rFonts w:hint="eastAsia"/>
        </w:rPr>
        <w:t>表</w:t>
      </w:r>
      <w:r>
        <w:t>4.2</w:t>
      </w:r>
      <w:bookmarkEnd w:id="141"/>
      <w:r>
        <w:t xml:space="preserve">-1  </w:t>
      </w:r>
      <w:r>
        <w:rPr>
          <w:rFonts w:hint="eastAsia"/>
        </w:rPr>
        <w:t>工程各期主要环境影响因素汇总表</w:t>
      </w:r>
    </w:p>
    <w:tbl>
      <w:tblPr>
        <w:tblStyle w:val="65"/>
        <w:tblW w:w="90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3576"/>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blHeader/>
          <w:jc w:val="center"/>
        </w:trPr>
        <w:tc>
          <w:tcPr>
            <w:tcW w:w="4632" w:type="dxa"/>
            <w:gridSpan w:val="2"/>
            <w:vAlign w:val="center"/>
          </w:tcPr>
          <w:p>
            <w:pPr>
              <w:jc w:val="center"/>
              <w:rPr>
                <w:rFonts w:ascii="宋体"/>
                <w:kern w:val="40"/>
                <w:sz w:val="21"/>
                <w:szCs w:val="21"/>
              </w:rPr>
            </w:pPr>
            <w:r>
              <w:rPr>
                <w:rFonts w:hint="eastAsia" w:ascii="宋体" w:hAnsi="宋体"/>
                <w:kern w:val="40"/>
                <w:sz w:val="21"/>
                <w:szCs w:val="21"/>
              </w:rPr>
              <w:t>项目阶段</w:t>
            </w:r>
          </w:p>
        </w:tc>
        <w:tc>
          <w:tcPr>
            <w:tcW w:w="4416" w:type="dxa"/>
            <w:vAlign w:val="center"/>
          </w:tcPr>
          <w:p>
            <w:pPr>
              <w:jc w:val="center"/>
              <w:rPr>
                <w:rFonts w:ascii="宋体"/>
                <w:kern w:val="40"/>
                <w:sz w:val="21"/>
                <w:szCs w:val="21"/>
              </w:rPr>
            </w:pPr>
            <w:r>
              <w:rPr>
                <w:rFonts w:hint="eastAsia" w:ascii="宋体" w:hAnsi="宋体"/>
                <w:kern w:val="40"/>
                <w:sz w:val="21"/>
                <w:szCs w:val="21"/>
              </w:rPr>
              <w:t>对环境的潜在影响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restart"/>
            <w:vAlign w:val="center"/>
          </w:tcPr>
          <w:p>
            <w:pPr>
              <w:jc w:val="center"/>
              <w:rPr>
                <w:rFonts w:ascii="宋体"/>
                <w:kern w:val="40"/>
                <w:sz w:val="21"/>
                <w:szCs w:val="21"/>
              </w:rPr>
            </w:pPr>
            <w:r>
              <w:rPr>
                <w:rFonts w:hint="eastAsia" w:ascii="宋体" w:hAnsi="宋体"/>
                <w:kern w:val="40"/>
                <w:sz w:val="21"/>
                <w:szCs w:val="21"/>
              </w:rPr>
              <w:t>工程前期</w:t>
            </w:r>
          </w:p>
        </w:tc>
        <w:tc>
          <w:tcPr>
            <w:tcW w:w="3576" w:type="dxa"/>
            <w:vAlign w:val="center"/>
          </w:tcPr>
          <w:p>
            <w:pPr>
              <w:rPr>
                <w:rFonts w:ascii="宋体"/>
                <w:kern w:val="40"/>
                <w:sz w:val="21"/>
                <w:szCs w:val="21"/>
              </w:rPr>
            </w:pPr>
            <w:r>
              <w:rPr>
                <w:rFonts w:hint="eastAsia" w:ascii="宋体" w:hAnsi="宋体"/>
                <w:kern w:val="40"/>
                <w:sz w:val="21"/>
                <w:szCs w:val="21"/>
              </w:rPr>
              <w:t>永久占用土地</w:t>
            </w:r>
          </w:p>
        </w:tc>
        <w:tc>
          <w:tcPr>
            <w:tcW w:w="4416" w:type="dxa"/>
            <w:vAlign w:val="center"/>
          </w:tcPr>
          <w:p>
            <w:pPr>
              <w:rPr>
                <w:rFonts w:ascii="宋体"/>
                <w:kern w:val="40"/>
                <w:sz w:val="21"/>
                <w:szCs w:val="21"/>
              </w:rPr>
            </w:pPr>
            <w:r>
              <w:rPr>
                <w:rFonts w:hint="eastAsia" w:ascii="宋体" w:hAnsi="宋体"/>
                <w:kern w:val="40"/>
                <w:sz w:val="21"/>
                <w:szCs w:val="21"/>
              </w:rPr>
              <w:t>改变土地利用类型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continue"/>
            <w:vAlign w:val="center"/>
          </w:tcPr>
          <w:p>
            <w:pPr>
              <w:jc w:val="center"/>
              <w:rPr>
                <w:rFonts w:ascii="宋体"/>
                <w:kern w:val="40"/>
                <w:sz w:val="21"/>
                <w:szCs w:val="21"/>
              </w:rPr>
            </w:pPr>
          </w:p>
        </w:tc>
        <w:tc>
          <w:tcPr>
            <w:tcW w:w="3576" w:type="dxa"/>
            <w:vAlign w:val="center"/>
          </w:tcPr>
          <w:p>
            <w:pPr>
              <w:rPr>
                <w:rFonts w:ascii="宋体"/>
                <w:kern w:val="40"/>
                <w:sz w:val="21"/>
                <w:szCs w:val="21"/>
              </w:rPr>
            </w:pPr>
            <w:r>
              <w:rPr>
                <w:rFonts w:hint="eastAsia" w:ascii="宋体" w:hAnsi="宋体"/>
                <w:kern w:val="40"/>
                <w:sz w:val="21"/>
                <w:szCs w:val="21"/>
              </w:rPr>
              <w:t>迁移沿线公用设施</w:t>
            </w:r>
          </w:p>
        </w:tc>
        <w:tc>
          <w:tcPr>
            <w:tcW w:w="4416" w:type="dxa"/>
            <w:vAlign w:val="center"/>
          </w:tcPr>
          <w:p>
            <w:pPr>
              <w:rPr>
                <w:rFonts w:ascii="宋体"/>
                <w:kern w:val="40"/>
                <w:sz w:val="21"/>
                <w:szCs w:val="21"/>
              </w:rPr>
            </w:pPr>
            <w:r>
              <w:rPr>
                <w:rFonts w:hint="eastAsia" w:ascii="宋体" w:hAnsi="宋体"/>
                <w:kern w:val="40"/>
                <w:sz w:val="21"/>
                <w:szCs w:val="21"/>
              </w:rPr>
              <w:t>影响公用设施正常运行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continue"/>
            <w:vAlign w:val="center"/>
          </w:tcPr>
          <w:p>
            <w:pPr>
              <w:jc w:val="center"/>
              <w:rPr>
                <w:rFonts w:ascii="宋体"/>
                <w:kern w:val="40"/>
                <w:sz w:val="21"/>
                <w:szCs w:val="21"/>
              </w:rPr>
            </w:pPr>
          </w:p>
        </w:tc>
        <w:tc>
          <w:tcPr>
            <w:tcW w:w="3576" w:type="dxa"/>
            <w:vAlign w:val="center"/>
          </w:tcPr>
          <w:p>
            <w:pPr>
              <w:rPr>
                <w:rFonts w:ascii="宋体"/>
                <w:kern w:val="40"/>
                <w:sz w:val="21"/>
                <w:szCs w:val="21"/>
              </w:rPr>
            </w:pPr>
            <w:r>
              <w:rPr>
                <w:rFonts w:hint="eastAsia" w:ascii="宋体" w:hAnsi="宋体"/>
                <w:kern w:val="40"/>
                <w:sz w:val="21"/>
                <w:szCs w:val="21"/>
              </w:rPr>
              <w:t>桥涵设置</w:t>
            </w:r>
          </w:p>
        </w:tc>
        <w:tc>
          <w:tcPr>
            <w:tcW w:w="4416" w:type="dxa"/>
            <w:vAlign w:val="center"/>
          </w:tcPr>
          <w:p>
            <w:pPr>
              <w:rPr>
                <w:rFonts w:ascii="宋体"/>
                <w:kern w:val="40"/>
                <w:sz w:val="21"/>
                <w:szCs w:val="21"/>
              </w:rPr>
            </w:pPr>
            <w:r>
              <w:rPr>
                <w:rFonts w:hint="eastAsia" w:ascii="宋体" w:hAnsi="宋体"/>
                <w:kern w:val="40"/>
                <w:sz w:val="21"/>
                <w:szCs w:val="21"/>
              </w:rPr>
              <w:t>影响农田灌溉及排水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continue"/>
            <w:vAlign w:val="center"/>
          </w:tcPr>
          <w:p>
            <w:pPr>
              <w:jc w:val="center"/>
              <w:rPr>
                <w:rFonts w:ascii="宋体"/>
                <w:kern w:val="40"/>
                <w:sz w:val="21"/>
                <w:szCs w:val="21"/>
              </w:rPr>
            </w:pPr>
          </w:p>
        </w:tc>
        <w:tc>
          <w:tcPr>
            <w:tcW w:w="3576" w:type="dxa"/>
            <w:vAlign w:val="center"/>
          </w:tcPr>
          <w:p>
            <w:pPr>
              <w:rPr>
                <w:rFonts w:ascii="宋体"/>
                <w:kern w:val="40"/>
                <w:sz w:val="21"/>
                <w:szCs w:val="21"/>
              </w:rPr>
            </w:pPr>
            <w:r>
              <w:rPr>
                <w:rFonts w:hint="eastAsia" w:ascii="宋体" w:hAnsi="宋体"/>
                <w:kern w:val="40"/>
                <w:sz w:val="21"/>
                <w:szCs w:val="21"/>
              </w:rPr>
              <w:t>改变景观单元</w:t>
            </w:r>
          </w:p>
        </w:tc>
        <w:tc>
          <w:tcPr>
            <w:tcW w:w="4416" w:type="dxa"/>
            <w:vAlign w:val="center"/>
          </w:tcPr>
          <w:p>
            <w:pPr>
              <w:rPr>
                <w:rFonts w:ascii="宋体"/>
                <w:kern w:val="40"/>
                <w:sz w:val="21"/>
                <w:szCs w:val="21"/>
              </w:rPr>
            </w:pPr>
            <w:r>
              <w:rPr>
                <w:rFonts w:hint="eastAsia" w:ascii="宋体" w:hAnsi="宋体"/>
                <w:kern w:val="40"/>
                <w:sz w:val="21"/>
                <w:szCs w:val="21"/>
              </w:rPr>
              <w:t>景观格局发生变化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restart"/>
            <w:vAlign w:val="center"/>
          </w:tcPr>
          <w:p>
            <w:pPr>
              <w:jc w:val="center"/>
              <w:rPr>
                <w:rFonts w:ascii="宋体"/>
                <w:kern w:val="40"/>
                <w:sz w:val="21"/>
                <w:szCs w:val="21"/>
              </w:rPr>
            </w:pPr>
            <w:r>
              <w:rPr>
                <w:rFonts w:hint="eastAsia" w:ascii="宋体" w:hAnsi="宋体"/>
                <w:kern w:val="40"/>
                <w:sz w:val="21"/>
                <w:szCs w:val="21"/>
              </w:rPr>
              <w:t>施工期</w:t>
            </w:r>
          </w:p>
        </w:tc>
        <w:tc>
          <w:tcPr>
            <w:tcW w:w="3576" w:type="dxa"/>
            <w:vMerge w:val="restart"/>
            <w:vAlign w:val="center"/>
          </w:tcPr>
          <w:p>
            <w:pPr>
              <w:rPr>
                <w:rFonts w:ascii="宋体"/>
                <w:kern w:val="40"/>
                <w:sz w:val="21"/>
                <w:szCs w:val="21"/>
              </w:rPr>
            </w:pPr>
            <w:r>
              <w:rPr>
                <w:rFonts w:hint="eastAsia" w:ascii="宋体" w:hAnsi="宋体"/>
                <w:kern w:val="40"/>
                <w:sz w:val="21"/>
                <w:szCs w:val="21"/>
              </w:rPr>
              <w:t>居民区附近路段施工</w:t>
            </w:r>
          </w:p>
        </w:tc>
        <w:tc>
          <w:tcPr>
            <w:tcW w:w="4416" w:type="dxa"/>
            <w:vAlign w:val="center"/>
          </w:tcPr>
          <w:p>
            <w:pPr>
              <w:rPr>
                <w:rFonts w:ascii="宋体"/>
                <w:kern w:val="40"/>
                <w:sz w:val="21"/>
                <w:szCs w:val="21"/>
              </w:rPr>
            </w:pPr>
            <w:r>
              <w:rPr>
                <w:rFonts w:hint="eastAsia" w:ascii="宋体" w:hAnsi="宋体"/>
                <w:kern w:val="40"/>
                <w:sz w:val="21"/>
                <w:szCs w:val="21"/>
              </w:rPr>
              <w:t>干扰阻断现有交通，影响居民出行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continue"/>
            <w:vAlign w:val="center"/>
          </w:tcPr>
          <w:p>
            <w:pPr>
              <w:jc w:val="center"/>
              <w:rPr>
                <w:rFonts w:ascii="宋体"/>
                <w:kern w:val="40"/>
                <w:sz w:val="21"/>
                <w:szCs w:val="21"/>
              </w:rPr>
            </w:pPr>
          </w:p>
        </w:tc>
        <w:tc>
          <w:tcPr>
            <w:tcW w:w="3576" w:type="dxa"/>
            <w:vMerge w:val="continue"/>
            <w:vAlign w:val="center"/>
          </w:tcPr>
          <w:p>
            <w:pPr>
              <w:rPr>
                <w:rFonts w:ascii="宋体"/>
                <w:kern w:val="40"/>
                <w:sz w:val="21"/>
                <w:szCs w:val="21"/>
              </w:rPr>
            </w:pPr>
          </w:p>
        </w:tc>
        <w:tc>
          <w:tcPr>
            <w:tcW w:w="4416" w:type="dxa"/>
            <w:vAlign w:val="center"/>
          </w:tcPr>
          <w:p>
            <w:pPr>
              <w:rPr>
                <w:rFonts w:ascii="宋体"/>
                <w:kern w:val="40"/>
                <w:sz w:val="21"/>
                <w:szCs w:val="21"/>
              </w:rPr>
            </w:pPr>
            <w:r>
              <w:rPr>
                <w:rFonts w:hint="eastAsia" w:ascii="宋体" w:hAnsi="宋体"/>
                <w:kern w:val="40"/>
                <w:sz w:val="21"/>
                <w:szCs w:val="21"/>
              </w:rPr>
              <w:t>摊铺路面以及施工扬尘影响大气环境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continue"/>
            <w:vAlign w:val="center"/>
          </w:tcPr>
          <w:p>
            <w:pPr>
              <w:jc w:val="center"/>
              <w:rPr>
                <w:rFonts w:ascii="宋体"/>
                <w:kern w:val="40"/>
                <w:sz w:val="21"/>
                <w:szCs w:val="21"/>
              </w:rPr>
            </w:pPr>
          </w:p>
        </w:tc>
        <w:tc>
          <w:tcPr>
            <w:tcW w:w="3576" w:type="dxa"/>
            <w:vMerge w:val="continue"/>
            <w:vAlign w:val="center"/>
          </w:tcPr>
          <w:p>
            <w:pPr>
              <w:rPr>
                <w:rFonts w:ascii="宋体"/>
                <w:kern w:val="40"/>
                <w:sz w:val="21"/>
                <w:szCs w:val="21"/>
              </w:rPr>
            </w:pPr>
          </w:p>
        </w:tc>
        <w:tc>
          <w:tcPr>
            <w:tcW w:w="4416" w:type="dxa"/>
            <w:vAlign w:val="center"/>
          </w:tcPr>
          <w:p>
            <w:pPr>
              <w:rPr>
                <w:rFonts w:ascii="宋体"/>
                <w:kern w:val="40"/>
                <w:sz w:val="21"/>
                <w:szCs w:val="21"/>
              </w:rPr>
            </w:pPr>
            <w:r>
              <w:rPr>
                <w:rFonts w:hint="eastAsia" w:ascii="宋体" w:hAnsi="宋体"/>
                <w:kern w:val="40"/>
                <w:sz w:val="21"/>
                <w:szCs w:val="21"/>
              </w:rPr>
              <w:t>施工机械噪声影响居民生活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continue"/>
            <w:vAlign w:val="center"/>
          </w:tcPr>
          <w:p>
            <w:pPr>
              <w:jc w:val="center"/>
              <w:rPr>
                <w:rFonts w:ascii="宋体"/>
                <w:kern w:val="40"/>
                <w:sz w:val="21"/>
                <w:szCs w:val="21"/>
              </w:rPr>
            </w:pPr>
          </w:p>
        </w:tc>
        <w:tc>
          <w:tcPr>
            <w:tcW w:w="3576" w:type="dxa"/>
            <w:vMerge w:val="restart"/>
            <w:vAlign w:val="center"/>
          </w:tcPr>
          <w:p>
            <w:pPr>
              <w:rPr>
                <w:rFonts w:ascii="宋体"/>
                <w:kern w:val="40"/>
                <w:sz w:val="21"/>
                <w:szCs w:val="21"/>
              </w:rPr>
            </w:pPr>
            <w:r>
              <w:rPr>
                <w:rFonts w:hint="eastAsia" w:ascii="宋体" w:hAnsi="宋体"/>
                <w:kern w:val="40"/>
                <w:sz w:val="21"/>
                <w:szCs w:val="21"/>
              </w:rPr>
              <w:t>农田段施工</w:t>
            </w:r>
          </w:p>
        </w:tc>
        <w:tc>
          <w:tcPr>
            <w:tcW w:w="4416" w:type="dxa"/>
            <w:vAlign w:val="center"/>
          </w:tcPr>
          <w:p>
            <w:pPr>
              <w:rPr>
                <w:rFonts w:ascii="宋体"/>
                <w:kern w:val="40"/>
                <w:sz w:val="21"/>
                <w:szCs w:val="21"/>
              </w:rPr>
            </w:pPr>
            <w:r>
              <w:rPr>
                <w:rFonts w:hint="eastAsia" w:ascii="宋体" w:hAnsi="宋体"/>
                <w:kern w:val="40"/>
                <w:sz w:val="21"/>
                <w:szCs w:val="21"/>
              </w:rPr>
              <w:t>施工扬尘导致靠近公路两侧的农作物受到影响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continue"/>
            <w:vAlign w:val="center"/>
          </w:tcPr>
          <w:p>
            <w:pPr>
              <w:jc w:val="center"/>
              <w:rPr>
                <w:rFonts w:ascii="宋体"/>
                <w:kern w:val="40"/>
                <w:sz w:val="21"/>
                <w:szCs w:val="21"/>
              </w:rPr>
            </w:pPr>
          </w:p>
        </w:tc>
        <w:tc>
          <w:tcPr>
            <w:tcW w:w="3576" w:type="dxa"/>
            <w:vMerge w:val="continue"/>
            <w:vAlign w:val="center"/>
          </w:tcPr>
          <w:p>
            <w:pPr>
              <w:rPr>
                <w:rFonts w:ascii="宋体"/>
                <w:kern w:val="40"/>
                <w:sz w:val="21"/>
                <w:szCs w:val="21"/>
              </w:rPr>
            </w:pPr>
          </w:p>
        </w:tc>
        <w:tc>
          <w:tcPr>
            <w:tcW w:w="4416" w:type="dxa"/>
            <w:vAlign w:val="center"/>
          </w:tcPr>
          <w:p>
            <w:pPr>
              <w:rPr>
                <w:rFonts w:ascii="宋体"/>
                <w:kern w:val="40"/>
                <w:sz w:val="21"/>
                <w:szCs w:val="21"/>
              </w:rPr>
            </w:pPr>
            <w:r>
              <w:rPr>
                <w:rFonts w:hint="eastAsia" w:ascii="宋体" w:hAnsi="宋体"/>
                <w:kern w:val="40"/>
                <w:sz w:val="21"/>
                <w:szCs w:val="21"/>
              </w:rPr>
              <w:t>施工堵塞灌溉沟渠，影响农事生产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continue"/>
            <w:vAlign w:val="center"/>
          </w:tcPr>
          <w:p>
            <w:pPr>
              <w:jc w:val="center"/>
              <w:rPr>
                <w:rFonts w:ascii="宋体"/>
                <w:kern w:val="40"/>
                <w:sz w:val="21"/>
                <w:szCs w:val="21"/>
              </w:rPr>
            </w:pPr>
          </w:p>
        </w:tc>
        <w:tc>
          <w:tcPr>
            <w:tcW w:w="3576" w:type="dxa"/>
            <w:vMerge w:val="restart"/>
            <w:vAlign w:val="center"/>
          </w:tcPr>
          <w:p>
            <w:pPr>
              <w:rPr>
                <w:rFonts w:ascii="宋体"/>
                <w:kern w:val="40"/>
                <w:sz w:val="21"/>
                <w:szCs w:val="21"/>
              </w:rPr>
            </w:pPr>
            <w:r>
              <w:rPr>
                <w:rFonts w:hint="eastAsia" w:ascii="宋体" w:hAnsi="宋体"/>
                <w:kern w:val="40"/>
                <w:sz w:val="21"/>
                <w:szCs w:val="21"/>
              </w:rPr>
              <w:t>林地段施工</w:t>
            </w:r>
          </w:p>
        </w:tc>
        <w:tc>
          <w:tcPr>
            <w:tcW w:w="4416" w:type="dxa"/>
            <w:vAlign w:val="center"/>
          </w:tcPr>
          <w:p>
            <w:pPr>
              <w:rPr>
                <w:rFonts w:ascii="宋体"/>
                <w:kern w:val="40"/>
                <w:sz w:val="21"/>
                <w:szCs w:val="21"/>
              </w:rPr>
            </w:pPr>
            <w:r>
              <w:rPr>
                <w:rFonts w:hint="eastAsia" w:ascii="宋体" w:hAnsi="宋体"/>
                <w:kern w:val="40"/>
                <w:sz w:val="21"/>
                <w:szCs w:val="21"/>
              </w:rPr>
              <w:t>临时占用土地，破坏地表植被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continue"/>
            <w:vAlign w:val="center"/>
          </w:tcPr>
          <w:p>
            <w:pPr>
              <w:jc w:val="center"/>
              <w:rPr>
                <w:rFonts w:ascii="宋体"/>
                <w:kern w:val="40"/>
                <w:sz w:val="21"/>
                <w:szCs w:val="21"/>
              </w:rPr>
            </w:pPr>
          </w:p>
        </w:tc>
        <w:tc>
          <w:tcPr>
            <w:tcW w:w="3576" w:type="dxa"/>
            <w:vMerge w:val="continue"/>
            <w:vAlign w:val="center"/>
          </w:tcPr>
          <w:p>
            <w:pPr>
              <w:rPr>
                <w:rFonts w:ascii="宋体"/>
                <w:kern w:val="40"/>
                <w:sz w:val="21"/>
                <w:szCs w:val="21"/>
              </w:rPr>
            </w:pPr>
          </w:p>
        </w:tc>
        <w:tc>
          <w:tcPr>
            <w:tcW w:w="4416" w:type="dxa"/>
            <w:vAlign w:val="center"/>
          </w:tcPr>
          <w:p>
            <w:pPr>
              <w:rPr>
                <w:rFonts w:ascii="宋体"/>
                <w:kern w:val="40"/>
                <w:sz w:val="21"/>
                <w:szCs w:val="21"/>
              </w:rPr>
            </w:pPr>
            <w:r>
              <w:rPr>
                <w:rFonts w:hint="eastAsia" w:ascii="宋体" w:hAnsi="宋体"/>
                <w:kern w:val="40"/>
                <w:sz w:val="21"/>
                <w:szCs w:val="21"/>
              </w:rPr>
              <w:t>施工中会因风蚀和水蚀导致水土流失加剧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restart"/>
            <w:vAlign w:val="center"/>
          </w:tcPr>
          <w:p>
            <w:pPr>
              <w:jc w:val="center"/>
              <w:rPr>
                <w:rFonts w:ascii="宋体"/>
                <w:kern w:val="40"/>
                <w:sz w:val="21"/>
                <w:szCs w:val="21"/>
              </w:rPr>
            </w:pPr>
            <w:r>
              <w:rPr>
                <w:rFonts w:hint="eastAsia" w:ascii="宋体" w:hAnsi="宋体"/>
                <w:kern w:val="40"/>
                <w:sz w:val="21"/>
                <w:szCs w:val="21"/>
              </w:rPr>
              <w:t>运营期</w:t>
            </w:r>
          </w:p>
        </w:tc>
        <w:tc>
          <w:tcPr>
            <w:tcW w:w="3576" w:type="dxa"/>
            <w:vAlign w:val="center"/>
          </w:tcPr>
          <w:p>
            <w:pPr>
              <w:rPr>
                <w:rFonts w:ascii="宋体"/>
                <w:kern w:val="40"/>
                <w:sz w:val="21"/>
                <w:szCs w:val="21"/>
              </w:rPr>
            </w:pPr>
            <w:r>
              <w:rPr>
                <w:rFonts w:hint="eastAsia" w:ascii="宋体" w:hAnsi="宋体"/>
                <w:kern w:val="40"/>
                <w:sz w:val="21"/>
                <w:szCs w:val="21"/>
              </w:rPr>
              <w:t>改善区域交通能力，提供交通便利。</w:t>
            </w:r>
          </w:p>
        </w:tc>
        <w:tc>
          <w:tcPr>
            <w:tcW w:w="4416" w:type="dxa"/>
            <w:vAlign w:val="center"/>
          </w:tcPr>
          <w:p>
            <w:pPr>
              <w:rPr>
                <w:rFonts w:ascii="宋体"/>
                <w:kern w:val="40"/>
                <w:sz w:val="21"/>
                <w:szCs w:val="21"/>
              </w:rPr>
            </w:pPr>
            <w:r>
              <w:rPr>
                <w:rFonts w:hint="eastAsia" w:ascii="宋体" w:hAnsi="宋体"/>
                <w:kern w:val="40"/>
                <w:sz w:val="21"/>
                <w:szCs w:val="21"/>
              </w:rPr>
              <w:t>促进地区物质交流和经济、旅游业的发展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continue"/>
            <w:vAlign w:val="center"/>
          </w:tcPr>
          <w:p>
            <w:pPr>
              <w:jc w:val="center"/>
              <w:rPr>
                <w:rFonts w:ascii="宋体"/>
                <w:kern w:val="40"/>
                <w:sz w:val="21"/>
                <w:szCs w:val="21"/>
              </w:rPr>
            </w:pPr>
          </w:p>
        </w:tc>
        <w:tc>
          <w:tcPr>
            <w:tcW w:w="3576" w:type="dxa"/>
            <w:vAlign w:val="center"/>
          </w:tcPr>
          <w:p>
            <w:pPr>
              <w:rPr>
                <w:rFonts w:ascii="宋体"/>
                <w:kern w:val="40"/>
                <w:sz w:val="21"/>
                <w:szCs w:val="21"/>
              </w:rPr>
            </w:pPr>
            <w:r>
              <w:rPr>
                <w:rFonts w:hint="eastAsia" w:ascii="宋体" w:hAnsi="宋体"/>
                <w:kern w:val="40"/>
                <w:sz w:val="21"/>
                <w:szCs w:val="21"/>
              </w:rPr>
              <w:t>车辆交通产生的环境污染</w:t>
            </w:r>
          </w:p>
        </w:tc>
        <w:tc>
          <w:tcPr>
            <w:tcW w:w="4416" w:type="dxa"/>
            <w:vAlign w:val="center"/>
          </w:tcPr>
          <w:p>
            <w:pPr>
              <w:rPr>
                <w:rFonts w:ascii="宋体"/>
                <w:kern w:val="40"/>
                <w:sz w:val="21"/>
                <w:szCs w:val="21"/>
              </w:rPr>
            </w:pPr>
            <w:r>
              <w:rPr>
                <w:rFonts w:hint="eastAsia" w:ascii="宋体" w:hAnsi="宋体"/>
                <w:kern w:val="40"/>
                <w:sz w:val="21"/>
                <w:szCs w:val="21"/>
              </w:rPr>
              <w:t>影响沿线的大气与声环境质量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056" w:type="dxa"/>
            <w:vMerge w:val="continue"/>
            <w:vAlign w:val="center"/>
          </w:tcPr>
          <w:p>
            <w:pPr>
              <w:jc w:val="center"/>
              <w:rPr>
                <w:rFonts w:ascii="宋体"/>
                <w:kern w:val="40"/>
                <w:sz w:val="21"/>
                <w:szCs w:val="21"/>
              </w:rPr>
            </w:pPr>
          </w:p>
        </w:tc>
        <w:tc>
          <w:tcPr>
            <w:tcW w:w="3576" w:type="dxa"/>
            <w:vAlign w:val="center"/>
          </w:tcPr>
          <w:p>
            <w:pPr>
              <w:rPr>
                <w:rFonts w:ascii="宋体"/>
                <w:kern w:val="40"/>
                <w:sz w:val="21"/>
                <w:szCs w:val="21"/>
              </w:rPr>
            </w:pPr>
            <w:r>
              <w:rPr>
                <w:rFonts w:hint="eastAsia" w:ascii="宋体" w:hAnsi="宋体"/>
                <w:kern w:val="40"/>
                <w:sz w:val="21"/>
                <w:szCs w:val="21"/>
              </w:rPr>
              <w:t>风险交通事故</w:t>
            </w:r>
          </w:p>
        </w:tc>
        <w:tc>
          <w:tcPr>
            <w:tcW w:w="4416" w:type="dxa"/>
            <w:vAlign w:val="center"/>
          </w:tcPr>
          <w:p>
            <w:pPr>
              <w:rPr>
                <w:rFonts w:ascii="宋体"/>
                <w:kern w:val="40"/>
                <w:sz w:val="21"/>
                <w:szCs w:val="21"/>
              </w:rPr>
            </w:pPr>
            <w:r>
              <w:rPr>
                <w:rFonts w:hint="eastAsia" w:ascii="宋体" w:hAnsi="宋体"/>
                <w:kern w:val="40"/>
                <w:sz w:val="21"/>
                <w:szCs w:val="21"/>
              </w:rPr>
              <w:t>对沿线构成风险环境污染</w:t>
            </w:r>
          </w:p>
        </w:tc>
      </w:tr>
    </w:tbl>
    <w:p>
      <w:pPr>
        <w:pStyle w:val="4"/>
        <w:ind w:left="567" w:hanging="567"/>
      </w:pPr>
      <w:bookmarkStart w:id="142" w:name="_Toc1125"/>
      <w:bookmarkStart w:id="143" w:name="_Toc352706661"/>
      <w:r>
        <w:rPr>
          <w:rFonts w:hint="eastAsia"/>
        </w:rPr>
        <w:t>评价因子筛选</w:t>
      </w:r>
      <w:bookmarkEnd w:id="142"/>
    </w:p>
    <w:p>
      <w:pPr>
        <w:pStyle w:val="3"/>
        <w:ind w:firstLine="31680"/>
      </w:pPr>
      <w:r>
        <w:rPr>
          <w:rFonts w:hint="eastAsia"/>
        </w:rPr>
        <w:t>根据对拟建项目的特点、沿线环境特征、工程的环境影响要素分析和识别，筛选出主要的环境影响评价因子，见表</w:t>
      </w:r>
      <w:r>
        <w:t>4.3-1</w:t>
      </w:r>
      <w:r>
        <w:rPr>
          <w:rFonts w:hint="eastAsia"/>
        </w:rPr>
        <w:t>。</w:t>
      </w:r>
    </w:p>
    <w:p>
      <w:pPr>
        <w:pStyle w:val="19"/>
        <w:jc w:val="center"/>
      </w:pPr>
      <w:bookmarkStart w:id="144" w:name="_Ref221023694"/>
      <w:r>
        <w:rPr>
          <w:rFonts w:hint="eastAsia"/>
        </w:rPr>
        <w:t>表</w:t>
      </w:r>
      <w:r>
        <w:t>4.3</w:t>
      </w:r>
      <w:bookmarkEnd w:id="144"/>
      <w:r>
        <w:t xml:space="preserve">-1   </w:t>
      </w:r>
      <w:r>
        <w:rPr>
          <w:rFonts w:hint="eastAsia"/>
        </w:rPr>
        <w:t>拟建项目环境影响因子筛选表</w:t>
      </w:r>
    </w:p>
    <w:tbl>
      <w:tblPr>
        <w:tblStyle w:val="65"/>
        <w:tblW w:w="9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4941"/>
        <w:gridCol w:w="1169"/>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895" w:type="dxa"/>
            <w:vAlign w:val="center"/>
          </w:tcPr>
          <w:p>
            <w:pPr>
              <w:pStyle w:val="112"/>
              <w:rPr>
                <w:kern w:val="2"/>
              </w:rPr>
            </w:pPr>
            <w:r>
              <w:rPr>
                <w:rFonts w:hint="eastAsia"/>
                <w:kern w:val="2"/>
              </w:rPr>
              <w:t>环境要素</w:t>
            </w:r>
          </w:p>
        </w:tc>
        <w:tc>
          <w:tcPr>
            <w:tcW w:w="4941" w:type="dxa"/>
            <w:vAlign w:val="center"/>
          </w:tcPr>
          <w:p>
            <w:pPr>
              <w:pStyle w:val="112"/>
              <w:rPr>
                <w:kern w:val="2"/>
              </w:rPr>
            </w:pPr>
            <w:r>
              <w:rPr>
                <w:rFonts w:hint="eastAsia"/>
                <w:kern w:val="2"/>
              </w:rPr>
              <w:t>影响因子</w:t>
            </w:r>
          </w:p>
        </w:tc>
        <w:tc>
          <w:tcPr>
            <w:tcW w:w="1169" w:type="dxa"/>
            <w:vAlign w:val="center"/>
          </w:tcPr>
          <w:p>
            <w:pPr>
              <w:pStyle w:val="112"/>
              <w:rPr>
                <w:kern w:val="2"/>
              </w:rPr>
            </w:pPr>
            <w:r>
              <w:rPr>
                <w:rFonts w:hint="eastAsia"/>
                <w:kern w:val="2"/>
              </w:rPr>
              <w:t>施工期</w:t>
            </w:r>
          </w:p>
        </w:tc>
        <w:tc>
          <w:tcPr>
            <w:tcW w:w="1169" w:type="dxa"/>
            <w:vAlign w:val="center"/>
          </w:tcPr>
          <w:p>
            <w:pPr>
              <w:pStyle w:val="112"/>
              <w:rPr>
                <w:kern w:val="2"/>
              </w:rPr>
            </w:pPr>
            <w:r>
              <w:rPr>
                <w:rFonts w:hint="eastAsia"/>
                <w:kern w:val="2"/>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5" w:type="dxa"/>
            <w:vMerge w:val="restart"/>
            <w:vAlign w:val="center"/>
          </w:tcPr>
          <w:p>
            <w:pPr>
              <w:pStyle w:val="112"/>
              <w:rPr>
                <w:kern w:val="2"/>
              </w:rPr>
            </w:pPr>
            <w:r>
              <w:rPr>
                <w:rFonts w:hint="eastAsia"/>
                <w:kern w:val="2"/>
              </w:rPr>
              <w:t>社会环境</w:t>
            </w:r>
          </w:p>
        </w:tc>
        <w:tc>
          <w:tcPr>
            <w:tcW w:w="4941" w:type="dxa"/>
            <w:vAlign w:val="center"/>
          </w:tcPr>
          <w:p>
            <w:pPr>
              <w:pStyle w:val="112"/>
              <w:rPr>
                <w:kern w:val="2"/>
              </w:rPr>
            </w:pPr>
            <w:r>
              <w:rPr>
                <w:rFonts w:hint="eastAsia"/>
                <w:kern w:val="2"/>
              </w:rPr>
              <w:t>交通运输条件、社会经济发展</w:t>
            </w:r>
          </w:p>
        </w:tc>
        <w:tc>
          <w:tcPr>
            <w:tcW w:w="1169" w:type="dxa"/>
            <w:vAlign w:val="center"/>
          </w:tcPr>
          <w:p>
            <w:pPr>
              <w:pStyle w:val="112"/>
              <w:rPr>
                <w:rFonts w:ascii="宋体"/>
                <w:kern w:val="2"/>
              </w:rPr>
            </w:pPr>
            <w:r>
              <w:rPr>
                <w:rFonts w:hint="eastAsia" w:ascii="宋体"/>
                <w:kern w:val="2"/>
              </w:rPr>
              <w:t>○</w:t>
            </w:r>
          </w:p>
        </w:tc>
        <w:tc>
          <w:tcPr>
            <w:tcW w:w="1169" w:type="dxa"/>
            <w:vAlign w:val="center"/>
          </w:tcPr>
          <w:p>
            <w:pPr>
              <w:pStyle w:val="112"/>
              <w:rPr>
                <w:rFonts w:ascii="宋体"/>
                <w:kern w:val="2"/>
              </w:rPr>
            </w:pPr>
            <w:r>
              <w:rPr>
                <w:rFonts w:hint="eastAsia" w:ascii="宋体"/>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5" w:type="dxa"/>
            <w:vMerge w:val="continue"/>
            <w:vAlign w:val="center"/>
          </w:tcPr>
          <w:p>
            <w:pPr>
              <w:pStyle w:val="112"/>
              <w:rPr>
                <w:kern w:val="2"/>
              </w:rPr>
            </w:pPr>
          </w:p>
        </w:tc>
        <w:tc>
          <w:tcPr>
            <w:tcW w:w="4941" w:type="dxa"/>
            <w:vAlign w:val="center"/>
          </w:tcPr>
          <w:p>
            <w:pPr>
              <w:pStyle w:val="112"/>
              <w:rPr>
                <w:kern w:val="2"/>
              </w:rPr>
            </w:pPr>
            <w:r>
              <w:rPr>
                <w:rFonts w:hint="eastAsia"/>
                <w:kern w:val="2"/>
              </w:rPr>
              <w:t>土地占用土地利用开发</w:t>
            </w:r>
          </w:p>
        </w:tc>
        <w:tc>
          <w:tcPr>
            <w:tcW w:w="1169" w:type="dxa"/>
            <w:vAlign w:val="center"/>
          </w:tcPr>
          <w:p>
            <w:pPr>
              <w:pStyle w:val="112"/>
              <w:rPr>
                <w:rFonts w:ascii="宋体"/>
                <w:kern w:val="2"/>
              </w:rPr>
            </w:pPr>
            <w:r>
              <w:rPr>
                <w:rFonts w:hint="eastAsia" w:ascii="宋体"/>
                <w:kern w:val="2"/>
              </w:rPr>
              <w:t>☆</w:t>
            </w:r>
          </w:p>
        </w:tc>
        <w:tc>
          <w:tcPr>
            <w:tcW w:w="1169" w:type="dxa"/>
            <w:vAlign w:val="center"/>
          </w:tcPr>
          <w:p>
            <w:pPr>
              <w:pStyle w:val="112"/>
              <w:rPr>
                <w:rFonts w:ascii="宋体"/>
                <w:kern w:val="2"/>
              </w:rPr>
            </w:pPr>
            <w:r>
              <w:rPr>
                <w:rFonts w:hint="eastAsia" w:ascii="宋体"/>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5" w:type="dxa"/>
            <w:vMerge w:val="continue"/>
            <w:vAlign w:val="center"/>
          </w:tcPr>
          <w:p>
            <w:pPr>
              <w:pStyle w:val="112"/>
              <w:rPr>
                <w:kern w:val="2"/>
              </w:rPr>
            </w:pPr>
          </w:p>
        </w:tc>
        <w:tc>
          <w:tcPr>
            <w:tcW w:w="4941" w:type="dxa"/>
            <w:vAlign w:val="center"/>
          </w:tcPr>
          <w:p>
            <w:pPr>
              <w:pStyle w:val="112"/>
              <w:rPr>
                <w:kern w:val="2"/>
              </w:rPr>
            </w:pPr>
            <w:r>
              <w:rPr>
                <w:rFonts w:hint="eastAsia"/>
                <w:kern w:val="2"/>
              </w:rPr>
              <w:t>居民生活质量（拆迁安置、交往便利性）</w:t>
            </w:r>
          </w:p>
        </w:tc>
        <w:tc>
          <w:tcPr>
            <w:tcW w:w="1169" w:type="dxa"/>
            <w:vAlign w:val="center"/>
          </w:tcPr>
          <w:p>
            <w:pPr>
              <w:pStyle w:val="112"/>
              <w:rPr>
                <w:rFonts w:ascii="宋体"/>
                <w:kern w:val="2"/>
              </w:rPr>
            </w:pPr>
            <w:r>
              <w:rPr>
                <w:rFonts w:hint="eastAsia" w:ascii="宋体"/>
                <w:kern w:val="2"/>
              </w:rPr>
              <w:t>★</w:t>
            </w:r>
          </w:p>
        </w:tc>
        <w:tc>
          <w:tcPr>
            <w:tcW w:w="1169" w:type="dxa"/>
            <w:vAlign w:val="center"/>
          </w:tcPr>
          <w:p>
            <w:pPr>
              <w:pStyle w:val="112"/>
              <w:rPr>
                <w:rFonts w:ascii="宋体"/>
                <w:kern w:val="2"/>
              </w:rPr>
            </w:pPr>
            <w:r>
              <w:rPr>
                <w:rFonts w:hint="eastAsia" w:ascii="宋体"/>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5" w:type="dxa"/>
            <w:vMerge w:val="restart"/>
            <w:vAlign w:val="center"/>
          </w:tcPr>
          <w:p>
            <w:pPr>
              <w:pStyle w:val="112"/>
              <w:rPr>
                <w:kern w:val="2"/>
              </w:rPr>
            </w:pPr>
            <w:r>
              <w:rPr>
                <w:rFonts w:hint="eastAsia"/>
                <w:kern w:val="2"/>
              </w:rPr>
              <w:t>生态环境</w:t>
            </w:r>
          </w:p>
        </w:tc>
        <w:tc>
          <w:tcPr>
            <w:tcW w:w="4941" w:type="dxa"/>
            <w:vAlign w:val="center"/>
          </w:tcPr>
          <w:p>
            <w:pPr>
              <w:pStyle w:val="112"/>
              <w:rPr>
                <w:kern w:val="2"/>
              </w:rPr>
            </w:pPr>
            <w:r>
              <w:rPr>
                <w:rFonts w:hint="eastAsia"/>
                <w:kern w:val="2"/>
              </w:rPr>
              <w:t>局部地貌</w:t>
            </w:r>
          </w:p>
        </w:tc>
        <w:tc>
          <w:tcPr>
            <w:tcW w:w="1169" w:type="dxa"/>
            <w:vAlign w:val="center"/>
          </w:tcPr>
          <w:p>
            <w:pPr>
              <w:pStyle w:val="112"/>
              <w:rPr>
                <w:rFonts w:ascii="宋体"/>
                <w:kern w:val="2"/>
              </w:rPr>
            </w:pPr>
            <w:r>
              <w:rPr>
                <w:rFonts w:hint="eastAsia" w:ascii="宋体"/>
                <w:kern w:val="2"/>
              </w:rPr>
              <w:t>☆</w:t>
            </w:r>
          </w:p>
        </w:tc>
        <w:tc>
          <w:tcPr>
            <w:tcW w:w="1169" w:type="dxa"/>
            <w:vAlign w:val="center"/>
          </w:tcPr>
          <w:p>
            <w:pPr>
              <w:pStyle w:val="112"/>
              <w:rPr>
                <w:rFonts w:ascii="宋体"/>
                <w:kern w:val="2"/>
              </w:rPr>
            </w:pPr>
            <w:r>
              <w:rPr>
                <w:rFonts w:hint="eastAsia" w:ascii="宋体"/>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5" w:type="dxa"/>
            <w:vMerge w:val="continue"/>
            <w:vAlign w:val="center"/>
          </w:tcPr>
          <w:p>
            <w:pPr>
              <w:pStyle w:val="112"/>
              <w:rPr>
                <w:kern w:val="2"/>
              </w:rPr>
            </w:pPr>
          </w:p>
        </w:tc>
        <w:tc>
          <w:tcPr>
            <w:tcW w:w="4941" w:type="dxa"/>
            <w:vAlign w:val="center"/>
          </w:tcPr>
          <w:p>
            <w:pPr>
              <w:pStyle w:val="112"/>
              <w:rPr>
                <w:kern w:val="2"/>
              </w:rPr>
            </w:pPr>
            <w:r>
              <w:rPr>
                <w:rFonts w:hint="eastAsia"/>
                <w:kern w:val="2"/>
              </w:rPr>
              <w:t>植被及农作物</w:t>
            </w:r>
          </w:p>
        </w:tc>
        <w:tc>
          <w:tcPr>
            <w:tcW w:w="1169" w:type="dxa"/>
            <w:vAlign w:val="center"/>
          </w:tcPr>
          <w:p>
            <w:pPr>
              <w:pStyle w:val="112"/>
              <w:rPr>
                <w:rFonts w:ascii="宋体"/>
                <w:kern w:val="2"/>
              </w:rPr>
            </w:pPr>
            <w:r>
              <w:rPr>
                <w:rFonts w:hint="eastAsia" w:ascii="宋体"/>
                <w:kern w:val="2"/>
              </w:rPr>
              <w:t>★</w:t>
            </w:r>
          </w:p>
        </w:tc>
        <w:tc>
          <w:tcPr>
            <w:tcW w:w="1169" w:type="dxa"/>
            <w:vAlign w:val="center"/>
          </w:tcPr>
          <w:p>
            <w:pPr>
              <w:pStyle w:val="112"/>
              <w:rPr>
                <w:rFonts w:ascii="宋体"/>
                <w:kern w:val="2"/>
              </w:rPr>
            </w:pPr>
            <w:r>
              <w:rPr>
                <w:rFonts w:hint="eastAsia" w:ascii="宋体"/>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5" w:type="dxa"/>
            <w:vMerge w:val="restart"/>
            <w:vAlign w:val="center"/>
          </w:tcPr>
          <w:p>
            <w:pPr>
              <w:pStyle w:val="112"/>
              <w:rPr>
                <w:kern w:val="2"/>
              </w:rPr>
            </w:pPr>
            <w:r>
              <w:rPr>
                <w:rFonts w:hint="eastAsia"/>
                <w:kern w:val="2"/>
              </w:rPr>
              <w:t>水环境</w:t>
            </w:r>
          </w:p>
        </w:tc>
        <w:tc>
          <w:tcPr>
            <w:tcW w:w="4941" w:type="dxa"/>
            <w:vAlign w:val="center"/>
          </w:tcPr>
          <w:p>
            <w:pPr>
              <w:pStyle w:val="112"/>
              <w:rPr>
                <w:kern w:val="2"/>
              </w:rPr>
            </w:pPr>
            <w:r>
              <w:rPr>
                <w:rFonts w:hint="eastAsia"/>
                <w:kern w:val="2"/>
              </w:rPr>
              <w:t>地面水环境质量</w:t>
            </w:r>
          </w:p>
        </w:tc>
        <w:tc>
          <w:tcPr>
            <w:tcW w:w="1169" w:type="dxa"/>
            <w:vAlign w:val="center"/>
          </w:tcPr>
          <w:p>
            <w:pPr>
              <w:pStyle w:val="112"/>
              <w:rPr>
                <w:rFonts w:ascii="宋体"/>
                <w:kern w:val="2"/>
              </w:rPr>
            </w:pPr>
            <w:r>
              <w:rPr>
                <w:rFonts w:hint="eastAsia" w:ascii="宋体"/>
                <w:kern w:val="2"/>
              </w:rPr>
              <w:t>☆</w:t>
            </w:r>
          </w:p>
        </w:tc>
        <w:tc>
          <w:tcPr>
            <w:tcW w:w="1169" w:type="dxa"/>
            <w:vAlign w:val="center"/>
          </w:tcPr>
          <w:p>
            <w:pPr>
              <w:pStyle w:val="112"/>
              <w:rPr>
                <w:rFonts w:ascii="宋体"/>
                <w:kern w:val="2"/>
              </w:rPr>
            </w:pPr>
            <w:r>
              <w:rPr>
                <w:rFonts w:hint="eastAsia" w:ascii="宋体"/>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5" w:type="dxa"/>
            <w:vMerge w:val="continue"/>
            <w:vAlign w:val="center"/>
          </w:tcPr>
          <w:p>
            <w:pPr>
              <w:pStyle w:val="112"/>
              <w:rPr>
                <w:kern w:val="2"/>
              </w:rPr>
            </w:pPr>
          </w:p>
        </w:tc>
        <w:tc>
          <w:tcPr>
            <w:tcW w:w="4941" w:type="dxa"/>
            <w:vAlign w:val="center"/>
          </w:tcPr>
          <w:p>
            <w:pPr>
              <w:pStyle w:val="112"/>
              <w:rPr>
                <w:kern w:val="2"/>
              </w:rPr>
            </w:pPr>
            <w:r>
              <w:rPr>
                <w:rFonts w:hint="eastAsia"/>
                <w:kern w:val="2"/>
              </w:rPr>
              <w:t>水文地质</w:t>
            </w:r>
          </w:p>
        </w:tc>
        <w:tc>
          <w:tcPr>
            <w:tcW w:w="1169" w:type="dxa"/>
            <w:vAlign w:val="center"/>
          </w:tcPr>
          <w:p>
            <w:pPr>
              <w:pStyle w:val="112"/>
              <w:rPr>
                <w:rFonts w:ascii="宋体"/>
                <w:kern w:val="2"/>
              </w:rPr>
            </w:pPr>
            <w:r>
              <w:rPr>
                <w:rFonts w:hint="eastAsia" w:ascii="宋体"/>
                <w:kern w:val="2"/>
              </w:rPr>
              <w:t>☆</w:t>
            </w:r>
          </w:p>
        </w:tc>
        <w:tc>
          <w:tcPr>
            <w:tcW w:w="1169" w:type="dxa"/>
            <w:vAlign w:val="center"/>
          </w:tcPr>
          <w:p>
            <w:pPr>
              <w:pStyle w:val="112"/>
              <w:rPr>
                <w:rFonts w:ascii="宋体"/>
                <w:kern w:val="2"/>
              </w:rPr>
            </w:pPr>
            <w:r>
              <w:rPr>
                <w:rFonts w:hint="eastAsia" w:ascii="宋体"/>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5" w:type="dxa"/>
            <w:vMerge w:val="continue"/>
            <w:vAlign w:val="center"/>
          </w:tcPr>
          <w:p>
            <w:pPr>
              <w:pStyle w:val="112"/>
              <w:rPr>
                <w:kern w:val="2"/>
              </w:rPr>
            </w:pPr>
          </w:p>
        </w:tc>
        <w:tc>
          <w:tcPr>
            <w:tcW w:w="4941" w:type="dxa"/>
            <w:vAlign w:val="center"/>
          </w:tcPr>
          <w:p>
            <w:pPr>
              <w:pStyle w:val="112"/>
              <w:rPr>
                <w:kern w:val="2"/>
              </w:rPr>
            </w:pPr>
            <w:r>
              <w:rPr>
                <w:rFonts w:hint="eastAsia"/>
                <w:kern w:val="2"/>
              </w:rPr>
              <w:t>水土流失量</w:t>
            </w:r>
          </w:p>
        </w:tc>
        <w:tc>
          <w:tcPr>
            <w:tcW w:w="1169" w:type="dxa"/>
            <w:vAlign w:val="center"/>
          </w:tcPr>
          <w:p>
            <w:pPr>
              <w:pStyle w:val="112"/>
              <w:rPr>
                <w:rFonts w:ascii="宋体"/>
                <w:kern w:val="2"/>
              </w:rPr>
            </w:pPr>
            <w:r>
              <w:rPr>
                <w:rFonts w:hint="eastAsia" w:ascii="宋体"/>
                <w:kern w:val="2"/>
              </w:rPr>
              <w:t>★</w:t>
            </w:r>
          </w:p>
        </w:tc>
        <w:tc>
          <w:tcPr>
            <w:tcW w:w="1169" w:type="dxa"/>
            <w:vAlign w:val="center"/>
          </w:tcPr>
          <w:p>
            <w:pPr>
              <w:pStyle w:val="112"/>
              <w:rPr>
                <w:rFonts w:ascii="宋体"/>
                <w:kern w:val="2"/>
              </w:rPr>
            </w:pPr>
            <w:r>
              <w:rPr>
                <w:rFonts w:hint="eastAsia" w:ascii="宋体"/>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5" w:type="dxa"/>
            <w:vAlign w:val="center"/>
          </w:tcPr>
          <w:p>
            <w:pPr>
              <w:pStyle w:val="112"/>
              <w:rPr>
                <w:kern w:val="2"/>
              </w:rPr>
            </w:pPr>
            <w:r>
              <w:rPr>
                <w:rFonts w:hint="eastAsia"/>
                <w:kern w:val="2"/>
              </w:rPr>
              <w:t>声环境</w:t>
            </w:r>
          </w:p>
        </w:tc>
        <w:tc>
          <w:tcPr>
            <w:tcW w:w="4941" w:type="dxa"/>
            <w:vAlign w:val="center"/>
          </w:tcPr>
          <w:p>
            <w:pPr>
              <w:pStyle w:val="112"/>
              <w:rPr>
                <w:kern w:val="2"/>
              </w:rPr>
            </w:pPr>
            <w:r>
              <w:rPr>
                <w:rFonts w:hint="eastAsia"/>
                <w:kern w:val="2"/>
              </w:rPr>
              <w:t>交通噪声</w:t>
            </w:r>
          </w:p>
        </w:tc>
        <w:tc>
          <w:tcPr>
            <w:tcW w:w="1169" w:type="dxa"/>
            <w:vAlign w:val="center"/>
          </w:tcPr>
          <w:p>
            <w:pPr>
              <w:pStyle w:val="112"/>
              <w:rPr>
                <w:rFonts w:ascii="宋体"/>
                <w:kern w:val="2"/>
              </w:rPr>
            </w:pPr>
            <w:r>
              <w:rPr>
                <w:rFonts w:hint="eastAsia" w:ascii="宋体"/>
                <w:kern w:val="2"/>
              </w:rPr>
              <w:t>☆</w:t>
            </w:r>
          </w:p>
        </w:tc>
        <w:tc>
          <w:tcPr>
            <w:tcW w:w="1169" w:type="dxa"/>
            <w:vAlign w:val="center"/>
          </w:tcPr>
          <w:p>
            <w:pPr>
              <w:pStyle w:val="112"/>
              <w:rPr>
                <w:rFonts w:ascii="宋体"/>
                <w:kern w:val="2"/>
              </w:rPr>
            </w:pPr>
            <w:r>
              <w:rPr>
                <w:rFonts w:hint="eastAsia" w:ascii="宋体"/>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5" w:type="dxa"/>
            <w:vMerge w:val="restart"/>
            <w:vAlign w:val="center"/>
          </w:tcPr>
          <w:p>
            <w:pPr>
              <w:pStyle w:val="112"/>
              <w:rPr>
                <w:kern w:val="2"/>
              </w:rPr>
            </w:pPr>
            <w:r>
              <w:rPr>
                <w:rFonts w:hint="eastAsia"/>
                <w:kern w:val="2"/>
              </w:rPr>
              <w:t>环境空气</w:t>
            </w:r>
          </w:p>
        </w:tc>
        <w:tc>
          <w:tcPr>
            <w:tcW w:w="4941" w:type="dxa"/>
            <w:vAlign w:val="center"/>
          </w:tcPr>
          <w:p>
            <w:pPr>
              <w:pStyle w:val="112"/>
              <w:rPr>
                <w:kern w:val="2"/>
              </w:rPr>
            </w:pPr>
            <w:r>
              <w:rPr>
                <w:kern w:val="2"/>
              </w:rPr>
              <w:t>TSP</w:t>
            </w:r>
          </w:p>
        </w:tc>
        <w:tc>
          <w:tcPr>
            <w:tcW w:w="1169" w:type="dxa"/>
            <w:vAlign w:val="center"/>
          </w:tcPr>
          <w:p>
            <w:pPr>
              <w:pStyle w:val="112"/>
              <w:rPr>
                <w:rFonts w:ascii="宋体"/>
                <w:kern w:val="2"/>
              </w:rPr>
            </w:pPr>
            <w:r>
              <w:rPr>
                <w:rFonts w:hint="eastAsia" w:ascii="宋体"/>
                <w:kern w:val="2"/>
              </w:rPr>
              <w:t>★</w:t>
            </w:r>
          </w:p>
        </w:tc>
        <w:tc>
          <w:tcPr>
            <w:tcW w:w="1169" w:type="dxa"/>
            <w:vAlign w:val="center"/>
          </w:tcPr>
          <w:p>
            <w:pPr>
              <w:pStyle w:val="112"/>
              <w:rPr>
                <w:rFonts w:ascii="宋体"/>
                <w:kern w:val="2"/>
              </w:rPr>
            </w:pPr>
            <w:r>
              <w:rPr>
                <w:rFonts w:hint="eastAsia" w:ascii="宋体"/>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5" w:type="dxa"/>
            <w:vMerge w:val="continue"/>
            <w:vAlign w:val="center"/>
          </w:tcPr>
          <w:p>
            <w:pPr>
              <w:pStyle w:val="112"/>
              <w:rPr>
                <w:kern w:val="2"/>
              </w:rPr>
            </w:pPr>
          </w:p>
        </w:tc>
        <w:tc>
          <w:tcPr>
            <w:tcW w:w="4941" w:type="dxa"/>
            <w:vAlign w:val="center"/>
          </w:tcPr>
          <w:p>
            <w:pPr>
              <w:pStyle w:val="112"/>
              <w:rPr>
                <w:kern w:val="2"/>
              </w:rPr>
            </w:pPr>
            <w:r>
              <w:rPr>
                <w:rFonts w:hint="eastAsia"/>
                <w:kern w:val="2"/>
              </w:rPr>
              <w:t>汽车尾气中的有害物（</w:t>
            </w:r>
            <w:r>
              <w:rPr>
                <w:kern w:val="2"/>
              </w:rPr>
              <w:t>NO</w:t>
            </w:r>
            <w:r>
              <w:rPr>
                <w:kern w:val="2"/>
                <w:vertAlign w:val="subscript"/>
              </w:rPr>
              <w:t>2</w:t>
            </w:r>
            <w:r>
              <w:rPr>
                <w:rFonts w:hint="eastAsia"/>
                <w:kern w:val="2"/>
              </w:rPr>
              <w:t>）</w:t>
            </w:r>
          </w:p>
        </w:tc>
        <w:tc>
          <w:tcPr>
            <w:tcW w:w="1169" w:type="dxa"/>
            <w:vAlign w:val="center"/>
          </w:tcPr>
          <w:p>
            <w:pPr>
              <w:pStyle w:val="112"/>
              <w:rPr>
                <w:rFonts w:ascii="宋体"/>
                <w:kern w:val="2"/>
              </w:rPr>
            </w:pPr>
            <w:r>
              <w:rPr>
                <w:rFonts w:hint="eastAsia" w:ascii="宋体"/>
                <w:kern w:val="2"/>
              </w:rPr>
              <w:t>○</w:t>
            </w:r>
          </w:p>
        </w:tc>
        <w:tc>
          <w:tcPr>
            <w:tcW w:w="1169" w:type="dxa"/>
            <w:vAlign w:val="center"/>
          </w:tcPr>
          <w:p>
            <w:pPr>
              <w:pStyle w:val="112"/>
              <w:rPr>
                <w:rFonts w:ascii="宋体"/>
                <w:kern w:val="2"/>
              </w:rPr>
            </w:pPr>
            <w:r>
              <w:rPr>
                <w:rFonts w:hint="eastAsia" w:ascii="宋体"/>
                <w:kern w:val="2"/>
              </w:rPr>
              <w:t>☆</w:t>
            </w:r>
          </w:p>
        </w:tc>
      </w:tr>
    </w:tbl>
    <w:p>
      <w:pPr>
        <w:spacing w:line="360" w:lineRule="auto"/>
        <w:rPr>
          <w:rFonts w:eastAsia="仿宋"/>
          <w:sz w:val="21"/>
          <w:szCs w:val="21"/>
        </w:rPr>
      </w:pPr>
      <w:r>
        <w:rPr>
          <w:rFonts w:hint="eastAsia" w:hAnsi="仿宋" w:eastAsia="仿宋"/>
          <w:sz w:val="21"/>
          <w:szCs w:val="21"/>
        </w:rPr>
        <w:t>注：★</w:t>
      </w:r>
      <w:r>
        <w:rPr>
          <w:rFonts w:eastAsia="仿宋"/>
          <w:sz w:val="21"/>
          <w:szCs w:val="21"/>
        </w:rPr>
        <w:t>—</w:t>
      </w:r>
      <w:r>
        <w:rPr>
          <w:rFonts w:hint="eastAsia" w:hAnsi="仿宋" w:eastAsia="仿宋"/>
          <w:sz w:val="21"/>
          <w:szCs w:val="21"/>
        </w:rPr>
        <w:t>显著影响，☆</w:t>
      </w:r>
      <w:r>
        <w:rPr>
          <w:rFonts w:eastAsia="仿宋"/>
          <w:sz w:val="21"/>
          <w:szCs w:val="21"/>
        </w:rPr>
        <w:t>—</w:t>
      </w:r>
      <w:r>
        <w:rPr>
          <w:rFonts w:hint="eastAsia" w:hAnsi="仿宋" w:eastAsia="仿宋"/>
          <w:sz w:val="21"/>
          <w:szCs w:val="21"/>
        </w:rPr>
        <w:t>一般影响，</w:t>
      </w:r>
      <w:r>
        <w:rPr>
          <w:rFonts w:eastAsia="仿宋"/>
          <w:sz w:val="21"/>
          <w:szCs w:val="21"/>
        </w:rPr>
        <w:t>○—</w:t>
      </w:r>
      <w:r>
        <w:rPr>
          <w:rFonts w:hint="eastAsia" w:hAnsi="仿宋" w:eastAsia="仿宋"/>
          <w:sz w:val="21"/>
          <w:szCs w:val="21"/>
        </w:rPr>
        <w:t>轻微影响</w:t>
      </w:r>
    </w:p>
    <w:p>
      <w:pPr>
        <w:pStyle w:val="4"/>
        <w:ind w:left="567" w:hanging="567"/>
      </w:pPr>
      <w:bookmarkStart w:id="145" w:name="_Toc21541"/>
      <w:r>
        <w:rPr>
          <w:rFonts w:hint="eastAsia"/>
        </w:rPr>
        <w:t>污染源强分析</w:t>
      </w:r>
      <w:bookmarkEnd w:id="143"/>
      <w:bookmarkEnd w:id="145"/>
    </w:p>
    <w:p>
      <w:pPr>
        <w:pStyle w:val="5"/>
        <w:ind w:left="567" w:hanging="567"/>
      </w:pPr>
      <w:r>
        <w:rPr>
          <w:rFonts w:hint="eastAsia"/>
        </w:rPr>
        <w:t>水污染源强分析</w:t>
      </w:r>
    </w:p>
    <w:p>
      <w:pPr>
        <w:pStyle w:val="6"/>
        <w:ind w:left="567" w:hanging="567"/>
      </w:pPr>
      <w:r>
        <w:rPr>
          <w:rFonts w:hint="eastAsia"/>
        </w:rPr>
        <w:t>施工期</w:t>
      </w:r>
    </w:p>
    <w:p>
      <w:pPr>
        <w:spacing w:line="360" w:lineRule="auto"/>
        <w:ind w:firstLine="31680" w:firstLineChars="200"/>
        <w:rPr>
          <w:sz w:val="24"/>
          <w:szCs w:val="24"/>
        </w:rPr>
      </w:pPr>
      <w:r>
        <w:rPr>
          <w:sz w:val="24"/>
          <w:szCs w:val="24"/>
        </w:rPr>
        <w:t>a</w:t>
      </w:r>
      <w:r>
        <w:rPr>
          <w:rFonts w:hint="eastAsia" w:hAnsi="宋体"/>
          <w:sz w:val="24"/>
          <w:szCs w:val="24"/>
        </w:rPr>
        <w:t>）施工人员生活污水</w:t>
      </w:r>
    </w:p>
    <w:p>
      <w:pPr>
        <w:pStyle w:val="3"/>
        <w:ind w:firstLine="31680"/>
      </w:pPr>
      <w:r>
        <w:rPr>
          <w:rFonts w:hint="eastAsia"/>
        </w:rPr>
        <w:t>生活污水主要来源于施工生产生活区，其中主要是施工人员就餐和洗涤产生的污水及粪便污水，主要含</w:t>
      </w:r>
      <w:r>
        <w:t>COD</w:t>
      </w:r>
      <w:r>
        <w:rPr>
          <w:rFonts w:hint="eastAsia"/>
        </w:rPr>
        <w:t>、</w:t>
      </w:r>
      <w:r>
        <w:t>SS</w:t>
      </w:r>
      <w:r>
        <w:rPr>
          <w:rFonts w:hint="eastAsia"/>
        </w:rPr>
        <w:t>氨氮等污染物，污染物成分及浓度详见表</w:t>
      </w:r>
      <w:r>
        <w:t>4.4-1</w:t>
      </w:r>
      <w:r>
        <w:rPr>
          <w:rFonts w:hint="eastAsia"/>
        </w:rPr>
        <w:t>。</w:t>
      </w:r>
      <w:bookmarkStart w:id="146" w:name="_Ref301947182"/>
    </w:p>
    <w:bookmarkEnd w:id="146"/>
    <w:p>
      <w:pPr>
        <w:pStyle w:val="19"/>
        <w:jc w:val="center"/>
      </w:pPr>
      <w:bookmarkStart w:id="147" w:name="_Ref397593227"/>
      <w:r>
        <w:rPr>
          <w:rFonts w:hint="eastAsia"/>
        </w:rPr>
        <w:t>表</w:t>
      </w:r>
      <w:r>
        <w:t>4.4</w:t>
      </w:r>
      <w:bookmarkEnd w:id="147"/>
      <w:r>
        <w:t xml:space="preserve">-1   </w:t>
      </w:r>
      <w:r>
        <w:rPr>
          <w:rFonts w:hint="eastAsia"/>
        </w:rPr>
        <w:t>施工生产生活区生活污水成分及浓度</w:t>
      </w:r>
      <w:r>
        <w:t xml:space="preserve">   </w:t>
      </w:r>
      <w:r>
        <w:rPr>
          <w:rFonts w:hint="eastAsia"/>
        </w:rPr>
        <w:t>单位：</w:t>
      </w:r>
      <w:r>
        <w:t>mg/L</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1"/>
        <w:gridCol w:w="1134"/>
        <w:gridCol w:w="1134"/>
        <w:gridCol w:w="993"/>
        <w:gridCol w:w="1055"/>
        <w:gridCol w:w="1072"/>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2801" w:type="dxa"/>
            <w:vAlign w:val="center"/>
          </w:tcPr>
          <w:p>
            <w:pPr>
              <w:pStyle w:val="112"/>
              <w:rPr>
                <w:kern w:val="2"/>
              </w:rPr>
            </w:pPr>
            <w:r>
              <w:rPr>
                <w:rFonts w:hint="eastAsia"/>
                <w:kern w:val="2"/>
              </w:rPr>
              <w:t>主要污染物名称</w:t>
            </w:r>
          </w:p>
        </w:tc>
        <w:tc>
          <w:tcPr>
            <w:tcW w:w="1134" w:type="dxa"/>
            <w:vAlign w:val="center"/>
          </w:tcPr>
          <w:p>
            <w:pPr>
              <w:pStyle w:val="112"/>
              <w:rPr>
                <w:kern w:val="2"/>
              </w:rPr>
            </w:pPr>
            <w:r>
              <w:rPr>
                <w:kern w:val="2"/>
              </w:rPr>
              <w:t>BOD</w:t>
            </w:r>
            <w:r>
              <w:rPr>
                <w:kern w:val="2"/>
                <w:vertAlign w:val="subscript"/>
              </w:rPr>
              <w:t>5</w:t>
            </w:r>
          </w:p>
        </w:tc>
        <w:tc>
          <w:tcPr>
            <w:tcW w:w="1134" w:type="dxa"/>
            <w:vAlign w:val="center"/>
          </w:tcPr>
          <w:p>
            <w:pPr>
              <w:pStyle w:val="112"/>
              <w:rPr>
                <w:kern w:val="2"/>
              </w:rPr>
            </w:pPr>
            <w:r>
              <w:rPr>
                <w:kern w:val="2"/>
              </w:rPr>
              <w:t>COD</w:t>
            </w:r>
          </w:p>
        </w:tc>
        <w:tc>
          <w:tcPr>
            <w:tcW w:w="993" w:type="dxa"/>
            <w:vAlign w:val="center"/>
          </w:tcPr>
          <w:p>
            <w:pPr>
              <w:pStyle w:val="112"/>
              <w:rPr>
                <w:kern w:val="2"/>
              </w:rPr>
            </w:pPr>
            <w:r>
              <w:rPr>
                <w:kern w:val="2"/>
              </w:rPr>
              <w:t>TN</w:t>
            </w:r>
          </w:p>
        </w:tc>
        <w:tc>
          <w:tcPr>
            <w:tcW w:w="1055" w:type="dxa"/>
            <w:vAlign w:val="center"/>
          </w:tcPr>
          <w:p>
            <w:pPr>
              <w:pStyle w:val="112"/>
              <w:rPr>
                <w:kern w:val="2"/>
              </w:rPr>
            </w:pPr>
            <w:r>
              <w:rPr>
                <w:kern w:val="2"/>
              </w:rPr>
              <w:t>TP</w:t>
            </w:r>
          </w:p>
        </w:tc>
        <w:tc>
          <w:tcPr>
            <w:tcW w:w="1072" w:type="dxa"/>
            <w:vAlign w:val="center"/>
          </w:tcPr>
          <w:p>
            <w:pPr>
              <w:pStyle w:val="112"/>
              <w:rPr>
                <w:kern w:val="2"/>
              </w:rPr>
            </w:pPr>
            <w:r>
              <w:rPr>
                <w:kern w:val="2"/>
              </w:rPr>
              <w:t>SS</w:t>
            </w:r>
          </w:p>
        </w:tc>
        <w:tc>
          <w:tcPr>
            <w:tcW w:w="985" w:type="dxa"/>
            <w:vAlign w:val="center"/>
          </w:tcPr>
          <w:p>
            <w:pPr>
              <w:pStyle w:val="112"/>
              <w:rPr>
                <w:kern w:val="2"/>
              </w:rPr>
            </w:pPr>
            <w:r>
              <w:rPr>
                <w:rFonts w:hint="eastAsia"/>
                <w:kern w:val="2"/>
              </w:rPr>
              <w:t>油脂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2801" w:type="dxa"/>
            <w:vAlign w:val="center"/>
          </w:tcPr>
          <w:p>
            <w:pPr>
              <w:pStyle w:val="112"/>
              <w:rPr>
                <w:kern w:val="2"/>
              </w:rPr>
            </w:pPr>
            <w:r>
              <w:rPr>
                <w:rFonts w:hint="eastAsia"/>
                <w:kern w:val="2"/>
              </w:rPr>
              <w:t>浓度</w:t>
            </w:r>
          </w:p>
        </w:tc>
        <w:tc>
          <w:tcPr>
            <w:tcW w:w="1134" w:type="dxa"/>
            <w:vAlign w:val="center"/>
          </w:tcPr>
          <w:p>
            <w:pPr>
              <w:pStyle w:val="112"/>
              <w:rPr>
                <w:kern w:val="2"/>
              </w:rPr>
            </w:pPr>
            <w:r>
              <w:rPr>
                <w:kern w:val="2"/>
              </w:rPr>
              <w:t>110</w:t>
            </w:r>
          </w:p>
        </w:tc>
        <w:tc>
          <w:tcPr>
            <w:tcW w:w="1134" w:type="dxa"/>
            <w:vAlign w:val="center"/>
          </w:tcPr>
          <w:p>
            <w:pPr>
              <w:pStyle w:val="112"/>
              <w:rPr>
                <w:kern w:val="2"/>
              </w:rPr>
            </w:pPr>
            <w:r>
              <w:rPr>
                <w:kern w:val="2"/>
              </w:rPr>
              <w:t>250</w:t>
            </w:r>
          </w:p>
        </w:tc>
        <w:tc>
          <w:tcPr>
            <w:tcW w:w="993" w:type="dxa"/>
            <w:vAlign w:val="center"/>
          </w:tcPr>
          <w:p>
            <w:pPr>
              <w:pStyle w:val="112"/>
              <w:rPr>
                <w:kern w:val="2"/>
              </w:rPr>
            </w:pPr>
            <w:r>
              <w:rPr>
                <w:kern w:val="2"/>
              </w:rPr>
              <w:t>20</w:t>
            </w:r>
          </w:p>
        </w:tc>
        <w:tc>
          <w:tcPr>
            <w:tcW w:w="1055" w:type="dxa"/>
            <w:vAlign w:val="center"/>
          </w:tcPr>
          <w:p>
            <w:pPr>
              <w:pStyle w:val="112"/>
              <w:rPr>
                <w:kern w:val="2"/>
              </w:rPr>
            </w:pPr>
            <w:r>
              <w:rPr>
                <w:kern w:val="2"/>
              </w:rPr>
              <w:t>4</w:t>
            </w:r>
          </w:p>
        </w:tc>
        <w:tc>
          <w:tcPr>
            <w:tcW w:w="1072" w:type="dxa"/>
            <w:vAlign w:val="center"/>
          </w:tcPr>
          <w:p>
            <w:pPr>
              <w:pStyle w:val="112"/>
              <w:rPr>
                <w:kern w:val="2"/>
              </w:rPr>
            </w:pPr>
            <w:r>
              <w:rPr>
                <w:kern w:val="2"/>
              </w:rPr>
              <w:t>100</w:t>
            </w:r>
          </w:p>
        </w:tc>
        <w:tc>
          <w:tcPr>
            <w:tcW w:w="985" w:type="dxa"/>
            <w:vAlign w:val="center"/>
          </w:tcPr>
          <w:p>
            <w:pPr>
              <w:pStyle w:val="112"/>
              <w:rPr>
                <w:kern w:val="2"/>
              </w:rPr>
            </w:pPr>
            <w:r>
              <w:rPr>
                <w:kern w:val="2"/>
              </w:rPr>
              <w:t>50</w:t>
            </w:r>
          </w:p>
        </w:tc>
      </w:tr>
    </w:tbl>
    <w:p>
      <w:pPr>
        <w:spacing w:line="360" w:lineRule="auto"/>
        <w:ind w:firstLine="31680" w:firstLineChars="200"/>
        <w:rPr>
          <w:sz w:val="24"/>
          <w:szCs w:val="24"/>
        </w:rPr>
      </w:pPr>
      <w:r>
        <w:rPr>
          <w:rFonts w:hint="eastAsia"/>
          <w:sz w:val="24"/>
          <w:szCs w:val="24"/>
        </w:rPr>
        <w:t>南方地区平均每人每天用水量按</w:t>
      </w:r>
      <w:r>
        <w:rPr>
          <w:sz w:val="24"/>
          <w:szCs w:val="24"/>
        </w:rPr>
        <w:t>0.1m</w:t>
      </w:r>
      <w:r>
        <w:rPr>
          <w:sz w:val="24"/>
          <w:szCs w:val="24"/>
          <w:vertAlign w:val="superscript"/>
        </w:rPr>
        <w:t>3</w:t>
      </w:r>
      <w:r>
        <w:rPr>
          <w:rFonts w:hint="eastAsia"/>
          <w:sz w:val="24"/>
          <w:szCs w:val="24"/>
        </w:rPr>
        <w:t>计，污水排放系数取</w:t>
      </w:r>
      <w:r>
        <w:rPr>
          <w:sz w:val="24"/>
          <w:szCs w:val="24"/>
        </w:rPr>
        <w:t>0.8</w:t>
      </w:r>
      <w:r>
        <w:rPr>
          <w:rFonts w:hint="eastAsia"/>
          <w:sz w:val="24"/>
          <w:szCs w:val="24"/>
        </w:rPr>
        <w:t>，则按下述公式计算可得每个施工人员每天产生的生活污水量。生活污水量按下式计算：</w:t>
      </w:r>
    </w:p>
    <w:p>
      <w:pPr>
        <w:spacing w:line="360" w:lineRule="auto"/>
        <w:ind w:firstLine="31680" w:firstLineChars="1000"/>
        <w:rPr>
          <w:sz w:val="24"/>
          <w:szCs w:val="24"/>
        </w:rPr>
      </w:pPr>
      <w:r>
        <w:rPr>
          <w:sz w:val="24"/>
          <w:szCs w:val="24"/>
        </w:rPr>
        <w:t>Qs=k·qi</w:t>
      </w:r>
    </w:p>
    <w:p>
      <w:pPr>
        <w:spacing w:line="360" w:lineRule="auto"/>
        <w:ind w:firstLine="31680" w:firstLineChars="200"/>
        <w:rPr>
          <w:sz w:val="24"/>
          <w:szCs w:val="24"/>
        </w:rPr>
      </w:pPr>
      <w:r>
        <w:rPr>
          <w:rFonts w:hint="eastAsia"/>
          <w:sz w:val="24"/>
          <w:szCs w:val="24"/>
        </w:rPr>
        <w:t>式中：</w:t>
      </w:r>
      <w:r>
        <w:rPr>
          <w:sz w:val="24"/>
          <w:szCs w:val="24"/>
        </w:rPr>
        <w:t>Qs——</w:t>
      </w:r>
      <w:r>
        <w:rPr>
          <w:rFonts w:hint="eastAsia"/>
          <w:sz w:val="24"/>
          <w:szCs w:val="24"/>
        </w:rPr>
        <w:t>每人每天生活污水排放量</w:t>
      </w:r>
      <w:r>
        <w:rPr>
          <w:sz w:val="24"/>
          <w:szCs w:val="24"/>
        </w:rPr>
        <w:t>(m</w:t>
      </w:r>
      <w:r>
        <w:rPr>
          <w:sz w:val="24"/>
          <w:szCs w:val="24"/>
          <w:vertAlign w:val="superscript"/>
        </w:rPr>
        <w:t>3</w:t>
      </w:r>
      <w:r>
        <w:rPr>
          <w:sz w:val="24"/>
          <w:szCs w:val="24"/>
        </w:rPr>
        <w:t>/</w:t>
      </w:r>
      <w:r>
        <w:rPr>
          <w:rFonts w:hint="eastAsia"/>
          <w:sz w:val="24"/>
          <w:szCs w:val="24"/>
        </w:rPr>
        <w:t>人</w:t>
      </w:r>
      <w:r>
        <w:rPr>
          <w:sz w:val="24"/>
          <w:szCs w:val="24"/>
        </w:rPr>
        <w:t>·d)</w:t>
      </w:r>
      <w:r>
        <w:rPr>
          <w:rFonts w:hint="eastAsia"/>
          <w:sz w:val="24"/>
          <w:szCs w:val="24"/>
        </w:rPr>
        <w:t>；</w:t>
      </w:r>
    </w:p>
    <w:p>
      <w:pPr>
        <w:spacing w:line="360" w:lineRule="auto"/>
        <w:ind w:firstLine="31680" w:firstLineChars="200"/>
        <w:rPr>
          <w:sz w:val="24"/>
          <w:szCs w:val="24"/>
        </w:rPr>
      </w:pPr>
      <w:r>
        <w:rPr>
          <w:sz w:val="24"/>
          <w:szCs w:val="24"/>
        </w:rPr>
        <w:t xml:space="preserve">      k——</w:t>
      </w:r>
      <w:r>
        <w:rPr>
          <w:rFonts w:hint="eastAsia"/>
          <w:sz w:val="24"/>
          <w:szCs w:val="24"/>
        </w:rPr>
        <w:t>施工生产生活区污水排放系数（</w:t>
      </w:r>
      <w:r>
        <w:rPr>
          <w:sz w:val="24"/>
          <w:szCs w:val="24"/>
        </w:rPr>
        <w:t>0.6</w:t>
      </w:r>
      <w:r>
        <w:rPr>
          <w:rFonts w:hint="eastAsia"/>
          <w:sz w:val="24"/>
          <w:szCs w:val="24"/>
        </w:rPr>
        <w:t>～</w:t>
      </w:r>
      <w:r>
        <w:rPr>
          <w:sz w:val="24"/>
          <w:szCs w:val="24"/>
        </w:rPr>
        <w:t>0.9</w:t>
      </w:r>
      <w:r>
        <w:rPr>
          <w:rFonts w:hint="eastAsia"/>
          <w:sz w:val="24"/>
          <w:szCs w:val="24"/>
        </w:rPr>
        <w:t>），取</w:t>
      </w:r>
      <w:r>
        <w:rPr>
          <w:sz w:val="24"/>
          <w:szCs w:val="24"/>
        </w:rPr>
        <w:t>0.8</w:t>
      </w:r>
      <w:r>
        <w:rPr>
          <w:rFonts w:hint="eastAsia"/>
          <w:sz w:val="24"/>
          <w:szCs w:val="24"/>
        </w:rPr>
        <w:t>；</w:t>
      </w:r>
    </w:p>
    <w:p>
      <w:pPr>
        <w:spacing w:line="360" w:lineRule="auto"/>
        <w:ind w:firstLine="31680" w:firstLineChars="200"/>
        <w:rPr>
          <w:sz w:val="24"/>
          <w:szCs w:val="24"/>
        </w:rPr>
      </w:pPr>
      <w:r>
        <w:rPr>
          <w:sz w:val="24"/>
          <w:szCs w:val="24"/>
        </w:rPr>
        <w:t xml:space="preserve">      qi——</w:t>
      </w:r>
      <w:r>
        <w:rPr>
          <w:rFonts w:hint="eastAsia"/>
          <w:sz w:val="24"/>
          <w:szCs w:val="24"/>
        </w:rPr>
        <w:t>每人每天生活用水量定额（</w:t>
      </w:r>
      <w:r>
        <w:rPr>
          <w:sz w:val="24"/>
          <w:szCs w:val="24"/>
        </w:rPr>
        <w:t>m</w:t>
      </w:r>
      <w:r>
        <w:rPr>
          <w:sz w:val="24"/>
          <w:szCs w:val="24"/>
          <w:vertAlign w:val="superscript"/>
        </w:rPr>
        <w:t>3</w:t>
      </w:r>
      <w:r>
        <w:rPr>
          <w:sz w:val="24"/>
          <w:szCs w:val="24"/>
        </w:rPr>
        <w:t>/</w:t>
      </w:r>
      <w:r>
        <w:rPr>
          <w:rFonts w:hint="eastAsia"/>
          <w:sz w:val="24"/>
          <w:szCs w:val="24"/>
        </w:rPr>
        <w:t>人</w:t>
      </w:r>
      <w:r>
        <w:rPr>
          <w:sz w:val="24"/>
          <w:szCs w:val="24"/>
        </w:rPr>
        <w:t>·d</w:t>
      </w:r>
      <w:r>
        <w:rPr>
          <w:rFonts w:hint="eastAsia"/>
          <w:sz w:val="24"/>
          <w:szCs w:val="24"/>
        </w:rPr>
        <w:t>）。</w:t>
      </w:r>
    </w:p>
    <w:p>
      <w:pPr>
        <w:spacing w:line="360" w:lineRule="auto"/>
        <w:ind w:firstLine="31680" w:firstLineChars="200"/>
        <w:rPr>
          <w:sz w:val="24"/>
          <w:szCs w:val="24"/>
        </w:rPr>
      </w:pPr>
      <w:r>
        <w:rPr>
          <w:rFonts w:hint="eastAsia"/>
          <w:sz w:val="24"/>
          <w:szCs w:val="24"/>
        </w:rPr>
        <w:t>根据上式，计算得到施工人员每人每天排放的生活污水量约为</w:t>
      </w:r>
      <w:r>
        <w:rPr>
          <w:sz w:val="24"/>
          <w:szCs w:val="24"/>
        </w:rPr>
        <w:t>0.08m</w:t>
      </w:r>
      <w:r>
        <w:rPr>
          <w:sz w:val="24"/>
          <w:szCs w:val="24"/>
          <w:vertAlign w:val="superscript"/>
        </w:rPr>
        <w:t>3</w:t>
      </w:r>
      <w:r>
        <w:rPr>
          <w:rFonts w:hint="eastAsia"/>
          <w:sz w:val="24"/>
          <w:szCs w:val="24"/>
        </w:rPr>
        <w:t>。</w:t>
      </w:r>
    </w:p>
    <w:p>
      <w:pPr>
        <w:pStyle w:val="3"/>
        <w:ind w:firstLine="31680"/>
      </w:pPr>
      <w:bookmarkStart w:id="148" w:name="_Ref351450886"/>
      <w:r>
        <w:rPr>
          <w:rFonts w:hint="eastAsia"/>
        </w:rPr>
        <w:t>类比同类工程施工经验，以及设计单位提供的资料分析，路基工程每标段约</w:t>
      </w:r>
      <w:r>
        <w:t>40</w:t>
      </w:r>
      <w:r>
        <w:rPr>
          <w:rFonts w:hint="eastAsia"/>
        </w:rPr>
        <w:t>人，路面施工每标段约</w:t>
      </w:r>
      <w:r>
        <w:t>20</w:t>
      </w:r>
      <w:r>
        <w:rPr>
          <w:rFonts w:hint="eastAsia"/>
        </w:rPr>
        <w:t>人，则施工生产生活区生活污水量估算见表</w:t>
      </w:r>
      <w:r>
        <w:t>4.4-2</w:t>
      </w:r>
      <w:r>
        <w:rPr>
          <w:rFonts w:hint="eastAsia"/>
        </w:rPr>
        <w:t>。</w:t>
      </w:r>
    </w:p>
    <w:bookmarkEnd w:id="148"/>
    <w:p>
      <w:pPr>
        <w:pStyle w:val="19"/>
        <w:jc w:val="center"/>
      </w:pPr>
      <w:bookmarkStart w:id="149" w:name="_Ref397593324"/>
      <w:r>
        <w:rPr>
          <w:rFonts w:hint="eastAsia"/>
        </w:rPr>
        <w:t>表</w:t>
      </w:r>
      <w:r>
        <w:t>4.4</w:t>
      </w:r>
      <w:bookmarkEnd w:id="149"/>
      <w:r>
        <w:t xml:space="preserve">-2    </w:t>
      </w:r>
      <w:r>
        <w:rPr>
          <w:rFonts w:hint="eastAsia"/>
        </w:rPr>
        <w:t>施工生产生活区生活污水产生量估算</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657"/>
        <w:gridCol w:w="1420"/>
        <w:gridCol w:w="2338"/>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blHeader/>
        </w:trPr>
        <w:tc>
          <w:tcPr>
            <w:tcW w:w="713" w:type="dxa"/>
            <w:vAlign w:val="center"/>
          </w:tcPr>
          <w:p>
            <w:pPr>
              <w:jc w:val="center"/>
              <w:rPr>
                <w:sz w:val="21"/>
                <w:szCs w:val="21"/>
              </w:rPr>
            </w:pPr>
            <w:r>
              <w:rPr>
                <w:rFonts w:hint="eastAsia"/>
                <w:sz w:val="21"/>
                <w:szCs w:val="21"/>
              </w:rPr>
              <w:t>序号</w:t>
            </w:r>
          </w:p>
        </w:tc>
        <w:tc>
          <w:tcPr>
            <w:tcW w:w="1657" w:type="dxa"/>
            <w:vAlign w:val="center"/>
          </w:tcPr>
          <w:p>
            <w:pPr>
              <w:jc w:val="center"/>
              <w:rPr>
                <w:sz w:val="21"/>
                <w:szCs w:val="21"/>
              </w:rPr>
            </w:pPr>
            <w:r>
              <w:rPr>
                <w:rFonts w:hint="eastAsia"/>
                <w:sz w:val="21"/>
                <w:szCs w:val="21"/>
              </w:rPr>
              <w:t>主要施工行为</w:t>
            </w:r>
          </w:p>
        </w:tc>
        <w:tc>
          <w:tcPr>
            <w:tcW w:w="1420" w:type="dxa"/>
            <w:vAlign w:val="center"/>
          </w:tcPr>
          <w:p>
            <w:pPr>
              <w:jc w:val="center"/>
              <w:rPr>
                <w:sz w:val="21"/>
                <w:szCs w:val="21"/>
              </w:rPr>
            </w:pPr>
            <w:r>
              <w:rPr>
                <w:rFonts w:hint="eastAsia"/>
                <w:sz w:val="21"/>
                <w:szCs w:val="21"/>
              </w:rPr>
              <w:t>工作人员数</w:t>
            </w:r>
          </w:p>
        </w:tc>
        <w:tc>
          <w:tcPr>
            <w:tcW w:w="2338" w:type="dxa"/>
            <w:vAlign w:val="center"/>
          </w:tcPr>
          <w:p>
            <w:pPr>
              <w:jc w:val="center"/>
              <w:rPr>
                <w:sz w:val="21"/>
                <w:szCs w:val="21"/>
              </w:rPr>
            </w:pPr>
            <w:r>
              <w:rPr>
                <w:rFonts w:hint="eastAsia"/>
                <w:sz w:val="21"/>
                <w:szCs w:val="21"/>
              </w:rPr>
              <w:t>产生污水量（</w:t>
            </w:r>
            <w:r>
              <w:rPr>
                <w:sz w:val="21"/>
                <w:szCs w:val="21"/>
              </w:rPr>
              <w:t>m</w:t>
            </w:r>
            <w:r>
              <w:rPr>
                <w:sz w:val="21"/>
                <w:szCs w:val="21"/>
                <w:vertAlign w:val="superscript"/>
              </w:rPr>
              <w:t>3</w:t>
            </w:r>
            <w:r>
              <w:rPr>
                <w:sz w:val="21"/>
                <w:szCs w:val="21"/>
              </w:rPr>
              <w:t>/d</w:t>
            </w:r>
            <w:r>
              <w:rPr>
                <w:rFonts w:hint="eastAsia"/>
                <w:sz w:val="21"/>
                <w:szCs w:val="21"/>
              </w:rPr>
              <w:t>）</w:t>
            </w:r>
          </w:p>
        </w:tc>
        <w:tc>
          <w:tcPr>
            <w:tcW w:w="3046" w:type="dxa"/>
            <w:vAlign w:val="center"/>
          </w:tcPr>
          <w:p>
            <w:pPr>
              <w:jc w:val="center"/>
              <w:rPr>
                <w:sz w:val="21"/>
                <w:szCs w:val="21"/>
              </w:rPr>
            </w:pPr>
            <w:r>
              <w:rPr>
                <w:rFonts w:hint="eastAsia"/>
                <w:sz w:val="21"/>
                <w:szCs w:val="21"/>
              </w:rPr>
              <w:t>项目总污水产生量（</w:t>
            </w:r>
            <w:r>
              <w:rPr>
                <w:sz w:val="21"/>
                <w:szCs w:val="21"/>
              </w:rPr>
              <w:t>m</w:t>
            </w:r>
            <w:r>
              <w:rPr>
                <w:sz w:val="21"/>
                <w:szCs w:val="21"/>
                <w:vertAlign w:val="superscript"/>
              </w:rPr>
              <w:t>3</w:t>
            </w:r>
            <w:r>
              <w:rPr>
                <w:sz w:val="21"/>
                <w:szCs w:val="21"/>
              </w:rPr>
              <w:t>/d</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713" w:type="dxa"/>
            <w:vAlign w:val="center"/>
          </w:tcPr>
          <w:p>
            <w:pPr>
              <w:jc w:val="center"/>
              <w:rPr>
                <w:sz w:val="21"/>
                <w:szCs w:val="21"/>
              </w:rPr>
            </w:pPr>
            <w:r>
              <w:rPr>
                <w:sz w:val="21"/>
                <w:szCs w:val="21"/>
              </w:rPr>
              <w:t>1</w:t>
            </w:r>
          </w:p>
        </w:tc>
        <w:tc>
          <w:tcPr>
            <w:tcW w:w="1657" w:type="dxa"/>
            <w:vAlign w:val="center"/>
          </w:tcPr>
          <w:p>
            <w:pPr>
              <w:jc w:val="center"/>
              <w:rPr>
                <w:sz w:val="21"/>
                <w:szCs w:val="21"/>
              </w:rPr>
            </w:pPr>
            <w:r>
              <w:rPr>
                <w:rFonts w:hint="eastAsia"/>
                <w:sz w:val="21"/>
                <w:szCs w:val="21"/>
              </w:rPr>
              <w:t>路基施工</w:t>
            </w:r>
          </w:p>
        </w:tc>
        <w:tc>
          <w:tcPr>
            <w:tcW w:w="1420" w:type="dxa"/>
            <w:vAlign w:val="center"/>
          </w:tcPr>
          <w:p>
            <w:pPr>
              <w:jc w:val="center"/>
              <w:rPr>
                <w:sz w:val="21"/>
                <w:szCs w:val="21"/>
              </w:rPr>
            </w:pPr>
            <w:r>
              <w:rPr>
                <w:sz w:val="21"/>
                <w:szCs w:val="21"/>
              </w:rPr>
              <w:t>40</w:t>
            </w:r>
            <w:r>
              <w:rPr>
                <w:rFonts w:hint="eastAsia"/>
                <w:sz w:val="21"/>
                <w:szCs w:val="21"/>
              </w:rPr>
              <w:t>人</w:t>
            </w:r>
            <w:r>
              <w:rPr>
                <w:sz w:val="21"/>
                <w:szCs w:val="21"/>
              </w:rPr>
              <w:t>/</w:t>
            </w:r>
            <w:r>
              <w:rPr>
                <w:rFonts w:hint="eastAsia"/>
                <w:sz w:val="21"/>
                <w:szCs w:val="21"/>
              </w:rPr>
              <w:t>标段</w:t>
            </w:r>
          </w:p>
        </w:tc>
        <w:tc>
          <w:tcPr>
            <w:tcW w:w="2338" w:type="dxa"/>
            <w:vAlign w:val="center"/>
          </w:tcPr>
          <w:p>
            <w:pPr>
              <w:jc w:val="center"/>
              <w:rPr>
                <w:sz w:val="21"/>
                <w:szCs w:val="21"/>
              </w:rPr>
            </w:pPr>
            <w:r>
              <w:rPr>
                <w:sz w:val="21"/>
                <w:szCs w:val="21"/>
              </w:rPr>
              <w:t>3.2</w:t>
            </w:r>
          </w:p>
        </w:tc>
        <w:tc>
          <w:tcPr>
            <w:tcW w:w="3046" w:type="dxa"/>
            <w:vAlign w:val="center"/>
          </w:tcPr>
          <w:p>
            <w:pPr>
              <w:jc w:val="center"/>
              <w:rPr>
                <w:sz w:val="21"/>
                <w:szCs w:val="21"/>
              </w:rPr>
            </w:pPr>
            <w:r>
              <w:rPr>
                <w:sz w:val="21"/>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713" w:type="dxa"/>
            <w:vAlign w:val="center"/>
          </w:tcPr>
          <w:p>
            <w:pPr>
              <w:jc w:val="center"/>
              <w:rPr>
                <w:sz w:val="21"/>
                <w:szCs w:val="21"/>
              </w:rPr>
            </w:pPr>
            <w:r>
              <w:rPr>
                <w:sz w:val="21"/>
                <w:szCs w:val="21"/>
              </w:rPr>
              <w:t>2</w:t>
            </w:r>
          </w:p>
        </w:tc>
        <w:tc>
          <w:tcPr>
            <w:tcW w:w="1657" w:type="dxa"/>
            <w:vAlign w:val="center"/>
          </w:tcPr>
          <w:p>
            <w:pPr>
              <w:jc w:val="center"/>
              <w:rPr>
                <w:sz w:val="21"/>
                <w:szCs w:val="21"/>
              </w:rPr>
            </w:pPr>
            <w:r>
              <w:rPr>
                <w:rFonts w:hint="eastAsia"/>
                <w:sz w:val="21"/>
                <w:szCs w:val="21"/>
              </w:rPr>
              <w:t>路面施工</w:t>
            </w:r>
          </w:p>
        </w:tc>
        <w:tc>
          <w:tcPr>
            <w:tcW w:w="1420" w:type="dxa"/>
            <w:vAlign w:val="center"/>
          </w:tcPr>
          <w:p>
            <w:pPr>
              <w:jc w:val="center"/>
              <w:rPr>
                <w:sz w:val="21"/>
                <w:szCs w:val="21"/>
              </w:rPr>
            </w:pPr>
            <w:r>
              <w:rPr>
                <w:sz w:val="21"/>
                <w:szCs w:val="21"/>
              </w:rPr>
              <w:t>20</w:t>
            </w:r>
            <w:r>
              <w:rPr>
                <w:rFonts w:hint="eastAsia"/>
                <w:sz w:val="21"/>
                <w:szCs w:val="21"/>
              </w:rPr>
              <w:t>人</w:t>
            </w:r>
            <w:r>
              <w:rPr>
                <w:sz w:val="21"/>
                <w:szCs w:val="21"/>
              </w:rPr>
              <w:t>/</w:t>
            </w:r>
            <w:r>
              <w:rPr>
                <w:rFonts w:hint="eastAsia"/>
                <w:sz w:val="21"/>
                <w:szCs w:val="21"/>
              </w:rPr>
              <w:t>标段</w:t>
            </w:r>
          </w:p>
        </w:tc>
        <w:tc>
          <w:tcPr>
            <w:tcW w:w="2338" w:type="dxa"/>
            <w:vAlign w:val="center"/>
          </w:tcPr>
          <w:p>
            <w:pPr>
              <w:jc w:val="center"/>
              <w:rPr>
                <w:sz w:val="21"/>
                <w:szCs w:val="21"/>
              </w:rPr>
            </w:pPr>
            <w:r>
              <w:rPr>
                <w:sz w:val="21"/>
                <w:szCs w:val="21"/>
              </w:rPr>
              <w:t>1.6</w:t>
            </w:r>
          </w:p>
        </w:tc>
        <w:tc>
          <w:tcPr>
            <w:tcW w:w="3046" w:type="dxa"/>
            <w:vAlign w:val="center"/>
          </w:tcPr>
          <w:p>
            <w:pPr>
              <w:jc w:val="center"/>
              <w:rPr>
                <w:sz w:val="21"/>
                <w:szCs w:val="21"/>
              </w:rPr>
            </w:pPr>
            <w:r>
              <w:rPr>
                <w:sz w:val="21"/>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713" w:type="dxa"/>
            <w:vAlign w:val="center"/>
          </w:tcPr>
          <w:p>
            <w:pPr>
              <w:jc w:val="center"/>
              <w:rPr>
                <w:sz w:val="21"/>
                <w:szCs w:val="21"/>
              </w:rPr>
            </w:pPr>
            <w:r>
              <w:rPr>
                <w:sz w:val="21"/>
                <w:szCs w:val="21"/>
              </w:rPr>
              <w:t>3</w:t>
            </w:r>
          </w:p>
        </w:tc>
        <w:tc>
          <w:tcPr>
            <w:tcW w:w="1657" w:type="dxa"/>
            <w:vAlign w:val="center"/>
          </w:tcPr>
          <w:p>
            <w:pPr>
              <w:jc w:val="center"/>
              <w:rPr>
                <w:sz w:val="21"/>
                <w:szCs w:val="21"/>
              </w:rPr>
            </w:pPr>
            <w:r>
              <w:rPr>
                <w:rFonts w:hint="eastAsia"/>
                <w:sz w:val="21"/>
                <w:szCs w:val="21"/>
              </w:rPr>
              <w:t>桥梁施工</w:t>
            </w:r>
          </w:p>
        </w:tc>
        <w:tc>
          <w:tcPr>
            <w:tcW w:w="1420" w:type="dxa"/>
            <w:vAlign w:val="center"/>
          </w:tcPr>
          <w:p>
            <w:pPr>
              <w:jc w:val="center"/>
              <w:rPr>
                <w:sz w:val="21"/>
                <w:szCs w:val="21"/>
              </w:rPr>
            </w:pPr>
            <w:r>
              <w:rPr>
                <w:sz w:val="21"/>
                <w:szCs w:val="21"/>
              </w:rPr>
              <w:t>20</w:t>
            </w:r>
            <w:r>
              <w:rPr>
                <w:rFonts w:hint="eastAsia"/>
                <w:sz w:val="21"/>
                <w:szCs w:val="21"/>
              </w:rPr>
              <w:t>人</w:t>
            </w:r>
            <w:r>
              <w:rPr>
                <w:sz w:val="21"/>
                <w:szCs w:val="21"/>
              </w:rPr>
              <w:t>/</w:t>
            </w:r>
            <w:r>
              <w:rPr>
                <w:rFonts w:hint="eastAsia"/>
                <w:sz w:val="21"/>
                <w:szCs w:val="21"/>
              </w:rPr>
              <w:t>标段</w:t>
            </w:r>
          </w:p>
        </w:tc>
        <w:tc>
          <w:tcPr>
            <w:tcW w:w="2338" w:type="dxa"/>
            <w:vAlign w:val="center"/>
          </w:tcPr>
          <w:p>
            <w:pPr>
              <w:jc w:val="center"/>
              <w:rPr>
                <w:sz w:val="21"/>
                <w:szCs w:val="21"/>
              </w:rPr>
            </w:pPr>
            <w:r>
              <w:rPr>
                <w:sz w:val="21"/>
                <w:szCs w:val="21"/>
              </w:rPr>
              <w:t>1.6</w:t>
            </w:r>
          </w:p>
        </w:tc>
        <w:tc>
          <w:tcPr>
            <w:tcW w:w="3046" w:type="dxa"/>
            <w:vAlign w:val="center"/>
          </w:tcPr>
          <w:p>
            <w:pPr>
              <w:jc w:val="center"/>
              <w:rPr>
                <w:sz w:val="21"/>
                <w:szCs w:val="21"/>
              </w:rPr>
            </w:pPr>
            <w:r>
              <w:rPr>
                <w:sz w:val="21"/>
                <w:szCs w:val="21"/>
              </w:rPr>
              <w:t>6.4</w:t>
            </w:r>
          </w:p>
        </w:tc>
      </w:tr>
    </w:tbl>
    <w:p>
      <w:pPr>
        <w:pStyle w:val="3"/>
        <w:ind w:firstLine="31680"/>
      </w:pPr>
      <w:r>
        <w:t>b</w:t>
      </w:r>
      <w:r>
        <w:rPr>
          <w:rFonts w:hint="eastAsia"/>
        </w:rPr>
        <w:t>）建筑材料堆放场雨季冲刷废水</w:t>
      </w:r>
    </w:p>
    <w:p>
      <w:pPr>
        <w:pStyle w:val="3"/>
        <w:ind w:firstLine="31680"/>
      </w:pPr>
      <w:r>
        <w:rPr>
          <w:rFonts w:hint="eastAsia"/>
        </w:rPr>
        <w:t>各施工生产区建筑材料堆放场雨季由于雨水冲刷产生废水，主要污染因子为</w:t>
      </w:r>
      <w:r>
        <w:t>SS</w:t>
      </w:r>
      <w:r>
        <w:rPr>
          <w:rFonts w:hint="eastAsia"/>
        </w:rPr>
        <w:t>，经场地周边导排渠导入沉淀池处理后外排。</w:t>
      </w:r>
    </w:p>
    <w:p>
      <w:pPr>
        <w:pStyle w:val="3"/>
        <w:ind w:firstLine="31680"/>
      </w:pPr>
      <w:r>
        <w:t>c</w:t>
      </w:r>
      <w:r>
        <w:rPr>
          <w:rFonts w:hint="eastAsia"/>
        </w:rPr>
        <w:t>）施工废水</w:t>
      </w:r>
    </w:p>
    <w:p>
      <w:pPr>
        <w:pStyle w:val="3"/>
        <w:ind w:firstLine="31680"/>
      </w:pPr>
      <w:r>
        <w:rPr>
          <w:rFonts w:hint="eastAsia"/>
        </w:rPr>
        <w:t>施工生产废水主要是施工机械的冲洗废水、地面冲洗水、运输车辆冲洗水等，另外</w:t>
      </w:r>
      <w:r>
        <w:rPr>
          <w:rFonts w:hint="eastAsia"/>
          <w:szCs w:val="24"/>
        </w:rPr>
        <w:t>施工生产区中机械、设备及运输车辆的维修保养过程中产生的油污，若不进行收集，经雨水冲刷进入地表水体后，也将对水环境及土壤环境造成较大的污染。施工生产性废水产生量较小，每个营地其产生量</w:t>
      </w:r>
      <w:r>
        <w:rPr>
          <w:rFonts w:hint="eastAsia"/>
        </w:rPr>
        <w:t>约</w:t>
      </w:r>
      <w:r>
        <w:t>2m</w:t>
      </w:r>
      <w:r>
        <w:rPr>
          <w:vertAlign w:val="superscript"/>
        </w:rPr>
        <w:t>3</w:t>
      </w:r>
      <w:r>
        <w:t>/d</w:t>
      </w:r>
      <w:r>
        <w:rPr>
          <w:rFonts w:hint="eastAsia"/>
        </w:rPr>
        <w:t>，项目沿线产生总量约为</w:t>
      </w:r>
      <w:r>
        <w:t>8m</w:t>
      </w:r>
      <w:r>
        <w:rPr>
          <w:vertAlign w:val="superscript"/>
        </w:rPr>
        <w:t>3</w:t>
      </w:r>
      <w:r>
        <w:t>/d</w:t>
      </w:r>
      <w:r>
        <w:rPr>
          <w:rFonts w:hint="eastAsia"/>
        </w:rPr>
        <w:t>，其主要污染物为</w:t>
      </w:r>
      <w:r>
        <w:t>SS</w:t>
      </w:r>
      <w:r>
        <w:rPr>
          <w:rFonts w:hint="eastAsia"/>
        </w:rPr>
        <w:t>、石油类。其中</w:t>
      </w:r>
      <w:r>
        <w:t>SS</w:t>
      </w:r>
      <w:r>
        <w:rPr>
          <w:rFonts w:hint="eastAsia"/>
        </w:rPr>
        <w:t>浓度为</w:t>
      </w:r>
      <w:r>
        <w:t>3000~5000mg/L</w:t>
      </w:r>
      <w:r>
        <w:rPr>
          <w:rFonts w:hint="eastAsia"/>
        </w:rPr>
        <w:t>，石油类浓度为</w:t>
      </w:r>
      <w:r>
        <w:t>50~100mg/L</w:t>
      </w:r>
      <w:r>
        <w:rPr>
          <w:rFonts w:hint="eastAsia"/>
        </w:rPr>
        <w:t>。上述含油废水经隔油沉淀处理后满足施工机械设备冲洗水质要求后回用于机械设备冲洗。</w:t>
      </w:r>
    </w:p>
    <w:p>
      <w:pPr>
        <w:pStyle w:val="3"/>
        <w:ind w:firstLine="31680"/>
      </w:pPr>
      <w:r>
        <w:rPr>
          <w:rFonts w:hint="eastAsia"/>
        </w:rPr>
        <w:t>预制场采用商品混凝土制备桥梁构件过程中，需对混凝土构件进行洒水养护，产生养护废水，经沉淀处理后回用于构件养护。</w:t>
      </w:r>
    </w:p>
    <w:p>
      <w:pPr>
        <w:pStyle w:val="6"/>
        <w:ind w:left="567" w:hanging="567"/>
      </w:pPr>
      <w:r>
        <w:rPr>
          <w:rFonts w:hint="eastAsia"/>
        </w:rPr>
        <w:t>营运期</w:t>
      </w:r>
    </w:p>
    <w:p>
      <w:pPr>
        <w:pStyle w:val="3"/>
        <w:ind w:firstLine="31680"/>
      </w:pPr>
      <w:r>
        <w:rPr>
          <w:rFonts w:hint="eastAsia"/>
        </w:rPr>
        <w:t>工程营运期主要的水污染源为降雨冲刷桥（路）面产生的桥（路）面径流污水。</w:t>
      </w:r>
    </w:p>
    <w:p>
      <w:pPr>
        <w:pStyle w:val="3"/>
        <w:ind w:firstLine="31680"/>
      </w:pPr>
      <w:r>
        <w:rPr>
          <w:rFonts w:hint="eastAsia"/>
        </w:rPr>
        <w:t>公路路面径流污染物主要是</w:t>
      </w:r>
      <w:r>
        <w:t>SS</w:t>
      </w:r>
      <w:r>
        <w:rPr>
          <w:rFonts w:hint="eastAsia"/>
        </w:rPr>
        <w:t>、石油类和</w:t>
      </w:r>
      <w:r>
        <w:t>COD</w:t>
      </w:r>
      <w:r>
        <w:rPr>
          <w:rFonts w:hint="eastAsia"/>
        </w:rPr>
        <w:t>、</w:t>
      </w:r>
      <w:r>
        <w:t>BOD</w:t>
      </w:r>
      <w:r>
        <w:rPr>
          <w:vertAlign w:val="subscript"/>
        </w:rPr>
        <w:t>5</w:t>
      </w:r>
      <w:r>
        <w:rPr>
          <w:rFonts w:hint="eastAsia"/>
        </w:rPr>
        <w:t>，污染物浓度受限于多种因素，如车流量、车辆类型、降雨强度、灰尘沉降量和前期干旱时间等等，因此具有一定程度的不确定性。原国家环保总局华南环科所曾对南方地区路面径流污染情况进行过试验，试验方法为：采用人工降雨方法形成路面径流，两次人工降雨时间段为</w:t>
      </w:r>
      <w:r>
        <w:t>20d</w:t>
      </w:r>
      <w:r>
        <w:rPr>
          <w:rFonts w:hint="eastAsia"/>
        </w:rPr>
        <w:t>，车流和降雨是已知，降雨历时为</w:t>
      </w:r>
      <w:r>
        <w:t>1h</w:t>
      </w:r>
      <w:r>
        <w:rPr>
          <w:rFonts w:hint="eastAsia"/>
        </w:rPr>
        <w:t>，降雨强度为</w:t>
      </w:r>
      <w:r>
        <w:t>81.6mm</w:t>
      </w:r>
      <w:r>
        <w:rPr>
          <w:rFonts w:hint="eastAsia"/>
        </w:rPr>
        <w:t>，在</w:t>
      </w:r>
      <w:r>
        <w:t>1h</w:t>
      </w:r>
      <w:r>
        <w:rPr>
          <w:rFonts w:hint="eastAsia"/>
        </w:rPr>
        <w:t>内按不同时间采集水样，测定分析路面污染物变化情况见表</w:t>
      </w:r>
      <w:r>
        <w:t>4.4-3</w:t>
      </w:r>
      <w:r>
        <w:rPr>
          <w:rFonts w:hint="eastAsia"/>
        </w:rPr>
        <w:t>。</w:t>
      </w:r>
    </w:p>
    <w:p>
      <w:pPr>
        <w:pStyle w:val="19"/>
        <w:jc w:val="center"/>
        <w:rPr>
          <w:rFonts w:hint="eastAsia"/>
        </w:rPr>
      </w:pPr>
    </w:p>
    <w:p>
      <w:pPr>
        <w:pStyle w:val="19"/>
        <w:jc w:val="center"/>
      </w:pPr>
      <w:r>
        <w:rPr>
          <w:rFonts w:hint="eastAsia"/>
        </w:rPr>
        <w:t>表</w:t>
      </w:r>
      <w:r>
        <w:t xml:space="preserve">4.4-3  </w:t>
      </w:r>
      <w:r>
        <w:rPr>
          <w:rFonts w:hint="eastAsia"/>
        </w:rPr>
        <w:t>路面径流中污染物浓度测定值</w:t>
      </w:r>
      <w:r>
        <w:t xml:space="preserve">   </w:t>
      </w:r>
      <w:r>
        <w:rPr>
          <w:rFonts w:hint="eastAsia"/>
        </w:rPr>
        <w:t>单位</w:t>
      </w:r>
      <w:r>
        <w:rPr>
          <w:rFonts w:hint="eastAsia" w:ascii="宋体" w:hAnsi="宋体" w:cs="宋体"/>
        </w:rPr>
        <w:t>：</w:t>
      </w:r>
      <w:r>
        <w:rPr>
          <w:rFonts w:eastAsia="仿宋_GB2312"/>
        </w:rPr>
        <w:t>mg/L</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1897"/>
        <w:gridCol w:w="1875"/>
        <w:gridCol w:w="1853"/>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7" w:type="dxa"/>
            <w:vAlign w:val="center"/>
          </w:tcPr>
          <w:p>
            <w:pPr>
              <w:jc w:val="center"/>
              <w:rPr>
                <w:sz w:val="21"/>
                <w:szCs w:val="21"/>
              </w:rPr>
            </w:pPr>
            <w:r>
              <w:rPr>
                <w:rFonts w:hint="eastAsia" w:hAnsi="宋体"/>
                <w:sz w:val="21"/>
                <w:szCs w:val="21"/>
              </w:rPr>
              <w:t>项目</w:t>
            </w:r>
          </w:p>
        </w:tc>
        <w:tc>
          <w:tcPr>
            <w:tcW w:w="1897" w:type="dxa"/>
            <w:vAlign w:val="center"/>
          </w:tcPr>
          <w:p>
            <w:pPr>
              <w:jc w:val="center"/>
              <w:rPr>
                <w:sz w:val="21"/>
                <w:szCs w:val="21"/>
              </w:rPr>
            </w:pPr>
            <w:r>
              <w:rPr>
                <w:sz w:val="21"/>
                <w:szCs w:val="21"/>
              </w:rPr>
              <w:t>5</w:t>
            </w:r>
            <w:r>
              <w:rPr>
                <w:rFonts w:hAnsi="宋体"/>
                <w:sz w:val="21"/>
                <w:szCs w:val="21"/>
              </w:rPr>
              <w:t>~</w:t>
            </w:r>
            <w:r>
              <w:rPr>
                <w:sz w:val="21"/>
                <w:szCs w:val="21"/>
              </w:rPr>
              <w:t>20min</w:t>
            </w:r>
          </w:p>
        </w:tc>
        <w:tc>
          <w:tcPr>
            <w:tcW w:w="1875" w:type="dxa"/>
            <w:vAlign w:val="center"/>
          </w:tcPr>
          <w:p>
            <w:pPr>
              <w:jc w:val="center"/>
              <w:rPr>
                <w:sz w:val="21"/>
                <w:szCs w:val="21"/>
              </w:rPr>
            </w:pPr>
            <w:r>
              <w:rPr>
                <w:sz w:val="21"/>
                <w:szCs w:val="21"/>
              </w:rPr>
              <w:t>20</w:t>
            </w:r>
            <w:r>
              <w:rPr>
                <w:rFonts w:hAnsi="宋体"/>
                <w:sz w:val="21"/>
                <w:szCs w:val="21"/>
              </w:rPr>
              <w:t>~</w:t>
            </w:r>
            <w:r>
              <w:rPr>
                <w:sz w:val="21"/>
                <w:szCs w:val="21"/>
              </w:rPr>
              <w:t>40min</w:t>
            </w:r>
          </w:p>
        </w:tc>
        <w:tc>
          <w:tcPr>
            <w:tcW w:w="1853" w:type="dxa"/>
            <w:vAlign w:val="center"/>
          </w:tcPr>
          <w:p>
            <w:pPr>
              <w:jc w:val="center"/>
              <w:rPr>
                <w:sz w:val="21"/>
                <w:szCs w:val="21"/>
              </w:rPr>
            </w:pPr>
            <w:r>
              <w:rPr>
                <w:sz w:val="21"/>
                <w:szCs w:val="21"/>
              </w:rPr>
              <w:t>40</w:t>
            </w:r>
            <w:r>
              <w:rPr>
                <w:rFonts w:hAnsi="宋体"/>
                <w:sz w:val="21"/>
                <w:szCs w:val="21"/>
              </w:rPr>
              <w:t>~</w:t>
            </w:r>
            <w:r>
              <w:rPr>
                <w:sz w:val="21"/>
                <w:szCs w:val="21"/>
              </w:rPr>
              <w:t>60min</w:t>
            </w:r>
          </w:p>
        </w:tc>
        <w:tc>
          <w:tcPr>
            <w:tcW w:w="1732" w:type="dxa"/>
            <w:vAlign w:val="center"/>
          </w:tcPr>
          <w:p>
            <w:pPr>
              <w:jc w:val="center"/>
              <w:rPr>
                <w:sz w:val="21"/>
                <w:szCs w:val="21"/>
              </w:rPr>
            </w:pPr>
            <w:r>
              <w:rPr>
                <w:rFonts w:hint="eastAsia" w:hAnsi="宋体"/>
                <w:sz w:val="21"/>
                <w:szCs w:val="21"/>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7" w:type="dxa"/>
            <w:vAlign w:val="center"/>
          </w:tcPr>
          <w:p>
            <w:pPr>
              <w:jc w:val="center"/>
              <w:rPr>
                <w:sz w:val="21"/>
                <w:szCs w:val="21"/>
              </w:rPr>
            </w:pPr>
            <w:r>
              <w:rPr>
                <w:sz w:val="21"/>
                <w:szCs w:val="21"/>
              </w:rPr>
              <w:t>SS</w:t>
            </w:r>
          </w:p>
        </w:tc>
        <w:tc>
          <w:tcPr>
            <w:tcW w:w="1897" w:type="dxa"/>
            <w:vAlign w:val="center"/>
          </w:tcPr>
          <w:p>
            <w:pPr>
              <w:jc w:val="center"/>
              <w:rPr>
                <w:sz w:val="21"/>
                <w:szCs w:val="21"/>
              </w:rPr>
            </w:pPr>
            <w:r>
              <w:rPr>
                <w:sz w:val="21"/>
                <w:szCs w:val="21"/>
              </w:rPr>
              <w:t>231.42</w:t>
            </w:r>
            <w:r>
              <w:rPr>
                <w:rFonts w:hAnsi="宋体"/>
                <w:sz w:val="21"/>
                <w:szCs w:val="21"/>
              </w:rPr>
              <w:t>~</w:t>
            </w:r>
            <w:r>
              <w:rPr>
                <w:sz w:val="21"/>
                <w:szCs w:val="21"/>
              </w:rPr>
              <w:t>158.52</w:t>
            </w:r>
          </w:p>
        </w:tc>
        <w:tc>
          <w:tcPr>
            <w:tcW w:w="1875" w:type="dxa"/>
            <w:vAlign w:val="center"/>
          </w:tcPr>
          <w:p>
            <w:pPr>
              <w:jc w:val="center"/>
              <w:rPr>
                <w:sz w:val="21"/>
                <w:szCs w:val="21"/>
              </w:rPr>
            </w:pPr>
            <w:r>
              <w:rPr>
                <w:sz w:val="21"/>
                <w:szCs w:val="21"/>
              </w:rPr>
              <w:t>185.52</w:t>
            </w:r>
            <w:r>
              <w:rPr>
                <w:rFonts w:hAnsi="宋体"/>
                <w:sz w:val="21"/>
                <w:szCs w:val="21"/>
              </w:rPr>
              <w:t>~</w:t>
            </w:r>
            <w:r>
              <w:rPr>
                <w:sz w:val="21"/>
                <w:szCs w:val="21"/>
              </w:rPr>
              <w:t>90.36</w:t>
            </w:r>
          </w:p>
        </w:tc>
        <w:tc>
          <w:tcPr>
            <w:tcW w:w="1853" w:type="dxa"/>
            <w:vAlign w:val="center"/>
          </w:tcPr>
          <w:p>
            <w:pPr>
              <w:jc w:val="center"/>
              <w:rPr>
                <w:sz w:val="21"/>
                <w:szCs w:val="21"/>
              </w:rPr>
            </w:pPr>
            <w:r>
              <w:rPr>
                <w:sz w:val="21"/>
                <w:szCs w:val="21"/>
              </w:rPr>
              <w:t>90.36</w:t>
            </w:r>
            <w:r>
              <w:rPr>
                <w:rFonts w:hAnsi="宋体"/>
                <w:sz w:val="21"/>
                <w:szCs w:val="21"/>
              </w:rPr>
              <w:t>~</w:t>
            </w:r>
            <w:r>
              <w:rPr>
                <w:sz w:val="21"/>
                <w:szCs w:val="21"/>
              </w:rPr>
              <w:t>18.71</w:t>
            </w:r>
          </w:p>
        </w:tc>
        <w:tc>
          <w:tcPr>
            <w:tcW w:w="1732" w:type="dxa"/>
            <w:vAlign w:val="center"/>
          </w:tcPr>
          <w:p>
            <w:pPr>
              <w:jc w:val="center"/>
              <w:rPr>
                <w:sz w:val="21"/>
                <w:szCs w:val="21"/>
              </w:rPr>
            </w:pPr>
            <w:r>
              <w:rPr>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7" w:type="dxa"/>
            <w:vAlign w:val="center"/>
          </w:tcPr>
          <w:p>
            <w:pPr>
              <w:jc w:val="center"/>
              <w:rPr>
                <w:sz w:val="21"/>
                <w:szCs w:val="21"/>
              </w:rPr>
            </w:pPr>
            <w:r>
              <w:rPr>
                <w:sz w:val="21"/>
                <w:szCs w:val="21"/>
              </w:rPr>
              <w:t>BOD</w:t>
            </w:r>
            <w:r>
              <w:rPr>
                <w:sz w:val="21"/>
                <w:szCs w:val="21"/>
                <w:vertAlign w:val="subscript"/>
              </w:rPr>
              <w:t>5</w:t>
            </w:r>
          </w:p>
        </w:tc>
        <w:tc>
          <w:tcPr>
            <w:tcW w:w="1897" w:type="dxa"/>
            <w:vAlign w:val="center"/>
          </w:tcPr>
          <w:p>
            <w:pPr>
              <w:jc w:val="center"/>
              <w:rPr>
                <w:sz w:val="21"/>
                <w:szCs w:val="21"/>
              </w:rPr>
            </w:pPr>
            <w:r>
              <w:rPr>
                <w:sz w:val="21"/>
                <w:szCs w:val="21"/>
              </w:rPr>
              <w:t>7.34</w:t>
            </w:r>
            <w:r>
              <w:rPr>
                <w:rFonts w:hAnsi="宋体"/>
                <w:sz w:val="21"/>
                <w:szCs w:val="21"/>
              </w:rPr>
              <w:t>~</w:t>
            </w:r>
            <w:r>
              <w:rPr>
                <w:sz w:val="21"/>
                <w:szCs w:val="21"/>
              </w:rPr>
              <w:t>7.30</w:t>
            </w:r>
          </w:p>
        </w:tc>
        <w:tc>
          <w:tcPr>
            <w:tcW w:w="1875" w:type="dxa"/>
            <w:vAlign w:val="center"/>
          </w:tcPr>
          <w:p>
            <w:pPr>
              <w:jc w:val="center"/>
              <w:rPr>
                <w:sz w:val="21"/>
                <w:szCs w:val="21"/>
              </w:rPr>
            </w:pPr>
            <w:r>
              <w:rPr>
                <w:sz w:val="21"/>
                <w:szCs w:val="21"/>
              </w:rPr>
              <w:t>7.30</w:t>
            </w:r>
            <w:r>
              <w:rPr>
                <w:rFonts w:hAnsi="宋体"/>
                <w:sz w:val="21"/>
                <w:szCs w:val="21"/>
              </w:rPr>
              <w:t>~</w:t>
            </w:r>
            <w:r>
              <w:rPr>
                <w:sz w:val="21"/>
                <w:szCs w:val="21"/>
              </w:rPr>
              <w:t>4.15</w:t>
            </w:r>
          </w:p>
        </w:tc>
        <w:tc>
          <w:tcPr>
            <w:tcW w:w="1853" w:type="dxa"/>
            <w:vAlign w:val="center"/>
          </w:tcPr>
          <w:p>
            <w:pPr>
              <w:jc w:val="center"/>
              <w:rPr>
                <w:sz w:val="21"/>
                <w:szCs w:val="21"/>
              </w:rPr>
            </w:pPr>
            <w:r>
              <w:rPr>
                <w:sz w:val="21"/>
                <w:szCs w:val="21"/>
              </w:rPr>
              <w:t>4.15</w:t>
            </w:r>
            <w:r>
              <w:rPr>
                <w:rFonts w:hAnsi="宋体"/>
                <w:sz w:val="21"/>
                <w:szCs w:val="21"/>
              </w:rPr>
              <w:t>~</w:t>
            </w:r>
            <w:r>
              <w:rPr>
                <w:sz w:val="21"/>
                <w:szCs w:val="21"/>
              </w:rPr>
              <w:t>1.26</w:t>
            </w:r>
          </w:p>
        </w:tc>
        <w:tc>
          <w:tcPr>
            <w:tcW w:w="1732" w:type="dxa"/>
            <w:vAlign w:val="center"/>
          </w:tcPr>
          <w:p>
            <w:pPr>
              <w:jc w:val="center"/>
              <w:rPr>
                <w:sz w:val="21"/>
                <w:szCs w:val="21"/>
              </w:rPr>
            </w:pPr>
            <w:r>
              <w:rPr>
                <w:sz w:val="21"/>
                <w:szCs w:val="21"/>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7" w:type="dxa"/>
            <w:vAlign w:val="center"/>
          </w:tcPr>
          <w:p>
            <w:pPr>
              <w:jc w:val="center"/>
              <w:rPr>
                <w:sz w:val="21"/>
                <w:szCs w:val="21"/>
              </w:rPr>
            </w:pPr>
            <w:r>
              <w:rPr>
                <w:rFonts w:hint="eastAsia" w:hAnsi="宋体"/>
                <w:sz w:val="21"/>
                <w:szCs w:val="21"/>
              </w:rPr>
              <w:t>石油类</w:t>
            </w:r>
          </w:p>
        </w:tc>
        <w:tc>
          <w:tcPr>
            <w:tcW w:w="1897" w:type="dxa"/>
            <w:vAlign w:val="center"/>
          </w:tcPr>
          <w:p>
            <w:pPr>
              <w:jc w:val="center"/>
              <w:rPr>
                <w:sz w:val="21"/>
                <w:szCs w:val="21"/>
              </w:rPr>
            </w:pPr>
            <w:r>
              <w:rPr>
                <w:sz w:val="21"/>
                <w:szCs w:val="21"/>
              </w:rPr>
              <w:t>22.30</w:t>
            </w:r>
            <w:r>
              <w:rPr>
                <w:rFonts w:hAnsi="宋体"/>
                <w:sz w:val="21"/>
                <w:szCs w:val="21"/>
              </w:rPr>
              <w:t>~</w:t>
            </w:r>
            <w:r>
              <w:rPr>
                <w:sz w:val="21"/>
                <w:szCs w:val="21"/>
              </w:rPr>
              <w:t>19.74</w:t>
            </w:r>
          </w:p>
        </w:tc>
        <w:tc>
          <w:tcPr>
            <w:tcW w:w="1875" w:type="dxa"/>
            <w:vAlign w:val="center"/>
          </w:tcPr>
          <w:p>
            <w:pPr>
              <w:jc w:val="center"/>
              <w:rPr>
                <w:sz w:val="21"/>
                <w:szCs w:val="21"/>
              </w:rPr>
            </w:pPr>
            <w:r>
              <w:rPr>
                <w:sz w:val="21"/>
                <w:szCs w:val="21"/>
              </w:rPr>
              <w:t>19.74</w:t>
            </w:r>
            <w:r>
              <w:rPr>
                <w:rFonts w:hAnsi="宋体"/>
                <w:sz w:val="21"/>
                <w:szCs w:val="21"/>
              </w:rPr>
              <w:t>~</w:t>
            </w:r>
            <w:r>
              <w:rPr>
                <w:sz w:val="21"/>
                <w:szCs w:val="21"/>
              </w:rPr>
              <w:t>3.12</w:t>
            </w:r>
          </w:p>
        </w:tc>
        <w:tc>
          <w:tcPr>
            <w:tcW w:w="1853" w:type="dxa"/>
            <w:vAlign w:val="center"/>
          </w:tcPr>
          <w:p>
            <w:pPr>
              <w:jc w:val="center"/>
              <w:rPr>
                <w:sz w:val="21"/>
                <w:szCs w:val="21"/>
              </w:rPr>
            </w:pPr>
            <w:r>
              <w:rPr>
                <w:sz w:val="21"/>
                <w:szCs w:val="21"/>
              </w:rPr>
              <w:t>3.12</w:t>
            </w:r>
            <w:r>
              <w:rPr>
                <w:rFonts w:hAnsi="宋体"/>
                <w:sz w:val="21"/>
                <w:szCs w:val="21"/>
              </w:rPr>
              <w:t>~</w:t>
            </w:r>
            <w:r>
              <w:rPr>
                <w:sz w:val="21"/>
                <w:szCs w:val="21"/>
              </w:rPr>
              <w:t>0.21</w:t>
            </w:r>
          </w:p>
        </w:tc>
        <w:tc>
          <w:tcPr>
            <w:tcW w:w="1732" w:type="dxa"/>
            <w:vAlign w:val="center"/>
          </w:tcPr>
          <w:p>
            <w:pPr>
              <w:keepNext/>
              <w:jc w:val="center"/>
              <w:rPr>
                <w:sz w:val="21"/>
                <w:szCs w:val="21"/>
              </w:rPr>
            </w:pPr>
            <w:r>
              <w:rPr>
                <w:sz w:val="21"/>
                <w:szCs w:val="21"/>
              </w:rPr>
              <w:t>11.25</w:t>
            </w:r>
          </w:p>
        </w:tc>
      </w:tr>
    </w:tbl>
    <w:p>
      <w:pPr>
        <w:pStyle w:val="3"/>
        <w:ind w:firstLine="31680"/>
        <w:rPr>
          <w:szCs w:val="24"/>
        </w:rPr>
      </w:pPr>
      <w:r>
        <w:rPr>
          <w:rFonts w:hint="eastAsia"/>
        </w:rPr>
        <w:t>由上表可见，从降雨初期到形成径流的</w:t>
      </w:r>
      <w:r>
        <w:t>30min</w:t>
      </w:r>
      <w:r>
        <w:rPr>
          <w:rFonts w:hint="eastAsia"/>
        </w:rPr>
        <w:t>内，雨水中</w:t>
      </w:r>
      <w:r>
        <w:t>SS</w:t>
      </w:r>
      <w:r>
        <w:rPr>
          <w:rFonts w:hint="eastAsia"/>
        </w:rPr>
        <w:t>和石油类物质的浓度比较高，</w:t>
      </w:r>
      <w:r>
        <w:t>30min</w:t>
      </w:r>
      <w:r>
        <w:rPr>
          <w:rFonts w:hint="eastAsia"/>
        </w:rPr>
        <w:t>之后，其浓度随降雨历时的延长下降较快，降雨历时</w:t>
      </w:r>
      <w:r>
        <w:t>40~60min</w:t>
      </w:r>
      <w:r>
        <w:rPr>
          <w:rFonts w:hint="eastAsia"/>
        </w:rPr>
        <w:t>之后，路面基本被冲洗干净，路面径流污染物的浓度相对稳定在较低水平。降雨期间桥面产生的径流量由下式计算：</w:t>
      </w:r>
    </w:p>
    <w:p>
      <w:pPr>
        <w:spacing w:line="360" w:lineRule="auto"/>
        <w:ind w:firstLine="31680" w:firstLineChars="200"/>
        <w:jc w:val="center"/>
        <w:rPr>
          <w:sz w:val="24"/>
          <w:szCs w:val="24"/>
        </w:rPr>
      </w:pPr>
      <w:r>
        <w:rPr>
          <w:sz w:val="24"/>
          <w:szCs w:val="24"/>
        </w:rPr>
        <w:t>W</w:t>
      </w:r>
      <w:r>
        <w:rPr>
          <w:rFonts w:hint="eastAsia"/>
          <w:sz w:val="24"/>
          <w:szCs w:val="24"/>
        </w:rPr>
        <w:t>＝</w:t>
      </w:r>
      <w:r>
        <w:rPr>
          <w:sz w:val="24"/>
          <w:szCs w:val="24"/>
        </w:rPr>
        <w:t>A×h×L×10</w:t>
      </w:r>
      <w:r>
        <w:rPr>
          <w:sz w:val="24"/>
          <w:szCs w:val="24"/>
          <w:vertAlign w:val="superscript"/>
        </w:rPr>
        <w:t>-3</w:t>
      </w:r>
    </w:p>
    <w:p>
      <w:pPr>
        <w:spacing w:line="360" w:lineRule="auto"/>
        <w:ind w:firstLine="31680" w:firstLineChars="150"/>
        <w:rPr>
          <w:sz w:val="24"/>
          <w:szCs w:val="24"/>
        </w:rPr>
      </w:pPr>
      <w:r>
        <w:rPr>
          <w:rFonts w:hint="eastAsia"/>
          <w:sz w:val="24"/>
          <w:szCs w:val="24"/>
        </w:rPr>
        <w:t>式中：</w:t>
      </w:r>
      <w:r>
        <w:rPr>
          <w:sz w:val="24"/>
          <w:szCs w:val="24"/>
        </w:rPr>
        <w:t>W——</w:t>
      </w:r>
      <w:r>
        <w:rPr>
          <w:rFonts w:hint="eastAsia"/>
          <w:sz w:val="24"/>
          <w:szCs w:val="24"/>
        </w:rPr>
        <w:t>单位长度桥面径流量（</w:t>
      </w:r>
      <w:r>
        <w:rPr>
          <w:sz w:val="24"/>
          <w:szCs w:val="24"/>
        </w:rPr>
        <w:t>m</w:t>
      </w:r>
      <w:r>
        <w:rPr>
          <w:sz w:val="24"/>
          <w:szCs w:val="24"/>
          <w:vertAlign w:val="superscript"/>
        </w:rPr>
        <w:t>3</w:t>
      </w:r>
      <w:r>
        <w:rPr>
          <w:sz w:val="24"/>
          <w:szCs w:val="24"/>
        </w:rPr>
        <w:t>/a</w:t>
      </w:r>
      <w:r>
        <w:rPr>
          <w:rFonts w:hint="eastAsia"/>
          <w:sz w:val="24"/>
          <w:szCs w:val="24"/>
        </w:rPr>
        <w:t>）；</w:t>
      </w:r>
    </w:p>
    <w:p>
      <w:pPr>
        <w:spacing w:line="360" w:lineRule="auto"/>
        <w:ind w:firstLine="31680" w:firstLineChars="450"/>
        <w:rPr>
          <w:sz w:val="24"/>
          <w:szCs w:val="24"/>
        </w:rPr>
      </w:pPr>
      <w:r>
        <w:rPr>
          <w:sz w:val="24"/>
          <w:szCs w:val="24"/>
        </w:rPr>
        <w:t>A——</w:t>
      </w:r>
      <w:r>
        <w:rPr>
          <w:rFonts w:hint="eastAsia"/>
          <w:sz w:val="24"/>
          <w:szCs w:val="24"/>
        </w:rPr>
        <w:t>路基宽（</w:t>
      </w:r>
      <w:r>
        <w:rPr>
          <w:sz w:val="24"/>
          <w:szCs w:val="24"/>
        </w:rPr>
        <w:t>m</w:t>
      </w:r>
      <w:r>
        <w:rPr>
          <w:rFonts w:hint="eastAsia"/>
          <w:sz w:val="24"/>
          <w:szCs w:val="24"/>
        </w:rPr>
        <w:t>）；</w:t>
      </w:r>
    </w:p>
    <w:p>
      <w:pPr>
        <w:spacing w:line="360" w:lineRule="auto"/>
        <w:ind w:firstLine="31680" w:firstLineChars="450"/>
        <w:rPr>
          <w:sz w:val="24"/>
          <w:szCs w:val="24"/>
        </w:rPr>
      </w:pPr>
      <w:r>
        <w:rPr>
          <w:sz w:val="24"/>
          <w:szCs w:val="24"/>
        </w:rPr>
        <w:t>L——</w:t>
      </w:r>
      <w:r>
        <w:rPr>
          <w:rFonts w:hint="eastAsia"/>
          <w:sz w:val="24"/>
          <w:szCs w:val="24"/>
        </w:rPr>
        <w:t>桥面长度（</w:t>
      </w:r>
      <w:r>
        <w:rPr>
          <w:sz w:val="24"/>
          <w:szCs w:val="24"/>
        </w:rPr>
        <w:t>m</w:t>
      </w:r>
      <w:r>
        <w:rPr>
          <w:rFonts w:hint="eastAsia"/>
          <w:sz w:val="24"/>
          <w:szCs w:val="24"/>
        </w:rPr>
        <w:t>）；</w:t>
      </w:r>
    </w:p>
    <w:p>
      <w:pPr>
        <w:spacing w:line="360" w:lineRule="auto"/>
        <w:ind w:firstLine="31680" w:firstLineChars="450"/>
        <w:rPr>
          <w:sz w:val="24"/>
          <w:szCs w:val="24"/>
        </w:rPr>
      </w:pPr>
      <w:r>
        <w:rPr>
          <w:sz w:val="24"/>
          <w:szCs w:val="24"/>
        </w:rPr>
        <w:t>h——</w:t>
      </w:r>
      <w:r>
        <w:rPr>
          <w:rFonts w:hint="eastAsia"/>
          <w:sz w:val="24"/>
          <w:szCs w:val="24"/>
        </w:rPr>
        <w:t>降雨强度（</w:t>
      </w:r>
      <w:r>
        <w:rPr>
          <w:sz w:val="24"/>
          <w:szCs w:val="24"/>
        </w:rPr>
        <w:t>mm/a</w:t>
      </w:r>
      <w:r>
        <w:rPr>
          <w:rFonts w:hint="eastAsia"/>
          <w:sz w:val="24"/>
          <w:szCs w:val="24"/>
        </w:rPr>
        <w:t>）。</w:t>
      </w:r>
    </w:p>
    <w:p>
      <w:pPr>
        <w:spacing w:line="360" w:lineRule="auto"/>
        <w:ind w:firstLine="31680" w:firstLineChars="200"/>
        <w:rPr>
          <w:sz w:val="24"/>
        </w:rPr>
      </w:pPr>
      <w:r>
        <w:rPr>
          <w:rFonts w:hint="eastAsia"/>
          <w:sz w:val="24"/>
        </w:rPr>
        <w:t>由上式可以看出，桥面径流量决定于降雨量，本项目路段所经地区平均降雨量为</w:t>
      </w:r>
      <w:r>
        <w:rPr>
          <w:sz w:val="24"/>
        </w:rPr>
        <w:t>1377.3</w:t>
      </w:r>
      <w:r>
        <w:rPr>
          <w:rStyle w:val="80"/>
        </w:rPr>
        <w:t>m</w:t>
      </w:r>
      <w:r>
        <w:rPr>
          <w:sz w:val="24"/>
        </w:rPr>
        <w:t>m/a</w:t>
      </w:r>
      <w:r>
        <w:rPr>
          <w:rFonts w:hint="eastAsia"/>
          <w:sz w:val="24"/>
        </w:rPr>
        <w:t>，本工程桥梁路面径流量值详见表</w:t>
      </w:r>
      <w:r>
        <w:rPr>
          <w:sz w:val="24"/>
        </w:rPr>
        <w:t>4.4-4</w:t>
      </w:r>
      <w:r>
        <w:rPr>
          <w:rFonts w:hint="eastAsia"/>
          <w:sz w:val="24"/>
        </w:rPr>
        <w:t>。</w:t>
      </w:r>
    </w:p>
    <w:p>
      <w:pPr>
        <w:pStyle w:val="114"/>
      </w:pPr>
      <w:bookmarkStart w:id="150" w:name="_Ref351452103"/>
      <w:r>
        <w:rPr>
          <w:rFonts w:hint="eastAsia"/>
        </w:rPr>
        <w:t>表</w:t>
      </w:r>
      <w:bookmarkEnd w:id="150"/>
      <w:r>
        <w:t xml:space="preserve">4.4-4      </w:t>
      </w:r>
      <w:r>
        <w:rPr>
          <w:rFonts w:hint="eastAsia"/>
        </w:rPr>
        <w:t>运营期主要跨水体桥面径流估算结果</w:t>
      </w:r>
    </w:p>
    <w:tbl>
      <w:tblPr>
        <w:tblStyle w:val="65"/>
        <w:tblW w:w="9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397"/>
        <w:gridCol w:w="1826"/>
        <w:gridCol w:w="1459"/>
        <w:gridCol w:w="3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263" w:type="dxa"/>
            <w:vAlign w:val="center"/>
          </w:tcPr>
          <w:p>
            <w:pPr>
              <w:pStyle w:val="112"/>
              <w:rPr>
                <w:snapToGrid w:val="0"/>
                <w:kern w:val="2"/>
                <w:szCs w:val="21"/>
              </w:rPr>
            </w:pPr>
            <w:r>
              <w:rPr>
                <w:rFonts w:hint="eastAsia"/>
                <w:snapToGrid w:val="0"/>
                <w:kern w:val="2"/>
                <w:szCs w:val="21"/>
              </w:rPr>
              <w:t>中心桩号</w:t>
            </w:r>
          </w:p>
        </w:tc>
        <w:tc>
          <w:tcPr>
            <w:tcW w:w="1397" w:type="dxa"/>
            <w:vAlign w:val="center"/>
          </w:tcPr>
          <w:p>
            <w:pPr>
              <w:pStyle w:val="112"/>
              <w:rPr>
                <w:snapToGrid w:val="0"/>
                <w:kern w:val="2"/>
                <w:szCs w:val="21"/>
              </w:rPr>
            </w:pPr>
            <w:r>
              <w:rPr>
                <w:rFonts w:hint="eastAsia"/>
                <w:snapToGrid w:val="0"/>
                <w:kern w:val="2"/>
                <w:szCs w:val="21"/>
              </w:rPr>
              <w:t>桥名</w:t>
            </w:r>
          </w:p>
        </w:tc>
        <w:tc>
          <w:tcPr>
            <w:tcW w:w="1826" w:type="dxa"/>
            <w:vAlign w:val="center"/>
          </w:tcPr>
          <w:p>
            <w:pPr>
              <w:pStyle w:val="112"/>
              <w:rPr>
                <w:snapToGrid w:val="0"/>
                <w:kern w:val="2"/>
                <w:szCs w:val="21"/>
              </w:rPr>
            </w:pPr>
            <w:r>
              <w:rPr>
                <w:rFonts w:hint="eastAsia"/>
                <w:snapToGrid w:val="0"/>
                <w:kern w:val="2"/>
                <w:szCs w:val="21"/>
              </w:rPr>
              <w:t>桥梁宽度（</w:t>
            </w:r>
            <w:r>
              <w:rPr>
                <w:snapToGrid w:val="0"/>
                <w:kern w:val="2"/>
                <w:szCs w:val="21"/>
              </w:rPr>
              <w:t>m</w:t>
            </w:r>
            <w:r>
              <w:rPr>
                <w:rFonts w:hint="eastAsia"/>
                <w:snapToGrid w:val="0"/>
                <w:kern w:val="2"/>
                <w:szCs w:val="21"/>
              </w:rPr>
              <w:t>）</w:t>
            </w:r>
          </w:p>
        </w:tc>
        <w:tc>
          <w:tcPr>
            <w:tcW w:w="1459" w:type="dxa"/>
            <w:vAlign w:val="center"/>
          </w:tcPr>
          <w:p>
            <w:pPr>
              <w:pStyle w:val="112"/>
              <w:rPr>
                <w:snapToGrid w:val="0"/>
                <w:kern w:val="2"/>
                <w:szCs w:val="21"/>
              </w:rPr>
            </w:pPr>
            <w:r>
              <w:rPr>
                <w:rFonts w:hint="eastAsia"/>
                <w:snapToGrid w:val="0"/>
                <w:kern w:val="2"/>
                <w:szCs w:val="21"/>
              </w:rPr>
              <w:t>长度（</w:t>
            </w:r>
            <w:r>
              <w:rPr>
                <w:snapToGrid w:val="0"/>
                <w:kern w:val="2"/>
                <w:szCs w:val="21"/>
              </w:rPr>
              <w:t>m</w:t>
            </w:r>
            <w:r>
              <w:rPr>
                <w:rFonts w:hint="eastAsia"/>
                <w:snapToGrid w:val="0"/>
                <w:kern w:val="2"/>
                <w:szCs w:val="21"/>
              </w:rPr>
              <w:t>）</w:t>
            </w:r>
          </w:p>
        </w:tc>
        <w:tc>
          <w:tcPr>
            <w:tcW w:w="3229" w:type="dxa"/>
            <w:vAlign w:val="center"/>
          </w:tcPr>
          <w:p>
            <w:pPr>
              <w:pStyle w:val="112"/>
              <w:rPr>
                <w:snapToGrid w:val="0"/>
                <w:kern w:val="2"/>
                <w:szCs w:val="21"/>
              </w:rPr>
            </w:pPr>
            <w:r>
              <w:rPr>
                <w:rFonts w:hint="eastAsia"/>
                <w:snapToGrid w:val="0"/>
                <w:kern w:val="2"/>
                <w:szCs w:val="21"/>
              </w:rPr>
              <w:t>年平均桥面径流量（</w:t>
            </w:r>
            <w:r>
              <w:rPr>
                <w:snapToGrid w:val="0"/>
                <w:kern w:val="2"/>
                <w:szCs w:val="21"/>
              </w:rPr>
              <w:t>m</w:t>
            </w:r>
            <w:r>
              <w:rPr>
                <w:snapToGrid w:val="0"/>
                <w:kern w:val="2"/>
                <w:szCs w:val="21"/>
                <w:vertAlign w:val="superscript"/>
              </w:rPr>
              <w:t>3</w:t>
            </w:r>
            <w:r>
              <w:rPr>
                <w:snapToGrid w:val="0"/>
                <w:kern w:val="2"/>
                <w:szCs w:val="21"/>
              </w:rPr>
              <w:t>/a</w:t>
            </w:r>
            <w:r>
              <w:rPr>
                <w:rFonts w:hint="eastAsia"/>
                <w:snapToGrid w:val="0"/>
                <w:kern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263" w:type="dxa"/>
            <w:vAlign w:val="center"/>
          </w:tcPr>
          <w:p>
            <w:pPr>
              <w:widowControl/>
              <w:jc w:val="center"/>
              <w:rPr>
                <w:rFonts w:cs="宋体"/>
                <w:kern w:val="0"/>
                <w:sz w:val="21"/>
                <w:szCs w:val="21"/>
              </w:rPr>
            </w:pPr>
            <w:r>
              <w:rPr>
                <w:rFonts w:cs="宋体"/>
                <w:kern w:val="0"/>
                <w:sz w:val="21"/>
                <w:szCs w:val="21"/>
              </w:rPr>
              <w:t>K1+180</w:t>
            </w:r>
          </w:p>
        </w:tc>
        <w:tc>
          <w:tcPr>
            <w:tcW w:w="1397" w:type="dxa"/>
            <w:vAlign w:val="center"/>
          </w:tcPr>
          <w:p>
            <w:pPr>
              <w:widowControl/>
              <w:jc w:val="center"/>
              <w:rPr>
                <w:rFonts w:cs="宋体"/>
                <w:kern w:val="0"/>
                <w:sz w:val="21"/>
                <w:szCs w:val="21"/>
              </w:rPr>
            </w:pPr>
            <w:r>
              <w:rPr>
                <w:rFonts w:hint="eastAsia" w:cs="宋体"/>
                <w:kern w:val="0"/>
                <w:sz w:val="21"/>
                <w:szCs w:val="21"/>
              </w:rPr>
              <w:t>樟树塘桥</w:t>
            </w:r>
          </w:p>
        </w:tc>
        <w:tc>
          <w:tcPr>
            <w:tcW w:w="1826" w:type="dxa"/>
            <w:vAlign w:val="center"/>
          </w:tcPr>
          <w:p>
            <w:pPr>
              <w:pStyle w:val="112"/>
              <w:rPr>
                <w:snapToGrid w:val="0"/>
                <w:kern w:val="2"/>
                <w:szCs w:val="21"/>
              </w:rPr>
            </w:pPr>
            <w:r>
              <w:rPr>
                <w:snapToGrid w:val="0"/>
                <w:kern w:val="2"/>
                <w:szCs w:val="21"/>
              </w:rPr>
              <w:t>16</w:t>
            </w:r>
          </w:p>
        </w:tc>
        <w:tc>
          <w:tcPr>
            <w:tcW w:w="1459" w:type="dxa"/>
            <w:vAlign w:val="center"/>
          </w:tcPr>
          <w:p>
            <w:pPr>
              <w:pStyle w:val="112"/>
              <w:rPr>
                <w:snapToGrid w:val="0"/>
                <w:kern w:val="2"/>
                <w:szCs w:val="21"/>
              </w:rPr>
            </w:pPr>
            <w:r>
              <w:rPr>
                <w:snapToGrid w:val="0"/>
                <w:kern w:val="2"/>
                <w:szCs w:val="21"/>
              </w:rPr>
              <w:t>26</w:t>
            </w:r>
          </w:p>
        </w:tc>
        <w:tc>
          <w:tcPr>
            <w:tcW w:w="3229" w:type="dxa"/>
            <w:vAlign w:val="center"/>
          </w:tcPr>
          <w:p>
            <w:pPr>
              <w:pStyle w:val="112"/>
              <w:rPr>
                <w:snapToGrid w:val="0"/>
                <w:kern w:val="2"/>
                <w:szCs w:val="21"/>
              </w:rPr>
            </w:pPr>
            <w:r>
              <w:rPr>
                <w:snapToGrid w:val="0"/>
                <w:kern w:val="2"/>
                <w:szCs w:val="21"/>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3" w:type="dxa"/>
            <w:vAlign w:val="center"/>
          </w:tcPr>
          <w:p>
            <w:pPr>
              <w:widowControl/>
              <w:jc w:val="center"/>
              <w:rPr>
                <w:rFonts w:cs="宋体"/>
                <w:kern w:val="0"/>
                <w:sz w:val="21"/>
                <w:szCs w:val="21"/>
              </w:rPr>
            </w:pPr>
            <w:r>
              <w:rPr>
                <w:rFonts w:cs="宋体"/>
                <w:kern w:val="0"/>
                <w:sz w:val="21"/>
                <w:szCs w:val="21"/>
              </w:rPr>
              <w:t>K2+330</w:t>
            </w:r>
          </w:p>
        </w:tc>
        <w:tc>
          <w:tcPr>
            <w:tcW w:w="1397" w:type="dxa"/>
            <w:vAlign w:val="center"/>
          </w:tcPr>
          <w:p>
            <w:pPr>
              <w:widowControl/>
              <w:jc w:val="center"/>
              <w:rPr>
                <w:rFonts w:cs="宋体"/>
                <w:kern w:val="0"/>
                <w:sz w:val="21"/>
                <w:szCs w:val="21"/>
              </w:rPr>
            </w:pPr>
            <w:r>
              <w:rPr>
                <w:rFonts w:hint="eastAsia" w:cs="宋体"/>
                <w:kern w:val="0"/>
                <w:sz w:val="21"/>
                <w:szCs w:val="21"/>
              </w:rPr>
              <w:t>范家屋场桥</w:t>
            </w:r>
          </w:p>
        </w:tc>
        <w:tc>
          <w:tcPr>
            <w:tcW w:w="1826" w:type="dxa"/>
            <w:vAlign w:val="center"/>
          </w:tcPr>
          <w:p>
            <w:pPr>
              <w:pStyle w:val="112"/>
              <w:rPr>
                <w:snapToGrid w:val="0"/>
                <w:kern w:val="2"/>
                <w:szCs w:val="21"/>
              </w:rPr>
            </w:pPr>
            <w:r>
              <w:rPr>
                <w:snapToGrid w:val="0"/>
                <w:kern w:val="2"/>
                <w:szCs w:val="21"/>
              </w:rPr>
              <w:t>16</w:t>
            </w:r>
          </w:p>
        </w:tc>
        <w:tc>
          <w:tcPr>
            <w:tcW w:w="1459" w:type="dxa"/>
            <w:vAlign w:val="center"/>
          </w:tcPr>
          <w:p>
            <w:pPr>
              <w:pStyle w:val="112"/>
              <w:rPr>
                <w:snapToGrid w:val="0"/>
                <w:kern w:val="2"/>
                <w:szCs w:val="21"/>
              </w:rPr>
            </w:pPr>
            <w:r>
              <w:rPr>
                <w:snapToGrid w:val="0"/>
                <w:kern w:val="2"/>
                <w:szCs w:val="21"/>
              </w:rPr>
              <w:t>26</w:t>
            </w:r>
          </w:p>
        </w:tc>
        <w:tc>
          <w:tcPr>
            <w:tcW w:w="3229" w:type="dxa"/>
            <w:vAlign w:val="center"/>
          </w:tcPr>
          <w:p>
            <w:pPr>
              <w:pStyle w:val="112"/>
              <w:rPr>
                <w:snapToGrid w:val="0"/>
                <w:kern w:val="2"/>
                <w:szCs w:val="21"/>
              </w:rPr>
            </w:pPr>
            <w:r>
              <w:rPr>
                <w:snapToGrid w:val="0"/>
                <w:kern w:val="2"/>
                <w:szCs w:val="21"/>
              </w:rPr>
              <w:t>573</w:t>
            </w:r>
          </w:p>
        </w:tc>
      </w:tr>
    </w:tbl>
    <w:p>
      <w:pPr>
        <w:pStyle w:val="5"/>
        <w:ind w:left="567" w:hanging="567"/>
      </w:pPr>
      <w:r>
        <w:rPr>
          <w:rFonts w:hint="eastAsia"/>
        </w:rPr>
        <w:t>大气污染源强分析</w:t>
      </w:r>
    </w:p>
    <w:p>
      <w:pPr>
        <w:pStyle w:val="6"/>
        <w:widowControl/>
        <w:ind w:left="567" w:hanging="567"/>
        <w:jc w:val="left"/>
      </w:pPr>
      <w:r>
        <w:rPr>
          <w:rFonts w:hint="eastAsia"/>
        </w:rPr>
        <w:t>施工期</w:t>
      </w:r>
    </w:p>
    <w:p>
      <w:pPr>
        <w:spacing w:line="360" w:lineRule="auto"/>
        <w:ind w:firstLine="31680" w:firstLineChars="200"/>
        <w:rPr>
          <w:sz w:val="24"/>
          <w:szCs w:val="24"/>
        </w:rPr>
      </w:pPr>
      <w:r>
        <w:rPr>
          <w:sz w:val="24"/>
          <w:szCs w:val="24"/>
        </w:rPr>
        <w:t>a</w:t>
      </w:r>
      <w:r>
        <w:rPr>
          <w:rFonts w:hint="eastAsia"/>
          <w:sz w:val="24"/>
          <w:szCs w:val="24"/>
        </w:rPr>
        <w:t>）扬尘污染源强</w:t>
      </w:r>
    </w:p>
    <w:p>
      <w:pPr>
        <w:pStyle w:val="3"/>
        <w:ind w:firstLine="31680"/>
      </w:pPr>
      <w:r>
        <w:rPr>
          <w:rFonts w:hint="eastAsia"/>
        </w:rPr>
        <w:t>扬尘污染主要在施工前期路基填筑过程，以施工公路车辆运输引起的扬尘和施工区扬尘为主。根据某公路施工期的监测数据，施工期道路沿周边</w:t>
      </w:r>
      <w:r>
        <w:t>TSP</w:t>
      </w:r>
      <w:r>
        <w:rPr>
          <w:rFonts w:hint="eastAsia"/>
        </w:rPr>
        <w:t>浓度表</w:t>
      </w:r>
      <w:r>
        <w:t>4.4-5</w:t>
      </w:r>
      <w:r>
        <w:rPr>
          <w:rFonts w:hint="eastAsia"/>
        </w:rPr>
        <w:t>。</w:t>
      </w:r>
    </w:p>
    <w:p>
      <w:pPr>
        <w:pStyle w:val="19"/>
        <w:jc w:val="center"/>
      </w:pPr>
      <w:bookmarkStart w:id="151" w:name="_Ref401478287"/>
      <w:r>
        <w:rPr>
          <w:rFonts w:hint="eastAsia"/>
        </w:rPr>
        <w:t>表</w:t>
      </w:r>
      <w:r>
        <w:t>4.4</w:t>
      </w:r>
      <w:bookmarkEnd w:id="151"/>
      <w:r>
        <w:t xml:space="preserve">-5   </w:t>
      </w:r>
      <w:r>
        <w:rPr>
          <w:rFonts w:hint="eastAsia"/>
        </w:rPr>
        <w:t>某公路施工期环境空气监测数据</w:t>
      </w:r>
    </w:p>
    <w:tbl>
      <w:tblPr>
        <w:tblStyle w:val="65"/>
        <w:tblW w:w="8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2268"/>
        <w:gridCol w:w="2412"/>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0" w:type="dxa"/>
            <w:vAlign w:val="center"/>
          </w:tcPr>
          <w:p>
            <w:pPr>
              <w:pStyle w:val="112"/>
              <w:rPr>
                <w:kern w:val="2"/>
                <w:szCs w:val="21"/>
              </w:rPr>
            </w:pPr>
            <w:r>
              <w:rPr>
                <w:rFonts w:hint="eastAsia"/>
                <w:kern w:val="2"/>
                <w:szCs w:val="21"/>
              </w:rPr>
              <w:t>施工类型</w:t>
            </w:r>
          </w:p>
        </w:tc>
        <w:tc>
          <w:tcPr>
            <w:tcW w:w="2268" w:type="dxa"/>
            <w:vAlign w:val="center"/>
          </w:tcPr>
          <w:p>
            <w:pPr>
              <w:pStyle w:val="112"/>
              <w:rPr>
                <w:kern w:val="2"/>
                <w:szCs w:val="21"/>
              </w:rPr>
            </w:pPr>
            <w:r>
              <w:rPr>
                <w:rFonts w:hint="eastAsia"/>
                <w:kern w:val="2"/>
                <w:szCs w:val="21"/>
              </w:rPr>
              <w:t>与公路边界距离（</w:t>
            </w:r>
            <w:r>
              <w:rPr>
                <w:kern w:val="2"/>
                <w:szCs w:val="21"/>
              </w:rPr>
              <w:t>m</w:t>
            </w:r>
            <w:r>
              <w:rPr>
                <w:rFonts w:hint="eastAsia"/>
                <w:kern w:val="2"/>
                <w:szCs w:val="21"/>
              </w:rPr>
              <w:t>）</w:t>
            </w:r>
          </w:p>
        </w:tc>
        <w:tc>
          <w:tcPr>
            <w:tcW w:w="2412" w:type="dxa"/>
            <w:vAlign w:val="center"/>
          </w:tcPr>
          <w:p>
            <w:pPr>
              <w:pStyle w:val="112"/>
              <w:rPr>
                <w:kern w:val="2"/>
                <w:szCs w:val="21"/>
              </w:rPr>
            </w:pPr>
            <w:r>
              <w:rPr>
                <w:kern w:val="2"/>
                <w:szCs w:val="21"/>
              </w:rPr>
              <w:t>TSP</w:t>
            </w:r>
            <w:r>
              <w:rPr>
                <w:rFonts w:hint="eastAsia"/>
                <w:kern w:val="2"/>
                <w:szCs w:val="21"/>
              </w:rPr>
              <w:t>日均值（</w:t>
            </w:r>
            <w:r>
              <w:rPr>
                <w:kern w:val="2"/>
                <w:szCs w:val="21"/>
              </w:rPr>
              <w:t>mg/Nm</w:t>
            </w:r>
            <w:r>
              <w:rPr>
                <w:kern w:val="2"/>
                <w:szCs w:val="21"/>
                <w:vertAlign w:val="superscript"/>
              </w:rPr>
              <w:t>3</w:t>
            </w:r>
            <w:r>
              <w:rPr>
                <w:rFonts w:hint="eastAsia"/>
                <w:kern w:val="2"/>
                <w:szCs w:val="21"/>
              </w:rPr>
              <w:t>）</w:t>
            </w:r>
          </w:p>
        </w:tc>
        <w:tc>
          <w:tcPr>
            <w:tcW w:w="2412" w:type="dxa"/>
            <w:vAlign w:val="center"/>
          </w:tcPr>
          <w:p>
            <w:pPr>
              <w:pStyle w:val="112"/>
              <w:rPr>
                <w:kern w:val="2"/>
                <w:szCs w:val="21"/>
              </w:rPr>
            </w:pPr>
            <w:r>
              <w:rPr>
                <w:rFonts w:hint="eastAsia"/>
                <w:kern w:val="2"/>
                <w:szCs w:val="21"/>
              </w:rPr>
              <w:t>二级标准值（</w:t>
            </w:r>
            <w:r>
              <w:rPr>
                <w:kern w:val="2"/>
                <w:szCs w:val="21"/>
              </w:rPr>
              <w:t>mg/Nm</w:t>
            </w:r>
            <w:r>
              <w:rPr>
                <w:kern w:val="2"/>
                <w:szCs w:val="21"/>
                <w:vertAlign w:val="superscript"/>
              </w:rPr>
              <w:t>3</w:t>
            </w:r>
            <w:r>
              <w:rPr>
                <w:rFonts w:hint="eastAsia"/>
                <w:kern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0" w:type="dxa"/>
            <w:vMerge w:val="restart"/>
            <w:vAlign w:val="center"/>
          </w:tcPr>
          <w:p>
            <w:pPr>
              <w:pStyle w:val="112"/>
              <w:rPr>
                <w:kern w:val="2"/>
                <w:szCs w:val="21"/>
              </w:rPr>
            </w:pPr>
            <w:r>
              <w:rPr>
                <w:rFonts w:hint="eastAsia"/>
                <w:kern w:val="2"/>
                <w:szCs w:val="21"/>
              </w:rPr>
              <w:t>路基路面工程</w:t>
            </w:r>
          </w:p>
        </w:tc>
        <w:tc>
          <w:tcPr>
            <w:tcW w:w="2268" w:type="dxa"/>
            <w:vAlign w:val="center"/>
          </w:tcPr>
          <w:p>
            <w:pPr>
              <w:pStyle w:val="112"/>
              <w:rPr>
                <w:kern w:val="2"/>
                <w:szCs w:val="21"/>
              </w:rPr>
            </w:pPr>
            <w:r>
              <w:rPr>
                <w:kern w:val="2"/>
                <w:szCs w:val="21"/>
              </w:rPr>
              <w:t>20</w:t>
            </w:r>
          </w:p>
        </w:tc>
        <w:tc>
          <w:tcPr>
            <w:tcW w:w="2412" w:type="dxa"/>
            <w:vAlign w:val="center"/>
          </w:tcPr>
          <w:p>
            <w:pPr>
              <w:pStyle w:val="112"/>
              <w:rPr>
                <w:kern w:val="2"/>
                <w:szCs w:val="21"/>
              </w:rPr>
            </w:pPr>
            <w:r>
              <w:rPr>
                <w:kern w:val="2"/>
                <w:szCs w:val="21"/>
              </w:rPr>
              <w:t>0.27~0.53</w:t>
            </w:r>
          </w:p>
        </w:tc>
        <w:tc>
          <w:tcPr>
            <w:tcW w:w="2412" w:type="dxa"/>
            <w:vMerge w:val="restart"/>
            <w:vAlign w:val="center"/>
          </w:tcPr>
          <w:p>
            <w:pPr>
              <w:pStyle w:val="112"/>
              <w:rPr>
                <w:kern w:val="2"/>
                <w:szCs w:val="21"/>
              </w:rPr>
            </w:pPr>
            <w:r>
              <w:rPr>
                <w:kern w:val="2"/>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0" w:type="dxa"/>
            <w:vMerge w:val="continue"/>
            <w:vAlign w:val="center"/>
          </w:tcPr>
          <w:p>
            <w:pPr>
              <w:pStyle w:val="112"/>
              <w:rPr>
                <w:kern w:val="2"/>
                <w:szCs w:val="21"/>
              </w:rPr>
            </w:pPr>
          </w:p>
        </w:tc>
        <w:tc>
          <w:tcPr>
            <w:tcW w:w="2268" w:type="dxa"/>
            <w:vAlign w:val="center"/>
          </w:tcPr>
          <w:p>
            <w:pPr>
              <w:pStyle w:val="112"/>
              <w:rPr>
                <w:kern w:val="2"/>
                <w:szCs w:val="21"/>
              </w:rPr>
            </w:pPr>
            <w:r>
              <w:rPr>
                <w:kern w:val="2"/>
                <w:szCs w:val="21"/>
              </w:rPr>
              <w:t>30</w:t>
            </w:r>
          </w:p>
        </w:tc>
        <w:tc>
          <w:tcPr>
            <w:tcW w:w="2412" w:type="dxa"/>
            <w:vAlign w:val="center"/>
          </w:tcPr>
          <w:p>
            <w:pPr>
              <w:pStyle w:val="112"/>
              <w:rPr>
                <w:kern w:val="2"/>
                <w:szCs w:val="21"/>
              </w:rPr>
            </w:pPr>
            <w:r>
              <w:rPr>
                <w:kern w:val="2"/>
                <w:szCs w:val="21"/>
              </w:rPr>
              <w:t>0.22~0.23</w:t>
            </w:r>
          </w:p>
        </w:tc>
        <w:tc>
          <w:tcPr>
            <w:tcW w:w="2412" w:type="dxa"/>
            <w:vMerge w:val="continue"/>
            <w:vAlign w:val="center"/>
          </w:tcPr>
          <w:p>
            <w:pPr>
              <w:pStyle w:val="112"/>
              <w:rPr>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0" w:type="dxa"/>
            <w:vMerge w:val="continue"/>
            <w:vAlign w:val="center"/>
          </w:tcPr>
          <w:p>
            <w:pPr>
              <w:pStyle w:val="112"/>
              <w:rPr>
                <w:kern w:val="2"/>
                <w:szCs w:val="21"/>
              </w:rPr>
            </w:pPr>
          </w:p>
        </w:tc>
        <w:tc>
          <w:tcPr>
            <w:tcW w:w="2268" w:type="dxa"/>
            <w:vAlign w:val="center"/>
          </w:tcPr>
          <w:p>
            <w:pPr>
              <w:pStyle w:val="112"/>
              <w:rPr>
                <w:kern w:val="2"/>
                <w:szCs w:val="21"/>
              </w:rPr>
            </w:pPr>
            <w:r>
              <w:rPr>
                <w:kern w:val="2"/>
                <w:szCs w:val="21"/>
              </w:rPr>
              <w:t>40</w:t>
            </w:r>
          </w:p>
        </w:tc>
        <w:tc>
          <w:tcPr>
            <w:tcW w:w="2412" w:type="dxa"/>
            <w:vAlign w:val="center"/>
          </w:tcPr>
          <w:p>
            <w:pPr>
              <w:pStyle w:val="112"/>
              <w:rPr>
                <w:kern w:val="2"/>
                <w:szCs w:val="21"/>
              </w:rPr>
            </w:pPr>
            <w:r>
              <w:rPr>
                <w:kern w:val="2"/>
                <w:szCs w:val="21"/>
              </w:rPr>
              <w:t>0.20~0.22</w:t>
            </w:r>
          </w:p>
        </w:tc>
        <w:tc>
          <w:tcPr>
            <w:tcW w:w="2412" w:type="dxa"/>
            <w:vMerge w:val="continue"/>
            <w:vAlign w:val="center"/>
          </w:tcPr>
          <w:p>
            <w:pPr>
              <w:pStyle w:val="112"/>
              <w:rPr>
                <w:kern w:val="2"/>
                <w:szCs w:val="21"/>
              </w:rPr>
            </w:pPr>
          </w:p>
        </w:tc>
      </w:tr>
    </w:tbl>
    <w:p>
      <w:pPr>
        <w:pStyle w:val="3"/>
        <w:ind w:firstLine="31680"/>
      </w:pPr>
      <w:r>
        <w:t>b</w:t>
      </w:r>
      <w:r>
        <w:rPr>
          <w:rFonts w:hint="eastAsia"/>
        </w:rPr>
        <w:t>）燃油机械废气</w:t>
      </w:r>
    </w:p>
    <w:p>
      <w:pPr>
        <w:pStyle w:val="3"/>
        <w:ind w:firstLine="31680"/>
      </w:pPr>
      <w:r>
        <w:rPr>
          <w:rFonts w:hint="eastAsia"/>
        </w:rPr>
        <w:t>施工中将使用各类大、中、小施工机械，主要以汽油、柴油等燃烧为动力，特别是大型工程机械将使用柴油作动力，排放的尾气、烟气对区域环境空气有一定的影响。燃料废气中主要含</w:t>
      </w:r>
      <w:r>
        <w:t>CO</w:t>
      </w:r>
      <w:r>
        <w:rPr>
          <w:rFonts w:hint="eastAsia"/>
        </w:rPr>
        <w:t>、</w:t>
      </w:r>
      <w:r>
        <w:t>NO</w:t>
      </w:r>
      <w:r>
        <w:rPr>
          <w:vertAlign w:val="subscript"/>
        </w:rPr>
        <w:t>X</w:t>
      </w:r>
      <w:r>
        <w:rPr>
          <w:rFonts w:hint="eastAsia"/>
        </w:rPr>
        <w:t>、</w:t>
      </w:r>
      <w:r>
        <w:t>HCH</w:t>
      </w:r>
      <w:r>
        <w:rPr>
          <w:rFonts w:hint="eastAsia"/>
        </w:rPr>
        <w:t>、烟尘等。根据柴油车尾气污染物排放系数统计，每燃</w:t>
      </w:r>
      <w:r>
        <w:t>1</w:t>
      </w:r>
      <w:r>
        <w:rPr>
          <w:rFonts w:hint="eastAsia"/>
        </w:rPr>
        <w:t>升柴油排放</w:t>
      </w:r>
      <w:r>
        <w:t>CO</w:t>
      </w:r>
      <w:r>
        <w:rPr>
          <w:rFonts w:hint="eastAsia"/>
        </w:rPr>
        <w:t>：</w:t>
      </w:r>
      <w:r>
        <w:t>22.6g</w:t>
      </w:r>
      <w:r>
        <w:rPr>
          <w:rFonts w:hint="eastAsia"/>
        </w:rPr>
        <w:t>、</w:t>
      </w:r>
      <w:r>
        <w:t>HCH</w:t>
      </w:r>
      <w:r>
        <w:rPr>
          <w:rFonts w:hint="eastAsia"/>
        </w:rPr>
        <w:t>：</w:t>
      </w:r>
      <w:r>
        <w:t>51.3g</w:t>
      </w:r>
      <w:r>
        <w:rPr>
          <w:rFonts w:hint="eastAsia"/>
        </w:rPr>
        <w:t>、</w:t>
      </w:r>
      <w:r>
        <w:t>NO</w:t>
      </w:r>
      <w:r>
        <w:rPr>
          <w:vertAlign w:val="subscript"/>
        </w:rPr>
        <w:t>X</w:t>
      </w:r>
      <w:r>
        <w:rPr>
          <w:rFonts w:hint="eastAsia"/>
        </w:rPr>
        <w:t>：</w:t>
      </w:r>
      <w:r>
        <w:t>83.8g</w:t>
      </w:r>
      <w:r>
        <w:rPr>
          <w:rFonts w:hint="eastAsia"/>
        </w:rPr>
        <w:t>、烟尘</w:t>
      </w:r>
      <w:r>
        <w:t>41.5g</w:t>
      </w:r>
      <w:r>
        <w:rPr>
          <w:rFonts w:hint="eastAsia"/>
        </w:rPr>
        <w:t>。若每公里标段工地柴油使用量按</w:t>
      </w:r>
      <w:r>
        <w:t>50L/d</w:t>
      </w:r>
      <w:r>
        <w:rPr>
          <w:rFonts w:hint="eastAsia"/>
        </w:rPr>
        <w:t>计算，则施工期每公里污染物的排放量分别为</w:t>
      </w:r>
      <w:r>
        <w:t>CO</w:t>
      </w:r>
      <w:r>
        <w:rPr>
          <w:rFonts w:hint="eastAsia"/>
        </w:rPr>
        <w:t>：</w:t>
      </w:r>
      <w:r>
        <w:t>1130g/d</w:t>
      </w:r>
      <w:r>
        <w:rPr>
          <w:rFonts w:hint="eastAsia"/>
        </w:rPr>
        <w:t>、</w:t>
      </w:r>
      <w:r>
        <w:t>HCH</w:t>
      </w:r>
      <w:r>
        <w:rPr>
          <w:rFonts w:hint="eastAsia"/>
        </w:rPr>
        <w:t>：</w:t>
      </w:r>
      <w:r>
        <w:t>2565g/d</w:t>
      </w:r>
      <w:r>
        <w:rPr>
          <w:rFonts w:hint="eastAsia"/>
        </w:rPr>
        <w:t>、</w:t>
      </w:r>
      <w:r>
        <w:t>NO</w:t>
      </w:r>
      <w:r>
        <w:rPr>
          <w:vertAlign w:val="subscript"/>
        </w:rPr>
        <w:t>X</w:t>
      </w:r>
      <w:r>
        <w:rPr>
          <w:rFonts w:hint="eastAsia"/>
        </w:rPr>
        <w:t>：</w:t>
      </w:r>
      <w:r>
        <w:t>4190g/d</w:t>
      </w:r>
      <w:r>
        <w:rPr>
          <w:rFonts w:hint="eastAsia"/>
        </w:rPr>
        <w:t>、烟尘</w:t>
      </w:r>
      <w:r>
        <w:t>2075g/d</w:t>
      </w:r>
      <w:r>
        <w:rPr>
          <w:rFonts w:hint="eastAsia"/>
        </w:rPr>
        <w:t>。</w:t>
      </w:r>
    </w:p>
    <w:p>
      <w:pPr>
        <w:pStyle w:val="3"/>
        <w:ind w:firstLine="31680"/>
      </w:pPr>
      <w:r>
        <w:t>c</w:t>
      </w:r>
      <w:r>
        <w:rPr>
          <w:rFonts w:hint="eastAsia"/>
        </w:rPr>
        <w:t>）其它大气污染源强</w:t>
      </w:r>
    </w:p>
    <w:p>
      <w:pPr>
        <w:pStyle w:val="3"/>
        <w:ind w:firstLine="31680"/>
      </w:pPr>
      <w:r>
        <w:rPr>
          <w:rFonts w:hint="eastAsia"/>
        </w:rPr>
        <w:t>工程施工期将不设置沥青及混凝土搅拌站，均采购成品混凝土料，由专业运输车辆运送，施工期无沥青拌和烟气、混凝土拌和粉尘等产生。施工期路面灰土拌合采用专用灰土拌和机进行路拌，不专设灰土拌和站，无灰土拌和站扬尘产生。仅在沥青摊铺过程中，有少量的无组织沥青烟气产生，属无组织排放。</w:t>
      </w:r>
    </w:p>
    <w:p>
      <w:pPr>
        <w:pStyle w:val="3"/>
        <w:ind w:firstLine="31680"/>
      </w:pPr>
      <w:r>
        <w:rPr>
          <w:rFonts w:hint="eastAsia"/>
        </w:rPr>
        <w:t>另外在项目沿线进行旧楼房拆迁中，往往造成扬尘污染，拆迁扬尘的排放与拆迁场地的面积和施工活动频率成比例，还与当地气象条件如风速、湿度、日照等有关。如遇干旱无雨季节，在大风时，拆迁扬尘将更严重，会对周边大气环境产生一定的影响。</w:t>
      </w:r>
    </w:p>
    <w:p>
      <w:pPr>
        <w:pStyle w:val="6"/>
        <w:widowControl/>
        <w:ind w:left="567" w:hanging="567"/>
        <w:jc w:val="left"/>
      </w:pPr>
      <w:r>
        <w:rPr>
          <w:rFonts w:hint="eastAsia"/>
        </w:rPr>
        <w:t>营运期</w:t>
      </w:r>
    </w:p>
    <w:p>
      <w:pPr>
        <w:pStyle w:val="3"/>
        <w:ind w:firstLine="31680"/>
      </w:pPr>
      <w:r>
        <w:t>a</w:t>
      </w:r>
      <w:r>
        <w:rPr>
          <w:rFonts w:hint="eastAsia"/>
        </w:rPr>
        <w:t>）汽车尾气</w:t>
      </w:r>
    </w:p>
    <w:p>
      <w:pPr>
        <w:pStyle w:val="3"/>
        <w:ind w:firstLine="31680"/>
      </w:pPr>
      <w:r>
        <w:rPr>
          <w:rFonts w:hint="eastAsia"/>
        </w:rPr>
        <w:t>汽车尾气污染物主要为氮氧化物。根据《公路建设项目环境影响评价规范》（</w:t>
      </w:r>
      <w:r>
        <w:t>JTG B03-2006</w:t>
      </w:r>
      <w:r>
        <w:rPr>
          <w:rFonts w:hint="eastAsia"/>
        </w:rPr>
        <w:t>）附录</w:t>
      </w:r>
      <w:r>
        <w:t>E</w:t>
      </w:r>
      <w:r>
        <w:rPr>
          <w:rFonts w:hint="eastAsia"/>
        </w:rPr>
        <w:t>表</w:t>
      </w:r>
      <w:r>
        <w:t>E.2.7</w:t>
      </w:r>
      <w:r>
        <w:rPr>
          <w:rFonts w:hint="eastAsia"/>
        </w:rPr>
        <w:t>，本工程设计行车速度为</w:t>
      </w:r>
      <w:r>
        <w:t>80km/h</w:t>
      </w:r>
      <w:r>
        <w:rPr>
          <w:rFonts w:hint="eastAsia"/>
        </w:rPr>
        <w:t>，参照车速为</w:t>
      </w:r>
      <w:r>
        <w:t>80km/h</w:t>
      </w:r>
      <w:r>
        <w:rPr>
          <w:rFonts w:hint="eastAsia"/>
        </w:rPr>
        <w:t>的车辆单车排放源强，则</w:t>
      </w:r>
      <w:r>
        <w:rPr>
          <w:rFonts w:hint="eastAsia" w:hAnsi="宋体"/>
        </w:rPr>
        <w:t>本项目车辆单车排放因子推荐值详见表</w:t>
      </w:r>
      <w:r>
        <w:rPr>
          <w:rFonts w:hAnsi="宋体"/>
        </w:rPr>
        <w:t>4.4-6</w:t>
      </w:r>
      <w:r>
        <w:rPr>
          <w:rFonts w:hint="eastAsia" w:hAnsi="宋体"/>
        </w:rPr>
        <w:t>。</w:t>
      </w:r>
    </w:p>
    <w:p>
      <w:pPr>
        <w:pStyle w:val="19"/>
        <w:jc w:val="center"/>
      </w:pPr>
      <w:bookmarkStart w:id="152" w:name="_Ref401502708"/>
      <w:r>
        <w:rPr>
          <w:rFonts w:hint="eastAsia"/>
        </w:rPr>
        <w:t>表</w:t>
      </w:r>
      <w:bookmarkEnd w:id="152"/>
      <w:r>
        <w:t xml:space="preserve">4.4-6   </w:t>
      </w:r>
      <w:r>
        <w:rPr>
          <w:rFonts w:hint="eastAsia"/>
        </w:rPr>
        <w:t>现阶段车辆单车排放因子推荐值</w:t>
      </w:r>
      <w:r>
        <w:t xml:space="preserve">     </w:t>
      </w:r>
      <w:r>
        <w:rPr>
          <w:rFonts w:hint="eastAsia"/>
        </w:rPr>
        <w:t>单位：</w:t>
      </w:r>
      <w:r>
        <w:t>g/</w:t>
      </w:r>
      <w:r>
        <w:rPr>
          <w:rFonts w:hint="eastAsia"/>
        </w:rPr>
        <w:t>（</w:t>
      </w:r>
      <w:r>
        <w:t>km</w:t>
      </w:r>
      <w:r>
        <w:rPr>
          <w:rFonts w:hint="eastAsia"/>
        </w:rPr>
        <w:t>·辆）</w:t>
      </w:r>
    </w:p>
    <w:tbl>
      <w:tblPr>
        <w:tblStyle w:val="65"/>
        <w:tblW w:w="897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200"/>
        <w:gridCol w:w="2904"/>
        <w:gridCol w:w="28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6104" w:type="dxa"/>
            <w:gridSpan w:val="2"/>
            <w:tcBorders>
              <w:bottom w:val="single" w:color="auto" w:sz="4" w:space="0"/>
              <w:right w:val="single" w:color="auto" w:sz="4" w:space="0"/>
            </w:tcBorders>
            <w:vAlign w:val="center"/>
          </w:tcPr>
          <w:p>
            <w:pPr>
              <w:jc w:val="center"/>
              <w:rPr>
                <w:sz w:val="21"/>
                <w:szCs w:val="21"/>
              </w:rPr>
            </w:pPr>
            <w:r>
              <w:rPr>
                <w:rFonts w:hint="eastAsia"/>
                <w:sz w:val="21"/>
                <w:szCs w:val="21"/>
              </w:rPr>
              <w:t>平均车速（</w:t>
            </w:r>
            <w:r>
              <w:rPr>
                <w:sz w:val="21"/>
                <w:szCs w:val="21"/>
              </w:rPr>
              <w:t>km/h</w:t>
            </w:r>
            <w:r>
              <w:rPr>
                <w:rFonts w:hint="eastAsia"/>
                <w:sz w:val="21"/>
                <w:szCs w:val="21"/>
              </w:rPr>
              <w:t>）</w:t>
            </w:r>
          </w:p>
        </w:tc>
        <w:tc>
          <w:tcPr>
            <w:tcW w:w="2870" w:type="dxa"/>
            <w:tcBorders>
              <w:left w:val="single" w:color="auto" w:sz="4" w:space="0"/>
            </w:tcBorders>
            <w:vAlign w:val="center"/>
          </w:tcPr>
          <w:p>
            <w:pPr>
              <w:jc w:val="center"/>
              <w:rPr>
                <w:sz w:val="21"/>
                <w:szCs w:val="21"/>
              </w:rPr>
            </w:pPr>
            <w:r>
              <w:rPr>
                <w:sz w:val="21"/>
                <w:szCs w:val="21"/>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3200" w:type="dxa"/>
            <w:vMerge w:val="restart"/>
            <w:tcBorders>
              <w:top w:val="single" w:color="auto" w:sz="4" w:space="0"/>
            </w:tcBorders>
            <w:vAlign w:val="center"/>
          </w:tcPr>
          <w:p>
            <w:pPr>
              <w:jc w:val="center"/>
              <w:rPr>
                <w:rFonts w:hAnsi="宋体"/>
                <w:sz w:val="21"/>
                <w:szCs w:val="21"/>
              </w:rPr>
            </w:pPr>
            <w:r>
              <w:rPr>
                <w:rFonts w:hint="eastAsia" w:hAnsi="宋体"/>
                <w:sz w:val="21"/>
                <w:szCs w:val="21"/>
              </w:rPr>
              <w:t>小型车</w:t>
            </w:r>
          </w:p>
        </w:tc>
        <w:tc>
          <w:tcPr>
            <w:tcW w:w="2904" w:type="dxa"/>
            <w:tcBorders>
              <w:right w:val="single" w:color="auto" w:sz="4" w:space="0"/>
            </w:tcBorders>
            <w:vAlign w:val="center"/>
          </w:tcPr>
          <w:p>
            <w:pPr>
              <w:jc w:val="center"/>
              <w:rPr>
                <w:sz w:val="21"/>
                <w:szCs w:val="21"/>
              </w:rPr>
            </w:pPr>
            <w:r>
              <w:rPr>
                <w:sz w:val="21"/>
                <w:szCs w:val="21"/>
              </w:rPr>
              <w:t>CO</w:t>
            </w:r>
          </w:p>
        </w:tc>
        <w:tc>
          <w:tcPr>
            <w:tcW w:w="2870" w:type="dxa"/>
            <w:tcBorders>
              <w:left w:val="single" w:color="auto" w:sz="4" w:space="0"/>
            </w:tcBorders>
            <w:vAlign w:val="center"/>
          </w:tcPr>
          <w:p>
            <w:pPr>
              <w:jc w:val="center"/>
              <w:rPr>
                <w:sz w:val="21"/>
                <w:szCs w:val="21"/>
              </w:rPr>
            </w:pPr>
            <w:r>
              <w:rPr>
                <w:sz w:val="21"/>
                <w:szCs w:val="21"/>
              </w:rPr>
              <w:t>14.76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3200" w:type="dxa"/>
            <w:vMerge w:val="continue"/>
            <w:vAlign w:val="center"/>
          </w:tcPr>
          <w:p>
            <w:pPr>
              <w:jc w:val="center"/>
              <w:rPr>
                <w:sz w:val="21"/>
                <w:szCs w:val="21"/>
              </w:rPr>
            </w:pPr>
          </w:p>
        </w:tc>
        <w:tc>
          <w:tcPr>
            <w:tcW w:w="2904" w:type="dxa"/>
            <w:vAlign w:val="center"/>
          </w:tcPr>
          <w:p>
            <w:pPr>
              <w:jc w:val="center"/>
              <w:rPr>
                <w:sz w:val="21"/>
                <w:szCs w:val="21"/>
              </w:rPr>
            </w:pPr>
            <w:r>
              <w:rPr>
                <w:sz w:val="21"/>
                <w:szCs w:val="21"/>
              </w:rPr>
              <w:t>NO</w:t>
            </w:r>
            <w:r>
              <w:rPr>
                <w:sz w:val="21"/>
                <w:szCs w:val="21"/>
                <w:vertAlign w:val="subscript"/>
              </w:rPr>
              <w:t>X</w:t>
            </w:r>
          </w:p>
        </w:tc>
        <w:tc>
          <w:tcPr>
            <w:tcW w:w="2870" w:type="dxa"/>
            <w:vAlign w:val="center"/>
          </w:tcPr>
          <w:p>
            <w:pPr>
              <w:jc w:val="center"/>
              <w:rPr>
                <w:sz w:val="21"/>
                <w:szCs w:val="21"/>
              </w:rPr>
            </w:pPr>
            <w:r>
              <w:rPr>
                <w:sz w:val="21"/>
                <w:szCs w:val="21"/>
              </w:rPr>
              <w:t>3.71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3200" w:type="dxa"/>
            <w:vMerge w:val="restart"/>
            <w:vAlign w:val="center"/>
          </w:tcPr>
          <w:p>
            <w:pPr>
              <w:jc w:val="center"/>
              <w:rPr>
                <w:sz w:val="21"/>
                <w:szCs w:val="21"/>
              </w:rPr>
            </w:pPr>
            <w:r>
              <w:rPr>
                <w:rFonts w:hint="eastAsia" w:hAnsi="宋体"/>
                <w:sz w:val="21"/>
                <w:szCs w:val="21"/>
              </w:rPr>
              <w:t>中型车</w:t>
            </w:r>
          </w:p>
        </w:tc>
        <w:tc>
          <w:tcPr>
            <w:tcW w:w="2904" w:type="dxa"/>
            <w:vAlign w:val="center"/>
          </w:tcPr>
          <w:p>
            <w:pPr>
              <w:jc w:val="center"/>
              <w:rPr>
                <w:sz w:val="21"/>
                <w:szCs w:val="21"/>
              </w:rPr>
            </w:pPr>
            <w:r>
              <w:rPr>
                <w:sz w:val="21"/>
                <w:szCs w:val="21"/>
              </w:rPr>
              <w:t>CO</w:t>
            </w:r>
          </w:p>
        </w:tc>
        <w:tc>
          <w:tcPr>
            <w:tcW w:w="2870" w:type="dxa"/>
            <w:vAlign w:val="center"/>
          </w:tcPr>
          <w:p>
            <w:pPr>
              <w:jc w:val="center"/>
              <w:rPr>
                <w:sz w:val="21"/>
                <w:szCs w:val="21"/>
              </w:rPr>
            </w:pPr>
            <w:r>
              <w:rPr>
                <w:sz w:val="21"/>
                <w:szCs w:val="21"/>
              </w:rPr>
              <w:t>25.47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3200" w:type="dxa"/>
            <w:vMerge w:val="continue"/>
            <w:vAlign w:val="center"/>
          </w:tcPr>
          <w:p>
            <w:pPr>
              <w:jc w:val="center"/>
              <w:rPr>
                <w:sz w:val="21"/>
                <w:szCs w:val="21"/>
              </w:rPr>
            </w:pPr>
          </w:p>
        </w:tc>
        <w:tc>
          <w:tcPr>
            <w:tcW w:w="2904" w:type="dxa"/>
            <w:vAlign w:val="center"/>
          </w:tcPr>
          <w:p>
            <w:pPr>
              <w:jc w:val="center"/>
              <w:rPr>
                <w:sz w:val="21"/>
                <w:szCs w:val="21"/>
              </w:rPr>
            </w:pPr>
            <w:r>
              <w:rPr>
                <w:sz w:val="21"/>
                <w:szCs w:val="21"/>
              </w:rPr>
              <w:t>NO</w:t>
            </w:r>
            <w:r>
              <w:rPr>
                <w:sz w:val="21"/>
                <w:szCs w:val="21"/>
                <w:vertAlign w:val="subscript"/>
              </w:rPr>
              <w:t>X</w:t>
            </w:r>
          </w:p>
        </w:tc>
        <w:tc>
          <w:tcPr>
            <w:tcW w:w="2870" w:type="dxa"/>
            <w:vAlign w:val="center"/>
          </w:tcPr>
          <w:p>
            <w:pPr>
              <w:jc w:val="center"/>
              <w:rPr>
                <w:sz w:val="21"/>
                <w:szCs w:val="21"/>
              </w:rPr>
            </w:pPr>
            <w:r>
              <w:rPr>
                <w:sz w:val="21"/>
                <w:szCs w:val="21"/>
              </w:rPr>
              <w:t>8.30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3200" w:type="dxa"/>
            <w:vMerge w:val="restart"/>
            <w:vAlign w:val="center"/>
          </w:tcPr>
          <w:p>
            <w:pPr>
              <w:jc w:val="center"/>
              <w:rPr>
                <w:sz w:val="21"/>
                <w:szCs w:val="21"/>
              </w:rPr>
            </w:pPr>
            <w:r>
              <w:rPr>
                <w:rFonts w:hint="eastAsia" w:hAnsi="宋体"/>
                <w:sz w:val="21"/>
                <w:szCs w:val="21"/>
              </w:rPr>
              <w:t>大型车</w:t>
            </w:r>
          </w:p>
        </w:tc>
        <w:tc>
          <w:tcPr>
            <w:tcW w:w="2904" w:type="dxa"/>
            <w:vAlign w:val="center"/>
          </w:tcPr>
          <w:p>
            <w:pPr>
              <w:jc w:val="center"/>
              <w:rPr>
                <w:sz w:val="21"/>
                <w:szCs w:val="21"/>
              </w:rPr>
            </w:pPr>
            <w:r>
              <w:rPr>
                <w:sz w:val="21"/>
                <w:szCs w:val="21"/>
              </w:rPr>
              <w:t>CO</w:t>
            </w:r>
          </w:p>
        </w:tc>
        <w:tc>
          <w:tcPr>
            <w:tcW w:w="2870" w:type="dxa"/>
            <w:vAlign w:val="center"/>
          </w:tcPr>
          <w:p>
            <w:pPr>
              <w:jc w:val="center"/>
              <w:rPr>
                <w:sz w:val="21"/>
                <w:szCs w:val="21"/>
              </w:rPr>
            </w:pPr>
            <w:r>
              <w:rPr>
                <w:sz w:val="21"/>
                <w:szCs w:val="21"/>
              </w:rPr>
              <w:t>4.01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rPr>
        <w:tc>
          <w:tcPr>
            <w:tcW w:w="3200" w:type="dxa"/>
            <w:vMerge w:val="continue"/>
            <w:vAlign w:val="center"/>
          </w:tcPr>
          <w:p>
            <w:pPr>
              <w:jc w:val="center"/>
              <w:rPr>
                <w:sz w:val="21"/>
                <w:szCs w:val="21"/>
              </w:rPr>
            </w:pPr>
          </w:p>
        </w:tc>
        <w:tc>
          <w:tcPr>
            <w:tcW w:w="2904" w:type="dxa"/>
            <w:vAlign w:val="center"/>
          </w:tcPr>
          <w:p>
            <w:pPr>
              <w:tabs>
                <w:tab w:val="left" w:pos="201"/>
                <w:tab w:val="center" w:pos="1505"/>
              </w:tabs>
              <w:jc w:val="left"/>
              <w:rPr>
                <w:sz w:val="21"/>
                <w:szCs w:val="21"/>
              </w:rPr>
            </w:pPr>
            <w:r>
              <w:rPr>
                <w:sz w:val="21"/>
                <w:szCs w:val="21"/>
              </w:rPr>
              <w:tab/>
            </w:r>
            <w:r>
              <w:rPr>
                <w:sz w:val="21"/>
                <w:szCs w:val="21"/>
              </w:rPr>
              <w:tab/>
            </w:r>
            <w:r>
              <w:rPr>
                <w:sz w:val="21"/>
                <w:szCs w:val="21"/>
              </w:rPr>
              <w:t>NO</w:t>
            </w:r>
            <w:r>
              <w:rPr>
                <w:sz w:val="21"/>
                <w:szCs w:val="21"/>
                <w:vertAlign w:val="subscript"/>
              </w:rPr>
              <w:t>X</w:t>
            </w:r>
          </w:p>
        </w:tc>
        <w:tc>
          <w:tcPr>
            <w:tcW w:w="2870" w:type="dxa"/>
            <w:vAlign w:val="center"/>
          </w:tcPr>
          <w:p>
            <w:pPr>
              <w:jc w:val="center"/>
              <w:rPr>
                <w:sz w:val="21"/>
                <w:szCs w:val="21"/>
              </w:rPr>
            </w:pPr>
            <w:r>
              <w:rPr>
                <w:sz w:val="21"/>
                <w:szCs w:val="21"/>
              </w:rPr>
              <w:t>14.71</w:t>
            </w:r>
          </w:p>
        </w:tc>
      </w:tr>
    </w:tbl>
    <w:p>
      <w:pPr>
        <w:pStyle w:val="3"/>
        <w:ind w:firstLine="31680"/>
      </w:pPr>
      <w:r>
        <w:rPr>
          <w:rFonts w:hint="eastAsia"/>
        </w:rPr>
        <w:t>根据前节</w:t>
      </w:r>
      <w:r>
        <w:t>3.4.2</w:t>
      </w:r>
      <w:r>
        <w:rPr>
          <w:rFonts w:hint="eastAsia"/>
        </w:rPr>
        <w:t>的特征年交通量预测数据以及表</w:t>
      </w:r>
      <w:r>
        <w:t>4.4-6</w:t>
      </w:r>
      <w:r>
        <w:rPr>
          <w:rFonts w:hint="eastAsia"/>
        </w:rPr>
        <w:t>，计算出本项目特征年车辆尾气污染物排放量，详见表</w:t>
      </w:r>
      <w:r>
        <w:t>4.4-7</w:t>
      </w:r>
      <w:r>
        <w:rPr>
          <w:rFonts w:hint="eastAsia"/>
        </w:rPr>
        <w:t>。</w:t>
      </w:r>
    </w:p>
    <w:p>
      <w:pPr>
        <w:pStyle w:val="19"/>
        <w:jc w:val="center"/>
      </w:pPr>
      <w:r>
        <w:rPr>
          <w:rFonts w:hint="eastAsia"/>
        </w:rPr>
        <w:t>表</w:t>
      </w:r>
      <w:r>
        <w:t xml:space="preserve">4.4-7   </w:t>
      </w:r>
      <w:r>
        <w:rPr>
          <w:rFonts w:hint="eastAsia"/>
        </w:rPr>
        <w:t>特征年车辆尾气污染物排放量</w:t>
      </w:r>
      <w:r>
        <w:t xml:space="preserve">   </w:t>
      </w:r>
      <w:r>
        <w:rPr>
          <w:rFonts w:hint="eastAsia"/>
        </w:rPr>
        <w:t>单位：</w:t>
      </w:r>
      <w:r>
        <w:t>kg/</w:t>
      </w:r>
      <w:r>
        <w:rPr>
          <w:rFonts w:hint="eastAsia"/>
        </w:rPr>
        <w:t>（</w:t>
      </w:r>
      <w:r>
        <w:t>km·d</w:t>
      </w:r>
      <w:r>
        <w:rPr>
          <w:rFonts w:hint="eastAsia"/>
        </w:rPr>
        <w:t>）</w:t>
      </w:r>
    </w:p>
    <w:tbl>
      <w:tblPr>
        <w:tblStyle w:val="65"/>
        <w:tblW w:w="8988" w:type="dxa"/>
        <w:tblInd w:w="0" w:type="dxa"/>
        <w:tblLayout w:type="fixed"/>
        <w:tblCellMar>
          <w:top w:w="0" w:type="dxa"/>
          <w:left w:w="0" w:type="dxa"/>
          <w:bottom w:w="0" w:type="dxa"/>
          <w:right w:w="0" w:type="dxa"/>
        </w:tblCellMar>
      </w:tblPr>
      <w:tblGrid>
        <w:gridCol w:w="2363"/>
        <w:gridCol w:w="822"/>
        <w:gridCol w:w="2598"/>
        <w:gridCol w:w="3205"/>
      </w:tblGrid>
      <w:tr>
        <w:tblPrEx>
          <w:tblLayout w:type="fixed"/>
          <w:tblCellMar>
            <w:top w:w="0" w:type="dxa"/>
            <w:left w:w="0" w:type="dxa"/>
            <w:bottom w:w="0" w:type="dxa"/>
            <w:right w:w="0" w:type="dxa"/>
          </w:tblCellMar>
        </w:tblPrEx>
        <w:trPr>
          <w:trHeight w:val="397" w:hRule="atLeast"/>
          <w:tblHeader/>
        </w:trPr>
        <w:tc>
          <w:tcPr>
            <w:tcW w:w="2363"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rFonts w:hint="eastAsia"/>
                <w:sz w:val="21"/>
                <w:szCs w:val="21"/>
              </w:rPr>
              <w:t>路段</w:t>
            </w:r>
          </w:p>
        </w:tc>
        <w:tc>
          <w:tcPr>
            <w:tcW w:w="822"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rFonts w:hint="eastAsia"/>
                <w:sz w:val="21"/>
                <w:szCs w:val="21"/>
              </w:rPr>
              <w:t>污染物</w:t>
            </w:r>
          </w:p>
        </w:tc>
        <w:tc>
          <w:tcPr>
            <w:tcW w:w="2598" w:type="dxa"/>
            <w:vMerge w:val="restart"/>
            <w:tcBorders>
              <w:top w:val="single" w:color="auto" w:sz="4" w:space="0"/>
              <w:left w:val="nil"/>
              <w:right w:val="single" w:color="auto" w:sz="4" w:space="0"/>
            </w:tcBorders>
            <w:tcMar>
              <w:top w:w="15" w:type="dxa"/>
              <w:left w:w="15" w:type="dxa"/>
              <w:bottom w:w="0" w:type="dxa"/>
              <w:right w:w="15" w:type="dxa"/>
            </w:tcMar>
            <w:vAlign w:val="center"/>
          </w:tcPr>
          <w:p>
            <w:pPr>
              <w:jc w:val="center"/>
              <w:rPr>
                <w:sz w:val="21"/>
                <w:szCs w:val="21"/>
              </w:rPr>
            </w:pPr>
            <w:r>
              <w:rPr>
                <w:rFonts w:hint="eastAsia"/>
                <w:sz w:val="21"/>
                <w:szCs w:val="21"/>
              </w:rPr>
              <w:t>年份</w:t>
            </w:r>
          </w:p>
        </w:tc>
        <w:tc>
          <w:tcPr>
            <w:tcW w:w="320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rFonts w:hint="eastAsia"/>
                <w:sz w:val="21"/>
                <w:szCs w:val="21"/>
              </w:rPr>
              <w:t>排放量</w:t>
            </w:r>
            <w:r>
              <w:rPr>
                <w:sz w:val="21"/>
                <w:szCs w:val="21"/>
              </w:rPr>
              <w:t>kg/</w:t>
            </w:r>
            <w:r>
              <w:rPr>
                <w:rFonts w:hint="eastAsia"/>
                <w:sz w:val="21"/>
                <w:szCs w:val="21"/>
              </w:rPr>
              <w:t>（</w:t>
            </w:r>
            <w:r>
              <w:rPr>
                <w:sz w:val="21"/>
                <w:szCs w:val="21"/>
              </w:rPr>
              <w:t>km·d</w:t>
            </w:r>
            <w:r>
              <w:rPr>
                <w:rFonts w:hint="eastAsia"/>
                <w:sz w:val="21"/>
                <w:szCs w:val="21"/>
              </w:rPr>
              <w:t>）</w:t>
            </w:r>
          </w:p>
        </w:tc>
      </w:tr>
      <w:tr>
        <w:tblPrEx>
          <w:tblLayout w:type="fixed"/>
          <w:tblCellMar>
            <w:top w:w="0" w:type="dxa"/>
            <w:left w:w="0" w:type="dxa"/>
            <w:bottom w:w="0" w:type="dxa"/>
            <w:right w:w="0" w:type="dxa"/>
          </w:tblCellMar>
        </w:tblPrEx>
        <w:trPr>
          <w:trHeight w:val="397" w:hRule="atLeast"/>
          <w:tblHeader/>
        </w:trPr>
        <w:tc>
          <w:tcPr>
            <w:tcW w:w="2363"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p>
        </w:tc>
        <w:tc>
          <w:tcPr>
            <w:tcW w:w="822"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p>
        </w:tc>
        <w:tc>
          <w:tcPr>
            <w:tcW w:w="2598" w:type="dxa"/>
            <w:vMerge w:val="continue"/>
            <w:tcBorders>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p>
        </w:tc>
        <w:tc>
          <w:tcPr>
            <w:tcW w:w="320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80km/h</w:t>
            </w:r>
          </w:p>
        </w:tc>
      </w:tr>
      <w:tr>
        <w:tblPrEx>
          <w:tblLayout w:type="fixed"/>
          <w:tblCellMar>
            <w:top w:w="0" w:type="dxa"/>
            <w:left w:w="0" w:type="dxa"/>
            <w:bottom w:w="0" w:type="dxa"/>
            <w:right w:w="0" w:type="dxa"/>
          </w:tblCellMar>
        </w:tblPrEx>
        <w:trPr>
          <w:trHeight w:val="397" w:hRule="atLeast"/>
        </w:trPr>
        <w:tc>
          <w:tcPr>
            <w:tcW w:w="2363" w:type="dxa"/>
            <w:vMerge w:val="restart"/>
            <w:tcBorders>
              <w:top w:val="nil"/>
              <w:left w:val="single" w:color="auto" w:sz="4" w:space="0"/>
              <w:right w:val="single" w:color="auto" w:sz="4" w:space="0"/>
            </w:tcBorders>
            <w:tcMar>
              <w:top w:w="15" w:type="dxa"/>
              <w:left w:w="15" w:type="dxa"/>
              <w:bottom w:w="0" w:type="dxa"/>
              <w:right w:w="15" w:type="dxa"/>
            </w:tcMar>
            <w:vAlign w:val="center"/>
          </w:tcPr>
          <w:p>
            <w:pPr>
              <w:jc w:val="center"/>
              <w:rPr>
                <w:rFonts w:hAnsi="宋体"/>
                <w:sz w:val="21"/>
                <w:szCs w:val="21"/>
              </w:rPr>
            </w:pPr>
            <w:r>
              <w:rPr>
                <w:rFonts w:hint="eastAsia" w:hAnsi="宋体"/>
                <w:sz w:val="21"/>
                <w:szCs w:val="21"/>
              </w:rPr>
              <w:t>全线</w:t>
            </w:r>
          </w:p>
        </w:tc>
        <w:tc>
          <w:tcPr>
            <w:tcW w:w="822"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CO</w:t>
            </w:r>
          </w:p>
        </w:tc>
        <w:tc>
          <w:tcPr>
            <w:tcW w:w="259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2019</w:t>
            </w:r>
          </w:p>
        </w:tc>
        <w:tc>
          <w:tcPr>
            <w:tcW w:w="3205"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59.7</w:t>
            </w:r>
          </w:p>
        </w:tc>
      </w:tr>
      <w:tr>
        <w:tblPrEx>
          <w:tblLayout w:type="fixed"/>
          <w:tblCellMar>
            <w:top w:w="0" w:type="dxa"/>
            <w:left w:w="0" w:type="dxa"/>
            <w:bottom w:w="0" w:type="dxa"/>
            <w:right w:w="0" w:type="dxa"/>
          </w:tblCellMar>
        </w:tblPrEx>
        <w:trPr>
          <w:trHeight w:val="397" w:hRule="atLeast"/>
        </w:trPr>
        <w:tc>
          <w:tcPr>
            <w:tcW w:w="2363" w:type="dxa"/>
            <w:vMerge w:val="continue"/>
            <w:tcBorders>
              <w:left w:val="single" w:color="auto" w:sz="4" w:space="0"/>
              <w:right w:val="single" w:color="auto" w:sz="4" w:space="0"/>
            </w:tcBorders>
            <w:vAlign w:val="center"/>
          </w:tcPr>
          <w:p>
            <w:pPr>
              <w:jc w:val="center"/>
              <w:rPr>
                <w:sz w:val="21"/>
                <w:szCs w:val="21"/>
              </w:rPr>
            </w:pPr>
          </w:p>
        </w:tc>
        <w:tc>
          <w:tcPr>
            <w:tcW w:w="822" w:type="dxa"/>
            <w:vMerge w:val="continue"/>
            <w:tcBorders>
              <w:top w:val="nil"/>
              <w:left w:val="single" w:color="auto" w:sz="4" w:space="0"/>
              <w:bottom w:val="single" w:color="auto" w:sz="4" w:space="0"/>
              <w:right w:val="single" w:color="auto" w:sz="4" w:space="0"/>
            </w:tcBorders>
            <w:vAlign w:val="center"/>
          </w:tcPr>
          <w:p>
            <w:pPr>
              <w:jc w:val="center"/>
              <w:rPr>
                <w:sz w:val="21"/>
                <w:szCs w:val="21"/>
              </w:rPr>
            </w:pPr>
          </w:p>
        </w:tc>
        <w:tc>
          <w:tcPr>
            <w:tcW w:w="259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2025</w:t>
            </w:r>
          </w:p>
        </w:tc>
        <w:tc>
          <w:tcPr>
            <w:tcW w:w="3205"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88.6</w:t>
            </w:r>
          </w:p>
        </w:tc>
      </w:tr>
      <w:tr>
        <w:tblPrEx>
          <w:tblLayout w:type="fixed"/>
          <w:tblCellMar>
            <w:top w:w="0" w:type="dxa"/>
            <w:left w:w="0" w:type="dxa"/>
            <w:bottom w:w="0" w:type="dxa"/>
            <w:right w:w="0" w:type="dxa"/>
          </w:tblCellMar>
        </w:tblPrEx>
        <w:trPr>
          <w:trHeight w:val="397" w:hRule="atLeast"/>
        </w:trPr>
        <w:tc>
          <w:tcPr>
            <w:tcW w:w="2363" w:type="dxa"/>
            <w:vMerge w:val="continue"/>
            <w:tcBorders>
              <w:left w:val="single" w:color="auto" w:sz="4" w:space="0"/>
              <w:right w:val="single" w:color="auto" w:sz="4" w:space="0"/>
            </w:tcBorders>
            <w:vAlign w:val="center"/>
          </w:tcPr>
          <w:p>
            <w:pPr>
              <w:jc w:val="center"/>
              <w:rPr>
                <w:sz w:val="21"/>
                <w:szCs w:val="21"/>
              </w:rPr>
            </w:pPr>
          </w:p>
        </w:tc>
        <w:tc>
          <w:tcPr>
            <w:tcW w:w="822" w:type="dxa"/>
            <w:vMerge w:val="continue"/>
            <w:tcBorders>
              <w:top w:val="nil"/>
              <w:left w:val="single" w:color="auto" w:sz="4" w:space="0"/>
              <w:bottom w:val="single" w:color="auto" w:sz="4" w:space="0"/>
              <w:right w:val="single" w:color="auto" w:sz="4" w:space="0"/>
            </w:tcBorders>
            <w:vAlign w:val="center"/>
          </w:tcPr>
          <w:p>
            <w:pPr>
              <w:jc w:val="center"/>
              <w:rPr>
                <w:sz w:val="21"/>
                <w:szCs w:val="21"/>
              </w:rPr>
            </w:pPr>
          </w:p>
        </w:tc>
        <w:tc>
          <w:tcPr>
            <w:tcW w:w="259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2033</w:t>
            </w:r>
          </w:p>
        </w:tc>
        <w:tc>
          <w:tcPr>
            <w:tcW w:w="3205"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123.4</w:t>
            </w:r>
          </w:p>
        </w:tc>
      </w:tr>
      <w:tr>
        <w:tblPrEx>
          <w:tblLayout w:type="fixed"/>
          <w:tblCellMar>
            <w:top w:w="0" w:type="dxa"/>
            <w:left w:w="0" w:type="dxa"/>
            <w:bottom w:w="0" w:type="dxa"/>
            <w:right w:w="0" w:type="dxa"/>
          </w:tblCellMar>
        </w:tblPrEx>
        <w:trPr>
          <w:trHeight w:val="397" w:hRule="atLeast"/>
        </w:trPr>
        <w:tc>
          <w:tcPr>
            <w:tcW w:w="2363" w:type="dxa"/>
            <w:vMerge w:val="continue"/>
            <w:tcBorders>
              <w:left w:val="single" w:color="auto" w:sz="4" w:space="0"/>
              <w:right w:val="single" w:color="auto" w:sz="4" w:space="0"/>
            </w:tcBorders>
            <w:tcMar>
              <w:top w:w="15" w:type="dxa"/>
              <w:left w:w="15" w:type="dxa"/>
              <w:bottom w:w="0" w:type="dxa"/>
              <w:right w:w="15" w:type="dxa"/>
            </w:tcMar>
            <w:vAlign w:val="center"/>
          </w:tcPr>
          <w:p>
            <w:pPr>
              <w:jc w:val="center"/>
              <w:rPr>
                <w:sz w:val="21"/>
                <w:szCs w:val="21"/>
              </w:rPr>
            </w:pPr>
          </w:p>
        </w:tc>
        <w:tc>
          <w:tcPr>
            <w:tcW w:w="822"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NOx</w:t>
            </w:r>
          </w:p>
        </w:tc>
        <w:tc>
          <w:tcPr>
            <w:tcW w:w="259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2019</w:t>
            </w:r>
          </w:p>
        </w:tc>
        <w:tc>
          <w:tcPr>
            <w:tcW w:w="3205"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8.3</w:t>
            </w:r>
          </w:p>
        </w:tc>
      </w:tr>
      <w:tr>
        <w:tblPrEx>
          <w:tblLayout w:type="fixed"/>
          <w:tblCellMar>
            <w:top w:w="0" w:type="dxa"/>
            <w:left w:w="0" w:type="dxa"/>
            <w:bottom w:w="0" w:type="dxa"/>
            <w:right w:w="0" w:type="dxa"/>
          </w:tblCellMar>
        </w:tblPrEx>
        <w:trPr>
          <w:trHeight w:val="397" w:hRule="atLeast"/>
        </w:trPr>
        <w:tc>
          <w:tcPr>
            <w:tcW w:w="2363" w:type="dxa"/>
            <w:vMerge w:val="continue"/>
            <w:tcBorders>
              <w:left w:val="single" w:color="auto" w:sz="4" w:space="0"/>
              <w:right w:val="single" w:color="auto" w:sz="4" w:space="0"/>
            </w:tcBorders>
            <w:vAlign w:val="center"/>
          </w:tcPr>
          <w:p>
            <w:pPr>
              <w:jc w:val="center"/>
              <w:rPr>
                <w:color w:val="FF0000"/>
                <w:sz w:val="21"/>
                <w:szCs w:val="21"/>
              </w:rPr>
            </w:pPr>
          </w:p>
        </w:tc>
        <w:tc>
          <w:tcPr>
            <w:tcW w:w="822" w:type="dxa"/>
            <w:vMerge w:val="continue"/>
            <w:tcBorders>
              <w:top w:val="nil"/>
              <w:left w:val="single" w:color="auto" w:sz="4" w:space="0"/>
              <w:bottom w:val="single" w:color="auto" w:sz="4" w:space="0"/>
              <w:right w:val="single" w:color="auto" w:sz="4" w:space="0"/>
            </w:tcBorders>
            <w:vAlign w:val="center"/>
          </w:tcPr>
          <w:p>
            <w:pPr>
              <w:jc w:val="center"/>
              <w:rPr>
                <w:color w:val="FF0000"/>
                <w:sz w:val="21"/>
                <w:szCs w:val="21"/>
              </w:rPr>
            </w:pPr>
          </w:p>
        </w:tc>
        <w:tc>
          <w:tcPr>
            <w:tcW w:w="259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2025</w:t>
            </w:r>
          </w:p>
        </w:tc>
        <w:tc>
          <w:tcPr>
            <w:tcW w:w="3205"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12.4</w:t>
            </w:r>
          </w:p>
        </w:tc>
      </w:tr>
      <w:tr>
        <w:tblPrEx>
          <w:tblLayout w:type="fixed"/>
          <w:tblCellMar>
            <w:top w:w="0" w:type="dxa"/>
            <w:left w:w="0" w:type="dxa"/>
            <w:bottom w:w="0" w:type="dxa"/>
            <w:right w:w="0" w:type="dxa"/>
          </w:tblCellMar>
        </w:tblPrEx>
        <w:trPr>
          <w:trHeight w:val="397" w:hRule="atLeast"/>
        </w:trPr>
        <w:tc>
          <w:tcPr>
            <w:tcW w:w="2363" w:type="dxa"/>
            <w:vMerge w:val="continue"/>
            <w:tcBorders>
              <w:left w:val="single" w:color="auto" w:sz="4" w:space="0"/>
              <w:bottom w:val="single" w:color="auto" w:sz="4" w:space="0"/>
              <w:right w:val="single" w:color="auto" w:sz="4" w:space="0"/>
            </w:tcBorders>
            <w:vAlign w:val="center"/>
          </w:tcPr>
          <w:p>
            <w:pPr>
              <w:jc w:val="center"/>
              <w:rPr>
                <w:color w:val="FF0000"/>
                <w:sz w:val="21"/>
                <w:szCs w:val="21"/>
              </w:rPr>
            </w:pPr>
          </w:p>
        </w:tc>
        <w:tc>
          <w:tcPr>
            <w:tcW w:w="822" w:type="dxa"/>
            <w:vMerge w:val="continue"/>
            <w:tcBorders>
              <w:top w:val="nil"/>
              <w:left w:val="single" w:color="auto" w:sz="4" w:space="0"/>
              <w:bottom w:val="single" w:color="auto" w:sz="4" w:space="0"/>
              <w:right w:val="single" w:color="auto" w:sz="4" w:space="0"/>
            </w:tcBorders>
            <w:vAlign w:val="center"/>
          </w:tcPr>
          <w:p>
            <w:pPr>
              <w:jc w:val="center"/>
              <w:rPr>
                <w:color w:val="FF0000"/>
                <w:sz w:val="21"/>
                <w:szCs w:val="21"/>
              </w:rPr>
            </w:pPr>
          </w:p>
        </w:tc>
        <w:tc>
          <w:tcPr>
            <w:tcW w:w="2598"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2033</w:t>
            </w:r>
          </w:p>
        </w:tc>
        <w:tc>
          <w:tcPr>
            <w:tcW w:w="3205" w:type="dxa"/>
            <w:tcBorders>
              <w:top w:val="nil"/>
              <w:left w:val="nil"/>
              <w:bottom w:val="single" w:color="auto" w:sz="4" w:space="0"/>
              <w:right w:val="single" w:color="auto" w:sz="4" w:space="0"/>
            </w:tcBorders>
            <w:tcMar>
              <w:top w:w="15" w:type="dxa"/>
              <w:left w:w="15" w:type="dxa"/>
              <w:bottom w:w="0" w:type="dxa"/>
              <w:right w:w="15" w:type="dxa"/>
            </w:tcMar>
            <w:vAlign w:val="center"/>
          </w:tcPr>
          <w:p>
            <w:pPr>
              <w:jc w:val="center"/>
              <w:rPr>
                <w:sz w:val="21"/>
                <w:szCs w:val="21"/>
              </w:rPr>
            </w:pPr>
            <w:r>
              <w:rPr>
                <w:sz w:val="21"/>
                <w:szCs w:val="21"/>
              </w:rPr>
              <w:t>17.1</w:t>
            </w:r>
          </w:p>
        </w:tc>
      </w:tr>
    </w:tbl>
    <w:p>
      <w:pPr>
        <w:spacing w:beforeLines="50" w:line="360" w:lineRule="auto"/>
        <w:ind w:firstLine="31680" w:firstLineChars="200"/>
        <w:rPr>
          <w:sz w:val="24"/>
          <w:szCs w:val="24"/>
        </w:rPr>
      </w:pPr>
      <w:r>
        <w:rPr>
          <w:sz w:val="24"/>
          <w:szCs w:val="24"/>
        </w:rPr>
        <w:t>b</w:t>
      </w:r>
      <w:r>
        <w:rPr>
          <w:rFonts w:hint="eastAsia"/>
          <w:sz w:val="24"/>
          <w:szCs w:val="24"/>
        </w:rPr>
        <w:t>）扬尘</w:t>
      </w:r>
    </w:p>
    <w:p>
      <w:pPr>
        <w:spacing w:line="360" w:lineRule="auto"/>
        <w:ind w:firstLine="31680" w:firstLineChars="200"/>
        <w:rPr>
          <w:sz w:val="24"/>
          <w:szCs w:val="24"/>
        </w:rPr>
      </w:pPr>
      <w:r>
        <w:rPr>
          <w:rFonts w:hint="eastAsia"/>
          <w:sz w:val="24"/>
          <w:szCs w:val="24"/>
        </w:rPr>
        <w:t>扬尘污染也是公路运营期的污染源之一，其产生原因一方面为公路上行驶的汽车轮胎接触路面而使路面积尘扬起，产生的二次扬尘污染；另一方面为运输车辆在运送物料时，由于洒落、风吹等原因，产生扬尘污染。</w:t>
      </w:r>
    </w:p>
    <w:p>
      <w:pPr>
        <w:pStyle w:val="5"/>
        <w:widowControl/>
        <w:ind w:left="567" w:hanging="567"/>
      </w:pPr>
      <w:r>
        <w:rPr>
          <w:rFonts w:hint="eastAsia"/>
        </w:rPr>
        <w:t>声环境污染源强分析</w:t>
      </w:r>
    </w:p>
    <w:p>
      <w:pPr>
        <w:pStyle w:val="6"/>
        <w:widowControl/>
        <w:ind w:left="567" w:hanging="567"/>
        <w:jc w:val="left"/>
      </w:pPr>
      <w:r>
        <w:rPr>
          <w:rFonts w:hint="eastAsia"/>
        </w:rPr>
        <w:t>施工期</w:t>
      </w:r>
    </w:p>
    <w:p>
      <w:pPr>
        <w:pStyle w:val="3"/>
        <w:ind w:firstLine="31680"/>
      </w:pPr>
      <w:r>
        <w:rPr>
          <w:rFonts w:hint="eastAsia"/>
        </w:rPr>
        <w:t>公路建设施工阶段噪声源主要来自于施工机械噪声和运输车辆噪声。根据公路施工特点，施工过程可分为三个阶段，即基础施工、路面施工、交通工程施工，各施工阶段所采用的主要施工机械见表</w:t>
      </w:r>
      <w:r>
        <w:t>4.4-8</w:t>
      </w:r>
      <w:r>
        <w:rPr>
          <w:rFonts w:hint="eastAsia"/>
        </w:rPr>
        <w:t>，各类机械运行噪声源强见表</w:t>
      </w:r>
      <w:r>
        <w:t>4.4-9</w:t>
      </w:r>
      <w:r>
        <w:rPr>
          <w:rFonts w:hint="eastAsia"/>
        </w:rPr>
        <w:t>。</w:t>
      </w:r>
    </w:p>
    <w:p>
      <w:pPr>
        <w:pStyle w:val="19"/>
        <w:jc w:val="center"/>
      </w:pPr>
      <w:bookmarkStart w:id="153" w:name="_Ref397613079"/>
      <w:r>
        <w:rPr>
          <w:rFonts w:hint="eastAsia"/>
        </w:rPr>
        <w:t>表</w:t>
      </w:r>
      <w:r>
        <w:t>4.4</w:t>
      </w:r>
      <w:bookmarkEnd w:id="153"/>
      <w:r>
        <w:t xml:space="preserve">-8     </w:t>
      </w:r>
      <w:r>
        <w:rPr>
          <w:rFonts w:hint="eastAsia"/>
        </w:rPr>
        <w:t>不同施工阶段采用的施工机械</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5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951" w:type="dxa"/>
            <w:vAlign w:val="center"/>
          </w:tcPr>
          <w:p>
            <w:pPr>
              <w:pStyle w:val="112"/>
              <w:rPr>
                <w:kern w:val="2"/>
              </w:rPr>
            </w:pPr>
            <w:r>
              <w:rPr>
                <w:rFonts w:hint="eastAsia"/>
                <w:kern w:val="2"/>
              </w:rPr>
              <w:t>施工阶段</w:t>
            </w:r>
          </w:p>
        </w:tc>
        <w:tc>
          <w:tcPr>
            <w:tcW w:w="1985" w:type="dxa"/>
            <w:vAlign w:val="center"/>
          </w:tcPr>
          <w:p>
            <w:pPr>
              <w:pStyle w:val="112"/>
              <w:rPr>
                <w:kern w:val="2"/>
              </w:rPr>
            </w:pPr>
            <w:r>
              <w:rPr>
                <w:rFonts w:hint="eastAsia"/>
                <w:kern w:val="2"/>
              </w:rPr>
              <w:t>主要路段</w:t>
            </w:r>
          </w:p>
        </w:tc>
        <w:tc>
          <w:tcPr>
            <w:tcW w:w="5238" w:type="dxa"/>
            <w:vAlign w:val="center"/>
          </w:tcPr>
          <w:p>
            <w:pPr>
              <w:pStyle w:val="112"/>
              <w:rPr>
                <w:kern w:val="2"/>
              </w:rPr>
            </w:pPr>
            <w:r>
              <w:rPr>
                <w:rFonts w:hint="eastAsia"/>
                <w:kern w:val="2"/>
              </w:rPr>
              <w:t>施工机械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vAlign w:val="center"/>
          </w:tcPr>
          <w:p>
            <w:pPr>
              <w:pStyle w:val="112"/>
              <w:rPr>
                <w:kern w:val="2"/>
              </w:rPr>
            </w:pPr>
            <w:r>
              <w:rPr>
                <w:rFonts w:hint="eastAsia"/>
                <w:kern w:val="2"/>
              </w:rPr>
              <w:t>工程前期拆迁</w:t>
            </w:r>
          </w:p>
        </w:tc>
        <w:tc>
          <w:tcPr>
            <w:tcW w:w="1985" w:type="dxa"/>
            <w:vAlign w:val="center"/>
          </w:tcPr>
          <w:p>
            <w:pPr>
              <w:pStyle w:val="112"/>
              <w:rPr>
                <w:kern w:val="2"/>
              </w:rPr>
            </w:pPr>
            <w:r>
              <w:rPr>
                <w:rFonts w:hint="eastAsia"/>
                <w:kern w:val="2"/>
              </w:rPr>
              <w:t>涉及工程拆迁路段</w:t>
            </w:r>
          </w:p>
        </w:tc>
        <w:tc>
          <w:tcPr>
            <w:tcW w:w="5238" w:type="dxa"/>
            <w:vAlign w:val="center"/>
          </w:tcPr>
          <w:p>
            <w:pPr>
              <w:pStyle w:val="112"/>
              <w:rPr>
                <w:kern w:val="2"/>
              </w:rPr>
            </w:pPr>
            <w:r>
              <w:rPr>
                <w:rFonts w:hint="eastAsia"/>
                <w:kern w:val="2"/>
              </w:rPr>
              <w:t>挖掘机、推土机、平地机、运输车辆等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vAlign w:val="center"/>
          </w:tcPr>
          <w:p>
            <w:pPr>
              <w:pStyle w:val="112"/>
              <w:rPr>
                <w:kern w:val="2"/>
              </w:rPr>
            </w:pPr>
            <w:r>
              <w:rPr>
                <w:rFonts w:hint="eastAsia"/>
                <w:kern w:val="2"/>
              </w:rPr>
              <w:t>软土路基处理</w:t>
            </w:r>
          </w:p>
        </w:tc>
        <w:tc>
          <w:tcPr>
            <w:tcW w:w="1985" w:type="dxa"/>
            <w:vAlign w:val="center"/>
          </w:tcPr>
          <w:p>
            <w:pPr>
              <w:pStyle w:val="112"/>
              <w:rPr>
                <w:kern w:val="2"/>
              </w:rPr>
            </w:pPr>
            <w:r>
              <w:rPr>
                <w:rFonts w:hint="eastAsia"/>
                <w:kern w:val="2"/>
              </w:rPr>
              <w:t>软基路段</w:t>
            </w:r>
          </w:p>
        </w:tc>
        <w:tc>
          <w:tcPr>
            <w:tcW w:w="5238" w:type="dxa"/>
            <w:vAlign w:val="center"/>
          </w:tcPr>
          <w:p>
            <w:pPr>
              <w:pStyle w:val="112"/>
              <w:rPr>
                <w:kern w:val="2"/>
              </w:rPr>
            </w:pPr>
            <w:r>
              <w:rPr>
                <w:rFonts w:hint="eastAsia"/>
                <w:kern w:val="2"/>
              </w:rPr>
              <w:t>打桩机、压桩机、钻孔机、空压机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vAlign w:val="center"/>
          </w:tcPr>
          <w:p>
            <w:pPr>
              <w:pStyle w:val="112"/>
              <w:rPr>
                <w:kern w:val="2"/>
              </w:rPr>
            </w:pPr>
            <w:r>
              <w:rPr>
                <w:rFonts w:hint="eastAsia"/>
                <w:kern w:val="2"/>
              </w:rPr>
              <w:t>路基填筑</w:t>
            </w:r>
          </w:p>
        </w:tc>
        <w:tc>
          <w:tcPr>
            <w:tcW w:w="1985" w:type="dxa"/>
            <w:vAlign w:val="center"/>
          </w:tcPr>
          <w:p>
            <w:pPr>
              <w:pStyle w:val="112"/>
              <w:rPr>
                <w:kern w:val="2"/>
              </w:rPr>
            </w:pPr>
            <w:r>
              <w:rPr>
                <w:rFonts w:hint="eastAsia"/>
                <w:kern w:val="2"/>
              </w:rPr>
              <w:t>全线路基路段</w:t>
            </w:r>
          </w:p>
        </w:tc>
        <w:tc>
          <w:tcPr>
            <w:tcW w:w="5238" w:type="dxa"/>
            <w:vAlign w:val="center"/>
          </w:tcPr>
          <w:p>
            <w:pPr>
              <w:pStyle w:val="112"/>
              <w:rPr>
                <w:kern w:val="2"/>
              </w:rPr>
            </w:pPr>
            <w:r>
              <w:rPr>
                <w:rFonts w:hint="eastAsia"/>
                <w:kern w:val="2"/>
              </w:rPr>
              <w:t>推土机、挖掘机、装载机、平地机、振动压路机、</w:t>
            </w:r>
          </w:p>
          <w:p>
            <w:pPr>
              <w:pStyle w:val="112"/>
              <w:rPr>
                <w:kern w:val="2"/>
              </w:rPr>
            </w:pPr>
            <w:r>
              <w:rPr>
                <w:rFonts w:hint="eastAsia"/>
                <w:kern w:val="2"/>
              </w:rPr>
              <w:t>光轮压路机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vAlign w:val="center"/>
          </w:tcPr>
          <w:p>
            <w:pPr>
              <w:pStyle w:val="112"/>
              <w:rPr>
                <w:kern w:val="2"/>
              </w:rPr>
            </w:pPr>
            <w:r>
              <w:rPr>
                <w:rFonts w:hint="eastAsia"/>
                <w:kern w:val="2"/>
              </w:rPr>
              <w:t>路面施工</w:t>
            </w:r>
          </w:p>
        </w:tc>
        <w:tc>
          <w:tcPr>
            <w:tcW w:w="1985" w:type="dxa"/>
            <w:vAlign w:val="center"/>
          </w:tcPr>
          <w:p>
            <w:pPr>
              <w:pStyle w:val="112"/>
              <w:rPr>
                <w:kern w:val="2"/>
              </w:rPr>
            </w:pPr>
            <w:r>
              <w:rPr>
                <w:rFonts w:hint="eastAsia"/>
                <w:kern w:val="2"/>
              </w:rPr>
              <w:t>全线</w:t>
            </w:r>
          </w:p>
        </w:tc>
        <w:tc>
          <w:tcPr>
            <w:tcW w:w="5238" w:type="dxa"/>
            <w:vAlign w:val="center"/>
          </w:tcPr>
          <w:p>
            <w:pPr>
              <w:pStyle w:val="112"/>
              <w:rPr>
                <w:kern w:val="2"/>
              </w:rPr>
            </w:pPr>
            <w:r>
              <w:rPr>
                <w:rFonts w:hint="eastAsia"/>
                <w:kern w:val="2"/>
              </w:rPr>
              <w:t>装载机、铲运机、平地机、振动式压路机、光轮压路机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vAlign w:val="center"/>
          </w:tcPr>
          <w:p>
            <w:pPr>
              <w:pStyle w:val="112"/>
              <w:rPr>
                <w:kern w:val="2"/>
              </w:rPr>
            </w:pPr>
            <w:r>
              <w:rPr>
                <w:rFonts w:hint="eastAsia"/>
                <w:kern w:val="2"/>
              </w:rPr>
              <w:t>结构施工</w:t>
            </w:r>
          </w:p>
        </w:tc>
        <w:tc>
          <w:tcPr>
            <w:tcW w:w="1985" w:type="dxa"/>
            <w:vAlign w:val="center"/>
          </w:tcPr>
          <w:p>
            <w:pPr>
              <w:pStyle w:val="112"/>
              <w:rPr>
                <w:kern w:val="2"/>
              </w:rPr>
            </w:pPr>
            <w:r>
              <w:rPr>
                <w:rFonts w:hint="eastAsia"/>
                <w:kern w:val="2"/>
              </w:rPr>
              <w:t>附属设施</w:t>
            </w:r>
          </w:p>
        </w:tc>
        <w:tc>
          <w:tcPr>
            <w:tcW w:w="5238" w:type="dxa"/>
            <w:vAlign w:val="center"/>
          </w:tcPr>
          <w:p>
            <w:pPr>
              <w:pStyle w:val="112"/>
              <w:rPr>
                <w:kern w:val="2"/>
              </w:rPr>
            </w:pPr>
            <w:r>
              <w:rPr>
                <w:rFonts w:hint="eastAsia"/>
                <w:kern w:val="2"/>
              </w:rPr>
              <w:t>钻孔机、打桩机、起吊机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vAlign w:val="center"/>
          </w:tcPr>
          <w:p>
            <w:pPr>
              <w:pStyle w:val="112"/>
              <w:rPr>
                <w:kern w:val="2"/>
              </w:rPr>
            </w:pPr>
            <w:r>
              <w:rPr>
                <w:rFonts w:hint="eastAsia"/>
                <w:kern w:val="2"/>
              </w:rPr>
              <w:t>交通工程施工</w:t>
            </w:r>
          </w:p>
        </w:tc>
        <w:tc>
          <w:tcPr>
            <w:tcW w:w="1985" w:type="dxa"/>
            <w:vAlign w:val="center"/>
          </w:tcPr>
          <w:p>
            <w:pPr>
              <w:pStyle w:val="112"/>
              <w:rPr>
                <w:kern w:val="2"/>
              </w:rPr>
            </w:pPr>
            <w:r>
              <w:rPr>
                <w:rFonts w:hint="eastAsia"/>
                <w:kern w:val="2"/>
              </w:rPr>
              <w:t>全线</w:t>
            </w:r>
          </w:p>
        </w:tc>
        <w:tc>
          <w:tcPr>
            <w:tcW w:w="5238" w:type="dxa"/>
            <w:vAlign w:val="center"/>
          </w:tcPr>
          <w:p>
            <w:pPr>
              <w:pStyle w:val="112"/>
              <w:rPr>
                <w:kern w:val="2"/>
              </w:rPr>
            </w:pPr>
            <w:r>
              <w:rPr>
                <w:rFonts w:hint="eastAsia"/>
                <w:kern w:val="2"/>
              </w:rPr>
              <w:t>电钻、电锯、切割机</w:t>
            </w:r>
          </w:p>
        </w:tc>
      </w:tr>
    </w:tbl>
    <w:p>
      <w:pPr>
        <w:pStyle w:val="19"/>
        <w:jc w:val="center"/>
      </w:pPr>
      <w:bookmarkStart w:id="154" w:name="_Ref397613114"/>
    </w:p>
    <w:p>
      <w:pPr>
        <w:pStyle w:val="19"/>
        <w:jc w:val="center"/>
      </w:pPr>
      <w:r>
        <w:rPr>
          <w:rFonts w:hint="eastAsia"/>
        </w:rPr>
        <w:t>表</w:t>
      </w:r>
      <w:r>
        <w:t>4.4</w:t>
      </w:r>
      <w:bookmarkEnd w:id="154"/>
      <w:r>
        <w:t xml:space="preserve">-9      </w:t>
      </w:r>
      <w:r>
        <w:rPr>
          <w:rFonts w:hint="eastAsia"/>
        </w:rPr>
        <w:t>主要施工机械不同距离处的噪声声压级</w:t>
      </w:r>
      <w:r>
        <w:t xml:space="preserve"> </w:t>
      </w:r>
      <w:r>
        <w:rPr>
          <w:rFonts w:hint="eastAsia"/>
        </w:rPr>
        <w:t>单位：</w:t>
      </w:r>
      <w:r>
        <w:t>dB</w:t>
      </w:r>
      <w:r>
        <w:rPr>
          <w:rFonts w:hint="eastAsia"/>
        </w:rPr>
        <w:t>（</w:t>
      </w:r>
      <w:r>
        <w:t>A</w:t>
      </w:r>
      <w:r>
        <w:rPr>
          <w:rFonts w:hint="eastAsia"/>
        </w:rPr>
        <w:t>）</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484"/>
        <w:gridCol w:w="2294"/>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blHeader/>
        </w:trPr>
        <w:tc>
          <w:tcPr>
            <w:tcW w:w="1101" w:type="dxa"/>
            <w:vMerge w:val="restart"/>
            <w:vAlign w:val="center"/>
          </w:tcPr>
          <w:p>
            <w:pPr>
              <w:pStyle w:val="112"/>
              <w:rPr>
                <w:kern w:val="2"/>
              </w:rPr>
            </w:pPr>
            <w:r>
              <w:rPr>
                <w:rFonts w:hint="eastAsia"/>
                <w:kern w:val="2"/>
              </w:rPr>
              <w:t>序号</w:t>
            </w:r>
          </w:p>
        </w:tc>
        <w:tc>
          <w:tcPr>
            <w:tcW w:w="3484" w:type="dxa"/>
            <w:vMerge w:val="restart"/>
            <w:vAlign w:val="center"/>
          </w:tcPr>
          <w:p>
            <w:pPr>
              <w:pStyle w:val="112"/>
              <w:rPr>
                <w:kern w:val="2"/>
              </w:rPr>
            </w:pPr>
            <w:r>
              <w:rPr>
                <w:rFonts w:hint="eastAsia"/>
                <w:kern w:val="2"/>
              </w:rPr>
              <w:t>施工机械</w:t>
            </w:r>
          </w:p>
        </w:tc>
        <w:tc>
          <w:tcPr>
            <w:tcW w:w="4589" w:type="dxa"/>
            <w:gridSpan w:val="2"/>
            <w:vAlign w:val="center"/>
          </w:tcPr>
          <w:p>
            <w:pPr>
              <w:pStyle w:val="112"/>
              <w:rPr>
                <w:kern w:val="2"/>
              </w:rPr>
            </w:pPr>
            <w:r>
              <w:rPr>
                <w:rFonts w:hint="eastAsia"/>
                <w:kern w:val="2"/>
              </w:rPr>
              <w:t>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blHeader/>
        </w:trPr>
        <w:tc>
          <w:tcPr>
            <w:tcW w:w="1101" w:type="dxa"/>
            <w:vMerge w:val="continue"/>
            <w:vAlign w:val="center"/>
          </w:tcPr>
          <w:p>
            <w:pPr>
              <w:pStyle w:val="112"/>
              <w:rPr>
                <w:kern w:val="2"/>
              </w:rPr>
            </w:pPr>
          </w:p>
        </w:tc>
        <w:tc>
          <w:tcPr>
            <w:tcW w:w="3484" w:type="dxa"/>
            <w:vMerge w:val="continue"/>
            <w:vAlign w:val="center"/>
          </w:tcPr>
          <w:p>
            <w:pPr>
              <w:pStyle w:val="112"/>
              <w:rPr>
                <w:kern w:val="2"/>
              </w:rPr>
            </w:pPr>
          </w:p>
        </w:tc>
        <w:tc>
          <w:tcPr>
            <w:tcW w:w="2294" w:type="dxa"/>
            <w:vAlign w:val="center"/>
          </w:tcPr>
          <w:p>
            <w:pPr>
              <w:pStyle w:val="112"/>
              <w:rPr>
                <w:kern w:val="2"/>
              </w:rPr>
            </w:pPr>
            <w:r>
              <w:rPr>
                <w:rFonts w:hint="eastAsia"/>
                <w:kern w:val="2"/>
              </w:rPr>
              <w:t>测距（</w:t>
            </w:r>
            <w:r>
              <w:rPr>
                <w:kern w:val="2"/>
              </w:rPr>
              <w:t>m</w:t>
            </w:r>
            <w:r>
              <w:rPr>
                <w:rFonts w:hint="eastAsia"/>
                <w:kern w:val="2"/>
              </w:rPr>
              <w:t>）</w:t>
            </w:r>
          </w:p>
        </w:tc>
        <w:tc>
          <w:tcPr>
            <w:tcW w:w="2295" w:type="dxa"/>
            <w:vAlign w:val="center"/>
          </w:tcPr>
          <w:p>
            <w:pPr>
              <w:pStyle w:val="112"/>
              <w:rPr>
                <w:kern w:val="2"/>
              </w:rPr>
            </w:pPr>
            <w:r>
              <w:rPr>
                <w:rFonts w:hint="eastAsia"/>
                <w:kern w:val="2"/>
              </w:rPr>
              <w:t>噪声值</w:t>
            </w:r>
            <w:r>
              <w:rPr>
                <w:kern w:val="2"/>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101" w:type="dxa"/>
            <w:vAlign w:val="center"/>
          </w:tcPr>
          <w:p>
            <w:pPr>
              <w:pStyle w:val="112"/>
              <w:rPr>
                <w:kern w:val="2"/>
              </w:rPr>
            </w:pPr>
            <w:r>
              <w:rPr>
                <w:kern w:val="2"/>
              </w:rPr>
              <w:t>1</w:t>
            </w:r>
          </w:p>
        </w:tc>
        <w:tc>
          <w:tcPr>
            <w:tcW w:w="3484" w:type="dxa"/>
            <w:vAlign w:val="center"/>
          </w:tcPr>
          <w:p>
            <w:pPr>
              <w:pStyle w:val="112"/>
              <w:rPr>
                <w:kern w:val="2"/>
              </w:rPr>
            </w:pPr>
            <w:r>
              <w:rPr>
                <w:rFonts w:hint="eastAsia"/>
                <w:kern w:val="2"/>
              </w:rPr>
              <w:t>装载机</w:t>
            </w:r>
          </w:p>
        </w:tc>
        <w:tc>
          <w:tcPr>
            <w:tcW w:w="2294" w:type="dxa"/>
            <w:vAlign w:val="center"/>
          </w:tcPr>
          <w:p>
            <w:pPr>
              <w:pStyle w:val="112"/>
              <w:rPr>
                <w:kern w:val="2"/>
              </w:rPr>
            </w:pPr>
            <w:r>
              <w:rPr>
                <w:kern w:val="2"/>
              </w:rPr>
              <w:t>5</w:t>
            </w:r>
          </w:p>
        </w:tc>
        <w:tc>
          <w:tcPr>
            <w:tcW w:w="2295" w:type="dxa"/>
            <w:vAlign w:val="center"/>
          </w:tcPr>
          <w:p>
            <w:pPr>
              <w:pStyle w:val="112"/>
              <w:rPr>
                <w:kern w:val="2"/>
              </w:rPr>
            </w:pPr>
            <w:r>
              <w:rPr>
                <w:kern w:val="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1101" w:type="dxa"/>
            <w:vAlign w:val="center"/>
          </w:tcPr>
          <w:p>
            <w:pPr>
              <w:pStyle w:val="112"/>
              <w:rPr>
                <w:kern w:val="2"/>
              </w:rPr>
            </w:pPr>
            <w:r>
              <w:rPr>
                <w:kern w:val="2"/>
              </w:rPr>
              <w:t>2</w:t>
            </w:r>
          </w:p>
        </w:tc>
        <w:tc>
          <w:tcPr>
            <w:tcW w:w="3484" w:type="dxa"/>
            <w:vAlign w:val="center"/>
          </w:tcPr>
          <w:p>
            <w:pPr>
              <w:pStyle w:val="112"/>
              <w:rPr>
                <w:kern w:val="2"/>
              </w:rPr>
            </w:pPr>
            <w:r>
              <w:rPr>
                <w:rFonts w:hint="eastAsia"/>
                <w:kern w:val="2"/>
              </w:rPr>
              <w:t>平土机</w:t>
            </w:r>
          </w:p>
        </w:tc>
        <w:tc>
          <w:tcPr>
            <w:tcW w:w="2294" w:type="dxa"/>
            <w:vAlign w:val="center"/>
          </w:tcPr>
          <w:p>
            <w:pPr>
              <w:pStyle w:val="112"/>
              <w:rPr>
                <w:bCs/>
                <w:kern w:val="2"/>
              </w:rPr>
            </w:pPr>
            <w:r>
              <w:rPr>
                <w:bCs/>
                <w:kern w:val="2"/>
              </w:rPr>
              <w:t>5</w:t>
            </w:r>
          </w:p>
        </w:tc>
        <w:tc>
          <w:tcPr>
            <w:tcW w:w="2295" w:type="dxa"/>
            <w:vAlign w:val="center"/>
          </w:tcPr>
          <w:p>
            <w:pPr>
              <w:pStyle w:val="112"/>
              <w:rPr>
                <w:bCs/>
                <w:kern w:val="2"/>
              </w:rPr>
            </w:pPr>
            <w:r>
              <w:rPr>
                <w:bCs/>
                <w:kern w:val="2"/>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1101" w:type="dxa"/>
            <w:vAlign w:val="center"/>
          </w:tcPr>
          <w:p>
            <w:pPr>
              <w:pStyle w:val="112"/>
              <w:rPr>
                <w:kern w:val="2"/>
              </w:rPr>
            </w:pPr>
            <w:r>
              <w:rPr>
                <w:kern w:val="2"/>
              </w:rPr>
              <w:t>3</w:t>
            </w:r>
          </w:p>
        </w:tc>
        <w:tc>
          <w:tcPr>
            <w:tcW w:w="3484" w:type="dxa"/>
            <w:vAlign w:val="center"/>
          </w:tcPr>
          <w:p>
            <w:pPr>
              <w:pStyle w:val="112"/>
              <w:rPr>
                <w:kern w:val="2"/>
              </w:rPr>
            </w:pPr>
            <w:r>
              <w:rPr>
                <w:rFonts w:hint="eastAsia"/>
                <w:kern w:val="2"/>
              </w:rPr>
              <w:t>推土机</w:t>
            </w:r>
          </w:p>
        </w:tc>
        <w:tc>
          <w:tcPr>
            <w:tcW w:w="2294" w:type="dxa"/>
            <w:vAlign w:val="center"/>
          </w:tcPr>
          <w:p>
            <w:pPr>
              <w:pStyle w:val="112"/>
              <w:rPr>
                <w:kern w:val="2"/>
              </w:rPr>
            </w:pPr>
            <w:r>
              <w:rPr>
                <w:kern w:val="2"/>
              </w:rPr>
              <w:t>5</w:t>
            </w:r>
          </w:p>
        </w:tc>
        <w:tc>
          <w:tcPr>
            <w:tcW w:w="2295" w:type="dxa"/>
            <w:vAlign w:val="center"/>
          </w:tcPr>
          <w:p>
            <w:pPr>
              <w:pStyle w:val="112"/>
              <w:rPr>
                <w:kern w:val="2"/>
              </w:rPr>
            </w:pPr>
            <w:r>
              <w:rPr>
                <w:kern w:val="2"/>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trPr>
        <w:tc>
          <w:tcPr>
            <w:tcW w:w="1101" w:type="dxa"/>
            <w:vAlign w:val="center"/>
          </w:tcPr>
          <w:p>
            <w:pPr>
              <w:pStyle w:val="112"/>
              <w:rPr>
                <w:kern w:val="2"/>
              </w:rPr>
            </w:pPr>
            <w:r>
              <w:rPr>
                <w:kern w:val="2"/>
              </w:rPr>
              <w:t>4</w:t>
            </w:r>
          </w:p>
        </w:tc>
        <w:tc>
          <w:tcPr>
            <w:tcW w:w="3484" w:type="dxa"/>
            <w:vAlign w:val="center"/>
          </w:tcPr>
          <w:p>
            <w:pPr>
              <w:pStyle w:val="112"/>
              <w:rPr>
                <w:kern w:val="2"/>
              </w:rPr>
            </w:pPr>
            <w:r>
              <w:rPr>
                <w:rFonts w:hint="eastAsia"/>
                <w:kern w:val="2"/>
              </w:rPr>
              <w:t>挖掘机</w:t>
            </w:r>
          </w:p>
        </w:tc>
        <w:tc>
          <w:tcPr>
            <w:tcW w:w="2294" w:type="dxa"/>
            <w:vAlign w:val="center"/>
          </w:tcPr>
          <w:p>
            <w:pPr>
              <w:pStyle w:val="112"/>
              <w:rPr>
                <w:bCs/>
                <w:kern w:val="2"/>
              </w:rPr>
            </w:pPr>
            <w:r>
              <w:rPr>
                <w:bCs/>
                <w:kern w:val="2"/>
              </w:rPr>
              <w:t>5</w:t>
            </w:r>
          </w:p>
        </w:tc>
        <w:tc>
          <w:tcPr>
            <w:tcW w:w="2295" w:type="dxa"/>
            <w:vAlign w:val="center"/>
          </w:tcPr>
          <w:p>
            <w:pPr>
              <w:pStyle w:val="112"/>
              <w:rPr>
                <w:bCs/>
                <w:kern w:val="2"/>
              </w:rPr>
            </w:pPr>
            <w:r>
              <w:rPr>
                <w:bCs/>
                <w:kern w:val="2"/>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1101" w:type="dxa"/>
            <w:vAlign w:val="center"/>
          </w:tcPr>
          <w:p>
            <w:pPr>
              <w:pStyle w:val="112"/>
              <w:rPr>
                <w:kern w:val="2"/>
              </w:rPr>
            </w:pPr>
            <w:r>
              <w:rPr>
                <w:kern w:val="2"/>
              </w:rPr>
              <w:t>5</w:t>
            </w:r>
          </w:p>
        </w:tc>
        <w:tc>
          <w:tcPr>
            <w:tcW w:w="3484" w:type="dxa"/>
            <w:vAlign w:val="center"/>
          </w:tcPr>
          <w:p>
            <w:pPr>
              <w:pStyle w:val="112"/>
              <w:rPr>
                <w:kern w:val="2"/>
              </w:rPr>
            </w:pPr>
            <w:r>
              <w:rPr>
                <w:rFonts w:hint="eastAsia"/>
                <w:kern w:val="2"/>
              </w:rPr>
              <w:t>打桩机</w:t>
            </w:r>
          </w:p>
        </w:tc>
        <w:tc>
          <w:tcPr>
            <w:tcW w:w="2294" w:type="dxa"/>
            <w:vAlign w:val="center"/>
          </w:tcPr>
          <w:p>
            <w:pPr>
              <w:pStyle w:val="112"/>
              <w:rPr>
                <w:kern w:val="2"/>
              </w:rPr>
            </w:pPr>
            <w:r>
              <w:rPr>
                <w:kern w:val="2"/>
              </w:rPr>
              <w:t>5</w:t>
            </w:r>
          </w:p>
        </w:tc>
        <w:tc>
          <w:tcPr>
            <w:tcW w:w="2295" w:type="dxa"/>
            <w:vAlign w:val="center"/>
          </w:tcPr>
          <w:p>
            <w:pPr>
              <w:pStyle w:val="112"/>
              <w:rPr>
                <w:kern w:val="2"/>
              </w:rPr>
            </w:pPr>
            <w:r>
              <w:rPr>
                <w:kern w:val="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1101" w:type="dxa"/>
            <w:vAlign w:val="center"/>
          </w:tcPr>
          <w:p>
            <w:pPr>
              <w:pStyle w:val="112"/>
              <w:rPr>
                <w:kern w:val="2"/>
              </w:rPr>
            </w:pPr>
            <w:r>
              <w:rPr>
                <w:kern w:val="2"/>
              </w:rPr>
              <w:t>6</w:t>
            </w:r>
          </w:p>
        </w:tc>
        <w:tc>
          <w:tcPr>
            <w:tcW w:w="3484" w:type="dxa"/>
            <w:vAlign w:val="center"/>
          </w:tcPr>
          <w:p>
            <w:pPr>
              <w:pStyle w:val="112"/>
              <w:rPr>
                <w:kern w:val="2"/>
              </w:rPr>
            </w:pPr>
            <w:r>
              <w:rPr>
                <w:rFonts w:hint="eastAsia"/>
                <w:kern w:val="2"/>
              </w:rPr>
              <w:t>振捣机</w:t>
            </w:r>
          </w:p>
        </w:tc>
        <w:tc>
          <w:tcPr>
            <w:tcW w:w="2294" w:type="dxa"/>
            <w:vAlign w:val="center"/>
          </w:tcPr>
          <w:p>
            <w:pPr>
              <w:pStyle w:val="112"/>
              <w:rPr>
                <w:kern w:val="2"/>
              </w:rPr>
            </w:pPr>
            <w:r>
              <w:rPr>
                <w:kern w:val="2"/>
              </w:rPr>
              <w:t>5</w:t>
            </w:r>
          </w:p>
        </w:tc>
        <w:tc>
          <w:tcPr>
            <w:tcW w:w="2295" w:type="dxa"/>
            <w:vAlign w:val="center"/>
          </w:tcPr>
          <w:p>
            <w:pPr>
              <w:pStyle w:val="112"/>
              <w:rPr>
                <w:kern w:val="2"/>
              </w:rPr>
            </w:pPr>
            <w:r>
              <w:rPr>
                <w:kern w:val="2"/>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1101" w:type="dxa"/>
            <w:vAlign w:val="center"/>
          </w:tcPr>
          <w:p>
            <w:pPr>
              <w:pStyle w:val="112"/>
              <w:rPr>
                <w:kern w:val="2"/>
              </w:rPr>
            </w:pPr>
            <w:r>
              <w:rPr>
                <w:kern w:val="2"/>
              </w:rPr>
              <w:t>7</w:t>
            </w:r>
          </w:p>
        </w:tc>
        <w:tc>
          <w:tcPr>
            <w:tcW w:w="3484" w:type="dxa"/>
            <w:vAlign w:val="center"/>
          </w:tcPr>
          <w:p>
            <w:pPr>
              <w:pStyle w:val="112"/>
              <w:rPr>
                <w:kern w:val="2"/>
              </w:rPr>
            </w:pPr>
            <w:r>
              <w:rPr>
                <w:rFonts w:hint="eastAsia"/>
                <w:kern w:val="2"/>
              </w:rPr>
              <w:t>振动式压路机</w:t>
            </w:r>
          </w:p>
        </w:tc>
        <w:tc>
          <w:tcPr>
            <w:tcW w:w="2294" w:type="dxa"/>
            <w:vAlign w:val="center"/>
          </w:tcPr>
          <w:p>
            <w:pPr>
              <w:pStyle w:val="112"/>
              <w:rPr>
                <w:kern w:val="2"/>
              </w:rPr>
            </w:pPr>
            <w:r>
              <w:rPr>
                <w:kern w:val="2"/>
              </w:rPr>
              <w:t>5</w:t>
            </w:r>
          </w:p>
        </w:tc>
        <w:tc>
          <w:tcPr>
            <w:tcW w:w="2295" w:type="dxa"/>
            <w:vAlign w:val="center"/>
          </w:tcPr>
          <w:p>
            <w:pPr>
              <w:pStyle w:val="112"/>
              <w:rPr>
                <w:kern w:val="2"/>
              </w:rPr>
            </w:pPr>
            <w:r>
              <w:rPr>
                <w:kern w:val="2"/>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trPr>
        <w:tc>
          <w:tcPr>
            <w:tcW w:w="1101" w:type="dxa"/>
            <w:vAlign w:val="center"/>
          </w:tcPr>
          <w:p>
            <w:pPr>
              <w:pStyle w:val="112"/>
              <w:rPr>
                <w:kern w:val="2"/>
              </w:rPr>
            </w:pPr>
            <w:r>
              <w:rPr>
                <w:kern w:val="2"/>
              </w:rPr>
              <w:t>8</w:t>
            </w:r>
          </w:p>
        </w:tc>
        <w:tc>
          <w:tcPr>
            <w:tcW w:w="3484" w:type="dxa"/>
            <w:vAlign w:val="center"/>
          </w:tcPr>
          <w:p>
            <w:pPr>
              <w:pStyle w:val="112"/>
              <w:rPr>
                <w:kern w:val="2"/>
              </w:rPr>
            </w:pPr>
            <w:r>
              <w:rPr>
                <w:rFonts w:hint="eastAsia"/>
                <w:kern w:val="2"/>
              </w:rPr>
              <w:t>推铺机</w:t>
            </w:r>
          </w:p>
        </w:tc>
        <w:tc>
          <w:tcPr>
            <w:tcW w:w="2294" w:type="dxa"/>
            <w:vAlign w:val="center"/>
          </w:tcPr>
          <w:p>
            <w:pPr>
              <w:pStyle w:val="112"/>
              <w:rPr>
                <w:bCs/>
                <w:kern w:val="2"/>
              </w:rPr>
            </w:pPr>
            <w:r>
              <w:rPr>
                <w:bCs/>
                <w:kern w:val="2"/>
              </w:rPr>
              <w:t>5</w:t>
            </w:r>
          </w:p>
        </w:tc>
        <w:tc>
          <w:tcPr>
            <w:tcW w:w="2295" w:type="dxa"/>
            <w:vAlign w:val="center"/>
          </w:tcPr>
          <w:p>
            <w:pPr>
              <w:pStyle w:val="112"/>
              <w:rPr>
                <w:bCs/>
                <w:kern w:val="2"/>
              </w:rPr>
            </w:pPr>
            <w:r>
              <w:rPr>
                <w:bCs/>
                <w:kern w:val="2"/>
              </w:rPr>
              <w:t>87</w:t>
            </w:r>
          </w:p>
        </w:tc>
      </w:tr>
    </w:tbl>
    <w:p>
      <w:pPr>
        <w:pStyle w:val="6"/>
        <w:ind w:left="567" w:hanging="567"/>
      </w:pPr>
      <w:r>
        <w:rPr>
          <w:rFonts w:hint="eastAsia"/>
        </w:rPr>
        <w:t>营运期</w:t>
      </w:r>
    </w:p>
    <w:p>
      <w:pPr>
        <w:pStyle w:val="3"/>
        <w:ind w:firstLine="31680"/>
      </w:pPr>
      <w:r>
        <w:rPr>
          <w:rFonts w:hint="eastAsia"/>
        </w:rPr>
        <w:t>公路投入营运后，在公路上行驶的机动车辆的噪声源为非稳态源，车辆行驶时其发动机、冷却系统以及传动系统等部件均会产生噪声；行驶中引起的气流湍动、排气系统、轮胎与路面的摩擦等也会产生噪声；由于公路路面平整度等原因而使行驶中的汽车产生整车噪声。</w:t>
      </w:r>
    </w:p>
    <w:p>
      <w:pPr>
        <w:spacing w:line="360" w:lineRule="auto"/>
        <w:ind w:firstLine="31680" w:firstLineChars="200"/>
        <w:rPr>
          <w:sz w:val="24"/>
          <w:szCs w:val="24"/>
        </w:rPr>
      </w:pPr>
      <w:r>
        <w:rPr>
          <w:sz w:val="24"/>
          <w:szCs w:val="24"/>
        </w:rPr>
        <w:t>a</w:t>
      </w:r>
      <w:r>
        <w:rPr>
          <w:rFonts w:hint="eastAsia"/>
          <w:sz w:val="24"/>
          <w:szCs w:val="24"/>
        </w:rPr>
        <w:t>）汽车行驶平均速度计算</w:t>
      </w:r>
    </w:p>
    <w:p>
      <w:pPr>
        <w:spacing w:line="360" w:lineRule="auto"/>
        <w:ind w:firstLine="31680" w:firstLineChars="200"/>
        <w:rPr>
          <w:sz w:val="24"/>
          <w:szCs w:val="24"/>
        </w:rPr>
      </w:pPr>
      <w:r>
        <w:rPr>
          <w:rFonts w:hint="eastAsia"/>
          <w:sz w:val="24"/>
          <w:szCs w:val="24"/>
        </w:rPr>
        <w:t>车速计算公式：</w:t>
      </w:r>
    </w:p>
    <w:p>
      <w:pPr>
        <w:spacing w:line="360" w:lineRule="auto"/>
        <w:ind w:firstLine="31680" w:firstLineChars="900"/>
        <w:rPr>
          <w:sz w:val="24"/>
          <w:szCs w:val="24"/>
        </w:rPr>
      </w:pPr>
      <w:r>
        <w:rPr>
          <w:sz w:val="24"/>
          <w:szCs w:val="24"/>
        </w:rPr>
        <w:pict>
          <v:shape id="_x0000_i1042" o:spt="75" type="#_x0000_t75" style="height:57.75pt;width:145.5pt;" filled="f" o:preferrelative="t" stroked="f" coordsize="21600,21600">
            <v:path/>
            <v:fill on="f" focussize="0,0"/>
            <v:stroke on="f" joinstyle="miter"/>
            <v:imagedata r:id="rId35" o:title=""/>
            <o:lock v:ext="edit" aspectratio="t"/>
            <w10:wrap type="none"/>
            <w10:anchorlock/>
          </v:shape>
        </w:pict>
      </w:r>
    </w:p>
    <w:p>
      <w:pPr>
        <w:spacing w:line="360" w:lineRule="auto"/>
        <w:ind w:firstLine="31680" w:firstLineChars="200"/>
        <w:rPr>
          <w:sz w:val="24"/>
          <w:szCs w:val="24"/>
        </w:rPr>
      </w:pPr>
      <w:r>
        <w:rPr>
          <w:rFonts w:hint="eastAsia"/>
          <w:sz w:val="24"/>
          <w:szCs w:val="24"/>
        </w:rPr>
        <w:t>式中：</w:t>
      </w:r>
      <w:r>
        <w:rPr>
          <w:sz w:val="24"/>
          <w:szCs w:val="24"/>
        </w:rPr>
        <w:t>V</w:t>
      </w:r>
      <w:r>
        <w:rPr>
          <w:sz w:val="24"/>
          <w:szCs w:val="24"/>
          <w:vertAlign w:val="subscript"/>
        </w:rPr>
        <w:t>i</w:t>
      </w:r>
      <w:r>
        <w:rPr>
          <w:sz w:val="24"/>
          <w:szCs w:val="24"/>
        </w:rPr>
        <w:t>—</w:t>
      </w:r>
      <w:r>
        <w:rPr>
          <w:rFonts w:hint="eastAsia"/>
          <w:sz w:val="24"/>
          <w:szCs w:val="24"/>
        </w:rPr>
        <w:t>预测车速，</w:t>
      </w:r>
      <w:r>
        <w:rPr>
          <w:sz w:val="24"/>
          <w:szCs w:val="24"/>
        </w:rPr>
        <w:t>km/h</w:t>
      </w:r>
      <w:r>
        <w:rPr>
          <w:rFonts w:hint="eastAsia"/>
          <w:sz w:val="24"/>
          <w:szCs w:val="24"/>
        </w:rPr>
        <w:t>；</w:t>
      </w:r>
      <w:r>
        <w:rPr>
          <w:sz w:val="24"/>
          <w:szCs w:val="24"/>
        </w:rPr>
        <w:t xml:space="preserve"> </w:t>
      </w:r>
    </w:p>
    <w:p>
      <w:pPr>
        <w:spacing w:line="360" w:lineRule="auto"/>
        <w:ind w:firstLine="31680" w:firstLineChars="500"/>
        <w:rPr>
          <w:sz w:val="24"/>
          <w:szCs w:val="24"/>
        </w:rPr>
      </w:pPr>
      <w:r>
        <w:rPr>
          <w:sz w:val="24"/>
          <w:szCs w:val="24"/>
        </w:rPr>
        <w:t>u</w:t>
      </w:r>
      <w:r>
        <w:rPr>
          <w:sz w:val="24"/>
          <w:szCs w:val="24"/>
          <w:vertAlign w:val="subscript"/>
        </w:rPr>
        <w:t>i</w:t>
      </w:r>
      <w:r>
        <w:rPr>
          <w:sz w:val="24"/>
          <w:szCs w:val="24"/>
        </w:rPr>
        <w:t>—</w:t>
      </w:r>
      <w:r>
        <w:rPr>
          <w:rFonts w:hint="eastAsia"/>
          <w:sz w:val="24"/>
          <w:szCs w:val="24"/>
        </w:rPr>
        <w:t>该车型的当量车数；</w:t>
      </w:r>
    </w:p>
    <w:p>
      <w:pPr>
        <w:spacing w:line="360" w:lineRule="auto"/>
        <w:ind w:firstLine="31680" w:firstLineChars="500"/>
        <w:rPr>
          <w:sz w:val="24"/>
          <w:szCs w:val="24"/>
        </w:rPr>
      </w:pPr>
      <w:r>
        <w:rPr>
          <w:sz w:val="24"/>
          <w:szCs w:val="24"/>
        </w:rPr>
        <w:t>η</w:t>
      </w:r>
      <w:r>
        <w:rPr>
          <w:sz w:val="24"/>
          <w:szCs w:val="24"/>
          <w:vertAlign w:val="subscript"/>
        </w:rPr>
        <w:t>i</w:t>
      </w:r>
      <w:r>
        <w:rPr>
          <w:sz w:val="24"/>
          <w:szCs w:val="24"/>
        </w:rPr>
        <w:t>—</w:t>
      </w:r>
      <w:r>
        <w:rPr>
          <w:rFonts w:hint="eastAsia"/>
          <w:sz w:val="24"/>
          <w:szCs w:val="24"/>
        </w:rPr>
        <w:t>该车型的车型比；</w:t>
      </w:r>
    </w:p>
    <w:p>
      <w:pPr>
        <w:spacing w:line="360" w:lineRule="auto"/>
        <w:ind w:firstLine="31680" w:firstLineChars="500"/>
        <w:rPr>
          <w:sz w:val="24"/>
          <w:szCs w:val="24"/>
        </w:rPr>
      </w:pPr>
      <w:r>
        <w:rPr>
          <w:sz w:val="24"/>
          <w:szCs w:val="24"/>
        </w:rPr>
        <w:t>vol—</w:t>
      </w:r>
      <w:r>
        <w:rPr>
          <w:rFonts w:hint="eastAsia"/>
          <w:sz w:val="24"/>
          <w:szCs w:val="24"/>
        </w:rPr>
        <w:t>单车道车流量，辆</w:t>
      </w:r>
      <w:r>
        <w:rPr>
          <w:sz w:val="24"/>
          <w:szCs w:val="24"/>
        </w:rPr>
        <w:t>/h</w:t>
      </w:r>
      <w:r>
        <w:rPr>
          <w:rFonts w:hint="eastAsia"/>
          <w:sz w:val="24"/>
          <w:szCs w:val="24"/>
        </w:rPr>
        <w:t>；</w:t>
      </w:r>
    </w:p>
    <w:p>
      <w:pPr>
        <w:spacing w:line="360" w:lineRule="auto"/>
        <w:ind w:firstLine="31680" w:firstLineChars="500"/>
        <w:rPr>
          <w:sz w:val="24"/>
          <w:szCs w:val="24"/>
        </w:rPr>
      </w:pPr>
      <w:r>
        <w:rPr>
          <w:sz w:val="24"/>
          <w:szCs w:val="24"/>
        </w:rPr>
        <w:t>m—</w:t>
      </w:r>
      <w:r>
        <w:rPr>
          <w:rFonts w:hint="eastAsia"/>
          <w:sz w:val="24"/>
          <w:szCs w:val="24"/>
        </w:rPr>
        <w:t>其他两种车型的加权系数；</w:t>
      </w:r>
    </w:p>
    <w:p>
      <w:pPr>
        <w:pStyle w:val="3"/>
        <w:ind w:firstLine="31680"/>
      </w:pPr>
      <w:r>
        <w:t>k</w:t>
      </w:r>
      <w:r>
        <w:rPr>
          <w:vertAlign w:val="subscript"/>
        </w:rPr>
        <w:t>1</w:t>
      </w:r>
      <w:r>
        <w:rPr>
          <w:rFonts w:hint="eastAsia"/>
        </w:rPr>
        <w:t>、</w:t>
      </w:r>
      <w:r>
        <w:t>k</w:t>
      </w:r>
      <w:r>
        <w:rPr>
          <w:vertAlign w:val="subscript"/>
        </w:rPr>
        <w:t>2</w:t>
      </w:r>
      <w:r>
        <w:rPr>
          <w:rFonts w:hint="eastAsia"/>
        </w:rPr>
        <w:t>、</w:t>
      </w:r>
      <w:r>
        <w:t>k</w:t>
      </w:r>
      <w:r>
        <w:rPr>
          <w:vertAlign w:val="subscript"/>
        </w:rPr>
        <w:t>3</w:t>
      </w:r>
      <w:r>
        <w:rPr>
          <w:rFonts w:hint="eastAsia"/>
        </w:rPr>
        <w:t>、</w:t>
      </w:r>
      <w:r>
        <w:t>k</w:t>
      </w:r>
      <w:r>
        <w:rPr>
          <w:vertAlign w:val="subscript"/>
        </w:rPr>
        <w:t>4</w:t>
      </w:r>
      <w:r>
        <w:rPr>
          <w:rFonts w:hint="eastAsia"/>
        </w:rPr>
        <w:t>分别为系数，详见表</w:t>
      </w:r>
      <w:r>
        <w:t>4.4-10</w:t>
      </w:r>
      <w:r>
        <w:rPr>
          <w:rFonts w:hint="eastAsia"/>
        </w:rPr>
        <w:t>。</w:t>
      </w:r>
    </w:p>
    <w:p>
      <w:pPr>
        <w:pStyle w:val="19"/>
        <w:jc w:val="center"/>
      </w:pPr>
      <w:bookmarkStart w:id="155" w:name="_Ref401478423"/>
      <w:r>
        <w:rPr>
          <w:rFonts w:hint="eastAsia"/>
        </w:rPr>
        <w:t>表</w:t>
      </w:r>
      <w:r>
        <w:t>4.4</w:t>
      </w:r>
      <w:bookmarkEnd w:id="155"/>
      <w:r>
        <w:t xml:space="preserve">-10  </w:t>
      </w:r>
      <w:r>
        <w:rPr>
          <w:rFonts w:hint="eastAsia"/>
        </w:rPr>
        <w:t>车速计算公式系数取值表</w:t>
      </w:r>
    </w:p>
    <w:tbl>
      <w:tblPr>
        <w:tblStyle w:val="65"/>
        <w:tblW w:w="9174" w:type="dxa"/>
        <w:tblInd w:w="0" w:type="dxa"/>
        <w:tblLayout w:type="fixed"/>
        <w:tblCellMar>
          <w:top w:w="0" w:type="dxa"/>
          <w:left w:w="108" w:type="dxa"/>
          <w:bottom w:w="0" w:type="dxa"/>
          <w:right w:w="108" w:type="dxa"/>
        </w:tblCellMar>
      </w:tblPr>
      <w:tblGrid>
        <w:gridCol w:w="1301"/>
        <w:gridCol w:w="1649"/>
        <w:gridCol w:w="1220"/>
        <w:gridCol w:w="2134"/>
        <w:gridCol w:w="1488"/>
        <w:gridCol w:w="1382"/>
      </w:tblGrid>
      <w:tr>
        <w:tblPrEx>
          <w:tblLayout w:type="fixed"/>
          <w:tblCellMar>
            <w:top w:w="0" w:type="dxa"/>
            <w:left w:w="108" w:type="dxa"/>
            <w:bottom w:w="0" w:type="dxa"/>
            <w:right w:w="108" w:type="dxa"/>
          </w:tblCellMar>
        </w:tblPrEx>
        <w:trPr>
          <w:trHeight w:val="340" w:hRule="atLeast"/>
          <w:tblHeader/>
        </w:trPr>
        <w:tc>
          <w:tcPr>
            <w:tcW w:w="1301" w:type="dxa"/>
            <w:tcBorders>
              <w:top w:val="single" w:color="auto" w:sz="4" w:space="0"/>
              <w:left w:val="single" w:color="auto" w:sz="4" w:space="0"/>
              <w:bottom w:val="single" w:color="000000" w:sz="4" w:space="0"/>
              <w:right w:val="single" w:color="auto" w:sz="4" w:space="0"/>
            </w:tcBorders>
            <w:vAlign w:val="center"/>
          </w:tcPr>
          <w:p>
            <w:pPr>
              <w:pStyle w:val="112"/>
              <w:rPr>
                <w:kern w:val="2"/>
              </w:rPr>
            </w:pPr>
            <w:r>
              <w:rPr>
                <w:rFonts w:hint="eastAsia"/>
                <w:kern w:val="2"/>
              </w:rPr>
              <w:t>车型</w:t>
            </w:r>
          </w:p>
        </w:tc>
        <w:tc>
          <w:tcPr>
            <w:tcW w:w="1649" w:type="dxa"/>
            <w:tcBorders>
              <w:top w:val="single" w:color="auto" w:sz="4" w:space="0"/>
              <w:left w:val="nil"/>
              <w:bottom w:val="single" w:color="auto" w:sz="4" w:space="0"/>
              <w:right w:val="single" w:color="000000" w:sz="4" w:space="0"/>
            </w:tcBorders>
            <w:vAlign w:val="center"/>
          </w:tcPr>
          <w:p>
            <w:pPr>
              <w:pStyle w:val="112"/>
              <w:rPr>
                <w:kern w:val="2"/>
              </w:rPr>
            </w:pPr>
            <w:r>
              <w:rPr>
                <w:kern w:val="2"/>
              </w:rPr>
              <w:t>k</w:t>
            </w:r>
            <w:r>
              <w:rPr>
                <w:kern w:val="2"/>
                <w:vertAlign w:val="subscript"/>
              </w:rPr>
              <w:t>1</w:t>
            </w:r>
          </w:p>
        </w:tc>
        <w:tc>
          <w:tcPr>
            <w:tcW w:w="1220" w:type="dxa"/>
            <w:tcBorders>
              <w:top w:val="single" w:color="auto" w:sz="4" w:space="0"/>
              <w:left w:val="nil"/>
              <w:bottom w:val="single" w:color="auto" w:sz="4" w:space="0"/>
              <w:right w:val="single" w:color="000000" w:sz="4" w:space="0"/>
            </w:tcBorders>
            <w:vAlign w:val="center"/>
          </w:tcPr>
          <w:p>
            <w:pPr>
              <w:pStyle w:val="112"/>
              <w:rPr>
                <w:kern w:val="2"/>
              </w:rPr>
            </w:pPr>
            <w:r>
              <w:rPr>
                <w:kern w:val="2"/>
              </w:rPr>
              <w:t>k</w:t>
            </w:r>
            <w:r>
              <w:rPr>
                <w:kern w:val="2"/>
                <w:vertAlign w:val="subscript"/>
              </w:rPr>
              <w:t>2</w:t>
            </w:r>
          </w:p>
        </w:tc>
        <w:tc>
          <w:tcPr>
            <w:tcW w:w="2134" w:type="dxa"/>
            <w:tcBorders>
              <w:top w:val="single" w:color="auto" w:sz="4" w:space="0"/>
              <w:left w:val="nil"/>
              <w:bottom w:val="single" w:color="auto" w:sz="4" w:space="0"/>
              <w:right w:val="single" w:color="000000" w:sz="4" w:space="0"/>
            </w:tcBorders>
            <w:vAlign w:val="center"/>
          </w:tcPr>
          <w:p>
            <w:pPr>
              <w:pStyle w:val="112"/>
              <w:rPr>
                <w:kern w:val="2"/>
              </w:rPr>
            </w:pPr>
            <w:r>
              <w:rPr>
                <w:kern w:val="2"/>
              </w:rPr>
              <w:t>k</w:t>
            </w:r>
            <w:r>
              <w:rPr>
                <w:kern w:val="2"/>
                <w:vertAlign w:val="subscript"/>
              </w:rPr>
              <w:t>3</w:t>
            </w:r>
          </w:p>
        </w:tc>
        <w:tc>
          <w:tcPr>
            <w:tcW w:w="1488" w:type="dxa"/>
            <w:tcBorders>
              <w:top w:val="single" w:color="auto" w:sz="4" w:space="0"/>
              <w:left w:val="nil"/>
              <w:bottom w:val="single" w:color="auto" w:sz="4" w:space="0"/>
              <w:right w:val="single" w:color="000000" w:sz="4" w:space="0"/>
            </w:tcBorders>
            <w:vAlign w:val="center"/>
          </w:tcPr>
          <w:p>
            <w:pPr>
              <w:pStyle w:val="112"/>
              <w:rPr>
                <w:kern w:val="2"/>
              </w:rPr>
            </w:pPr>
            <w:r>
              <w:rPr>
                <w:kern w:val="2"/>
              </w:rPr>
              <w:t>k</w:t>
            </w:r>
            <w:r>
              <w:rPr>
                <w:kern w:val="2"/>
                <w:vertAlign w:val="subscript"/>
              </w:rPr>
              <w:t>4</w:t>
            </w:r>
          </w:p>
        </w:tc>
        <w:tc>
          <w:tcPr>
            <w:tcW w:w="1382" w:type="dxa"/>
            <w:tcBorders>
              <w:top w:val="single" w:color="auto" w:sz="4" w:space="0"/>
              <w:left w:val="nil"/>
              <w:bottom w:val="single" w:color="auto" w:sz="4" w:space="0"/>
              <w:right w:val="single" w:color="000000" w:sz="4" w:space="0"/>
            </w:tcBorders>
            <w:vAlign w:val="center"/>
          </w:tcPr>
          <w:p>
            <w:pPr>
              <w:pStyle w:val="112"/>
              <w:rPr>
                <w:kern w:val="2"/>
              </w:rPr>
            </w:pPr>
            <w:r>
              <w:rPr>
                <w:kern w:val="2"/>
              </w:rPr>
              <w:t>m</w:t>
            </w:r>
          </w:p>
        </w:tc>
      </w:tr>
      <w:tr>
        <w:tblPrEx>
          <w:tblLayout w:type="fixed"/>
          <w:tblCellMar>
            <w:top w:w="0" w:type="dxa"/>
            <w:left w:w="108" w:type="dxa"/>
            <w:bottom w:w="0" w:type="dxa"/>
            <w:right w:w="108" w:type="dxa"/>
          </w:tblCellMar>
        </w:tblPrEx>
        <w:trPr>
          <w:trHeight w:val="340" w:hRule="atLeast"/>
        </w:trPr>
        <w:tc>
          <w:tcPr>
            <w:tcW w:w="1301" w:type="dxa"/>
            <w:tcBorders>
              <w:top w:val="nil"/>
              <w:left w:val="single" w:color="auto" w:sz="4" w:space="0"/>
              <w:bottom w:val="single" w:color="auto" w:sz="4" w:space="0"/>
              <w:right w:val="single" w:color="auto" w:sz="4" w:space="0"/>
            </w:tcBorders>
            <w:vAlign w:val="center"/>
          </w:tcPr>
          <w:p>
            <w:pPr>
              <w:spacing w:line="360" w:lineRule="exact"/>
              <w:jc w:val="center"/>
            </w:pPr>
            <w:r>
              <w:rPr>
                <w:rFonts w:hint="eastAsia"/>
                <w:szCs w:val="21"/>
              </w:rPr>
              <w:t>小型车</w:t>
            </w:r>
          </w:p>
        </w:tc>
        <w:tc>
          <w:tcPr>
            <w:tcW w:w="1649" w:type="dxa"/>
            <w:tcBorders>
              <w:top w:val="nil"/>
              <w:left w:val="nil"/>
              <w:bottom w:val="single" w:color="auto" w:sz="4" w:space="0"/>
              <w:right w:val="single" w:color="000000" w:sz="4" w:space="0"/>
            </w:tcBorders>
            <w:vAlign w:val="center"/>
          </w:tcPr>
          <w:p>
            <w:pPr>
              <w:spacing w:line="360" w:lineRule="exact"/>
              <w:jc w:val="center"/>
            </w:pPr>
            <w:r>
              <w:rPr>
                <w:szCs w:val="21"/>
              </w:rPr>
              <w:t>-0.061748</w:t>
            </w:r>
          </w:p>
        </w:tc>
        <w:tc>
          <w:tcPr>
            <w:tcW w:w="1220" w:type="dxa"/>
            <w:tcBorders>
              <w:top w:val="nil"/>
              <w:left w:val="single" w:color="000000" w:sz="4" w:space="0"/>
              <w:bottom w:val="single" w:color="auto" w:sz="4" w:space="0"/>
              <w:right w:val="single" w:color="auto" w:sz="4" w:space="0"/>
            </w:tcBorders>
            <w:vAlign w:val="center"/>
          </w:tcPr>
          <w:p>
            <w:pPr>
              <w:spacing w:line="360" w:lineRule="exact"/>
              <w:jc w:val="center"/>
            </w:pPr>
            <w:r>
              <w:rPr>
                <w:szCs w:val="21"/>
              </w:rPr>
              <w:t>149.65</w:t>
            </w:r>
          </w:p>
        </w:tc>
        <w:tc>
          <w:tcPr>
            <w:tcW w:w="2134" w:type="dxa"/>
            <w:tcBorders>
              <w:top w:val="nil"/>
              <w:left w:val="nil"/>
              <w:bottom w:val="single" w:color="auto" w:sz="4" w:space="0"/>
              <w:right w:val="single" w:color="000000" w:sz="4" w:space="0"/>
            </w:tcBorders>
            <w:vAlign w:val="center"/>
          </w:tcPr>
          <w:p>
            <w:pPr>
              <w:spacing w:line="360" w:lineRule="exact"/>
              <w:jc w:val="center"/>
            </w:pPr>
            <w:r>
              <w:rPr>
                <w:szCs w:val="21"/>
              </w:rPr>
              <w:t>-0.000023696</w:t>
            </w:r>
          </w:p>
        </w:tc>
        <w:tc>
          <w:tcPr>
            <w:tcW w:w="1488" w:type="dxa"/>
            <w:tcBorders>
              <w:top w:val="nil"/>
              <w:left w:val="single" w:color="000000" w:sz="4" w:space="0"/>
              <w:bottom w:val="single" w:color="auto" w:sz="4" w:space="0"/>
              <w:right w:val="single" w:color="000000" w:sz="4" w:space="0"/>
            </w:tcBorders>
            <w:vAlign w:val="center"/>
          </w:tcPr>
          <w:p>
            <w:pPr>
              <w:spacing w:line="360" w:lineRule="exact"/>
              <w:jc w:val="center"/>
            </w:pPr>
            <w:r>
              <w:rPr>
                <w:szCs w:val="21"/>
              </w:rPr>
              <w:t>-0.02099</w:t>
            </w:r>
          </w:p>
        </w:tc>
        <w:tc>
          <w:tcPr>
            <w:tcW w:w="1382" w:type="dxa"/>
            <w:tcBorders>
              <w:top w:val="nil"/>
              <w:left w:val="single" w:color="000000" w:sz="4" w:space="0"/>
              <w:bottom w:val="single" w:color="auto" w:sz="4" w:space="0"/>
              <w:right w:val="single" w:color="auto" w:sz="4" w:space="0"/>
            </w:tcBorders>
            <w:vAlign w:val="center"/>
          </w:tcPr>
          <w:p>
            <w:pPr>
              <w:spacing w:line="360" w:lineRule="exact"/>
              <w:jc w:val="center"/>
            </w:pPr>
            <w:r>
              <w:rPr>
                <w:szCs w:val="21"/>
              </w:rPr>
              <w:t>1.2102</w:t>
            </w:r>
          </w:p>
        </w:tc>
      </w:tr>
      <w:tr>
        <w:tblPrEx>
          <w:tblLayout w:type="fixed"/>
          <w:tblCellMar>
            <w:top w:w="0" w:type="dxa"/>
            <w:left w:w="108" w:type="dxa"/>
            <w:bottom w:w="0" w:type="dxa"/>
            <w:right w:w="108" w:type="dxa"/>
          </w:tblCellMar>
        </w:tblPrEx>
        <w:trPr>
          <w:trHeight w:val="340" w:hRule="atLeast"/>
        </w:trPr>
        <w:tc>
          <w:tcPr>
            <w:tcW w:w="1301" w:type="dxa"/>
            <w:tcBorders>
              <w:top w:val="nil"/>
              <w:left w:val="single" w:color="auto" w:sz="4" w:space="0"/>
              <w:bottom w:val="single" w:color="auto" w:sz="4" w:space="0"/>
              <w:right w:val="single" w:color="auto" w:sz="4" w:space="0"/>
            </w:tcBorders>
            <w:vAlign w:val="center"/>
          </w:tcPr>
          <w:p>
            <w:pPr>
              <w:spacing w:line="360" w:lineRule="exact"/>
              <w:jc w:val="center"/>
              <w:rPr>
                <w:color w:val="FF0000"/>
              </w:rPr>
            </w:pPr>
            <w:r>
              <w:rPr>
                <w:rFonts w:hint="eastAsia"/>
                <w:szCs w:val="21"/>
              </w:rPr>
              <w:t>中型车</w:t>
            </w:r>
          </w:p>
        </w:tc>
        <w:tc>
          <w:tcPr>
            <w:tcW w:w="1649" w:type="dxa"/>
            <w:tcBorders>
              <w:top w:val="nil"/>
              <w:left w:val="nil"/>
              <w:bottom w:val="single" w:color="auto" w:sz="4" w:space="0"/>
              <w:right w:val="single" w:color="auto" w:sz="4" w:space="0"/>
            </w:tcBorders>
            <w:vAlign w:val="center"/>
          </w:tcPr>
          <w:p>
            <w:pPr>
              <w:spacing w:line="360" w:lineRule="exact"/>
              <w:jc w:val="center"/>
              <w:rPr>
                <w:color w:val="FF0000"/>
              </w:rPr>
            </w:pPr>
            <w:r>
              <w:rPr>
                <w:szCs w:val="21"/>
              </w:rPr>
              <w:t>-0.057537</w:t>
            </w:r>
          </w:p>
        </w:tc>
        <w:tc>
          <w:tcPr>
            <w:tcW w:w="1220" w:type="dxa"/>
            <w:tcBorders>
              <w:top w:val="nil"/>
              <w:left w:val="nil"/>
              <w:bottom w:val="single" w:color="auto" w:sz="4" w:space="0"/>
              <w:right w:val="single" w:color="auto" w:sz="4" w:space="0"/>
            </w:tcBorders>
            <w:vAlign w:val="center"/>
          </w:tcPr>
          <w:p>
            <w:pPr>
              <w:spacing w:line="360" w:lineRule="exact"/>
              <w:jc w:val="center"/>
              <w:rPr>
                <w:color w:val="FF0000"/>
              </w:rPr>
            </w:pPr>
            <w:r>
              <w:rPr>
                <w:szCs w:val="21"/>
              </w:rPr>
              <w:t>149.38</w:t>
            </w:r>
          </w:p>
        </w:tc>
        <w:tc>
          <w:tcPr>
            <w:tcW w:w="2134" w:type="dxa"/>
            <w:tcBorders>
              <w:top w:val="nil"/>
              <w:left w:val="nil"/>
              <w:bottom w:val="single" w:color="auto" w:sz="4" w:space="0"/>
              <w:right w:val="single" w:color="auto" w:sz="4" w:space="0"/>
            </w:tcBorders>
            <w:vAlign w:val="center"/>
          </w:tcPr>
          <w:p>
            <w:pPr>
              <w:spacing w:line="360" w:lineRule="exact"/>
              <w:jc w:val="center"/>
              <w:rPr>
                <w:color w:val="FF0000"/>
              </w:rPr>
            </w:pPr>
            <w:r>
              <w:rPr>
                <w:szCs w:val="21"/>
              </w:rPr>
              <w:t>-0.000016390</w:t>
            </w:r>
          </w:p>
        </w:tc>
        <w:tc>
          <w:tcPr>
            <w:tcW w:w="1488" w:type="dxa"/>
            <w:tcBorders>
              <w:top w:val="nil"/>
              <w:left w:val="nil"/>
              <w:bottom w:val="single" w:color="auto" w:sz="4" w:space="0"/>
              <w:right w:val="single" w:color="000000" w:sz="4" w:space="0"/>
            </w:tcBorders>
            <w:vAlign w:val="center"/>
          </w:tcPr>
          <w:p>
            <w:pPr>
              <w:spacing w:line="360" w:lineRule="exact"/>
              <w:jc w:val="center"/>
              <w:rPr>
                <w:color w:val="FF0000"/>
              </w:rPr>
            </w:pPr>
            <w:r>
              <w:rPr>
                <w:szCs w:val="21"/>
              </w:rPr>
              <w:t>-0.01245</w:t>
            </w:r>
          </w:p>
        </w:tc>
        <w:tc>
          <w:tcPr>
            <w:tcW w:w="1382" w:type="dxa"/>
            <w:tcBorders>
              <w:top w:val="nil"/>
              <w:left w:val="single" w:color="000000" w:sz="4" w:space="0"/>
              <w:bottom w:val="single" w:color="auto" w:sz="4" w:space="0"/>
              <w:right w:val="single" w:color="auto" w:sz="4" w:space="0"/>
            </w:tcBorders>
            <w:vAlign w:val="center"/>
          </w:tcPr>
          <w:p>
            <w:pPr>
              <w:spacing w:line="360" w:lineRule="exact"/>
              <w:jc w:val="center"/>
              <w:rPr>
                <w:color w:val="FF0000"/>
              </w:rPr>
            </w:pPr>
            <w:r>
              <w:rPr>
                <w:szCs w:val="21"/>
              </w:rPr>
              <w:t>0.8044</w:t>
            </w:r>
          </w:p>
        </w:tc>
      </w:tr>
      <w:tr>
        <w:tblPrEx>
          <w:tblLayout w:type="fixed"/>
          <w:tblCellMar>
            <w:top w:w="0" w:type="dxa"/>
            <w:left w:w="108" w:type="dxa"/>
            <w:bottom w:w="0" w:type="dxa"/>
            <w:right w:w="108" w:type="dxa"/>
          </w:tblCellMar>
        </w:tblPrEx>
        <w:trPr>
          <w:trHeight w:val="340" w:hRule="atLeast"/>
        </w:trPr>
        <w:tc>
          <w:tcPr>
            <w:tcW w:w="1301" w:type="dxa"/>
            <w:tcBorders>
              <w:top w:val="nil"/>
              <w:left w:val="single" w:color="auto" w:sz="4" w:space="0"/>
              <w:bottom w:val="single" w:color="auto" w:sz="4" w:space="0"/>
              <w:right w:val="single" w:color="auto" w:sz="4" w:space="0"/>
            </w:tcBorders>
            <w:vAlign w:val="center"/>
          </w:tcPr>
          <w:p>
            <w:pPr>
              <w:spacing w:line="360" w:lineRule="exact"/>
              <w:jc w:val="center"/>
              <w:rPr>
                <w:color w:val="FF0000"/>
              </w:rPr>
            </w:pPr>
            <w:r>
              <w:rPr>
                <w:rFonts w:hint="eastAsia"/>
                <w:szCs w:val="21"/>
              </w:rPr>
              <w:t>大型车</w:t>
            </w:r>
          </w:p>
        </w:tc>
        <w:tc>
          <w:tcPr>
            <w:tcW w:w="1649" w:type="dxa"/>
            <w:tcBorders>
              <w:top w:val="nil"/>
              <w:left w:val="nil"/>
              <w:bottom w:val="single" w:color="auto" w:sz="4" w:space="0"/>
              <w:right w:val="single" w:color="auto" w:sz="4" w:space="0"/>
            </w:tcBorders>
            <w:vAlign w:val="center"/>
          </w:tcPr>
          <w:p>
            <w:pPr>
              <w:spacing w:line="360" w:lineRule="exact"/>
              <w:jc w:val="center"/>
              <w:rPr>
                <w:color w:val="FF0000"/>
              </w:rPr>
            </w:pPr>
            <w:r>
              <w:rPr>
                <w:szCs w:val="21"/>
              </w:rPr>
              <w:t>-0.051900</w:t>
            </w:r>
          </w:p>
        </w:tc>
        <w:tc>
          <w:tcPr>
            <w:tcW w:w="1220" w:type="dxa"/>
            <w:tcBorders>
              <w:top w:val="nil"/>
              <w:left w:val="nil"/>
              <w:bottom w:val="single" w:color="auto" w:sz="4" w:space="0"/>
              <w:right w:val="single" w:color="auto" w:sz="4" w:space="0"/>
            </w:tcBorders>
            <w:vAlign w:val="center"/>
          </w:tcPr>
          <w:p>
            <w:pPr>
              <w:spacing w:line="360" w:lineRule="exact"/>
              <w:jc w:val="center"/>
              <w:rPr>
                <w:color w:val="FF0000"/>
              </w:rPr>
            </w:pPr>
            <w:r>
              <w:rPr>
                <w:szCs w:val="21"/>
              </w:rPr>
              <w:t>149.39</w:t>
            </w:r>
          </w:p>
        </w:tc>
        <w:tc>
          <w:tcPr>
            <w:tcW w:w="2134" w:type="dxa"/>
            <w:tcBorders>
              <w:top w:val="nil"/>
              <w:left w:val="nil"/>
              <w:bottom w:val="single" w:color="auto" w:sz="4" w:space="0"/>
              <w:right w:val="single" w:color="auto" w:sz="4" w:space="0"/>
            </w:tcBorders>
            <w:vAlign w:val="center"/>
          </w:tcPr>
          <w:p>
            <w:pPr>
              <w:spacing w:line="360" w:lineRule="exact"/>
              <w:jc w:val="center"/>
              <w:rPr>
                <w:color w:val="FF0000"/>
              </w:rPr>
            </w:pPr>
            <w:r>
              <w:rPr>
                <w:szCs w:val="21"/>
              </w:rPr>
              <w:t>-0.000014202</w:t>
            </w:r>
          </w:p>
        </w:tc>
        <w:tc>
          <w:tcPr>
            <w:tcW w:w="1488" w:type="dxa"/>
            <w:tcBorders>
              <w:top w:val="nil"/>
              <w:left w:val="nil"/>
              <w:bottom w:val="single" w:color="auto" w:sz="4" w:space="0"/>
              <w:right w:val="single" w:color="000000" w:sz="4" w:space="0"/>
            </w:tcBorders>
            <w:vAlign w:val="center"/>
          </w:tcPr>
          <w:p>
            <w:pPr>
              <w:spacing w:line="360" w:lineRule="exact"/>
              <w:jc w:val="center"/>
              <w:rPr>
                <w:color w:val="FF0000"/>
              </w:rPr>
            </w:pPr>
            <w:r>
              <w:rPr>
                <w:szCs w:val="21"/>
              </w:rPr>
              <w:t>-0.01254</w:t>
            </w:r>
          </w:p>
        </w:tc>
        <w:tc>
          <w:tcPr>
            <w:tcW w:w="1382" w:type="dxa"/>
            <w:tcBorders>
              <w:top w:val="nil"/>
              <w:left w:val="single" w:color="000000" w:sz="4" w:space="0"/>
              <w:bottom w:val="single" w:color="auto" w:sz="4" w:space="0"/>
              <w:right w:val="single" w:color="auto" w:sz="4" w:space="0"/>
            </w:tcBorders>
            <w:vAlign w:val="center"/>
          </w:tcPr>
          <w:p>
            <w:pPr>
              <w:spacing w:line="360" w:lineRule="exact"/>
              <w:jc w:val="center"/>
              <w:rPr>
                <w:color w:val="FF0000"/>
              </w:rPr>
            </w:pPr>
            <w:r>
              <w:rPr>
                <w:szCs w:val="21"/>
              </w:rPr>
              <w:t>0.70957</w:t>
            </w:r>
          </w:p>
        </w:tc>
      </w:tr>
    </w:tbl>
    <w:p>
      <w:pPr>
        <w:pStyle w:val="3"/>
        <w:ind w:firstLine="31680"/>
      </w:pPr>
      <w:r>
        <w:t>2</w:t>
      </w:r>
      <w:r>
        <w:rPr>
          <w:rFonts w:hint="eastAsia"/>
        </w:rPr>
        <w:t>）各类型车在离行车线</w:t>
      </w:r>
      <w:r>
        <w:t>7.5m</w:t>
      </w:r>
      <w:r>
        <w:rPr>
          <w:rFonts w:hint="eastAsia"/>
        </w:rPr>
        <w:t>处参照点的平均辐射噪声级</w:t>
      </w:r>
      <w:r>
        <w:t>Loi</w:t>
      </w:r>
      <w:r>
        <w:rPr>
          <w:rFonts w:hint="eastAsia"/>
        </w:rPr>
        <w:t>按下式计算：</w:t>
      </w:r>
    </w:p>
    <w:p>
      <w:pPr>
        <w:spacing w:line="360" w:lineRule="auto"/>
        <w:ind w:firstLine="31680" w:firstLineChars="200"/>
        <w:rPr>
          <w:sz w:val="24"/>
          <w:szCs w:val="24"/>
        </w:rPr>
      </w:pPr>
      <w:r>
        <w:rPr>
          <w:rFonts w:hint="eastAsia"/>
          <w:sz w:val="24"/>
          <w:szCs w:val="24"/>
        </w:rPr>
        <w:t>小型车：</w:t>
      </w:r>
      <w:r>
        <w:rPr>
          <w:sz w:val="24"/>
          <w:szCs w:val="24"/>
        </w:rPr>
        <w:t>L</w:t>
      </w:r>
      <w:r>
        <w:rPr>
          <w:sz w:val="24"/>
          <w:szCs w:val="24"/>
          <w:vertAlign w:val="subscript"/>
        </w:rPr>
        <w:t>oS</w:t>
      </w:r>
      <w:r>
        <w:rPr>
          <w:sz w:val="24"/>
          <w:szCs w:val="24"/>
        </w:rPr>
        <w:t>=12.6+34.73lgV</w:t>
      </w:r>
      <w:r>
        <w:rPr>
          <w:sz w:val="24"/>
          <w:szCs w:val="24"/>
          <w:vertAlign w:val="subscript"/>
        </w:rPr>
        <w:t>S</w:t>
      </w:r>
      <w:r>
        <w:rPr>
          <w:sz w:val="24"/>
          <w:szCs w:val="24"/>
        </w:rPr>
        <w:t xml:space="preserve"> </w:t>
      </w:r>
    </w:p>
    <w:p>
      <w:pPr>
        <w:spacing w:line="360" w:lineRule="auto"/>
        <w:ind w:firstLine="31680" w:firstLineChars="200"/>
        <w:rPr>
          <w:sz w:val="24"/>
          <w:szCs w:val="24"/>
        </w:rPr>
      </w:pPr>
      <w:r>
        <w:rPr>
          <w:rFonts w:hint="eastAsia"/>
          <w:sz w:val="24"/>
          <w:szCs w:val="24"/>
        </w:rPr>
        <w:t>中型车：</w:t>
      </w:r>
      <w:r>
        <w:rPr>
          <w:sz w:val="24"/>
          <w:szCs w:val="24"/>
        </w:rPr>
        <w:t>L</w:t>
      </w:r>
      <w:r>
        <w:rPr>
          <w:sz w:val="24"/>
          <w:szCs w:val="24"/>
          <w:vertAlign w:val="subscript"/>
        </w:rPr>
        <w:t>oM</w:t>
      </w:r>
      <w:r>
        <w:rPr>
          <w:sz w:val="24"/>
          <w:szCs w:val="24"/>
        </w:rPr>
        <w:t>=8.8+40.48lgV</w:t>
      </w:r>
      <w:r>
        <w:rPr>
          <w:sz w:val="24"/>
          <w:szCs w:val="24"/>
          <w:vertAlign w:val="subscript"/>
        </w:rPr>
        <w:t>M</w:t>
      </w:r>
      <w:r>
        <w:rPr>
          <w:sz w:val="24"/>
          <w:szCs w:val="24"/>
        </w:rPr>
        <w:t xml:space="preserve"> </w:t>
      </w:r>
    </w:p>
    <w:p>
      <w:pPr>
        <w:spacing w:line="360" w:lineRule="auto"/>
        <w:ind w:firstLine="31680" w:firstLineChars="200"/>
        <w:rPr>
          <w:sz w:val="24"/>
          <w:szCs w:val="24"/>
        </w:rPr>
      </w:pPr>
      <w:r>
        <w:rPr>
          <w:rFonts w:hint="eastAsia"/>
          <w:sz w:val="24"/>
          <w:szCs w:val="24"/>
        </w:rPr>
        <w:t>大型车：</w:t>
      </w:r>
      <w:r>
        <w:rPr>
          <w:sz w:val="24"/>
          <w:szCs w:val="24"/>
        </w:rPr>
        <w:t>L</w:t>
      </w:r>
      <w:r>
        <w:rPr>
          <w:sz w:val="24"/>
          <w:szCs w:val="24"/>
          <w:vertAlign w:val="subscript"/>
        </w:rPr>
        <w:t>oL</w:t>
      </w:r>
      <w:r>
        <w:rPr>
          <w:sz w:val="24"/>
          <w:szCs w:val="24"/>
        </w:rPr>
        <w:t>=22.0+36.32lgV</w:t>
      </w:r>
      <w:r>
        <w:rPr>
          <w:sz w:val="24"/>
          <w:szCs w:val="24"/>
          <w:vertAlign w:val="subscript"/>
        </w:rPr>
        <w:t>L</w:t>
      </w:r>
      <w:r>
        <w:rPr>
          <w:sz w:val="24"/>
          <w:szCs w:val="24"/>
        </w:rPr>
        <w:t xml:space="preserve"> </w:t>
      </w:r>
    </w:p>
    <w:p>
      <w:pPr>
        <w:spacing w:line="360" w:lineRule="auto"/>
        <w:ind w:firstLine="31680" w:firstLineChars="200"/>
        <w:rPr>
          <w:sz w:val="24"/>
          <w:szCs w:val="24"/>
        </w:rPr>
      </w:pPr>
      <w:r>
        <w:rPr>
          <w:rFonts w:hint="eastAsia"/>
          <w:sz w:val="24"/>
          <w:szCs w:val="24"/>
        </w:rPr>
        <w:t>式中：</w:t>
      </w:r>
      <w:r>
        <w:rPr>
          <w:sz w:val="24"/>
          <w:szCs w:val="24"/>
        </w:rPr>
        <w:t>i——</w:t>
      </w:r>
      <w:r>
        <w:rPr>
          <w:rFonts w:hint="eastAsia"/>
          <w:sz w:val="24"/>
          <w:szCs w:val="24"/>
        </w:rPr>
        <w:t>表示小（</w:t>
      </w:r>
      <w:r>
        <w:rPr>
          <w:sz w:val="24"/>
          <w:szCs w:val="24"/>
        </w:rPr>
        <w:t>S</w:t>
      </w:r>
      <w:r>
        <w:rPr>
          <w:rFonts w:hint="eastAsia"/>
          <w:sz w:val="24"/>
          <w:szCs w:val="24"/>
        </w:rPr>
        <w:t>）、中（</w:t>
      </w:r>
      <w:r>
        <w:rPr>
          <w:sz w:val="24"/>
          <w:szCs w:val="24"/>
        </w:rPr>
        <w:t>M</w:t>
      </w:r>
      <w:r>
        <w:rPr>
          <w:rFonts w:hint="eastAsia"/>
          <w:sz w:val="24"/>
          <w:szCs w:val="24"/>
        </w:rPr>
        <w:t>）、大（</w:t>
      </w:r>
      <w:r>
        <w:rPr>
          <w:sz w:val="24"/>
          <w:szCs w:val="24"/>
        </w:rPr>
        <w:t>L</w:t>
      </w:r>
      <w:r>
        <w:rPr>
          <w:rFonts w:hint="eastAsia"/>
          <w:sz w:val="24"/>
          <w:szCs w:val="24"/>
        </w:rPr>
        <w:t>）型车</w:t>
      </w:r>
    </w:p>
    <w:p>
      <w:pPr>
        <w:spacing w:line="360" w:lineRule="auto"/>
        <w:ind w:firstLine="31680" w:firstLineChars="500"/>
        <w:rPr>
          <w:sz w:val="24"/>
          <w:szCs w:val="24"/>
        </w:rPr>
      </w:pPr>
      <w:r>
        <w:rPr>
          <w:sz w:val="24"/>
          <w:szCs w:val="24"/>
        </w:rPr>
        <w:t>V</w:t>
      </w:r>
      <w:r>
        <w:rPr>
          <w:sz w:val="24"/>
          <w:szCs w:val="24"/>
          <w:vertAlign w:val="subscript"/>
        </w:rPr>
        <w:t>i</w:t>
      </w:r>
      <w:r>
        <w:rPr>
          <w:sz w:val="24"/>
          <w:szCs w:val="24"/>
        </w:rPr>
        <w:t>——</w:t>
      </w:r>
      <w:r>
        <w:rPr>
          <w:rFonts w:hint="eastAsia"/>
          <w:sz w:val="24"/>
          <w:szCs w:val="24"/>
        </w:rPr>
        <w:t>该车型车辆平均行驶速度，</w:t>
      </w:r>
      <w:r>
        <w:rPr>
          <w:sz w:val="24"/>
          <w:szCs w:val="24"/>
        </w:rPr>
        <w:t>km/h</w:t>
      </w:r>
      <w:r>
        <w:rPr>
          <w:rFonts w:hint="eastAsia"/>
          <w:sz w:val="24"/>
          <w:szCs w:val="24"/>
        </w:rPr>
        <w:t>。</w:t>
      </w:r>
    </w:p>
    <w:p>
      <w:pPr>
        <w:pStyle w:val="3"/>
        <w:ind w:firstLine="31680"/>
      </w:pPr>
      <w:r>
        <w:rPr>
          <w:rFonts w:hint="eastAsia"/>
        </w:rPr>
        <w:t>根据上面的公式，计算得到本工程营运期小、中、大型车平均辐射声级预测结果，噪声单车源强详见表</w:t>
      </w:r>
      <w:r>
        <w:t>3.4-11</w:t>
      </w:r>
      <w:r>
        <w:rPr>
          <w:rFonts w:hint="eastAsia"/>
        </w:rPr>
        <w:t>。</w:t>
      </w:r>
      <w:bookmarkStart w:id="156" w:name="_Ref354388629"/>
    </w:p>
    <w:bookmarkEnd w:id="156"/>
    <w:p>
      <w:pPr>
        <w:pStyle w:val="216"/>
        <w:tabs>
          <w:tab w:val="left" w:pos="1021"/>
        </w:tabs>
        <w:spacing w:line="240" w:lineRule="auto"/>
        <w:ind w:firstLine="0" w:firstLineChars="0"/>
        <w:rPr>
          <w:sz w:val="21"/>
          <w:szCs w:val="21"/>
        </w:rPr>
      </w:pPr>
      <w:bookmarkStart w:id="157" w:name="_Ref397613416"/>
      <w:r>
        <w:rPr>
          <w:rFonts w:hint="eastAsia"/>
        </w:rPr>
        <w:t>表</w:t>
      </w:r>
      <w:bookmarkEnd w:id="157"/>
      <w:r>
        <w:t xml:space="preserve">4.4-11    </w:t>
      </w:r>
      <w:r>
        <w:rPr>
          <w:rFonts w:hint="eastAsia"/>
        </w:rPr>
        <w:t>交通噪声单车排放源强</w:t>
      </w:r>
      <w:r>
        <w:t xml:space="preserve">   </w:t>
      </w:r>
      <w:r>
        <w:rPr>
          <w:rFonts w:hint="eastAsia"/>
        </w:rPr>
        <w:t>单位：</w:t>
      </w:r>
      <w:r>
        <w:t>dB</w:t>
      </w:r>
      <w:r>
        <w:rPr>
          <w:rFonts w:hint="eastAsia"/>
        </w:rPr>
        <w:t>（</w:t>
      </w:r>
      <w:r>
        <w:t>A</w:t>
      </w:r>
      <w:r>
        <w:rPr>
          <w:rFonts w:hint="eastAsia"/>
        </w:rPr>
        <w:t>）</w:t>
      </w:r>
    </w:p>
    <w:tbl>
      <w:tblPr>
        <w:tblStyle w:val="65"/>
        <w:tblW w:w="859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92"/>
        <w:gridCol w:w="860"/>
        <w:gridCol w:w="850"/>
        <w:gridCol w:w="851"/>
        <w:gridCol w:w="850"/>
        <w:gridCol w:w="851"/>
        <w:gridCol w:w="926"/>
        <w:gridCol w:w="850"/>
        <w:gridCol w:w="851"/>
        <w:gridCol w:w="8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892" w:type="dxa"/>
            <w:vMerge w:val="restart"/>
            <w:tcBorders>
              <w:top w:val="single" w:color="auto" w:sz="12" w:space="0"/>
            </w:tcBorders>
            <w:tcMar>
              <w:top w:w="15" w:type="dxa"/>
              <w:left w:w="15" w:type="dxa"/>
              <w:bottom w:w="0" w:type="dxa"/>
              <w:right w:w="15" w:type="dxa"/>
            </w:tcMar>
            <w:vAlign w:val="center"/>
          </w:tcPr>
          <w:p>
            <w:pPr>
              <w:pStyle w:val="180"/>
              <w:rPr>
                <w:kern w:val="2"/>
                <w:sz w:val="21"/>
                <w:szCs w:val="21"/>
              </w:rPr>
            </w:pPr>
            <w:r>
              <w:rPr>
                <w:rFonts w:hint="eastAsia"/>
                <w:kern w:val="2"/>
                <w:sz w:val="21"/>
                <w:szCs w:val="21"/>
              </w:rPr>
              <w:t>时期</w:t>
            </w:r>
          </w:p>
        </w:tc>
        <w:tc>
          <w:tcPr>
            <w:tcW w:w="2561" w:type="dxa"/>
            <w:gridSpan w:val="3"/>
            <w:tcBorders>
              <w:top w:val="single" w:color="auto" w:sz="12" w:space="0"/>
            </w:tcBorders>
            <w:tcMar>
              <w:top w:w="15" w:type="dxa"/>
              <w:left w:w="15" w:type="dxa"/>
              <w:bottom w:w="0" w:type="dxa"/>
              <w:right w:w="15" w:type="dxa"/>
            </w:tcMar>
            <w:vAlign w:val="center"/>
          </w:tcPr>
          <w:p>
            <w:pPr>
              <w:pStyle w:val="180"/>
              <w:rPr>
                <w:kern w:val="2"/>
                <w:sz w:val="21"/>
                <w:szCs w:val="21"/>
              </w:rPr>
            </w:pPr>
            <w:r>
              <w:rPr>
                <w:kern w:val="2"/>
                <w:sz w:val="21"/>
                <w:szCs w:val="21"/>
              </w:rPr>
              <w:t>2019</w:t>
            </w:r>
            <w:r>
              <w:rPr>
                <w:rFonts w:hint="eastAsia"/>
                <w:kern w:val="2"/>
                <w:sz w:val="21"/>
                <w:szCs w:val="21"/>
              </w:rPr>
              <w:t>年</w:t>
            </w:r>
            <w:r>
              <w:rPr>
                <w:kern w:val="2"/>
                <w:sz w:val="21"/>
                <w:szCs w:val="21"/>
              </w:rPr>
              <w:t>(</w:t>
            </w:r>
            <w:r>
              <w:rPr>
                <w:rFonts w:hint="eastAsia"/>
                <w:kern w:val="2"/>
                <w:sz w:val="21"/>
                <w:szCs w:val="21"/>
              </w:rPr>
              <w:t>近期</w:t>
            </w:r>
            <w:r>
              <w:rPr>
                <w:kern w:val="2"/>
                <w:sz w:val="21"/>
                <w:szCs w:val="21"/>
              </w:rPr>
              <w:t>)</w:t>
            </w:r>
          </w:p>
        </w:tc>
        <w:tc>
          <w:tcPr>
            <w:tcW w:w="2627" w:type="dxa"/>
            <w:gridSpan w:val="3"/>
            <w:tcBorders>
              <w:top w:val="single" w:color="auto" w:sz="12" w:space="0"/>
            </w:tcBorders>
            <w:tcMar>
              <w:top w:w="15" w:type="dxa"/>
              <w:left w:w="15" w:type="dxa"/>
              <w:bottom w:w="0" w:type="dxa"/>
              <w:right w:w="15" w:type="dxa"/>
            </w:tcMar>
            <w:vAlign w:val="center"/>
          </w:tcPr>
          <w:p>
            <w:pPr>
              <w:pStyle w:val="180"/>
              <w:rPr>
                <w:kern w:val="2"/>
                <w:sz w:val="21"/>
                <w:szCs w:val="21"/>
              </w:rPr>
            </w:pPr>
            <w:r>
              <w:rPr>
                <w:kern w:val="2"/>
                <w:sz w:val="21"/>
                <w:szCs w:val="21"/>
              </w:rPr>
              <w:t>2025</w:t>
            </w:r>
            <w:r>
              <w:rPr>
                <w:rFonts w:hint="eastAsia"/>
                <w:kern w:val="2"/>
                <w:sz w:val="21"/>
                <w:szCs w:val="21"/>
              </w:rPr>
              <w:t>年</w:t>
            </w:r>
            <w:r>
              <w:rPr>
                <w:kern w:val="2"/>
                <w:sz w:val="21"/>
                <w:szCs w:val="21"/>
              </w:rPr>
              <w:t>(</w:t>
            </w:r>
            <w:r>
              <w:rPr>
                <w:rFonts w:hint="eastAsia"/>
                <w:kern w:val="2"/>
                <w:sz w:val="21"/>
                <w:szCs w:val="21"/>
              </w:rPr>
              <w:t>中期</w:t>
            </w:r>
            <w:r>
              <w:rPr>
                <w:kern w:val="2"/>
                <w:sz w:val="21"/>
                <w:szCs w:val="21"/>
              </w:rPr>
              <w:t>)</w:t>
            </w:r>
          </w:p>
        </w:tc>
        <w:tc>
          <w:tcPr>
            <w:tcW w:w="2518" w:type="dxa"/>
            <w:gridSpan w:val="3"/>
            <w:tcBorders>
              <w:top w:val="single" w:color="auto" w:sz="12" w:space="0"/>
            </w:tcBorders>
            <w:tcMar>
              <w:top w:w="15" w:type="dxa"/>
              <w:left w:w="15" w:type="dxa"/>
              <w:bottom w:w="0" w:type="dxa"/>
              <w:right w:w="15" w:type="dxa"/>
            </w:tcMar>
            <w:vAlign w:val="center"/>
          </w:tcPr>
          <w:p>
            <w:pPr>
              <w:pStyle w:val="180"/>
              <w:rPr>
                <w:kern w:val="2"/>
                <w:sz w:val="21"/>
                <w:szCs w:val="21"/>
              </w:rPr>
            </w:pPr>
            <w:r>
              <w:rPr>
                <w:kern w:val="2"/>
                <w:sz w:val="21"/>
                <w:szCs w:val="21"/>
              </w:rPr>
              <w:t>2033</w:t>
            </w:r>
            <w:r>
              <w:rPr>
                <w:rFonts w:hint="eastAsia"/>
                <w:kern w:val="2"/>
                <w:sz w:val="21"/>
                <w:szCs w:val="21"/>
              </w:rPr>
              <w:t>年</w:t>
            </w:r>
            <w:r>
              <w:rPr>
                <w:kern w:val="2"/>
                <w:sz w:val="21"/>
                <w:szCs w:val="21"/>
              </w:rPr>
              <w:t>(</w:t>
            </w:r>
            <w:r>
              <w:rPr>
                <w:rFonts w:hint="eastAsia"/>
                <w:kern w:val="2"/>
                <w:sz w:val="21"/>
                <w:szCs w:val="21"/>
              </w:rPr>
              <w:t>远期</w:t>
            </w:r>
            <w:r>
              <w:rPr>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892" w:type="dxa"/>
            <w:vMerge w:val="continue"/>
            <w:tcMar>
              <w:top w:w="15" w:type="dxa"/>
              <w:left w:w="15" w:type="dxa"/>
              <w:bottom w:w="0" w:type="dxa"/>
              <w:right w:w="15" w:type="dxa"/>
            </w:tcMar>
            <w:vAlign w:val="center"/>
          </w:tcPr>
          <w:p>
            <w:pPr>
              <w:pStyle w:val="180"/>
              <w:rPr>
                <w:kern w:val="2"/>
                <w:sz w:val="21"/>
                <w:szCs w:val="21"/>
              </w:rPr>
            </w:pPr>
          </w:p>
        </w:tc>
        <w:tc>
          <w:tcPr>
            <w:tcW w:w="860" w:type="dxa"/>
            <w:tcMar>
              <w:top w:w="15" w:type="dxa"/>
              <w:left w:w="15" w:type="dxa"/>
              <w:bottom w:w="0" w:type="dxa"/>
              <w:right w:w="15" w:type="dxa"/>
            </w:tcMar>
            <w:vAlign w:val="center"/>
          </w:tcPr>
          <w:p>
            <w:pPr>
              <w:pStyle w:val="180"/>
              <w:rPr>
                <w:kern w:val="2"/>
                <w:sz w:val="21"/>
                <w:szCs w:val="21"/>
              </w:rPr>
            </w:pPr>
            <w:r>
              <w:rPr>
                <w:rFonts w:hint="eastAsia"/>
                <w:kern w:val="2"/>
                <w:sz w:val="21"/>
                <w:szCs w:val="21"/>
              </w:rPr>
              <w:t>小车</w:t>
            </w:r>
          </w:p>
        </w:tc>
        <w:tc>
          <w:tcPr>
            <w:tcW w:w="850" w:type="dxa"/>
            <w:tcMar>
              <w:top w:w="15" w:type="dxa"/>
              <w:left w:w="15" w:type="dxa"/>
              <w:bottom w:w="0" w:type="dxa"/>
              <w:right w:w="15" w:type="dxa"/>
            </w:tcMar>
            <w:vAlign w:val="center"/>
          </w:tcPr>
          <w:p>
            <w:pPr>
              <w:pStyle w:val="180"/>
              <w:rPr>
                <w:kern w:val="2"/>
                <w:sz w:val="21"/>
                <w:szCs w:val="21"/>
              </w:rPr>
            </w:pPr>
            <w:r>
              <w:rPr>
                <w:rFonts w:hint="eastAsia"/>
                <w:kern w:val="2"/>
                <w:sz w:val="21"/>
                <w:szCs w:val="21"/>
              </w:rPr>
              <w:t>中车</w:t>
            </w:r>
          </w:p>
        </w:tc>
        <w:tc>
          <w:tcPr>
            <w:tcW w:w="851" w:type="dxa"/>
            <w:tcMar>
              <w:top w:w="15" w:type="dxa"/>
              <w:left w:w="15" w:type="dxa"/>
              <w:bottom w:w="0" w:type="dxa"/>
              <w:right w:w="15" w:type="dxa"/>
            </w:tcMar>
            <w:vAlign w:val="center"/>
          </w:tcPr>
          <w:p>
            <w:pPr>
              <w:pStyle w:val="180"/>
              <w:rPr>
                <w:kern w:val="2"/>
                <w:sz w:val="21"/>
                <w:szCs w:val="21"/>
              </w:rPr>
            </w:pPr>
            <w:r>
              <w:rPr>
                <w:rFonts w:hint="eastAsia"/>
                <w:kern w:val="2"/>
                <w:sz w:val="21"/>
                <w:szCs w:val="21"/>
              </w:rPr>
              <w:t>大车</w:t>
            </w:r>
          </w:p>
        </w:tc>
        <w:tc>
          <w:tcPr>
            <w:tcW w:w="850" w:type="dxa"/>
            <w:tcMar>
              <w:top w:w="15" w:type="dxa"/>
              <w:left w:w="15" w:type="dxa"/>
              <w:bottom w:w="0" w:type="dxa"/>
              <w:right w:w="15" w:type="dxa"/>
            </w:tcMar>
            <w:vAlign w:val="center"/>
          </w:tcPr>
          <w:p>
            <w:pPr>
              <w:pStyle w:val="180"/>
              <w:rPr>
                <w:kern w:val="2"/>
                <w:sz w:val="21"/>
                <w:szCs w:val="21"/>
              </w:rPr>
            </w:pPr>
            <w:r>
              <w:rPr>
                <w:rFonts w:hint="eastAsia"/>
                <w:kern w:val="2"/>
                <w:sz w:val="21"/>
                <w:szCs w:val="21"/>
              </w:rPr>
              <w:t>小车</w:t>
            </w:r>
          </w:p>
        </w:tc>
        <w:tc>
          <w:tcPr>
            <w:tcW w:w="851" w:type="dxa"/>
            <w:tcMar>
              <w:top w:w="15" w:type="dxa"/>
              <w:left w:w="15" w:type="dxa"/>
              <w:bottom w:w="0" w:type="dxa"/>
              <w:right w:w="15" w:type="dxa"/>
            </w:tcMar>
            <w:vAlign w:val="center"/>
          </w:tcPr>
          <w:p>
            <w:pPr>
              <w:pStyle w:val="180"/>
              <w:rPr>
                <w:kern w:val="2"/>
                <w:sz w:val="21"/>
                <w:szCs w:val="21"/>
              </w:rPr>
            </w:pPr>
            <w:r>
              <w:rPr>
                <w:rFonts w:hint="eastAsia"/>
                <w:kern w:val="2"/>
                <w:sz w:val="21"/>
                <w:szCs w:val="21"/>
              </w:rPr>
              <w:t>中车</w:t>
            </w:r>
          </w:p>
        </w:tc>
        <w:tc>
          <w:tcPr>
            <w:tcW w:w="926" w:type="dxa"/>
            <w:tcMar>
              <w:top w:w="15" w:type="dxa"/>
              <w:left w:w="15" w:type="dxa"/>
              <w:bottom w:w="0" w:type="dxa"/>
              <w:right w:w="15" w:type="dxa"/>
            </w:tcMar>
            <w:vAlign w:val="center"/>
          </w:tcPr>
          <w:p>
            <w:pPr>
              <w:pStyle w:val="180"/>
              <w:rPr>
                <w:kern w:val="2"/>
                <w:sz w:val="21"/>
                <w:szCs w:val="21"/>
              </w:rPr>
            </w:pPr>
            <w:r>
              <w:rPr>
                <w:rFonts w:hint="eastAsia"/>
                <w:kern w:val="2"/>
                <w:sz w:val="21"/>
                <w:szCs w:val="21"/>
              </w:rPr>
              <w:t>大车</w:t>
            </w:r>
          </w:p>
        </w:tc>
        <w:tc>
          <w:tcPr>
            <w:tcW w:w="850" w:type="dxa"/>
            <w:tcMar>
              <w:top w:w="15" w:type="dxa"/>
              <w:left w:w="15" w:type="dxa"/>
              <w:bottom w:w="0" w:type="dxa"/>
              <w:right w:w="15" w:type="dxa"/>
            </w:tcMar>
            <w:vAlign w:val="center"/>
          </w:tcPr>
          <w:p>
            <w:pPr>
              <w:pStyle w:val="180"/>
              <w:rPr>
                <w:kern w:val="2"/>
                <w:sz w:val="21"/>
                <w:szCs w:val="21"/>
              </w:rPr>
            </w:pPr>
            <w:r>
              <w:rPr>
                <w:rFonts w:hint="eastAsia"/>
                <w:kern w:val="2"/>
                <w:sz w:val="21"/>
                <w:szCs w:val="21"/>
              </w:rPr>
              <w:t>小车</w:t>
            </w:r>
          </w:p>
        </w:tc>
        <w:tc>
          <w:tcPr>
            <w:tcW w:w="851" w:type="dxa"/>
            <w:tcMar>
              <w:top w:w="15" w:type="dxa"/>
              <w:left w:w="15" w:type="dxa"/>
              <w:bottom w:w="0" w:type="dxa"/>
              <w:right w:w="15" w:type="dxa"/>
            </w:tcMar>
            <w:vAlign w:val="center"/>
          </w:tcPr>
          <w:p>
            <w:pPr>
              <w:pStyle w:val="180"/>
              <w:rPr>
                <w:kern w:val="2"/>
                <w:sz w:val="21"/>
                <w:szCs w:val="21"/>
              </w:rPr>
            </w:pPr>
            <w:r>
              <w:rPr>
                <w:rFonts w:hint="eastAsia"/>
                <w:kern w:val="2"/>
                <w:sz w:val="21"/>
                <w:szCs w:val="21"/>
              </w:rPr>
              <w:t>中车</w:t>
            </w:r>
          </w:p>
        </w:tc>
        <w:tc>
          <w:tcPr>
            <w:tcW w:w="817" w:type="dxa"/>
            <w:tcMar>
              <w:top w:w="15" w:type="dxa"/>
              <w:left w:w="15" w:type="dxa"/>
              <w:bottom w:w="0" w:type="dxa"/>
              <w:right w:w="15" w:type="dxa"/>
            </w:tcMar>
            <w:vAlign w:val="center"/>
          </w:tcPr>
          <w:p>
            <w:pPr>
              <w:pStyle w:val="180"/>
              <w:rPr>
                <w:kern w:val="2"/>
                <w:sz w:val="21"/>
                <w:szCs w:val="21"/>
              </w:rPr>
            </w:pPr>
            <w:r>
              <w:rPr>
                <w:rFonts w:hint="eastAsia"/>
                <w:kern w:val="2"/>
                <w:sz w:val="21"/>
                <w:szCs w:val="21"/>
              </w:rPr>
              <w:t>大车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892" w:type="dxa"/>
            <w:tcMar>
              <w:top w:w="15" w:type="dxa"/>
              <w:left w:w="15" w:type="dxa"/>
              <w:bottom w:w="0" w:type="dxa"/>
              <w:right w:w="15" w:type="dxa"/>
            </w:tcMar>
            <w:vAlign w:val="center"/>
          </w:tcPr>
          <w:p>
            <w:pPr>
              <w:pStyle w:val="180"/>
              <w:rPr>
                <w:kern w:val="2"/>
                <w:sz w:val="21"/>
                <w:szCs w:val="21"/>
              </w:rPr>
            </w:pPr>
            <w:r>
              <w:rPr>
                <w:rFonts w:hint="eastAsia"/>
                <w:kern w:val="2"/>
                <w:sz w:val="21"/>
                <w:szCs w:val="21"/>
              </w:rPr>
              <w:t>昼间</w:t>
            </w:r>
          </w:p>
        </w:tc>
        <w:tc>
          <w:tcPr>
            <w:tcW w:w="860" w:type="dxa"/>
            <w:tcMar>
              <w:top w:w="15" w:type="dxa"/>
              <w:left w:w="15" w:type="dxa"/>
              <w:bottom w:w="0" w:type="dxa"/>
              <w:right w:w="15" w:type="dxa"/>
            </w:tcMar>
            <w:vAlign w:val="center"/>
          </w:tcPr>
          <w:p>
            <w:pPr>
              <w:widowControl/>
              <w:jc w:val="center"/>
              <w:rPr>
                <w:kern w:val="0"/>
                <w:sz w:val="22"/>
                <w:szCs w:val="22"/>
              </w:rPr>
            </w:pPr>
            <w:r>
              <w:rPr>
                <w:sz w:val="22"/>
                <w:szCs w:val="22"/>
              </w:rPr>
              <w:t>71.0</w:t>
            </w:r>
          </w:p>
        </w:tc>
        <w:tc>
          <w:tcPr>
            <w:tcW w:w="850" w:type="dxa"/>
            <w:tcMar>
              <w:top w:w="15" w:type="dxa"/>
              <w:left w:w="15" w:type="dxa"/>
              <w:bottom w:w="0" w:type="dxa"/>
              <w:right w:w="15" w:type="dxa"/>
            </w:tcMar>
            <w:vAlign w:val="center"/>
          </w:tcPr>
          <w:p>
            <w:pPr>
              <w:jc w:val="center"/>
              <w:rPr>
                <w:sz w:val="22"/>
                <w:szCs w:val="22"/>
              </w:rPr>
            </w:pPr>
            <w:r>
              <w:rPr>
                <w:sz w:val="22"/>
                <w:szCs w:val="22"/>
              </w:rPr>
              <w:t>72.0</w:t>
            </w:r>
          </w:p>
        </w:tc>
        <w:tc>
          <w:tcPr>
            <w:tcW w:w="851" w:type="dxa"/>
            <w:tcMar>
              <w:top w:w="15" w:type="dxa"/>
              <w:left w:w="15" w:type="dxa"/>
              <w:bottom w:w="0" w:type="dxa"/>
              <w:right w:w="15" w:type="dxa"/>
            </w:tcMar>
            <w:vAlign w:val="center"/>
          </w:tcPr>
          <w:p>
            <w:pPr>
              <w:jc w:val="center"/>
              <w:rPr>
                <w:sz w:val="22"/>
                <w:szCs w:val="22"/>
              </w:rPr>
            </w:pPr>
            <w:r>
              <w:rPr>
                <w:sz w:val="22"/>
                <w:szCs w:val="22"/>
              </w:rPr>
              <w:t>78.7</w:t>
            </w:r>
          </w:p>
        </w:tc>
        <w:tc>
          <w:tcPr>
            <w:tcW w:w="850" w:type="dxa"/>
            <w:tcMar>
              <w:top w:w="15" w:type="dxa"/>
              <w:left w:w="15" w:type="dxa"/>
              <w:bottom w:w="0" w:type="dxa"/>
              <w:right w:w="15" w:type="dxa"/>
            </w:tcMar>
            <w:vAlign w:val="center"/>
          </w:tcPr>
          <w:p>
            <w:pPr>
              <w:widowControl/>
              <w:jc w:val="center"/>
              <w:rPr>
                <w:kern w:val="0"/>
                <w:sz w:val="22"/>
                <w:szCs w:val="22"/>
              </w:rPr>
            </w:pPr>
            <w:r>
              <w:rPr>
                <w:sz w:val="22"/>
                <w:szCs w:val="22"/>
              </w:rPr>
              <w:t>70.9</w:t>
            </w:r>
          </w:p>
        </w:tc>
        <w:tc>
          <w:tcPr>
            <w:tcW w:w="851" w:type="dxa"/>
            <w:tcMar>
              <w:top w:w="15" w:type="dxa"/>
              <w:left w:w="15" w:type="dxa"/>
              <w:bottom w:w="0" w:type="dxa"/>
              <w:right w:w="15" w:type="dxa"/>
            </w:tcMar>
            <w:vAlign w:val="center"/>
          </w:tcPr>
          <w:p>
            <w:pPr>
              <w:jc w:val="center"/>
              <w:rPr>
                <w:sz w:val="22"/>
                <w:szCs w:val="22"/>
              </w:rPr>
            </w:pPr>
            <w:r>
              <w:rPr>
                <w:sz w:val="22"/>
                <w:szCs w:val="22"/>
              </w:rPr>
              <w:t>71.9</w:t>
            </w:r>
          </w:p>
        </w:tc>
        <w:tc>
          <w:tcPr>
            <w:tcW w:w="926" w:type="dxa"/>
            <w:tcMar>
              <w:top w:w="15" w:type="dxa"/>
              <w:left w:w="15" w:type="dxa"/>
              <w:bottom w:w="0" w:type="dxa"/>
              <w:right w:w="15" w:type="dxa"/>
            </w:tcMar>
            <w:vAlign w:val="center"/>
          </w:tcPr>
          <w:p>
            <w:pPr>
              <w:jc w:val="center"/>
              <w:rPr>
                <w:sz w:val="22"/>
                <w:szCs w:val="22"/>
              </w:rPr>
            </w:pPr>
            <w:r>
              <w:rPr>
                <w:sz w:val="22"/>
                <w:szCs w:val="22"/>
              </w:rPr>
              <w:t>78.6</w:t>
            </w:r>
          </w:p>
        </w:tc>
        <w:tc>
          <w:tcPr>
            <w:tcW w:w="850" w:type="dxa"/>
            <w:tcMar>
              <w:top w:w="15" w:type="dxa"/>
              <w:left w:w="15" w:type="dxa"/>
              <w:bottom w:w="0" w:type="dxa"/>
              <w:right w:w="15" w:type="dxa"/>
            </w:tcMar>
            <w:vAlign w:val="center"/>
          </w:tcPr>
          <w:p>
            <w:pPr>
              <w:widowControl/>
              <w:jc w:val="center"/>
              <w:rPr>
                <w:kern w:val="0"/>
                <w:sz w:val="22"/>
                <w:szCs w:val="22"/>
              </w:rPr>
            </w:pPr>
            <w:r>
              <w:rPr>
                <w:sz w:val="22"/>
                <w:szCs w:val="22"/>
              </w:rPr>
              <w:t>71.6</w:t>
            </w:r>
          </w:p>
        </w:tc>
        <w:tc>
          <w:tcPr>
            <w:tcW w:w="851" w:type="dxa"/>
            <w:tcMar>
              <w:top w:w="15" w:type="dxa"/>
              <w:left w:w="15" w:type="dxa"/>
              <w:bottom w:w="0" w:type="dxa"/>
              <w:right w:w="15" w:type="dxa"/>
            </w:tcMar>
            <w:vAlign w:val="center"/>
          </w:tcPr>
          <w:p>
            <w:pPr>
              <w:jc w:val="center"/>
              <w:rPr>
                <w:sz w:val="22"/>
                <w:szCs w:val="22"/>
              </w:rPr>
            </w:pPr>
            <w:r>
              <w:rPr>
                <w:sz w:val="22"/>
                <w:szCs w:val="22"/>
              </w:rPr>
              <w:t>71.8</w:t>
            </w:r>
          </w:p>
        </w:tc>
        <w:tc>
          <w:tcPr>
            <w:tcW w:w="817" w:type="dxa"/>
            <w:tcMar>
              <w:top w:w="15" w:type="dxa"/>
              <w:left w:w="15" w:type="dxa"/>
              <w:bottom w:w="0" w:type="dxa"/>
              <w:right w:w="15" w:type="dxa"/>
            </w:tcMar>
            <w:vAlign w:val="center"/>
          </w:tcPr>
          <w:p>
            <w:pPr>
              <w:jc w:val="center"/>
              <w:rPr>
                <w:sz w:val="22"/>
                <w:szCs w:val="22"/>
              </w:rPr>
            </w:pPr>
            <w:r>
              <w:rPr>
                <w:sz w:val="22"/>
                <w:szCs w:val="22"/>
              </w:rPr>
              <w:t>78.6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85" w:hRule="atLeast"/>
          <w:jc w:val="center"/>
        </w:trPr>
        <w:tc>
          <w:tcPr>
            <w:tcW w:w="892" w:type="dxa"/>
            <w:tcBorders>
              <w:bottom w:val="single" w:color="auto" w:sz="12" w:space="0"/>
            </w:tcBorders>
            <w:tcMar>
              <w:top w:w="15" w:type="dxa"/>
              <w:left w:w="15" w:type="dxa"/>
              <w:bottom w:w="0" w:type="dxa"/>
              <w:right w:w="15" w:type="dxa"/>
            </w:tcMar>
            <w:vAlign w:val="center"/>
          </w:tcPr>
          <w:p>
            <w:pPr>
              <w:pStyle w:val="180"/>
              <w:rPr>
                <w:kern w:val="2"/>
                <w:sz w:val="21"/>
                <w:szCs w:val="21"/>
              </w:rPr>
            </w:pPr>
            <w:r>
              <w:rPr>
                <w:rFonts w:hint="eastAsia"/>
                <w:kern w:val="2"/>
                <w:sz w:val="21"/>
                <w:szCs w:val="21"/>
              </w:rPr>
              <w:t>夜间</w:t>
            </w:r>
          </w:p>
        </w:tc>
        <w:tc>
          <w:tcPr>
            <w:tcW w:w="860" w:type="dxa"/>
            <w:tcBorders>
              <w:bottom w:val="single" w:color="auto" w:sz="12" w:space="0"/>
            </w:tcBorders>
            <w:tcMar>
              <w:top w:w="15" w:type="dxa"/>
              <w:left w:w="15" w:type="dxa"/>
              <w:bottom w:w="0" w:type="dxa"/>
              <w:right w:w="15" w:type="dxa"/>
            </w:tcMar>
            <w:vAlign w:val="center"/>
          </w:tcPr>
          <w:p>
            <w:pPr>
              <w:jc w:val="center"/>
              <w:rPr>
                <w:sz w:val="22"/>
                <w:szCs w:val="22"/>
              </w:rPr>
            </w:pPr>
            <w:r>
              <w:rPr>
                <w:sz w:val="22"/>
                <w:szCs w:val="22"/>
              </w:rPr>
              <w:t>71.7</w:t>
            </w:r>
          </w:p>
        </w:tc>
        <w:tc>
          <w:tcPr>
            <w:tcW w:w="850" w:type="dxa"/>
            <w:tcBorders>
              <w:bottom w:val="single" w:color="auto" w:sz="12" w:space="0"/>
            </w:tcBorders>
            <w:tcMar>
              <w:top w:w="15" w:type="dxa"/>
              <w:left w:w="15" w:type="dxa"/>
              <w:bottom w:w="0" w:type="dxa"/>
              <w:right w:w="15" w:type="dxa"/>
            </w:tcMar>
            <w:vAlign w:val="center"/>
          </w:tcPr>
          <w:p>
            <w:pPr>
              <w:jc w:val="center"/>
              <w:rPr>
                <w:sz w:val="22"/>
                <w:szCs w:val="22"/>
              </w:rPr>
            </w:pPr>
            <w:r>
              <w:rPr>
                <w:sz w:val="22"/>
                <w:szCs w:val="22"/>
              </w:rPr>
              <w:t>72.2</w:t>
            </w:r>
          </w:p>
        </w:tc>
        <w:tc>
          <w:tcPr>
            <w:tcW w:w="851" w:type="dxa"/>
            <w:tcBorders>
              <w:bottom w:val="single" w:color="auto" w:sz="12" w:space="0"/>
            </w:tcBorders>
            <w:tcMar>
              <w:top w:w="15" w:type="dxa"/>
              <w:left w:w="15" w:type="dxa"/>
              <w:bottom w:w="0" w:type="dxa"/>
              <w:right w:w="15" w:type="dxa"/>
            </w:tcMar>
            <w:vAlign w:val="center"/>
          </w:tcPr>
          <w:p>
            <w:pPr>
              <w:jc w:val="center"/>
              <w:rPr>
                <w:sz w:val="22"/>
                <w:szCs w:val="22"/>
              </w:rPr>
            </w:pPr>
            <w:r>
              <w:rPr>
                <w:sz w:val="22"/>
                <w:szCs w:val="22"/>
              </w:rPr>
              <w:t>78.8</w:t>
            </w:r>
          </w:p>
        </w:tc>
        <w:tc>
          <w:tcPr>
            <w:tcW w:w="850" w:type="dxa"/>
            <w:tcBorders>
              <w:bottom w:val="single" w:color="auto" w:sz="12" w:space="0"/>
            </w:tcBorders>
            <w:tcMar>
              <w:top w:w="15" w:type="dxa"/>
              <w:left w:w="15" w:type="dxa"/>
              <w:bottom w:w="0" w:type="dxa"/>
              <w:right w:w="15" w:type="dxa"/>
            </w:tcMar>
            <w:vAlign w:val="center"/>
          </w:tcPr>
          <w:p>
            <w:pPr>
              <w:jc w:val="center"/>
              <w:rPr>
                <w:sz w:val="22"/>
                <w:szCs w:val="22"/>
              </w:rPr>
            </w:pPr>
            <w:r>
              <w:rPr>
                <w:sz w:val="22"/>
                <w:szCs w:val="22"/>
              </w:rPr>
              <w:t>71.7</w:t>
            </w:r>
          </w:p>
        </w:tc>
        <w:tc>
          <w:tcPr>
            <w:tcW w:w="851" w:type="dxa"/>
            <w:tcBorders>
              <w:bottom w:val="single" w:color="auto" w:sz="12" w:space="0"/>
            </w:tcBorders>
            <w:tcMar>
              <w:top w:w="15" w:type="dxa"/>
              <w:left w:w="15" w:type="dxa"/>
              <w:bottom w:w="0" w:type="dxa"/>
              <w:right w:w="15" w:type="dxa"/>
            </w:tcMar>
            <w:vAlign w:val="center"/>
          </w:tcPr>
          <w:p>
            <w:pPr>
              <w:jc w:val="center"/>
              <w:rPr>
                <w:sz w:val="22"/>
                <w:szCs w:val="22"/>
              </w:rPr>
            </w:pPr>
            <w:r>
              <w:rPr>
                <w:sz w:val="22"/>
                <w:szCs w:val="22"/>
              </w:rPr>
              <w:t>72.2</w:t>
            </w:r>
          </w:p>
        </w:tc>
        <w:tc>
          <w:tcPr>
            <w:tcW w:w="926" w:type="dxa"/>
            <w:tcBorders>
              <w:bottom w:val="single" w:color="auto" w:sz="12" w:space="0"/>
            </w:tcBorders>
            <w:tcMar>
              <w:top w:w="15" w:type="dxa"/>
              <w:left w:w="15" w:type="dxa"/>
              <w:bottom w:w="0" w:type="dxa"/>
              <w:right w:w="15" w:type="dxa"/>
            </w:tcMar>
            <w:vAlign w:val="center"/>
          </w:tcPr>
          <w:p>
            <w:pPr>
              <w:jc w:val="center"/>
              <w:rPr>
                <w:sz w:val="22"/>
                <w:szCs w:val="22"/>
              </w:rPr>
            </w:pPr>
            <w:r>
              <w:rPr>
                <w:sz w:val="22"/>
                <w:szCs w:val="22"/>
              </w:rPr>
              <w:t>78.9</w:t>
            </w:r>
          </w:p>
        </w:tc>
        <w:tc>
          <w:tcPr>
            <w:tcW w:w="850" w:type="dxa"/>
            <w:tcBorders>
              <w:bottom w:val="single" w:color="auto" w:sz="12" w:space="0"/>
            </w:tcBorders>
            <w:tcMar>
              <w:top w:w="15" w:type="dxa"/>
              <w:left w:w="15" w:type="dxa"/>
              <w:bottom w:w="0" w:type="dxa"/>
              <w:right w:w="15" w:type="dxa"/>
            </w:tcMar>
            <w:vAlign w:val="center"/>
          </w:tcPr>
          <w:p>
            <w:pPr>
              <w:jc w:val="center"/>
              <w:rPr>
                <w:sz w:val="22"/>
                <w:szCs w:val="22"/>
              </w:rPr>
            </w:pPr>
            <w:r>
              <w:rPr>
                <w:sz w:val="22"/>
                <w:szCs w:val="22"/>
              </w:rPr>
              <w:t>71.8</w:t>
            </w:r>
          </w:p>
        </w:tc>
        <w:tc>
          <w:tcPr>
            <w:tcW w:w="851" w:type="dxa"/>
            <w:tcBorders>
              <w:bottom w:val="single" w:color="auto" w:sz="12" w:space="0"/>
            </w:tcBorders>
            <w:tcMar>
              <w:top w:w="15" w:type="dxa"/>
              <w:left w:w="15" w:type="dxa"/>
              <w:bottom w:w="0" w:type="dxa"/>
              <w:right w:w="15" w:type="dxa"/>
            </w:tcMar>
            <w:vAlign w:val="center"/>
          </w:tcPr>
          <w:p>
            <w:pPr>
              <w:jc w:val="center"/>
              <w:rPr>
                <w:sz w:val="22"/>
                <w:szCs w:val="22"/>
              </w:rPr>
            </w:pPr>
            <w:r>
              <w:rPr>
                <w:sz w:val="22"/>
                <w:szCs w:val="22"/>
              </w:rPr>
              <w:t>72.2</w:t>
            </w:r>
          </w:p>
        </w:tc>
        <w:tc>
          <w:tcPr>
            <w:tcW w:w="817" w:type="dxa"/>
            <w:tcBorders>
              <w:bottom w:val="single" w:color="auto" w:sz="12" w:space="0"/>
            </w:tcBorders>
            <w:tcMar>
              <w:top w:w="15" w:type="dxa"/>
              <w:left w:w="15" w:type="dxa"/>
              <w:bottom w:w="0" w:type="dxa"/>
              <w:right w:w="15" w:type="dxa"/>
            </w:tcMar>
            <w:vAlign w:val="center"/>
          </w:tcPr>
          <w:p>
            <w:pPr>
              <w:jc w:val="center"/>
              <w:rPr>
                <w:sz w:val="22"/>
                <w:szCs w:val="22"/>
              </w:rPr>
            </w:pPr>
            <w:r>
              <w:rPr>
                <w:sz w:val="22"/>
                <w:szCs w:val="22"/>
              </w:rPr>
              <w:t>78.9</w:t>
            </w:r>
          </w:p>
        </w:tc>
      </w:tr>
    </w:tbl>
    <w:p>
      <w:pPr>
        <w:pStyle w:val="5"/>
        <w:ind w:left="567" w:hanging="567"/>
      </w:pPr>
      <w:r>
        <w:rPr>
          <w:rFonts w:hint="eastAsia"/>
        </w:rPr>
        <w:t>固体废物</w:t>
      </w:r>
    </w:p>
    <w:p>
      <w:pPr>
        <w:pStyle w:val="6"/>
        <w:widowControl/>
        <w:ind w:left="567" w:hanging="567"/>
        <w:jc w:val="left"/>
      </w:pPr>
      <w:r>
        <w:rPr>
          <w:rFonts w:hint="eastAsia"/>
        </w:rPr>
        <w:t>施工期</w:t>
      </w:r>
    </w:p>
    <w:p>
      <w:pPr>
        <w:spacing w:line="360" w:lineRule="auto"/>
        <w:ind w:firstLine="31680" w:firstLineChars="200"/>
        <w:rPr>
          <w:sz w:val="24"/>
          <w:szCs w:val="24"/>
        </w:rPr>
      </w:pPr>
      <w:r>
        <w:rPr>
          <w:rFonts w:hint="eastAsia"/>
          <w:sz w:val="24"/>
          <w:szCs w:val="24"/>
        </w:rPr>
        <w:t>施工期固体废物主要包括建筑垃圾、施工人员生活垃圾及土石方弃渣，其中建筑垃圾主要来源于沿线房屋拆迁。</w:t>
      </w:r>
    </w:p>
    <w:p>
      <w:pPr>
        <w:spacing w:line="360" w:lineRule="auto"/>
        <w:ind w:firstLine="31680" w:firstLineChars="200"/>
        <w:rPr>
          <w:sz w:val="24"/>
          <w:szCs w:val="24"/>
        </w:rPr>
      </w:pPr>
      <w:r>
        <w:rPr>
          <w:sz w:val="24"/>
          <w:szCs w:val="24"/>
        </w:rPr>
        <w:t>a</w:t>
      </w:r>
      <w:r>
        <w:rPr>
          <w:rFonts w:hint="eastAsia"/>
          <w:sz w:val="24"/>
          <w:szCs w:val="24"/>
        </w:rPr>
        <w:t>）拆迁建筑垃圾</w:t>
      </w:r>
    </w:p>
    <w:p>
      <w:pPr>
        <w:spacing w:line="360" w:lineRule="auto"/>
        <w:ind w:firstLine="31680" w:firstLineChars="200"/>
        <w:rPr>
          <w:sz w:val="24"/>
          <w:szCs w:val="24"/>
        </w:rPr>
      </w:pPr>
      <w:r>
        <w:rPr>
          <w:rFonts w:hint="eastAsia"/>
          <w:sz w:val="24"/>
          <w:szCs w:val="24"/>
        </w:rPr>
        <w:t>工程需拆迁建筑物约</w:t>
      </w:r>
      <w:r>
        <w:rPr>
          <w:sz w:val="24"/>
          <w:szCs w:val="24"/>
        </w:rPr>
        <w:t>6124m</w:t>
      </w:r>
      <w:r>
        <w:rPr>
          <w:sz w:val="24"/>
          <w:szCs w:val="24"/>
          <w:vertAlign w:val="superscript"/>
        </w:rPr>
        <w:t>2</w:t>
      </w:r>
      <w:r>
        <w:rPr>
          <w:rFonts w:hint="eastAsia"/>
          <w:sz w:val="24"/>
          <w:szCs w:val="24"/>
        </w:rPr>
        <w:t>，根据拆迁工程类比调查，在回收大部分有用的建筑材料（如砖、钢筋、木材等）后，产生的建筑垃圾量约为</w:t>
      </w:r>
      <w:r>
        <w:rPr>
          <w:sz w:val="24"/>
          <w:szCs w:val="24"/>
        </w:rPr>
        <w:t>0.1m</w:t>
      </w:r>
      <w:r>
        <w:rPr>
          <w:sz w:val="24"/>
          <w:szCs w:val="24"/>
          <w:vertAlign w:val="superscript"/>
        </w:rPr>
        <w:t>3</w:t>
      </w:r>
      <w:r>
        <w:rPr>
          <w:sz w:val="24"/>
          <w:szCs w:val="24"/>
        </w:rPr>
        <w:t>/ m</w:t>
      </w:r>
      <w:r>
        <w:rPr>
          <w:sz w:val="24"/>
          <w:szCs w:val="24"/>
          <w:vertAlign w:val="superscript"/>
        </w:rPr>
        <w:t>2</w:t>
      </w:r>
      <w:r>
        <w:rPr>
          <w:rFonts w:hint="eastAsia"/>
          <w:sz w:val="24"/>
          <w:szCs w:val="24"/>
        </w:rPr>
        <w:t>（松方），则房屋拆迁将产生建筑垃圾</w:t>
      </w:r>
      <w:r>
        <w:rPr>
          <w:sz w:val="24"/>
          <w:szCs w:val="24"/>
        </w:rPr>
        <w:t>612.4m</w:t>
      </w:r>
      <w:r>
        <w:rPr>
          <w:sz w:val="24"/>
          <w:szCs w:val="24"/>
          <w:vertAlign w:val="superscript"/>
        </w:rPr>
        <w:t>3</w:t>
      </w:r>
      <w:r>
        <w:rPr>
          <w:rFonts w:hint="eastAsia"/>
          <w:sz w:val="24"/>
          <w:szCs w:val="24"/>
        </w:rPr>
        <w:t>，建筑垃圾进入弃渣场。</w:t>
      </w:r>
    </w:p>
    <w:p>
      <w:pPr>
        <w:spacing w:line="360" w:lineRule="auto"/>
        <w:ind w:firstLine="31680" w:firstLineChars="200"/>
        <w:rPr>
          <w:sz w:val="24"/>
          <w:szCs w:val="24"/>
        </w:rPr>
      </w:pPr>
      <w:r>
        <w:rPr>
          <w:sz w:val="24"/>
          <w:szCs w:val="24"/>
        </w:rPr>
        <w:t>b</w:t>
      </w:r>
      <w:r>
        <w:rPr>
          <w:rFonts w:hint="eastAsia"/>
          <w:sz w:val="24"/>
          <w:szCs w:val="24"/>
        </w:rPr>
        <w:t>）施工人员生活垃圾</w:t>
      </w:r>
    </w:p>
    <w:p>
      <w:pPr>
        <w:spacing w:line="360" w:lineRule="auto"/>
        <w:ind w:firstLine="31680" w:firstLineChars="200"/>
        <w:rPr>
          <w:sz w:val="24"/>
          <w:szCs w:val="24"/>
        </w:rPr>
      </w:pPr>
      <w:r>
        <w:rPr>
          <w:rFonts w:hint="eastAsia"/>
          <w:sz w:val="24"/>
          <w:szCs w:val="24"/>
        </w:rPr>
        <w:t>按施工人员生活垃圾</w:t>
      </w:r>
      <w:r>
        <w:rPr>
          <w:sz w:val="24"/>
          <w:szCs w:val="24"/>
        </w:rPr>
        <w:t>0.5kg/</w:t>
      </w:r>
      <w:r>
        <w:rPr>
          <w:rFonts w:hint="eastAsia"/>
          <w:sz w:val="24"/>
          <w:szCs w:val="24"/>
        </w:rPr>
        <w:t>人</w:t>
      </w:r>
      <w:r>
        <w:rPr>
          <w:sz w:val="24"/>
          <w:szCs w:val="24"/>
        </w:rPr>
        <w:t>·d</w:t>
      </w:r>
      <w:r>
        <w:rPr>
          <w:rFonts w:hint="eastAsia"/>
          <w:sz w:val="24"/>
          <w:szCs w:val="24"/>
        </w:rPr>
        <w:t>计算，每个施工生产生活区施工人员以</w:t>
      </w:r>
      <w:r>
        <w:rPr>
          <w:sz w:val="24"/>
          <w:szCs w:val="24"/>
        </w:rPr>
        <w:t>40</w:t>
      </w:r>
      <w:r>
        <w:rPr>
          <w:rFonts w:hint="eastAsia"/>
          <w:sz w:val="24"/>
          <w:szCs w:val="24"/>
        </w:rPr>
        <w:t>人计，则每个施工生产生活区日排放量约为</w:t>
      </w:r>
      <w:r>
        <w:rPr>
          <w:sz w:val="24"/>
          <w:szCs w:val="24"/>
        </w:rPr>
        <w:t>0.02t/d</w:t>
      </w:r>
      <w:r>
        <w:rPr>
          <w:rFonts w:hint="eastAsia"/>
          <w:sz w:val="24"/>
          <w:szCs w:val="24"/>
        </w:rPr>
        <w:t>，每个施工生产生活区施工期生活垃圾产生总量约为</w:t>
      </w:r>
      <w:r>
        <w:rPr>
          <w:sz w:val="24"/>
          <w:szCs w:val="24"/>
        </w:rPr>
        <w:t>10.8t</w:t>
      </w:r>
      <w:r>
        <w:rPr>
          <w:rFonts w:hint="eastAsia"/>
          <w:sz w:val="24"/>
          <w:szCs w:val="24"/>
        </w:rPr>
        <w:t>（施工期为</w:t>
      </w:r>
      <w:r>
        <w:rPr>
          <w:sz w:val="24"/>
          <w:szCs w:val="24"/>
        </w:rPr>
        <w:t>18</w:t>
      </w:r>
      <w:r>
        <w:rPr>
          <w:rFonts w:hint="eastAsia"/>
          <w:sz w:val="24"/>
          <w:szCs w:val="24"/>
        </w:rPr>
        <w:t>个月）。</w:t>
      </w:r>
    </w:p>
    <w:p>
      <w:pPr>
        <w:spacing w:line="360" w:lineRule="auto"/>
        <w:ind w:firstLine="31680" w:firstLineChars="200"/>
        <w:rPr>
          <w:sz w:val="24"/>
          <w:szCs w:val="24"/>
        </w:rPr>
      </w:pPr>
      <w:r>
        <w:rPr>
          <w:sz w:val="24"/>
          <w:szCs w:val="24"/>
        </w:rPr>
        <w:t>c</w:t>
      </w:r>
      <w:r>
        <w:rPr>
          <w:rFonts w:hint="eastAsia"/>
          <w:sz w:val="24"/>
          <w:szCs w:val="24"/>
        </w:rPr>
        <w:t>）土石方弃渣</w:t>
      </w:r>
    </w:p>
    <w:p>
      <w:pPr>
        <w:spacing w:line="360" w:lineRule="auto"/>
        <w:ind w:firstLine="31680" w:firstLineChars="200"/>
        <w:rPr>
          <w:sz w:val="24"/>
          <w:szCs w:val="24"/>
        </w:rPr>
      </w:pPr>
      <w:r>
        <w:rPr>
          <w:rFonts w:hint="eastAsia"/>
          <w:sz w:val="24"/>
          <w:szCs w:val="24"/>
        </w:rPr>
        <w:t>水保报告根据土石方平衡情况，本项目共产生弃渣量为</w:t>
      </w:r>
      <w:r>
        <w:rPr>
          <w:sz w:val="24"/>
          <w:szCs w:val="24"/>
        </w:rPr>
        <w:t>29585m</w:t>
      </w:r>
      <w:r>
        <w:rPr>
          <w:sz w:val="24"/>
          <w:szCs w:val="24"/>
          <w:vertAlign w:val="superscript"/>
        </w:rPr>
        <w:t>3</w:t>
      </w:r>
      <w:r>
        <w:rPr>
          <w:rFonts w:hint="eastAsia"/>
          <w:sz w:val="24"/>
          <w:szCs w:val="24"/>
        </w:rPr>
        <w:t>，主要为场地基清理、桥梁桥墩施工弃渣、各路段开挖产生的不可利用渣土。</w:t>
      </w:r>
    </w:p>
    <w:p>
      <w:pPr>
        <w:pStyle w:val="6"/>
        <w:widowControl/>
        <w:ind w:left="567" w:hanging="567"/>
        <w:jc w:val="left"/>
      </w:pPr>
      <w:r>
        <w:rPr>
          <w:rFonts w:hint="eastAsia"/>
        </w:rPr>
        <w:t>营运期</w:t>
      </w:r>
    </w:p>
    <w:p>
      <w:pPr>
        <w:spacing w:line="360" w:lineRule="auto"/>
        <w:ind w:firstLine="31680" w:firstLineChars="200"/>
        <w:rPr>
          <w:sz w:val="24"/>
        </w:rPr>
      </w:pPr>
      <w:r>
        <w:rPr>
          <w:rFonts w:hint="eastAsia"/>
          <w:sz w:val="24"/>
          <w:szCs w:val="24"/>
        </w:rPr>
        <w:t>本项目沿线营运期基本没有固体废物产生。</w:t>
      </w:r>
      <w:r>
        <w:rPr>
          <w:rFonts w:hint="eastAsia"/>
          <w:sz w:val="24"/>
        </w:rPr>
        <w:t>但在营运的过程中，若司乘人员不注意公德，可能会导致沿线有部分交通垃圾（如纸屑、果皮、塑料用具等废弃物）产生，这将对工程沿线环境卫生产生不利影响。</w:t>
      </w:r>
    </w:p>
    <w:p>
      <w:pPr>
        <w:pStyle w:val="5"/>
        <w:ind w:left="567" w:hanging="567"/>
      </w:pPr>
      <w:r>
        <w:rPr>
          <w:rFonts w:hint="eastAsia"/>
        </w:rPr>
        <w:t>生态影响</w:t>
      </w:r>
    </w:p>
    <w:p>
      <w:pPr>
        <w:pStyle w:val="6"/>
        <w:ind w:left="567" w:hanging="567"/>
      </w:pPr>
      <w:r>
        <w:rPr>
          <w:rFonts w:hint="eastAsia"/>
        </w:rPr>
        <w:t>施工期</w:t>
      </w:r>
    </w:p>
    <w:p>
      <w:pPr>
        <w:pStyle w:val="3"/>
        <w:ind w:firstLine="31680"/>
      </w:pPr>
      <w:r>
        <w:rPr>
          <w:rFonts w:hint="eastAsia"/>
        </w:rPr>
        <w:t>项目施工占用耕地、林地等土地，损毁植被，将对沿线动植物和生态环境产生一定影响，并且地面裸露将造成水土流失。</w:t>
      </w:r>
    </w:p>
    <w:p>
      <w:pPr>
        <w:pStyle w:val="6"/>
        <w:ind w:left="567" w:hanging="567"/>
      </w:pPr>
      <w:r>
        <w:rPr>
          <w:rFonts w:hint="eastAsia"/>
        </w:rPr>
        <w:t>营运期</w:t>
      </w:r>
    </w:p>
    <w:p>
      <w:pPr>
        <w:pStyle w:val="3"/>
        <w:ind w:firstLine="31680"/>
        <w:rPr>
          <w:rFonts w:hAnsi="宋体"/>
          <w:szCs w:val="24"/>
        </w:rPr>
      </w:pPr>
      <w:r>
        <w:rPr>
          <w:rFonts w:hint="eastAsia"/>
        </w:rPr>
        <w:t>营运期主要是交通扬尘、尾气影响沿线两侧植被的影响。</w:t>
      </w:r>
      <w:r>
        <w:rPr>
          <w:rFonts w:hint="eastAsia" w:hAnsi="宋体"/>
          <w:szCs w:val="24"/>
        </w:rPr>
        <w:t>交通运输产生的扬尘和汽车尾气，会对周围植物的生长带来直接的影响。扬尘降落到植物的叶面上，会堵塞毛孔，影响植物的光合作用，从而使之生长减缓。</w:t>
      </w:r>
    </w:p>
    <w:p>
      <w:pPr>
        <w:pStyle w:val="5"/>
        <w:ind w:left="567" w:hanging="567"/>
      </w:pPr>
      <w:r>
        <w:rPr>
          <w:rFonts w:hint="eastAsia"/>
        </w:rPr>
        <w:t>社会环境影响因素分析</w:t>
      </w:r>
    </w:p>
    <w:p>
      <w:pPr>
        <w:pStyle w:val="6"/>
        <w:ind w:left="567" w:hanging="567"/>
      </w:pPr>
      <w:r>
        <w:rPr>
          <w:rFonts w:hint="eastAsia"/>
        </w:rPr>
        <w:t>施工期</w:t>
      </w:r>
    </w:p>
    <w:p>
      <w:pPr>
        <w:pStyle w:val="3"/>
        <w:ind w:firstLine="31680"/>
      </w:pPr>
      <w:r>
        <w:rPr>
          <w:rFonts w:hint="eastAsia"/>
        </w:rPr>
        <w:t>项目永久占用部分耕地和居民房屋，将对沿线居民的生产和生活产生一定的影响；项目的施工可能对沿线交叉的公路的车辆通行造成一定影响。</w:t>
      </w:r>
    </w:p>
    <w:p>
      <w:pPr>
        <w:pStyle w:val="6"/>
        <w:ind w:left="567" w:hanging="567"/>
      </w:pPr>
      <w:r>
        <w:rPr>
          <w:rFonts w:hint="eastAsia"/>
        </w:rPr>
        <w:t>营运期</w:t>
      </w:r>
    </w:p>
    <w:p>
      <w:pPr>
        <w:pStyle w:val="3"/>
        <w:ind w:firstLine="31680"/>
      </w:pPr>
      <w:r>
        <w:rPr>
          <w:rFonts w:hint="eastAsia"/>
        </w:rPr>
        <w:t>项目营运期由于项目涉及部分新建路段，对沿线两侧居民将产生阻隔影响。</w:t>
      </w:r>
    </w:p>
    <w:p>
      <w:pPr>
        <w:spacing w:line="360" w:lineRule="auto"/>
        <w:ind w:firstLine="31680" w:firstLineChars="200"/>
        <w:rPr>
          <w:color w:val="FF0000"/>
          <w:sz w:val="24"/>
          <w:szCs w:val="24"/>
        </w:rPr>
        <w:sectPr>
          <w:headerReference r:id="rId10" w:type="default"/>
          <w:footerReference r:id="rId11" w:type="default"/>
          <w:pgSz w:w="11907" w:h="16840"/>
          <w:pgMar w:top="1474" w:right="1361" w:bottom="1474" w:left="1588" w:header="1020" w:footer="851" w:gutter="0"/>
          <w:pgBorders>
            <w:top w:val="none" w:sz="0" w:space="0"/>
            <w:left w:val="none" w:sz="0" w:space="0"/>
            <w:bottom w:val="none" w:sz="0" w:space="0"/>
            <w:right w:val="none" w:sz="0" w:space="0"/>
          </w:pgBorders>
          <w:cols w:space="425" w:num="1"/>
          <w:docGrid w:linePitch="286" w:charSpace="0"/>
        </w:sectPr>
      </w:pPr>
    </w:p>
    <w:p>
      <w:pPr>
        <w:pStyle w:val="2"/>
        <w:ind w:left="567" w:hanging="567"/>
      </w:pPr>
      <w:bookmarkStart w:id="158" w:name="_Toc12668"/>
      <w:bookmarkStart w:id="159" w:name="_Toc376443244"/>
      <w:r>
        <w:rPr>
          <w:rFonts w:hint="eastAsia"/>
        </w:rPr>
        <w:t>环境概况</w:t>
      </w:r>
      <w:bookmarkEnd w:id="158"/>
    </w:p>
    <w:p>
      <w:pPr>
        <w:pStyle w:val="4"/>
        <w:ind w:left="576"/>
      </w:pPr>
      <w:bookmarkStart w:id="160" w:name="_Toc376443245"/>
      <w:bookmarkStart w:id="161" w:name="_Toc84146383"/>
      <w:bookmarkStart w:id="162" w:name="_Toc6827"/>
      <w:bookmarkStart w:id="163" w:name="_Toc219864541"/>
      <w:bookmarkStart w:id="164" w:name="_Toc21089"/>
      <w:bookmarkStart w:id="165" w:name="_Toc317762456"/>
      <w:bookmarkStart w:id="166" w:name="_Toc5538"/>
      <w:bookmarkStart w:id="167" w:name="_Toc72202459"/>
      <w:bookmarkStart w:id="168" w:name="_Toc243202363"/>
      <w:bookmarkStart w:id="169" w:name="_Toc243276911"/>
      <w:r>
        <w:rPr>
          <w:rFonts w:hint="eastAsia"/>
        </w:rPr>
        <w:t>自然环境</w:t>
      </w:r>
      <w:bookmarkEnd w:id="160"/>
      <w:bookmarkEnd w:id="161"/>
      <w:bookmarkEnd w:id="162"/>
      <w:bookmarkEnd w:id="163"/>
      <w:bookmarkEnd w:id="164"/>
      <w:bookmarkEnd w:id="165"/>
      <w:bookmarkEnd w:id="166"/>
      <w:bookmarkEnd w:id="167"/>
      <w:bookmarkEnd w:id="168"/>
      <w:bookmarkEnd w:id="169"/>
      <w:bookmarkStart w:id="170" w:name="_Toc24500"/>
      <w:bookmarkStart w:id="171" w:name="_Toc32749"/>
      <w:bookmarkStart w:id="172" w:name="_Toc84146384"/>
      <w:bookmarkStart w:id="173" w:name="_Toc72202460"/>
      <w:bookmarkStart w:id="174" w:name="_Toc219864542"/>
    </w:p>
    <w:p>
      <w:pPr>
        <w:pStyle w:val="5"/>
        <w:ind w:left="567" w:hanging="567"/>
        <w:rPr>
          <w:bCs w:val="0"/>
          <w:szCs w:val="20"/>
        </w:rPr>
      </w:pPr>
      <w:r>
        <w:rPr>
          <w:rFonts w:hint="eastAsia"/>
          <w:bCs w:val="0"/>
          <w:szCs w:val="20"/>
        </w:rPr>
        <w:t>地理位置</w:t>
      </w:r>
      <w:bookmarkEnd w:id="170"/>
      <w:bookmarkEnd w:id="171"/>
      <w:bookmarkEnd w:id="172"/>
      <w:bookmarkEnd w:id="173"/>
      <w:bookmarkEnd w:id="174"/>
    </w:p>
    <w:p>
      <w:pPr>
        <w:widowControl/>
        <w:spacing w:line="360" w:lineRule="auto"/>
        <w:ind w:firstLine="31680" w:firstLineChars="200"/>
        <w:jc w:val="left"/>
        <w:rPr>
          <w:rFonts w:cs="宋体"/>
          <w:kern w:val="0"/>
          <w:sz w:val="24"/>
        </w:rPr>
      </w:pPr>
      <w:bookmarkStart w:id="175" w:name="_Toc219864543"/>
      <w:bookmarkStart w:id="176" w:name="_Toc23717"/>
      <w:r>
        <w:rPr>
          <w:rFonts w:hint="eastAsia" w:cs="宋体"/>
          <w:kern w:val="0"/>
          <w:sz w:val="24"/>
        </w:rPr>
        <w:t>汨罗位于湖南省东北部，属</w:t>
      </w:r>
      <w:r>
        <w:fldChar w:fldCharType="begin"/>
      </w:r>
      <w:r>
        <w:instrText xml:space="preserve"> HYPERLINK "http://baike.so.com/doc/5350492-5585948.html" \t "http://baike.so.com/doc/_blank" </w:instrText>
      </w:r>
      <w:r>
        <w:fldChar w:fldCharType="separate"/>
      </w:r>
      <w:r>
        <w:rPr>
          <w:rFonts w:hint="eastAsia" w:cs="宋体"/>
          <w:kern w:val="0"/>
          <w:sz w:val="24"/>
        </w:rPr>
        <w:t>幕阜山</w:t>
      </w:r>
      <w:r>
        <w:rPr>
          <w:rFonts w:hint="eastAsia" w:cs="宋体"/>
          <w:kern w:val="0"/>
          <w:sz w:val="24"/>
        </w:rPr>
        <w:fldChar w:fldCharType="end"/>
      </w:r>
      <w:r>
        <w:rPr>
          <w:rFonts w:hint="eastAsia" w:cs="宋体"/>
          <w:kern w:val="0"/>
          <w:sz w:val="24"/>
        </w:rPr>
        <w:t>脉与洞庭湖平原的过渡地带，西临洞庭湖。地处东经</w:t>
      </w:r>
      <w:r>
        <w:rPr>
          <w:rFonts w:cs="宋体"/>
          <w:kern w:val="0"/>
          <w:sz w:val="24"/>
        </w:rPr>
        <w:t>112°51′-113° 27′</w:t>
      </w:r>
      <w:r>
        <w:rPr>
          <w:rFonts w:hint="eastAsia" w:cs="宋体"/>
          <w:kern w:val="0"/>
          <w:sz w:val="24"/>
        </w:rPr>
        <w:t>，北纬</w:t>
      </w:r>
      <w:r>
        <w:rPr>
          <w:rFonts w:cs="宋体"/>
          <w:kern w:val="0"/>
          <w:sz w:val="24"/>
        </w:rPr>
        <w:t>28°28′-29°27′</w:t>
      </w:r>
      <w:r>
        <w:rPr>
          <w:rFonts w:hint="eastAsia" w:cs="宋体"/>
          <w:kern w:val="0"/>
          <w:sz w:val="24"/>
        </w:rPr>
        <w:t>之间。地势由东南向西北倾斜。</w:t>
      </w:r>
      <w:r>
        <w:rPr>
          <w:rFonts w:cs="宋体"/>
          <w:kern w:val="0"/>
          <w:sz w:val="24"/>
        </w:rPr>
        <w:t xml:space="preserve"> </w:t>
      </w:r>
      <w:r>
        <w:rPr>
          <w:rFonts w:hint="eastAsia" w:cs="宋体"/>
          <w:kern w:val="0"/>
          <w:sz w:val="24"/>
        </w:rPr>
        <w:t>汨罗市东与平江相靠，南与长沙、望城两县相携，西与</w:t>
      </w:r>
      <w:r>
        <w:fldChar w:fldCharType="begin"/>
      </w:r>
      <w:r>
        <w:instrText xml:space="preserve"> HYPERLINK "http://baike.so.com/doc/5408761-5646749.html" \t "http://baike.so.com/doc/_blank" </w:instrText>
      </w:r>
      <w:r>
        <w:fldChar w:fldCharType="separate"/>
      </w:r>
      <w:r>
        <w:rPr>
          <w:rFonts w:hint="eastAsia" w:cs="宋体"/>
          <w:kern w:val="0"/>
          <w:sz w:val="24"/>
        </w:rPr>
        <w:t>湘阴县</w:t>
      </w:r>
      <w:r>
        <w:rPr>
          <w:rFonts w:hint="eastAsia" w:cs="宋体"/>
          <w:kern w:val="0"/>
          <w:sz w:val="24"/>
        </w:rPr>
        <w:fldChar w:fldCharType="end"/>
      </w:r>
      <w:r>
        <w:rPr>
          <w:rFonts w:hint="eastAsia" w:cs="宋体"/>
          <w:kern w:val="0"/>
          <w:sz w:val="24"/>
        </w:rPr>
        <w:t>、沅江市接壤，北同岳阳县毗邻。最东处为八景乡山阳村的山阳寨，最西处是芦苇场的石湖包，最南端系高家坊镇鹿峰村的陈家湾，最北端是磊石乡汨岳村的汨岳界。南北相距</w:t>
      </w:r>
      <w:r>
        <w:rPr>
          <w:rFonts w:cs="宋体"/>
          <w:kern w:val="0"/>
          <w:sz w:val="24"/>
        </w:rPr>
        <w:t>66.75</w:t>
      </w:r>
      <w:r>
        <w:rPr>
          <w:rFonts w:hint="eastAsia" w:cs="宋体"/>
          <w:kern w:val="0"/>
          <w:sz w:val="24"/>
        </w:rPr>
        <w:t>公里，东西相距</w:t>
      </w:r>
      <w:r>
        <w:rPr>
          <w:rFonts w:cs="宋体"/>
          <w:kern w:val="0"/>
          <w:sz w:val="24"/>
        </w:rPr>
        <w:t>62.5</w:t>
      </w:r>
      <w:r>
        <w:rPr>
          <w:rFonts w:hint="eastAsia" w:cs="宋体"/>
          <w:kern w:val="0"/>
          <w:sz w:val="24"/>
        </w:rPr>
        <w:t>公里，全境周长</w:t>
      </w:r>
      <w:r>
        <w:rPr>
          <w:rFonts w:cs="宋体"/>
          <w:kern w:val="0"/>
          <w:sz w:val="24"/>
        </w:rPr>
        <w:t>301.84</w:t>
      </w:r>
      <w:r>
        <w:rPr>
          <w:rFonts w:hint="eastAsia" w:cs="宋体"/>
          <w:kern w:val="0"/>
          <w:sz w:val="24"/>
        </w:rPr>
        <w:t>公里，总面积</w:t>
      </w:r>
      <w:r>
        <w:rPr>
          <w:rFonts w:cs="宋体"/>
          <w:kern w:val="0"/>
          <w:sz w:val="24"/>
        </w:rPr>
        <w:t>1670</w:t>
      </w:r>
      <w:r>
        <w:rPr>
          <w:rFonts w:hint="eastAsia" w:cs="宋体"/>
          <w:kern w:val="0"/>
          <w:sz w:val="24"/>
        </w:rPr>
        <w:t>平方公里，汨罗市建城区面积</w:t>
      </w:r>
      <w:r>
        <w:rPr>
          <w:rFonts w:cs="宋体"/>
          <w:kern w:val="0"/>
          <w:sz w:val="24"/>
        </w:rPr>
        <w:t>12</w:t>
      </w:r>
      <w:r>
        <w:rPr>
          <w:rFonts w:hint="eastAsia" w:cs="宋体"/>
          <w:kern w:val="0"/>
          <w:sz w:val="24"/>
        </w:rPr>
        <w:t>平方公里。</w:t>
      </w:r>
    </w:p>
    <w:p>
      <w:pPr>
        <w:spacing w:line="360" w:lineRule="auto"/>
        <w:ind w:firstLine="31680" w:firstLineChars="200"/>
        <w:rPr>
          <w:rFonts w:ascii="宋体"/>
          <w:sz w:val="24"/>
          <w:szCs w:val="24"/>
        </w:rPr>
      </w:pPr>
      <w:r>
        <w:rPr>
          <w:rFonts w:hint="eastAsia"/>
          <w:sz w:val="24"/>
          <w:szCs w:val="24"/>
        </w:rPr>
        <w:t>汨罗市弼时镇，地处湘中</w:t>
      </w:r>
      <w:r>
        <w:rPr>
          <w:rFonts w:hint="eastAsia"/>
          <w:sz w:val="24"/>
        </w:rPr>
        <w:t>北，位于汨罗市东南部，南临弼时故居，东靠开慧烈士家乡，</w:t>
      </w:r>
      <w:r>
        <w:rPr>
          <w:sz w:val="24"/>
        </w:rPr>
        <w:t>107</w:t>
      </w:r>
      <w:r>
        <w:rPr>
          <w:rFonts w:hint="eastAsia"/>
          <w:sz w:val="24"/>
        </w:rPr>
        <w:t>国道南北直穿全境</w:t>
      </w:r>
      <w:r>
        <w:rPr>
          <w:sz w:val="24"/>
        </w:rPr>
        <w:t>9.6</w:t>
      </w:r>
      <w:r>
        <w:rPr>
          <w:rFonts w:hint="eastAsia"/>
          <w:sz w:val="24"/>
        </w:rPr>
        <w:t>公里。财政总收入首破</w:t>
      </w:r>
      <w:r>
        <w:rPr>
          <w:sz w:val="24"/>
        </w:rPr>
        <w:t>2000</w:t>
      </w:r>
      <w:r>
        <w:rPr>
          <w:rFonts w:hint="eastAsia"/>
          <w:sz w:val="24"/>
        </w:rPr>
        <w:t>万元大关，实现财政总收入</w:t>
      </w:r>
      <w:r>
        <w:rPr>
          <w:sz w:val="24"/>
        </w:rPr>
        <w:t>2108</w:t>
      </w:r>
      <w:r>
        <w:rPr>
          <w:rFonts w:hint="eastAsia"/>
          <w:sz w:val="24"/>
        </w:rPr>
        <w:t>万元，同比增长</w:t>
      </w:r>
      <w:r>
        <w:rPr>
          <w:sz w:val="24"/>
        </w:rPr>
        <w:t>20.7%</w:t>
      </w:r>
      <w:r>
        <w:rPr>
          <w:rFonts w:hint="eastAsia"/>
          <w:sz w:val="24"/>
        </w:rPr>
        <w:t>；农民人均纯收入达到</w:t>
      </w:r>
      <w:r>
        <w:rPr>
          <w:sz w:val="24"/>
        </w:rPr>
        <w:t>12910</w:t>
      </w:r>
      <w:r>
        <w:rPr>
          <w:rFonts w:hint="eastAsia"/>
          <w:sz w:val="24"/>
        </w:rPr>
        <w:t>元，同比增长</w:t>
      </w:r>
      <w:r>
        <w:rPr>
          <w:sz w:val="24"/>
        </w:rPr>
        <w:t>17%</w:t>
      </w:r>
      <w:r>
        <w:rPr>
          <w:rFonts w:hint="eastAsia"/>
          <w:sz w:val="24"/>
        </w:rPr>
        <w:t>，财政税收工作考核蝉联全市第一，并再次被评为“幸福汨罗</w:t>
      </w:r>
      <w:r>
        <w:rPr>
          <w:sz w:val="24"/>
        </w:rPr>
        <w:t>”</w:t>
      </w:r>
      <w:r>
        <w:rPr>
          <w:rFonts w:hint="eastAsia"/>
          <w:sz w:val="24"/>
        </w:rPr>
        <w:t>建设红旗单位。</w:t>
      </w:r>
      <w:r>
        <w:rPr>
          <w:rFonts w:hint="eastAsia"/>
          <w:sz w:val="24"/>
          <w:szCs w:val="24"/>
        </w:rPr>
        <w:t>多年来，该镇已形成了家具制造、铝型材、机械加工、打包带、建筑建材、塑料压延、纸制品、烟花炮竹、植物油等农副产品加工八大支柱产业，年产值达</w:t>
      </w:r>
      <w:r>
        <w:rPr>
          <w:sz w:val="24"/>
          <w:szCs w:val="24"/>
        </w:rPr>
        <w:t>9.98</w:t>
      </w:r>
      <w:r>
        <w:rPr>
          <w:rFonts w:hint="eastAsia"/>
          <w:sz w:val="24"/>
          <w:szCs w:val="24"/>
        </w:rPr>
        <w:t>亿多元，从业人口达</w:t>
      </w:r>
      <w:r>
        <w:rPr>
          <w:sz w:val="24"/>
          <w:szCs w:val="24"/>
        </w:rPr>
        <w:t>8000</w:t>
      </w:r>
      <w:r>
        <w:rPr>
          <w:rFonts w:hint="eastAsia"/>
          <w:sz w:val="24"/>
          <w:szCs w:val="24"/>
        </w:rPr>
        <w:t>多人，特别是湖南省天子家具厂系省内规模最大、设</w:t>
      </w:r>
      <w:r>
        <w:rPr>
          <w:rFonts w:hint="eastAsia" w:ascii="宋体" w:hAnsi="宋体"/>
          <w:sz w:val="24"/>
          <w:szCs w:val="24"/>
        </w:rPr>
        <w:t>备最先进的家具制造龙头企业，且“天子山”品牌获省“著名商标”，已数次获国家、省、部级金奖，铜盆铝材厂系省内最大的</w:t>
      </w:r>
      <w:r>
        <w:rPr>
          <w:rFonts w:ascii="宋体" w:hAnsi="宋体"/>
          <w:sz w:val="24"/>
          <w:szCs w:val="24"/>
        </w:rPr>
        <w:t>LD31</w:t>
      </w:r>
      <w:r>
        <w:rPr>
          <w:rFonts w:hint="eastAsia" w:ascii="宋体" w:hAnsi="宋体"/>
          <w:sz w:val="24"/>
          <w:szCs w:val="24"/>
        </w:rPr>
        <w:t>铝合金天花龙骨料生产厂家，这些企业已成为该镇财政建设和转移农村剩余劳动力的中坚力量，使该镇成为岳阳市乡镇企业“十强乡镇”。</w:t>
      </w:r>
    </w:p>
    <w:p>
      <w:pPr>
        <w:widowControl/>
        <w:spacing w:line="360" w:lineRule="auto"/>
        <w:ind w:firstLine="31680" w:firstLineChars="200"/>
        <w:jc w:val="left"/>
        <w:rPr>
          <w:rFonts w:cs="宋体"/>
          <w:kern w:val="0"/>
          <w:sz w:val="24"/>
        </w:rPr>
      </w:pPr>
      <w:r>
        <w:rPr>
          <w:rFonts w:hint="eastAsia" w:cs="宋体"/>
          <w:kern w:val="0"/>
          <w:sz w:val="24"/>
        </w:rPr>
        <w:t>本项目拟建位置位于汨罗市弼时镇，</w:t>
      </w:r>
      <w:r>
        <w:rPr>
          <w:rFonts w:cs="宋体"/>
          <w:kern w:val="0"/>
          <w:sz w:val="24"/>
        </w:rPr>
        <w:t>107</w:t>
      </w:r>
      <w:r>
        <w:rPr>
          <w:rFonts w:hint="eastAsia" w:cs="宋体"/>
          <w:kern w:val="0"/>
          <w:sz w:val="24"/>
        </w:rPr>
        <w:t>国道东侧，起于铜盆村，止于大里塘水库东南角胡家垄，项目具体位置见附图</w:t>
      </w:r>
      <w:r>
        <w:rPr>
          <w:rFonts w:cs="宋体"/>
          <w:kern w:val="0"/>
          <w:sz w:val="24"/>
        </w:rPr>
        <w:t>1</w:t>
      </w:r>
      <w:r>
        <w:rPr>
          <w:rFonts w:hint="eastAsia" w:cs="宋体"/>
          <w:kern w:val="0"/>
          <w:sz w:val="24"/>
        </w:rPr>
        <w:t>。</w:t>
      </w:r>
    </w:p>
    <w:p>
      <w:pPr>
        <w:pStyle w:val="5"/>
        <w:ind w:left="567" w:hanging="567"/>
      </w:pPr>
      <w:r>
        <w:rPr>
          <w:rFonts w:hint="eastAsia"/>
        </w:rPr>
        <w:t>地形、地貌</w:t>
      </w:r>
    </w:p>
    <w:p>
      <w:pPr>
        <w:spacing w:line="480" w:lineRule="exact"/>
        <w:ind w:firstLine="31680" w:firstLineChars="200"/>
        <w:rPr>
          <w:rFonts w:cs="宋体"/>
          <w:kern w:val="0"/>
          <w:sz w:val="24"/>
        </w:rPr>
      </w:pPr>
      <w:bookmarkStart w:id="177" w:name="_Toc5106"/>
      <w:r>
        <w:rPr>
          <w:rFonts w:hint="eastAsia" w:cs="宋体"/>
          <w:kern w:val="0"/>
          <w:sz w:val="24"/>
        </w:rPr>
        <w:t>汨罗地处幕阜山脉与洞庭湖平原的过渡地带，地貌的过渡性明显，全市依山濒湖，由东南向西北倾斜舒展，山地往滨湖平原呈梯形过渡，岗地、平原地形多样，水系相间，丘陵、山地、湖泊交错。</w:t>
      </w:r>
    </w:p>
    <w:p>
      <w:pPr>
        <w:spacing w:line="480" w:lineRule="exact"/>
        <w:ind w:firstLine="31680" w:firstLineChars="200"/>
        <w:rPr>
          <w:rFonts w:cs="宋体"/>
          <w:kern w:val="0"/>
          <w:sz w:val="24"/>
        </w:rPr>
      </w:pPr>
      <w:r>
        <w:rPr>
          <w:rFonts w:hint="eastAsia" w:cs="宋体"/>
          <w:kern w:val="0"/>
          <w:sz w:val="24"/>
        </w:rPr>
        <w:t>汨罗市境内地层简单，由老到新依次为元古界冷家溪、中生界白垩系和新生界下第三系中村组、第四系。第四系更新统白水江组分布于新市镇一带，厚度为</w:t>
      </w:r>
      <w:r>
        <w:rPr>
          <w:rFonts w:cs="宋体"/>
          <w:kern w:val="0"/>
          <w:sz w:val="24"/>
        </w:rPr>
        <w:t>69~10m</w:t>
      </w:r>
      <w:r>
        <w:rPr>
          <w:rFonts w:hint="eastAsia" w:cs="宋体"/>
          <w:kern w:val="0"/>
          <w:sz w:val="24"/>
        </w:rPr>
        <w:t>，底部为黄褐色砾石层，中部为黄褐色砂砾层，上部为黄褐色含锰质结核砂质粘土。</w:t>
      </w:r>
    </w:p>
    <w:p>
      <w:pPr>
        <w:spacing w:line="480" w:lineRule="exact"/>
        <w:ind w:firstLine="31680" w:firstLineChars="200"/>
        <w:rPr>
          <w:rFonts w:cs="宋体"/>
          <w:kern w:val="0"/>
          <w:sz w:val="24"/>
        </w:rPr>
      </w:pPr>
      <w:r>
        <w:rPr>
          <w:rFonts w:hint="eastAsia" w:cs="宋体"/>
          <w:kern w:val="0"/>
          <w:sz w:val="24"/>
        </w:rPr>
        <w:t>项目拟建地区域地形属于丘陵岗埠地带，是由网纹状粉质粘土、黄色质粘土堆积而成的丘岗。场地已基本平整，标高在</w:t>
      </w:r>
      <w:r>
        <w:rPr>
          <w:rFonts w:cs="宋体"/>
          <w:kern w:val="0"/>
          <w:sz w:val="24"/>
        </w:rPr>
        <w:t>41.00</w:t>
      </w:r>
      <w:r>
        <w:rPr>
          <w:rFonts w:hint="eastAsia" w:cs="宋体"/>
          <w:kern w:val="0"/>
          <w:sz w:val="24"/>
        </w:rPr>
        <w:t>米至</w:t>
      </w:r>
      <w:r>
        <w:rPr>
          <w:rFonts w:cs="宋体"/>
          <w:kern w:val="0"/>
          <w:sz w:val="24"/>
        </w:rPr>
        <w:t>43.30</w:t>
      </w:r>
      <w:r>
        <w:rPr>
          <w:rFonts w:hint="eastAsia" w:cs="宋体"/>
          <w:kern w:val="0"/>
          <w:sz w:val="24"/>
        </w:rPr>
        <w:t>米之间。建设地土体单一，工程地质条件较好，无不良地质构造，场地类别为</w:t>
      </w:r>
      <w:r>
        <w:rPr>
          <w:rFonts w:cs="宋体"/>
          <w:kern w:val="0"/>
          <w:sz w:val="24"/>
        </w:rPr>
        <w:fldChar w:fldCharType="begin"/>
      </w:r>
      <w:r>
        <w:rPr>
          <w:rFonts w:cs="宋体"/>
          <w:kern w:val="0"/>
          <w:sz w:val="24"/>
        </w:rPr>
        <w:instrText xml:space="preserve"> = 1 \* ROMAN \* MERGEFORMAT </w:instrText>
      </w:r>
      <w:r>
        <w:rPr>
          <w:rFonts w:cs="宋体"/>
          <w:kern w:val="0"/>
          <w:sz w:val="24"/>
        </w:rPr>
        <w:fldChar w:fldCharType="separate"/>
      </w:r>
      <w:r>
        <w:rPr>
          <w:rFonts w:cs="宋体"/>
          <w:kern w:val="0"/>
          <w:sz w:val="24"/>
        </w:rPr>
        <w:t>I</w:t>
      </w:r>
      <w:r>
        <w:rPr>
          <w:rFonts w:cs="宋体"/>
          <w:kern w:val="0"/>
          <w:sz w:val="24"/>
        </w:rPr>
        <w:fldChar w:fldCharType="end"/>
      </w:r>
      <w:r>
        <w:rPr>
          <w:rFonts w:hint="eastAsia" w:cs="宋体"/>
          <w:kern w:val="0"/>
          <w:sz w:val="24"/>
        </w:rPr>
        <w:t>类建筑场地，地基承载力标准值估算在</w:t>
      </w:r>
      <w:r>
        <w:rPr>
          <w:rFonts w:cs="宋体"/>
          <w:kern w:val="0"/>
          <w:sz w:val="24"/>
        </w:rPr>
        <w:t>200kpa</w:t>
      </w:r>
      <w:r>
        <w:rPr>
          <w:rFonts w:hint="eastAsia" w:cs="宋体"/>
          <w:kern w:val="0"/>
          <w:sz w:val="24"/>
        </w:rPr>
        <w:t>以上。根据《中国地震动参数区划图》（</w:t>
      </w:r>
      <w:r>
        <w:rPr>
          <w:rFonts w:cs="宋体"/>
          <w:kern w:val="0"/>
          <w:sz w:val="24"/>
        </w:rPr>
        <w:t>GB18306-2001</w:t>
      </w:r>
      <w:r>
        <w:rPr>
          <w:rFonts w:hint="eastAsia" w:cs="宋体"/>
          <w:kern w:val="0"/>
          <w:sz w:val="24"/>
        </w:rPr>
        <w:t>），抗震设防烈度为</w:t>
      </w:r>
      <w:r>
        <w:rPr>
          <w:rFonts w:cs="宋体"/>
          <w:kern w:val="0"/>
          <w:sz w:val="24"/>
        </w:rPr>
        <w:t>7</w:t>
      </w:r>
      <w:r>
        <w:rPr>
          <w:rFonts w:hint="eastAsia" w:cs="宋体"/>
          <w:kern w:val="0"/>
          <w:sz w:val="24"/>
        </w:rPr>
        <w:t>度，设计基本地震加速度值为</w:t>
      </w:r>
      <w:r>
        <w:rPr>
          <w:rFonts w:cs="宋体"/>
          <w:kern w:val="0"/>
          <w:sz w:val="24"/>
        </w:rPr>
        <w:t>0.10g</w:t>
      </w:r>
      <w:r>
        <w:rPr>
          <w:rFonts w:hint="eastAsia" w:cs="宋体"/>
          <w:kern w:val="0"/>
          <w:sz w:val="24"/>
        </w:rPr>
        <w:t>。</w:t>
      </w:r>
    </w:p>
    <w:p>
      <w:pPr>
        <w:pStyle w:val="5"/>
        <w:widowControl/>
        <w:ind w:left="567" w:hanging="567"/>
      </w:pPr>
      <w:r>
        <w:rPr>
          <w:rFonts w:hint="eastAsia"/>
        </w:rPr>
        <w:t>地质</w:t>
      </w:r>
    </w:p>
    <w:p>
      <w:pPr>
        <w:pStyle w:val="6"/>
        <w:ind w:left="567" w:hanging="567"/>
      </w:pPr>
      <w:r>
        <w:rPr>
          <w:rFonts w:hint="eastAsia"/>
        </w:rPr>
        <w:t>地层岩性</w:t>
      </w:r>
    </w:p>
    <w:p>
      <w:pPr>
        <w:pStyle w:val="3"/>
        <w:ind w:firstLine="31680"/>
      </w:pPr>
      <w:r>
        <w:rPr>
          <w:rFonts w:hint="eastAsia"/>
        </w:rPr>
        <w:t>根据区域地质图、区域地质资料及本次现场踏勘，本项目影响区出露的地层主要有第四系、三叠系、二叠系、石炭系及泥盆系。地层岩性分述如下：</w:t>
      </w:r>
    </w:p>
    <w:p>
      <w:pPr>
        <w:pStyle w:val="3"/>
        <w:ind w:firstLine="31680"/>
      </w:pPr>
      <w:r>
        <w:rPr>
          <w:rFonts w:hint="eastAsia"/>
        </w:rPr>
        <w:t>第四系</w:t>
      </w:r>
    </w:p>
    <w:p>
      <w:pPr>
        <w:pStyle w:val="3"/>
        <w:ind w:firstLine="31680"/>
      </w:pPr>
      <w:r>
        <w:rPr>
          <w:rFonts w:hint="eastAsia"/>
        </w:rPr>
        <w:t>第四系土层类型主要有粘土、粉质粘土及砂、卵石层等。其中，重丘区第四系土层成因大多为冲积或坡积成因，土层类型以粉质粘土及砂、卵石层为主；重丘区第四系土层成因大多为残坡积成因，土层类型多为粘土、粉质粘土及碎石土。</w:t>
      </w:r>
    </w:p>
    <w:p>
      <w:pPr>
        <w:pStyle w:val="3"/>
        <w:ind w:firstLine="31680"/>
      </w:pPr>
      <w:r>
        <w:rPr>
          <w:rFonts w:hint="eastAsia"/>
        </w:rPr>
        <w:t>三叠系（</w:t>
      </w:r>
      <w:r>
        <w:t>T</w:t>
      </w:r>
      <w:r>
        <w:rPr>
          <w:rFonts w:hint="eastAsia"/>
        </w:rPr>
        <w:t>）</w:t>
      </w:r>
    </w:p>
    <w:p>
      <w:pPr>
        <w:pStyle w:val="3"/>
        <w:ind w:firstLine="31680"/>
      </w:pPr>
      <w:r>
        <w:rPr>
          <w:rFonts w:hint="eastAsia"/>
        </w:rPr>
        <w:t>三叠系岩性主要为灰岩、白云岩、白云质灰岩等碳酸盐岩类，岩溶发育。</w:t>
      </w:r>
    </w:p>
    <w:p>
      <w:pPr>
        <w:pStyle w:val="3"/>
        <w:ind w:firstLine="31680"/>
      </w:pPr>
      <w:r>
        <w:rPr>
          <w:rFonts w:hint="eastAsia"/>
        </w:rPr>
        <w:t>二叠系（</w:t>
      </w:r>
      <w:r>
        <w:t>P</w:t>
      </w:r>
      <w:r>
        <w:rPr>
          <w:rFonts w:hint="eastAsia"/>
        </w:rPr>
        <w:t>）</w:t>
      </w:r>
    </w:p>
    <w:p>
      <w:pPr>
        <w:pStyle w:val="3"/>
        <w:ind w:firstLine="31680"/>
      </w:pPr>
      <w:r>
        <w:rPr>
          <w:rFonts w:hint="eastAsia"/>
        </w:rPr>
        <w:t>二叠系岩性主要为灰黑色燧石灰岩、砂岩、砂质页等，局部夹煤层。</w:t>
      </w:r>
    </w:p>
    <w:p>
      <w:pPr>
        <w:pStyle w:val="3"/>
        <w:ind w:firstLine="31680"/>
      </w:pPr>
      <w:r>
        <w:rPr>
          <w:rFonts w:hint="eastAsia"/>
        </w:rPr>
        <w:t>石炭系（</w:t>
      </w:r>
      <w:r>
        <w:t>C</w:t>
      </w:r>
      <w:r>
        <w:rPr>
          <w:rFonts w:hint="eastAsia"/>
        </w:rPr>
        <w:t>）</w:t>
      </w:r>
    </w:p>
    <w:p>
      <w:pPr>
        <w:pStyle w:val="3"/>
        <w:ind w:firstLine="31680"/>
      </w:pPr>
      <w:r>
        <w:rPr>
          <w:rFonts w:hint="eastAsia"/>
        </w:rPr>
        <w:t>石炭系岩性主要为灰岩、泥质灰岩等碳酸盐岩类，岩溶发育，局部为石英砂砾岩。</w:t>
      </w:r>
    </w:p>
    <w:p>
      <w:pPr>
        <w:pStyle w:val="3"/>
        <w:ind w:firstLine="31680"/>
      </w:pPr>
      <w:r>
        <w:rPr>
          <w:rFonts w:hint="eastAsia"/>
        </w:rPr>
        <w:t>泥盆系（</w:t>
      </w:r>
      <w:r>
        <w:t>D</w:t>
      </w:r>
      <w:r>
        <w:rPr>
          <w:rFonts w:hint="eastAsia"/>
        </w:rPr>
        <w:t>）</w:t>
      </w:r>
    </w:p>
    <w:p>
      <w:pPr>
        <w:pStyle w:val="3"/>
        <w:ind w:firstLine="31680"/>
      </w:pPr>
      <w:r>
        <w:rPr>
          <w:rFonts w:hint="eastAsia"/>
        </w:rPr>
        <w:t>泥盆系岩性主要为石英砂岩、砂岩、砂质页岩等，局部为灰岩、白云质灰岩。</w:t>
      </w:r>
    </w:p>
    <w:p>
      <w:pPr>
        <w:pStyle w:val="6"/>
        <w:ind w:left="567" w:hanging="567"/>
      </w:pPr>
      <w:r>
        <w:rPr>
          <w:rFonts w:hint="eastAsia"/>
        </w:rPr>
        <w:t>地质构造</w:t>
      </w:r>
    </w:p>
    <w:p>
      <w:pPr>
        <w:spacing w:line="360" w:lineRule="auto"/>
        <w:ind w:firstLine="31680" w:firstLineChars="200"/>
        <w:rPr>
          <w:sz w:val="24"/>
        </w:rPr>
      </w:pPr>
      <w:r>
        <w:rPr>
          <w:rFonts w:hint="eastAsia"/>
          <w:sz w:val="24"/>
        </w:rPr>
        <w:t>项目总体处于新华夏系构造第三隆起带东缘的祁阳山字型构造前弧北翼部位，主要构造线呈北北东</w:t>
      </w:r>
      <w:r>
        <w:rPr>
          <w:sz w:val="24"/>
        </w:rPr>
        <w:t>~</w:t>
      </w:r>
      <w:r>
        <w:rPr>
          <w:rFonts w:hint="eastAsia"/>
          <w:sz w:val="24"/>
        </w:rPr>
        <w:t>北东向展布。路线所经地段无区域大断裂构造发育，路线总体沿向斜长轴方向展布，向斜核部位三叠系地层。</w:t>
      </w:r>
    </w:p>
    <w:bookmarkEnd w:id="177"/>
    <w:p>
      <w:pPr>
        <w:pStyle w:val="5"/>
        <w:widowControl/>
        <w:ind w:left="567" w:hanging="567"/>
      </w:pPr>
      <w:r>
        <w:rPr>
          <w:rFonts w:hint="eastAsia"/>
        </w:rPr>
        <w:t>水文</w:t>
      </w:r>
    </w:p>
    <w:p>
      <w:pPr>
        <w:spacing w:line="480" w:lineRule="exact"/>
        <w:ind w:firstLine="31680" w:firstLineChars="200"/>
        <w:rPr>
          <w:rFonts w:cs="宋体"/>
          <w:kern w:val="0"/>
          <w:sz w:val="24"/>
        </w:rPr>
      </w:pPr>
      <w:r>
        <w:rPr>
          <w:rFonts w:hint="eastAsia" w:cs="宋体"/>
          <w:kern w:val="0"/>
          <w:sz w:val="24"/>
        </w:rPr>
        <w:t>汨罗江因主河道汨水与支流罗水相汇而得名。汨水源于江西省修水县黄龙山梨树埚，流经修水县、平江县、汨罗市，于汨罗市大洲湾与罗水汇合。汨罗江发源于江西省修水县的黄龙山脉，往西流经平江县、汨罗市于磊石山注入东洞庭湖。干流长度</w:t>
      </w:r>
      <w:r>
        <w:rPr>
          <w:rFonts w:cs="宋体"/>
          <w:kern w:val="0"/>
          <w:sz w:val="24"/>
        </w:rPr>
        <w:t>253.3km</w:t>
      </w:r>
      <w:r>
        <w:rPr>
          <w:rFonts w:hint="eastAsia" w:cs="宋体"/>
          <w:kern w:val="0"/>
          <w:sz w:val="24"/>
        </w:rPr>
        <w:t>，平均迫降</w:t>
      </w:r>
      <w:r>
        <w:rPr>
          <w:rFonts w:cs="宋体"/>
          <w:kern w:val="0"/>
          <w:sz w:val="24"/>
        </w:rPr>
        <w:t>0.46‰</w:t>
      </w:r>
      <w:r>
        <w:rPr>
          <w:rFonts w:hint="eastAsia" w:cs="宋体"/>
          <w:kern w:val="0"/>
          <w:sz w:val="24"/>
        </w:rPr>
        <w:t>，流域面积达</w:t>
      </w:r>
      <w:r>
        <w:rPr>
          <w:rFonts w:cs="宋体"/>
          <w:kern w:val="0"/>
          <w:sz w:val="24"/>
        </w:rPr>
        <w:t>5543</w:t>
      </w:r>
      <w:r>
        <w:rPr>
          <w:rFonts w:hint="eastAsia" w:cs="宋体"/>
          <w:kern w:val="0"/>
          <w:sz w:val="24"/>
        </w:rPr>
        <w:t>平方公里。青冲口以下（汨罗段）为洞庭湖冲击平原区，地形平坦开阔，地面高程在</w:t>
      </w:r>
      <w:r>
        <w:rPr>
          <w:rFonts w:cs="宋体"/>
          <w:kern w:val="0"/>
          <w:sz w:val="24"/>
        </w:rPr>
        <w:t>22.1m~32.1m</w:t>
      </w:r>
      <w:r>
        <w:rPr>
          <w:rFonts w:hint="eastAsia" w:cs="宋体"/>
          <w:kern w:val="0"/>
          <w:sz w:val="24"/>
        </w:rPr>
        <w:t>，汨水入湖处磊石山基岩裸露，山顶高程</w:t>
      </w:r>
      <w:r>
        <w:rPr>
          <w:rFonts w:cs="宋体"/>
          <w:kern w:val="0"/>
          <w:sz w:val="24"/>
        </w:rPr>
        <w:t>88.5m</w:t>
      </w:r>
      <w:r>
        <w:rPr>
          <w:rFonts w:hint="eastAsia" w:cs="宋体"/>
          <w:kern w:val="0"/>
          <w:sz w:val="24"/>
        </w:rPr>
        <w:t>。流域总的地势为东南高西北低。流域面积</w:t>
      </w:r>
      <w:r>
        <w:rPr>
          <w:rFonts w:cs="宋体"/>
          <w:kern w:val="0"/>
          <w:sz w:val="24"/>
        </w:rPr>
        <w:t>5543km2</w:t>
      </w:r>
      <w:r>
        <w:rPr>
          <w:rFonts w:hint="eastAsia" w:cs="宋体"/>
          <w:kern w:val="0"/>
          <w:sz w:val="24"/>
        </w:rPr>
        <w:t>，河长</w:t>
      </w:r>
      <w:r>
        <w:rPr>
          <w:rFonts w:cs="宋体"/>
          <w:kern w:val="0"/>
          <w:sz w:val="24"/>
        </w:rPr>
        <w:t>253.2km</w:t>
      </w:r>
      <w:r>
        <w:rPr>
          <w:rFonts w:hint="eastAsia" w:cs="宋体"/>
          <w:kern w:val="0"/>
          <w:sz w:val="24"/>
        </w:rPr>
        <w:t>，其中汨罗市境内长</w:t>
      </w:r>
      <w:r>
        <w:rPr>
          <w:rFonts w:cs="宋体"/>
          <w:kern w:val="0"/>
          <w:sz w:val="24"/>
        </w:rPr>
        <w:t>61.5km</w:t>
      </w:r>
      <w:r>
        <w:rPr>
          <w:rFonts w:hint="eastAsia" w:cs="宋体"/>
          <w:kern w:val="0"/>
          <w:sz w:val="24"/>
        </w:rPr>
        <w:t>，流域面积</w:t>
      </w:r>
      <w:r>
        <w:rPr>
          <w:rFonts w:cs="宋体"/>
          <w:kern w:val="0"/>
          <w:sz w:val="24"/>
        </w:rPr>
        <w:t>965km2</w:t>
      </w:r>
      <w:r>
        <w:rPr>
          <w:rFonts w:hint="eastAsia" w:cs="宋体"/>
          <w:kern w:val="0"/>
          <w:sz w:val="24"/>
        </w:rPr>
        <w:t>。干流多年平均径流量为</w:t>
      </w:r>
      <w:r>
        <w:rPr>
          <w:rFonts w:cs="宋体"/>
          <w:kern w:val="0"/>
          <w:sz w:val="24"/>
        </w:rPr>
        <w:t>43.04</w:t>
      </w:r>
      <w:r>
        <w:rPr>
          <w:rFonts w:hint="eastAsia" w:cs="宋体"/>
          <w:kern w:val="0"/>
          <w:sz w:val="24"/>
        </w:rPr>
        <w:t>亿</w:t>
      </w:r>
      <w:r>
        <w:rPr>
          <w:rFonts w:cs="宋体"/>
          <w:kern w:val="0"/>
          <w:sz w:val="24"/>
        </w:rPr>
        <w:t>m3</w:t>
      </w:r>
      <w:r>
        <w:rPr>
          <w:rFonts w:hint="eastAsia" w:cs="宋体"/>
          <w:kern w:val="0"/>
          <w:sz w:val="24"/>
        </w:rPr>
        <w:t>，汛期</w:t>
      </w:r>
      <w:r>
        <w:rPr>
          <w:rFonts w:cs="宋体"/>
          <w:kern w:val="0"/>
          <w:sz w:val="24"/>
        </w:rPr>
        <w:t>5~8</w:t>
      </w:r>
      <w:r>
        <w:rPr>
          <w:rFonts w:hint="eastAsia" w:cs="宋体"/>
          <w:kern w:val="0"/>
          <w:sz w:val="24"/>
        </w:rPr>
        <w:t>月，径流量占全年总量</w:t>
      </w:r>
      <w:r>
        <w:rPr>
          <w:rFonts w:cs="宋体"/>
          <w:kern w:val="0"/>
          <w:sz w:val="24"/>
        </w:rPr>
        <w:t>46.2%</w:t>
      </w:r>
      <w:r>
        <w:rPr>
          <w:rFonts w:hint="eastAsia" w:cs="宋体"/>
          <w:kern w:val="0"/>
          <w:sz w:val="24"/>
        </w:rPr>
        <w:t>，保证率</w:t>
      </w:r>
      <w:r>
        <w:rPr>
          <w:rFonts w:cs="宋体"/>
          <w:kern w:val="0"/>
          <w:sz w:val="24"/>
        </w:rPr>
        <w:t>95%</w:t>
      </w:r>
      <w:r>
        <w:rPr>
          <w:rFonts w:hint="eastAsia" w:cs="宋体"/>
          <w:kern w:val="0"/>
          <w:sz w:val="24"/>
        </w:rPr>
        <w:t>的枯水年径流量为</w:t>
      </w:r>
      <w:r>
        <w:rPr>
          <w:rFonts w:cs="宋体"/>
          <w:kern w:val="0"/>
          <w:sz w:val="24"/>
        </w:rPr>
        <w:t>5.33</w:t>
      </w:r>
      <w:r>
        <w:rPr>
          <w:rFonts w:hint="eastAsia" w:cs="宋体"/>
          <w:kern w:val="0"/>
          <w:sz w:val="24"/>
        </w:rPr>
        <w:t>亿</w:t>
      </w:r>
      <w:r>
        <w:rPr>
          <w:rFonts w:cs="宋体"/>
          <w:kern w:val="0"/>
          <w:sz w:val="24"/>
        </w:rPr>
        <w:t>m3</w:t>
      </w:r>
      <w:r>
        <w:rPr>
          <w:rFonts w:hint="eastAsia" w:cs="宋体"/>
          <w:kern w:val="0"/>
          <w:sz w:val="24"/>
        </w:rPr>
        <w:t>，多年平均流量</w:t>
      </w:r>
      <w:r>
        <w:rPr>
          <w:rFonts w:cs="宋体"/>
          <w:kern w:val="0"/>
          <w:sz w:val="24"/>
        </w:rPr>
        <w:t>99.4m3/s</w:t>
      </w:r>
      <w:r>
        <w:rPr>
          <w:rFonts w:hint="eastAsia" w:cs="宋体"/>
          <w:kern w:val="0"/>
          <w:sz w:val="24"/>
        </w:rPr>
        <w:t>，多年最大月平均流量</w:t>
      </w:r>
      <w:r>
        <w:rPr>
          <w:rFonts w:cs="宋体"/>
          <w:kern w:val="0"/>
          <w:sz w:val="24"/>
        </w:rPr>
        <w:t>231m3/s</w:t>
      </w:r>
      <w:r>
        <w:rPr>
          <w:rFonts w:hint="eastAsia" w:cs="宋体"/>
          <w:kern w:val="0"/>
          <w:sz w:val="24"/>
        </w:rPr>
        <w:t>（</w:t>
      </w:r>
      <w:r>
        <w:rPr>
          <w:rFonts w:cs="宋体"/>
          <w:kern w:val="0"/>
          <w:sz w:val="24"/>
        </w:rPr>
        <w:t>5</w:t>
      </w:r>
      <w:r>
        <w:rPr>
          <w:rFonts w:hint="eastAsia" w:cs="宋体"/>
          <w:kern w:val="0"/>
          <w:sz w:val="24"/>
        </w:rPr>
        <w:t>月），最小月平均流量</w:t>
      </w:r>
      <w:r>
        <w:rPr>
          <w:rFonts w:cs="宋体"/>
          <w:kern w:val="0"/>
          <w:sz w:val="24"/>
        </w:rPr>
        <w:t>26.2m3/s</w:t>
      </w:r>
      <w:r>
        <w:rPr>
          <w:rFonts w:hint="eastAsia" w:cs="宋体"/>
          <w:kern w:val="0"/>
          <w:sz w:val="24"/>
        </w:rPr>
        <w:t>（</w:t>
      </w:r>
      <w:r>
        <w:rPr>
          <w:rFonts w:cs="宋体"/>
          <w:kern w:val="0"/>
          <w:sz w:val="24"/>
        </w:rPr>
        <w:t>1</w:t>
      </w:r>
      <w:r>
        <w:rPr>
          <w:rFonts w:hint="eastAsia" w:cs="宋体"/>
          <w:kern w:val="0"/>
          <w:sz w:val="24"/>
        </w:rPr>
        <w:t>月、</w:t>
      </w:r>
      <w:r>
        <w:rPr>
          <w:rFonts w:cs="宋体"/>
          <w:kern w:val="0"/>
          <w:sz w:val="24"/>
        </w:rPr>
        <w:t>12</w:t>
      </w:r>
      <w:r>
        <w:rPr>
          <w:rFonts w:hint="eastAsia" w:cs="宋体"/>
          <w:kern w:val="0"/>
          <w:sz w:val="24"/>
        </w:rPr>
        <w:t>月）。</w:t>
      </w:r>
    </w:p>
    <w:p>
      <w:pPr>
        <w:pStyle w:val="3"/>
        <w:ind w:firstLine="31680"/>
      </w:pPr>
      <w:r>
        <w:rPr>
          <w:rFonts w:hint="eastAsia" w:cs="宋体"/>
        </w:rPr>
        <w:t>本项目西侧白沙河，距离本项目</w:t>
      </w:r>
      <w:r>
        <w:rPr>
          <w:rFonts w:cs="宋体"/>
        </w:rPr>
        <w:t>2km</w:t>
      </w:r>
      <w:r>
        <w:rPr>
          <w:rFonts w:hint="eastAsia" w:cs="宋体"/>
        </w:rPr>
        <w:t>左右，流域为长江流域，水系为洞庭湖，起始断面位于汨罗市弼时镇农科旧屋里，终止断面为唐家桥芦家坝，长度为</w:t>
      </w:r>
      <w:r>
        <w:rPr>
          <w:rFonts w:cs="宋体"/>
        </w:rPr>
        <w:t>3km</w:t>
      </w:r>
      <w:r>
        <w:rPr>
          <w:rFonts w:hint="eastAsia" w:cs="宋体"/>
        </w:rPr>
        <w:t>，水质目标执行Ⅲ类。</w:t>
      </w:r>
    </w:p>
    <w:p>
      <w:pPr>
        <w:pStyle w:val="5"/>
        <w:ind w:left="567" w:hanging="567"/>
      </w:pPr>
      <w:r>
        <w:rPr>
          <w:rFonts w:hint="eastAsia"/>
        </w:rPr>
        <w:t>气象、气候</w:t>
      </w:r>
    </w:p>
    <w:p>
      <w:pPr>
        <w:spacing w:line="480" w:lineRule="exact"/>
        <w:ind w:firstLine="31680" w:firstLineChars="200"/>
        <w:rPr>
          <w:rFonts w:cs="宋体"/>
          <w:kern w:val="0"/>
          <w:sz w:val="24"/>
        </w:rPr>
      </w:pPr>
      <w:r>
        <w:rPr>
          <w:rFonts w:hint="eastAsia" w:cs="宋体"/>
          <w:kern w:val="0"/>
          <w:sz w:val="24"/>
        </w:rPr>
        <w:t>汨罗市处于中亚热带向北亚热带过渡地区，属大陆性湿润季风气候。气候温暖，四季分明，热量充足，雨量集中，春温多变，夏秋多早、严寒期短，暑热期长。</w:t>
      </w:r>
    </w:p>
    <w:p>
      <w:pPr>
        <w:spacing w:line="480" w:lineRule="exact"/>
        <w:ind w:firstLine="31680" w:firstLineChars="200"/>
        <w:rPr>
          <w:rFonts w:cs="宋体"/>
          <w:kern w:val="0"/>
          <w:sz w:val="24"/>
        </w:rPr>
      </w:pPr>
      <w:r>
        <w:rPr>
          <w:rFonts w:hint="eastAsia" w:cs="宋体"/>
          <w:kern w:val="0"/>
          <w:sz w:val="24"/>
        </w:rPr>
        <w:t>（</w:t>
      </w:r>
      <w:r>
        <w:rPr>
          <w:rFonts w:cs="宋体"/>
          <w:kern w:val="0"/>
          <w:sz w:val="24"/>
        </w:rPr>
        <w:t>1</w:t>
      </w:r>
      <w:r>
        <w:rPr>
          <w:rFonts w:hint="eastAsia" w:cs="宋体"/>
          <w:kern w:val="0"/>
          <w:sz w:val="24"/>
        </w:rPr>
        <w:t>）气温：年平均气温</w:t>
      </w:r>
      <w:r>
        <w:rPr>
          <w:rFonts w:cs="宋体"/>
          <w:kern w:val="0"/>
          <w:sz w:val="24"/>
        </w:rPr>
        <w:t>18.4</w:t>
      </w:r>
      <w:r>
        <w:rPr>
          <w:rFonts w:hint="eastAsia" w:cs="宋体"/>
          <w:kern w:val="0"/>
          <w:sz w:val="24"/>
        </w:rPr>
        <w:t>℃，最冷月为</w:t>
      </w:r>
      <w:r>
        <w:rPr>
          <w:rFonts w:cs="宋体"/>
          <w:kern w:val="0"/>
          <w:sz w:val="24"/>
        </w:rPr>
        <w:t>1</w:t>
      </w:r>
      <w:r>
        <w:rPr>
          <w:rFonts w:hint="eastAsia" w:cs="宋体"/>
          <w:kern w:val="0"/>
          <w:sz w:val="24"/>
        </w:rPr>
        <w:t>月份，月平均气温</w:t>
      </w:r>
      <w:r>
        <w:rPr>
          <w:rFonts w:cs="宋体"/>
          <w:kern w:val="0"/>
          <w:sz w:val="24"/>
        </w:rPr>
        <w:t>4.9</w:t>
      </w:r>
      <w:r>
        <w:rPr>
          <w:rFonts w:hint="eastAsia" w:cs="宋体"/>
          <w:kern w:val="0"/>
          <w:sz w:val="24"/>
        </w:rPr>
        <w:t>℃，最热月为</w:t>
      </w:r>
      <w:r>
        <w:rPr>
          <w:rFonts w:cs="宋体"/>
          <w:kern w:val="0"/>
          <w:sz w:val="24"/>
        </w:rPr>
        <w:t>7</w:t>
      </w:r>
      <w:r>
        <w:rPr>
          <w:rFonts w:hint="eastAsia" w:cs="宋体"/>
          <w:kern w:val="0"/>
          <w:sz w:val="24"/>
        </w:rPr>
        <w:t>月份，月平均气温</w:t>
      </w:r>
      <w:r>
        <w:rPr>
          <w:rFonts w:cs="宋体"/>
          <w:kern w:val="0"/>
          <w:sz w:val="24"/>
        </w:rPr>
        <w:t>30.0</w:t>
      </w:r>
      <w:r>
        <w:rPr>
          <w:rFonts w:hint="eastAsia" w:cs="宋体"/>
          <w:kern w:val="0"/>
          <w:sz w:val="24"/>
        </w:rPr>
        <w:t>℃；</w:t>
      </w:r>
    </w:p>
    <w:p>
      <w:pPr>
        <w:spacing w:line="480" w:lineRule="exact"/>
        <w:ind w:firstLine="31680" w:firstLineChars="200"/>
        <w:rPr>
          <w:rFonts w:cs="宋体"/>
          <w:kern w:val="0"/>
          <w:sz w:val="24"/>
        </w:rPr>
      </w:pPr>
      <w:r>
        <w:rPr>
          <w:rFonts w:hint="eastAsia" w:cs="宋体"/>
          <w:kern w:val="0"/>
          <w:sz w:val="24"/>
        </w:rPr>
        <w:t>（</w:t>
      </w:r>
      <w:r>
        <w:rPr>
          <w:rFonts w:cs="宋体"/>
          <w:kern w:val="0"/>
          <w:sz w:val="24"/>
        </w:rPr>
        <w:t>2</w:t>
      </w:r>
      <w:r>
        <w:rPr>
          <w:rFonts w:hint="eastAsia" w:cs="宋体"/>
          <w:kern w:val="0"/>
          <w:sz w:val="24"/>
        </w:rPr>
        <w:t>）降水量：年平均降水量</w:t>
      </w:r>
      <w:r>
        <w:rPr>
          <w:rFonts w:cs="宋体"/>
          <w:kern w:val="0"/>
          <w:sz w:val="24"/>
        </w:rPr>
        <w:t>1450.8mm</w:t>
      </w:r>
      <w:r>
        <w:rPr>
          <w:rFonts w:hint="eastAsia" w:cs="宋体"/>
          <w:kern w:val="0"/>
          <w:sz w:val="24"/>
        </w:rPr>
        <w:t>，最大暴雨量</w:t>
      </w:r>
      <w:r>
        <w:rPr>
          <w:rFonts w:cs="宋体"/>
          <w:kern w:val="0"/>
          <w:sz w:val="24"/>
        </w:rPr>
        <w:t>30mm/h</w:t>
      </w:r>
      <w:r>
        <w:rPr>
          <w:rFonts w:hint="eastAsia" w:cs="宋体"/>
          <w:kern w:val="0"/>
          <w:sz w:val="24"/>
        </w:rPr>
        <w:t>；降水分布不均匀，降水量主要集中在春、夏、秋三个季节，尤其以夏季降水量为最大，超过年总降水量的</w:t>
      </w:r>
      <w:r>
        <w:rPr>
          <w:rFonts w:cs="宋体"/>
          <w:kern w:val="0"/>
          <w:sz w:val="24"/>
        </w:rPr>
        <w:t>1/3</w:t>
      </w:r>
      <w:r>
        <w:rPr>
          <w:rFonts w:hint="eastAsia" w:cs="宋体"/>
          <w:kern w:val="0"/>
          <w:sz w:val="24"/>
        </w:rPr>
        <w:t>；年均降雪日数为</w:t>
      </w:r>
      <w:r>
        <w:rPr>
          <w:rFonts w:cs="宋体"/>
          <w:kern w:val="0"/>
          <w:sz w:val="24"/>
        </w:rPr>
        <w:t>10.5d</w:t>
      </w:r>
      <w:r>
        <w:rPr>
          <w:rFonts w:hint="eastAsia" w:cs="宋体"/>
          <w:kern w:val="0"/>
          <w:sz w:val="24"/>
        </w:rPr>
        <w:t>，积雪厚度最大为</w:t>
      </w:r>
      <w:r>
        <w:rPr>
          <w:rFonts w:cs="宋体"/>
          <w:kern w:val="0"/>
          <w:sz w:val="24"/>
        </w:rPr>
        <w:t>10cm</w:t>
      </w:r>
      <w:r>
        <w:rPr>
          <w:rFonts w:hint="eastAsia" w:cs="宋体"/>
          <w:kern w:val="0"/>
          <w:sz w:val="24"/>
        </w:rPr>
        <w:t>；</w:t>
      </w:r>
    </w:p>
    <w:p>
      <w:pPr>
        <w:spacing w:line="480" w:lineRule="exact"/>
        <w:ind w:firstLine="31680" w:firstLineChars="200"/>
        <w:rPr>
          <w:rFonts w:cs="宋体"/>
          <w:kern w:val="0"/>
          <w:sz w:val="24"/>
        </w:rPr>
      </w:pPr>
      <w:r>
        <w:rPr>
          <w:rFonts w:hint="eastAsia" w:cs="宋体"/>
          <w:kern w:val="0"/>
          <w:sz w:val="24"/>
        </w:rPr>
        <w:t>（</w:t>
      </w:r>
      <w:r>
        <w:rPr>
          <w:rFonts w:cs="宋体"/>
          <w:kern w:val="0"/>
          <w:sz w:val="24"/>
        </w:rPr>
        <w:t>3</w:t>
      </w:r>
      <w:r>
        <w:rPr>
          <w:rFonts w:hint="eastAsia" w:cs="宋体"/>
          <w:kern w:val="0"/>
          <w:sz w:val="24"/>
        </w:rPr>
        <w:t>）风向：全年盛行风向为北风，以北风和西北风为最多，各占累计年风向的</w:t>
      </w:r>
      <w:r>
        <w:rPr>
          <w:rFonts w:cs="宋体"/>
          <w:kern w:val="0"/>
          <w:sz w:val="24"/>
        </w:rPr>
        <w:t>12%</w:t>
      </w:r>
      <w:r>
        <w:rPr>
          <w:rFonts w:hint="eastAsia" w:cs="宋体"/>
          <w:kern w:val="0"/>
          <w:sz w:val="24"/>
        </w:rPr>
        <w:t>；其次是偏南风（</w:t>
      </w:r>
      <w:r>
        <w:rPr>
          <w:rFonts w:cs="宋体"/>
          <w:kern w:val="0"/>
          <w:sz w:val="24"/>
        </w:rPr>
        <w:t>6</w:t>
      </w:r>
      <w:r>
        <w:rPr>
          <w:rFonts w:hint="eastAsia" w:cs="宋体"/>
          <w:kern w:val="0"/>
          <w:sz w:val="24"/>
        </w:rPr>
        <w:t>、</w:t>
      </w:r>
      <w:r>
        <w:rPr>
          <w:rFonts w:cs="宋体"/>
          <w:kern w:val="0"/>
          <w:sz w:val="24"/>
        </w:rPr>
        <w:t>7</w:t>
      </w:r>
      <w:r>
        <w:rPr>
          <w:rFonts w:hint="eastAsia" w:cs="宋体"/>
          <w:kern w:val="0"/>
          <w:sz w:val="24"/>
        </w:rPr>
        <w:t>月）。静风多出现在夜间，占累计年风向的</w:t>
      </w:r>
      <w:r>
        <w:rPr>
          <w:rFonts w:cs="宋体"/>
          <w:kern w:val="0"/>
          <w:sz w:val="24"/>
        </w:rPr>
        <w:t>15%</w:t>
      </w:r>
      <w:r>
        <w:rPr>
          <w:rFonts w:hint="eastAsia" w:cs="宋体"/>
          <w:kern w:val="0"/>
          <w:sz w:val="24"/>
        </w:rPr>
        <w:t>；</w:t>
      </w:r>
    </w:p>
    <w:p>
      <w:pPr>
        <w:spacing w:line="480" w:lineRule="exact"/>
        <w:ind w:firstLine="31680" w:firstLineChars="200"/>
        <w:rPr>
          <w:rFonts w:cs="宋体"/>
          <w:kern w:val="0"/>
          <w:sz w:val="24"/>
        </w:rPr>
      </w:pPr>
      <w:r>
        <w:rPr>
          <w:rFonts w:hint="eastAsia" w:cs="宋体"/>
          <w:kern w:val="0"/>
          <w:sz w:val="24"/>
        </w:rPr>
        <w:t>（</w:t>
      </w:r>
      <w:r>
        <w:rPr>
          <w:rFonts w:cs="宋体"/>
          <w:kern w:val="0"/>
          <w:sz w:val="24"/>
        </w:rPr>
        <w:t>4</w:t>
      </w:r>
      <w:r>
        <w:rPr>
          <w:rFonts w:hint="eastAsia" w:cs="宋体"/>
          <w:kern w:val="0"/>
          <w:sz w:val="24"/>
        </w:rPr>
        <w:t>）风速：年平均风速</w:t>
      </w:r>
      <w:r>
        <w:rPr>
          <w:rFonts w:cs="宋体"/>
          <w:kern w:val="0"/>
          <w:sz w:val="24"/>
        </w:rPr>
        <w:t>1.8m/s</w:t>
      </w:r>
      <w:r>
        <w:rPr>
          <w:rFonts w:hint="eastAsia" w:cs="宋体"/>
          <w:kern w:val="0"/>
          <w:sz w:val="24"/>
        </w:rPr>
        <w:t>，常年主导风向为东南风；冬季主导风向为北北西风、北风；夏季主导风向为东南南风；</w:t>
      </w:r>
    </w:p>
    <w:p>
      <w:pPr>
        <w:spacing w:line="360" w:lineRule="auto"/>
        <w:ind w:firstLine="31680" w:firstLineChars="200"/>
        <w:rPr>
          <w:sz w:val="24"/>
        </w:rPr>
      </w:pPr>
      <w:r>
        <w:rPr>
          <w:rFonts w:hint="eastAsia" w:cs="宋体"/>
          <w:kern w:val="0"/>
          <w:sz w:val="24"/>
        </w:rPr>
        <w:t>（</w:t>
      </w:r>
      <w:r>
        <w:rPr>
          <w:rFonts w:cs="宋体"/>
          <w:kern w:val="0"/>
          <w:sz w:val="24"/>
        </w:rPr>
        <w:t>5</w:t>
      </w:r>
      <w:r>
        <w:rPr>
          <w:rFonts w:hint="eastAsia" w:cs="宋体"/>
          <w:kern w:val="0"/>
          <w:sz w:val="24"/>
        </w:rPr>
        <w:t>）其它：年平均霜日数</w:t>
      </w:r>
      <w:r>
        <w:rPr>
          <w:rFonts w:cs="宋体"/>
          <w:kern w:val="0"/>
          <w:sz w:val="24"/>
        </w:rPr>
        <w:t>24.8</w:t>
      </w:r>
      <w:r>
        <w:rPr>
          <w:rFonts w:hint="eastAsia" w:cs="宋体"/>
          <w:kern w:val="0"/>
          <w:sz w:val="24"/>
        </w:rPr>
        <w:t>天，年均湿度为</w:t>
      </w:r>
      <w:r>
        <w:rPr>
          <w:rFonts w:cs="宋体"/>
          <w:kern w:val="0"/>
          <w:sz w:val="24"/>
        </w:rPr>
        <w:t>81%</w:t>
      </w:r>
      <w:r>
        <w:rPr>
          <w:rFonts w:hint="eastAsia" w:cs="宋体"/>
          <w:kern w:val="0"/>
          <w:sz w:val="24"/>
        </w:rPr>
        <w:t>，年均蒸发量为</w:t>
      </w:r>
      <w:r>
        <w:rPr>
          <w:rFonts w:cs="宋体"/>
          <w:kern w:val="0"/>
          <w:sz w:val="24"/>
        </w:rPr>
        <w:t>1727.9mm</w:t>
      </w:r>
      <w:r>
        <w:rPr>
          <w:rFonts w:hint="eastAsia" w:cs="宋体"/>
          <w:kern w:val="0"/>
          <w:sz w:val="24"/>
        </w:rPr>
        <w:t>。</w:t>
      </w:r>
    </w:p>
    <w:p>
      <w:pPr>
        <w:pStyle w:val="5"/>
        <w:widowControl/>
        <w:ind w:left="567" w:hanging="567"/>
      </w:pPr>
      <w:r>
        <w:rPr>
          <w:rFonts w:hint="eastAsia"/>
        </w:rPr>
        <w:t>生态环境</w:t>
      </w:r>
    </w:p>
    <w:p>
      <w:pPr>
        <w:pStyle w:val="6"/>
        <w:ind w:left="567" w:hanging="567"/>
      </w:pPr>
      <w:r>
        <w:rPr>
          <w:rFonts w:hint="eastAsia"/>
        </w:rPr>
        <w:t>土壤</w:t>
      </w:r>
    </w:p>
    <w:p>
      <w:pPr>
        <w:spacing w:line="480" w:lineRule="exact"/>
        <w:ind w:firstLine="31680" w:firstLineChars="200"/>
        <w:rPr>
          <w:rFonts w:cs="宋体"/>
          <w:kern w:val="0"/>
          <w:sz w:val="24"/>
        </w:rPr>
      </w:pPr>
      <w:r>
        <w:rPr>
          <w:rFonts w:hint="eastAsia" w:cs="宋体"/>
          <w:kern w:val="0"/>
          <w:sz w:val="24"/>
        </w:rPr>
        <w:t>本项目区成土母质为第四纪松散堆积物，包括第四纪红色粘土的近代河湖冲积物，两者母质均为外源物。土壤种类有浅黄色泥土、红黄泥土、青夹泥土、红泥土。土层深厚、质地粘重，呈酸性，磷钾缺乏，保水保肥性能较好。河湖冲积物形成紫河沙泥田、紫河沙田、河沙土，土层浑厚，土质疏松，养分较丰富。</w:t>
      </w:r>
    </w:p>
    <w:p>
      <w:pPr>
        <w:pStyle w:val="6"/>
        <w:ind w:left="567" w:hanging="567"/>
      </w:pPr>
      <w:r>
        <w:rPr>
          <w:rFonts w:hint="eastAsia"/>
        </w:rPr>
        <w:t>农业植被与其它</w:t>
      </w:r>
    </w:p>
    <w:p>
      <w:pPr>
        <w:pStyle w:val="3"/>
        <w:ind w:firstLine="31680"/>
        <w:rPr>
          <w:color w:val="auto"/>
        </w:rPr>
      </w:pPr>
      <w:r>
        <w:rPr>
          <w:rFonts w:hint="eastAsia"/>
        </w:rPr>
        <w:t>本项目沿线主要粮食作物以水稻为主，也有少量的玉米、豆类等；经济作物有葡萄、蔬菜、油菜、西瓜等。沿线地区</w:t>
      </w:r>
      <w:r>
        <w:rPr>
          <w:rFonts w:hint="eastAsia"/>
          <w:color w:val="auto"/>
        </w:rPr>
        <w:t>养的牲畜主要有牛、猪、鸡、鸭等。本项目沿线农业植被详见图</w:t>
      </w:r>
      <w:r>
        <w:rPr>
          <w:color w:val="auto"/>
        </w:rPr>
        <w:t>4.1-1</w:t>
      </w:r>
      <w:r>
        <w:rPr>
          <w:rFonts w:hint="eastAsia"/>
          <w:color w:val="auto"/>
        </w:rPr>
        <w:t>。</w:t>
      </w:r>
    </w:p>
    <w:tbl>
      <w:tblPr>
        <w:tblStyle w:val="65"/>
        <w:tblW w:w="8918" w:type="dxa"/>
        <w:jc w:val="center"/>
        <w:tblInd w:w="0" w:type="dxa"/>
        <w:tblLayout w:type="fixed"/>
        <w:tblCellMar>
          <w:top w:w="0" w:type="dxa"/>
          <w:left w:w="108" w:type="dxa"/>
          <w:bottom w:w="0" w:type="dxa"/>
          <w:right w:w="108" w:type="dxa"/>
        </w:tblCellMar>
      </w:tblPr>
      <w:tblGrid>
        <w:gridCol w:w="4979"/>
        <w:gridCol w:w="3939"/>
      </w:tblGrid>
      <w:tr>
        <w:tblPrEx>
          <w:tblLayout w:type="fixed"/>
        </w:tblPrEx>
        <w:trPr>
          <w:trHeight w:val="2438" w:hRule="atLeast"/>
          <w:jc w:val="center"/>
        </w:trPr>
        <w:tc>
          <w:tcPr>
            <w:tcW w:w="4979" w:type="dxa"/>
            <w:vAlign w:val="center"/>
          </w:tcPr>
          <w:p>
            <w:pPr>
              <w:adjustRightInd w:val="0"/>
              <w:snapToGrid w:val="0"/>
              <w:jc w:val="left"/>
              <w:rPr>
                <w:highlight w:val="yellow"/>
              </w:rPr>
            </w:pPr>
            <w:r>
              <w:pict>
                <v:shape id="_x0000_i1043" o:spt="75" alt="20170110_133142" type="#_x0000_t75" style="height:132pt;width:130.5pt;rotation:5898240f;" filled="f" o:preferrelative="t" stroked="f" coordsize="21600,21600">
                  <v:path/>
                  <v:fill on="f" focussize="0,0"/>
                  <v:stroke on="f" joinstyle="miter"/>
                  <v:imagedata r:id="rId36" cropleft="28796f" o:title=""/>
                  <o:lock v:ext="edit" aspectratio="t"/>
                  <w10:wrap type="none"/>
                  <w10:anchorlock/>
                </v:shape>
              </w:pict>
            </w:r>
          </w:p>
        </w:tc>
        <w:tc>
          <w:tcPr>
            <w:tcW w:w="3939" w:type="dxa"/>
            <w:vAlign w:val="center"/>
          </w:tcPr>
          <w:p>
            <w:pPr>
              <w:adjustRightInd w:val="0"/>
              <w:snapToGrid w:val="0"/>
              <w:rPr>
                <w:highlight w:val="yellow"/>
              </w:rPr>
            </w:pPr>
            <w:r>
              <w:pict>
                <v:shape id="_x0000_i1044" o:spt="75" alt="90BA647A9067E96B66F132EDFC3A9554" type="#_x0000_t75" style="height:120.75pt;width:159.75pt;" filled="f" o:preferrelative="t" stroked="f" coordsize="21600,21600">
                  <v:path/>
                  <v:fill on="f" focussize="0,0"/>
                  <v:stroke on="f" joinstyle="miter"/>
                  <v:imagedata r:id="rId37" o:title=""/>
                  <o:lock v:ext="edit" aspectratio="t"/>
                  <w10:wrap type="none"/>
                  <w10:anchorlock/>
                </v:shape>
              </w:pict>
            </w:r>
          </w:p>
        </w:tc>
      </w:tr>
    </w:tbl>
    <w:p>
      <w:pPr>
        <w:pStyle w:val="19"/>
        <w:jc w:val="center"/>
      </w:pPr>
      <w:r>
        <w:rPr>
          <w:rFonts w:hint="eastAsia"/>
        </w:rPr>
        <w:t>图</w:t>
      </w:r>
      <w:r>
        <w:t xml:space="preserve">5.1-1   </w:t>
      </w:r>
      <w:r>
        <w:rPr>
          <w:rFonts w:hint="eastAsia"/>
        </w:rPr>
        <w:t>项目沿线主要农业植被</w:t>
      </w:r>
    </w:p>
    <w:p>
      <w:pPr>
        <w:pStyle w:val="6"/>
        <w:tabs>
          <w:tab w:val="left" w:pos="360"/>
        </w:tabs>
        <w:ind w:left="567" w:hanging="567"/>
      </w:pPr>
      <w:r>
        <w:rPr>
          <w:rFonts w:hint="eastAsia"/>
        </w:rPr>
        <w:t>森林植被及古大树分布调查</w:t>
      </w:r>
    </w:p>
    <w:p>
      <w:pPr>
        <w:pStyle w:val="3"/>
        <w:ind w:firstLine="31680"/>
      </w:pPr>
      <w:r>
        <w:rPr>
          <w:rFonts w:hint="eastAsia"/>
        </w:rPr>
        <w:t>汨罗市属</w:t>
      </w:r>
      <w:r>
        <w:fldChar w:fldCharType="begin"/>
      </w:r>
      <w:r>
        <w:instrText xml:space="preserve"> HYPERLINK "http://baike.sogou.com/lemma/ShowInnerLink.htm?lemmaId=73015631" \t "http://baike.sogou.com/_blank" </w:instrText>
      </w:r>
      <w:r>
        <w:fldChar w:fldCharType="separate"/>
      </w:r>
      <w:r>
        <w:rPr>
          <w:rFonts w:hint="eastAsia"/>
        </w:rPr>
        <w:t>亚热带常绿阔叶林</w:t>
      </w:r>
      <w:r>
        <w:rPr>
          <w:rFonts w:hint="eastAsia"/>
        </w:rPr>
        <w:fldChar w:fldCharType="end"/>
      </w:r>
      <w:r>
        <w:rPr>
          <w:rFonts w:hint="eastAsia"/>
        </w:rPr>
        <w:t>区，植物资源十分丰富。境内共有</w:t>
      </w:r>
      <w:r>
        <w:fldChar w:fldCharType="begin"/>
      </w:r>
      <w:r>
        <w:instrText xml:space="preserve"> HYPERLINK "http://baike.sogou.com/lemma/ShowInnerLink.htm?lemmaId=58385" \t "http://baike.sogou.com/_blank" </w:instrText>
      </w:r>
      <w:r>
        <w:fldChar w:fldCharType="separate"/>
      </w:r>
      <w:r>
        <w:rPr>
          <w:rFonts w:hint="eastAsia"/>
        </w:rPr>
        <w:t>蕨类植物</w:t>
      </w:r>
      <w:r>
        <w:rPr>
          <w:rFonts w:hint="eastAsia"/>
        </w:rPr>
        <w:fldChar w:fldCharType="end"/>
      </w:r>
      <w:r>
        <w:t>15</w:t>
      </w:r>
      <w:r>
        <w:rPr>
          <w:rFonts w:hint="eastAsia"/>
        </w:rPr>
        <w:t>科，</w:t>
      </w:r>
      <w:r>
        <w:t>25</w:t>
      </w:r>
      <w:r>
        <w:rPr>
          <w:rFonts w:hint="eastAsia"/>
        </w:rPr>
        <w:t>种；</w:t>
      </w:r>
      <w:r>
        <w:fldChar w:fldCharType="begin"/>
      </w:r>
      <w:r>
        <w:instrText xml:space="preserve"> HYPERLINK "http://baike.sogou.com/lemma/ShowInnerLink.htm?lemmaId=58460" \t "http://baike.sogou.com/_blank" </w:instrText>
      </w:r>
      <w:r>
        <w:fldChar w:fldCharType="separate"/>
      </w:r>
      <w:r>
        <w:rPr>
          <w:rFonts w:hint="eastAsia"/>
        </w:rPr>
        <w:t>裸子植物</w:t>
      </w:r>
      <w:r>
        <w:rPr>
          <w:rFonts w:hint="eastAsia"/>
        </w:rPr>
        <w:fldChar w:fldCharType="end"/>
      </w:r>
      <w:r>
        <w:t>7</w:t>
      </w:r>
      <w:r>
        <w:rPr>
          <w:rFonts w:hint="eastAsia"/>
        </w:rPr>
        <w:t>科，</w:t>
      </w:r>
      <w:r>
        <w:t>13</w:t>
      </w:r>
      <w:r>
        <w:rPr>
          <w:rFonts w:hint="eastAsia"/>
        </w:rPr>
        <w:t>种；</w:t>
      </w:r>
      <w:r>
        <w:fldChar w:fldCharType="begin"/>
      </w:r>
      <w:r>
        <w:instrText xml:space="preserve"> HYPERLINK "http://baike.sogou.com/lemma/ShowInnerLink.htm?lemmaId=58441" \t "http://baike.sogou.com/_blank" </w:instrText>
      </w:r>
      <w:r>
        <w:fldChar w:fldCharType="separate"/>
      </w:r>
      <w:r>
        <w:rPr>
          <w:rFonts w:hint="eastAsia"/>
        </w:rPr>
        <w:t>被子植物</w:t>
      </w:r>
      <w:r>
        <w:rPr>
          <w:rFonts w:hint="eastAsia"/>
        </w:rPr>
        <w:fldChar w:fldCharType="end"/>
      </w:r>
      <w:r>
        <w:t>94</w:t>
      </w:r>
      <w:r>
        <w:rPr>
          <w:rFonts w:hint="eastAsia"/>
        </w:rPr>
        <w:t>科，</w:t>
      </w:r>
      <w:r>
        <w:t>383</w:t>
      </w:r>
      <w:r>
        <w:rPr>
          <w:rFonts w:hint="eastAsia"/>
        </w:rPr>
        <w:t>种。其中有培植的</w:t>
      </w:r>
      <w:r>
        <w:t>48</w:t>
      </w:r>
      <w:r>
        <w:rPr>
          <w:rFonts w:hint="eastAsia"/>
        </w:rPr>
        <w:t>科，</w:t>
      </w:r>
      <w:r>
        <w:t>253</w:t>
      </w:r>
      <w:r>
        <w:rPr>
          <w:rFonts w:hint="eastAsia"/>
        </w:rPr>
        <w:t>种，有实用推广价值的达</w:t>
      </w:r>
      <w:r>
        <w:t>180</w:t>
      </w:r>
      <w:r>
        <w:rPr>
          <w:rFonts w:hint="eastAsia"/>
        </w:rPr>
        <w:t>余种。属国家保护的有水杉、银杏、杜仲等，主要用材树种有松、杉、樟、檫、楠竹等。本项目沿线森林植被详见图</w:t>
      </w:r>
      <w:r>
        <w:t>5.1-2</w:t>
      </w:r>
      <w:r>
        <w:rPr>
          <w:rFonts w:hint="eastAsia"/>
        </w:rPr>
        <w:t>。</w:t>
      </w:r>
    </w:p>
    <w:p>
      <w:pPr>
        <w:pStyle w:val="3"/>
        <w:ind w:firstLine="31680"/>
      </w:pPr>
      <w:r>
        <w:t xml:space="preserve"> </w:t>
      </w:r>
      <w:r>
        <w:pict>
          <v:shape id="_x0000_i1045" o:spt="75" alt="mmexport1484102566908" type="#_x0000_t75" style="height:135pt;width:180pt;" filled="f" o:preferrelative="t" stroked="f" coordsize="21600,21600">
            <v:path/>
            <v:fill on="f" focussize="0,0"/>
            <v:stroke on="f" joinstyle="miter"/>
            <v:imagedata r:id="rId38" o:title=""/>
            <o:lock v:ext="edit" aspectratio="t"/>
            <w10:wrap type="none"/>
            <w10:anchorlock/>
          </v:shape>
        </w:pict>
      </w:r>
      <w:r>
        <w:t xml:space="preserve">      </w:t>
      </w:r>
      <w:r>
        <w:pict>
          <v:shape id="_x0000_i1046" o:spt="75" alt="mmexport1484102564270" type="#_x0000_t75" style="height:132pt;width:174pt;" filled="f" o:preferrelative="t" stroked="f" coordsize="21600,21600">
            <v:path/>
            <v:fill on="f" focussize="0,0"/>
            <v:stroke on="f" joinstyle="miter"/>
            <v:imagedata r:id="rId39" o:title=""/>
            <o:lock v:ext="edit" aspectratio="t"/>
            <w10:wrap type="none"/>
            <w10:anchorlock/>
          </v:shape>
        </w:pict>
      </w:r>
    </w:p>
    <w:p>
      <w:pPr>
        <w:pStyle w:val="19"/>
        <w:jc w:val="center"/>
      </w:pPr>
      <w:r>
        <w:rPr>
          <w:rFonts w:hint="eastAsia"/>
        </w:rPr>
        <w:t>图</w:t>
      </w:r>
      <w:r>
        <w:t xml:space="preserve">5.1-2    </w:t>
      </w:r>
      <w:r>
        <w:rPr>
          <w:rFonts w:hint="eastAsia"/>
        </w:rPr>
        <w:t>项目沿线典型植被</w:t>
      </w:r>
    </w:p>
    <w:p>
      <w:pPr>
        <w:pStyle w:val="6"/>
        <w:tabs>
          <w:tab w:val="left" w:pos="360"/>
        </w:tabs>
        <w:ind w:left="567" w:hanging="567"/>
      </w:pPr>
      <w:r>
        <w:rPr>
          <w:rFonts w:hint="eastAsia"/>
        </w:rPr>
        <w:t>动物资源现状</w:t>
      </w:r>
    </w:p>
    <w:p>
      <w:pPr>
        <w:pStyle w:val="3"/>
        <w:ind w:firstLine="31680"/>
      </w:pPr>
      <w:r>
        <w:t>a</w:t>
      </w:r>
      <w:r>
        <w:rPr>
          <w:rFonts w:hint="eastAsia"/>
        </w:rPr>
        <w:t>）陆生动物</w:t>
      </w:r>
    </w:p>
    <w:p>
      <w:pPr>
        <w:pStyle w:val="3"/>
        <w:ind w:firstLine="31680"/>
      </w:pPr>
      <w:r>
        <w:rPr>
          <w:rFonts w:hint="eastAsia"/>
        </w:rPr>
        <w:t>汨罗市境属亚热带季风气候地带，野生动物属亚热带林灌丛、草地</w:t>
      </w:r>
      <w:r>
        <w:t>——</w:t>
      </w:r>
      <w:r>
        <w:rPr>
          <w:rFonts w:hint="eastAsia"/>
        </w:rPr>
        <w:t>农田动物群，常见的动物优势种类，多为适应生存于丘岗农田和居民区的类群，主要以鼠型啮齿类和食谷、食虫的篱园雀型鸟类组成，林栖兽类已少见。</w:t>
      </w:r>
    </w:p>
    <w:p>
      <w:pPr>
        <w:pStyle w:val="3"/>
        <w:ind w:firstLine="31680"/>
      </w:pPr>
      <w:r>
        <w:rPr>
          <w:rFonts w:hint="eastAsia"/>
        </w:rPr>
        <w:t>现场调查与了解表明本项目评价范围主要动物物种有斑鸠、喜雀、啄木鸟、麻雀等鸟类及鼠类、蛙类、蛇类，无国家保护野生动物与珍稀濒危野生动物。</w:t>
      </w:r>
    </w:p>
    <w:p>
      <w:pPr>
        <w:pStyle w:val="3"/>
        <w:ind w:firstLine="31680"/>
      </w:pPr>
      <w:r>
        <w:t>b</w:t>
      </w:r>
      <w:r>
        <w:rPr>
          <w:rFonts w:hint="eastAsia"/>
        </w:rPr>
        <w:t>）水生生物</w:t>
      </w:r>
    </w:p>
    <w:p>
      <w:pPr>
        <w:pStyle w:val="3"/>
        <w:ind w:firstLine="31680"/>
      </w:pPr>
      <w:r>
        <w:rPr>
          <w:rFonts w:hint="eastAsia"/>
        </w:rPr>
        <w:t>汨罗市境内鱼类以鲤科鱼类为大宗，两栖类最普遍的优势种是生活于农耕环境中的蛙类。</w:t>
      </w:r>
    </w:p>
    <w:p>
      <w:pPr>
        <w:pStyle w:val="3"/>
        <w:ind w:firstLine="31680"/>
      </w:pPr>
      <w:r>
        <w:rPr>
          <w:rFonts w:hint="eastAsia"/>
        </w:rPr>
        <w:t>现场调查与了解表明本项目涉及水域主要为地表水汇集的溪沟，较常见的鱼类主要有泥鳅、草鱼、鲫鱼、黄鳝等，项目评价范围内无国家野生保护动物与珍稀濒危野生动物。</w:t>
      </w:r>
    </w:p>
    <w:p>
      <w:pPr>
        <w:pStyle w:val="6"/>
        <w:tabs>
          <w:tab w:val="left" w:pos="360"/>
        </w:tabs>
        <w:ind w:left="567" w:hanging="567"/>
      </w:pPr>
      <w:r>
        <w:rPr>
          <w:rFonts w:hint="eastAsia"/>
        </w:rPr>
        <w:t>沿线景观现状</w:t>
      </w:r>
    </w:p>
    <w:p>
      <w:pPr>
        <w:pStyle w:val="3"/>
        <w:ind w:firstLine="31680"/>
      </w:pPr>
      <w:r>
        <w:rPr>
          <w:rFonts w:hint="eastAsia"/>
        </w:rPr>
        <w:t>根据项目沿线区域气候、地貌、植被及人类活动的影响特点，将沿线景观主要划分为林地景观、农田景观、农村居民点景观、集镇景观、道路景观等</w:t>
      </w:r>
      <w:r>
        <w:t>5</w:t>
      </w:r>
      <w:r>
        <w:rPr>
          <w:rFonts w:hint="eastAsia"/>
        </w:rPr>
        <w:t>种景观类型，沿线景观分布情况详见表</w:t>
      </w:r>
      <w:r>
        <w:t>5.1-1</w:t>
      </w:r>
      <w:r>
        <w:rPr>
          <w:rFonts w:hint="eastAsia"/>
        </w:rPr>
        <w:t>。</w:t>
      </w:r>
    </w:p>
    <w:p>
      <w:pPr>
        <w:pStyle w:val="19"/>
        <w:jc w:val="center"/>
      </w:pPr>
      <w:r>
        <w:rPr>
          <w:rFonts w:hint="eastAsia"/>
        </w:rPr>
        <w:t>表</w:t>
      </w:r>
      <w:r>
        <w:t xml:space="preserve">5.1-1   </w:t>
      </w:r>
      <w:r>
        <w:rPr>
          <w:rFonts w:hint="eastAsia"/>
        </w:rPr>
        <w:t>项目沿线景观类型分布情况</w:t>
      </w:r>
    </w:p>
    <w:tbl>
      <w:tblPr>
        <w:tblStyle w:val="65"/>
        <w:tblW w:w="88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850"/>
        <w:gridCol w:w="6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blHeader/>
          <w:jc w:val="center"/>
        </w:trPr>
        <w:tc>
          <w:tcPr>
            <w:tcW w:w="1850" w:type="dxa"/>
            <w:vAlign w:val="center"/>
          </w:tcPr>
          <w:p>
            <w:pPr>
              <w:pStyle w:val="112"/>
            </w:pPr>
            <w:r>
              <w:rPr>
                <w:rFonts w:hint="eastAsia"/>
              </w:rPr>
              <w:t>景观类型</w:t>
            </w:r>
          </w:p>
        </w:tc>
        <w:tc>
          <w:tcPr>
            <w:tcW w:w="6966" w:type="dxa"/>
            <w:vAlign w:val="center"/>
          </w:tcPr>
          <w:p>
            <w:pPr>
              <w:pStyle w:val="112"/>
            </w:pPr>
            <w:r>
              <w:rPr>
                <w:rFonts w:hint="eastAsia"/>
              </w:rPr>
              <w:t>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tblHeader/>
          <w:jc w:val="center"/>
        </w:trPr>
        <w:tc>
          <w:tcPr>
            <w:tcW w:w="1850" w:type="dxa"/>
            <w:vAlign w:val="center"/>
          </w:tcPr>
          <w:p>
            <w:pPr>
              <w:pStyle w:val="112"/>
            </w:pPr>
            <w:r>
              <w:rPr>
                <w:rFonts w:hint="eastAsia"/>
              </w:rPr>
              <w:t>林地景观</w:t>
            </w:r>
          </w:p>
        </w:tc>
        <w:tc>
          <w:tcPr>
            <w:tcW w:w="6966" w:type="dxa"/>
            <w:vAlign w:val="center"/>
          </w:tcPr>
          <w:p>
            <w:pPr>
              <w:pStyle w:val="112"/>
            </w:pPr>
            <w:r>
              <w:rPr>
                <w:rFonts w:hint="eastAsia"/>
              </w:rPr>
              <w:t>项目沿线林地分布广泛，森林资源丰富，树种多样，形成了林地景观。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50" w:type="dxa"/>
            <w:vAlign w:val="center"/>
          </w:tcPr>
          <w:p>
            <w:pPr>
              <w:pStyle w:val="112"/>
            </w:pPr>
            <w:r>
              <w:rPr>
                <w:rFonts w:hint="eastAsia"/>
              </w:rPr>
              <w:t>农田景观</w:t>
            </w:r>
          </w:p>
        </w:tc>
        <w:tc>
          <w:tcPr>
            <w:tcW w:w="6966" w:type="dxa"/>
            <w:vAlign w:val="center"/>
          </w:tcPr>
          <w:p>
            <w:pPr>
              <w:pStyle w:val="112"/>
              <w:rPr>
                <w:bCs/>
              </w:rPr>
            </w:pPr>
            <w:r>
              <w:rPr>
                <w:rFonts w:hint="eastAsia"/>
              </w:rPr>
              <w:t>本项目沿线农田分布较多，主要用于种植水稻，也有少量的玉米、豆类、小麦等；经济作物有蔬菜、油菜和各种瓜类等。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50" w:type="dxa"/>
            <w:vAlign w:val="center"/>
          </w:tcPr>
          <w:p>
            <w:pPr>
              <w:pStyle w:val="112"/>
            </w:pPr>
            <w:r>
              <w:rPr>
                <w:rFonts w:hint="eastAsia"/>
              </w:rPr>
              <w:t>集镇景观</w:t>
            </w:r>
          </w:p>
        </w:tc>
        <w:tc>
          <w:tcPr>
            <w:tcW w:w="6966" w:type="dxa"/>
            <w:vAlign w:val="center"/>
          </w:tcPr>
          <w:p>
            <w:pPr>
              <w:pStyle w:val="112"/>
            </w:pPr>
            <w:r>
              <w:rPr>
                <w:rFonts w:hint="eastAsia"/>
              </w:rPr>
              <w:t>本项目途经桥头河镇镇区建成区与规划区以及渡头塘镇增加村集镇区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50" w:type="dxa"/>
            <w:vAlign w:val="center"/>
          </w:tcPr>
          <w:p>
            <w:pPr>
              <w:pStyle w:val="112"/>
            </w:pPr>
            <w:r>
              <w:rPr>
                <w:rFonts w:hint="eastAsia"/>
              </w:rPr>
              <w:t>农村居民点景观</w:t>
            </w:r>
          </w:p>
        </w:tc>
        <w:tc>
          <w:tcPr>
            <w:tcW w:w="6966" w:type="dxa"/>
            <w:vAlign w:val="center"/>
          </w:tcPr>
          <w:p>
            <w:pPr>
              <w:pStyle w:val="112"/>
            </w:pPr>
            <w:r>
              <w:rPr>
                <w:rFonts w:hint="eastAsia"/>
              </w:rPr>
              <w:t>农村居民点景观呈线状集中分布，零散居民较少，沿线以砖混房景观为主。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1850" w:type="dxa"/>
            <w:vAlign w:val="center"/>
          </w:tcPr>
          <w:p>
            <w:pPr>
              <w:pStyle w:val="112"/>
            </w:pPr>
            <w:r>
              <w:rPr>
                <w:rFonts w:hint="eastAsia"/>
              </w:rPr>
              <w:t>道路景观</w:t>
            </w:r>
          </w:p>
        </w:tc>
        <w:tc>
          <w:tcPr>
            <w:tcW w:w="6966" w:type="dxa"/>
            <w:vAlign w:val="center"/>
          </w:tcPr>
          <w:p>
            <w:pPr>
              <w:pStyle w:val="112"/>
            </w:pPr>
            <w:r>
              <w:rPr>
                <w:rFonts w:hint="eastAsia"/>
              </w:rPr>
              <w:t>老</w:t>
            </w:r>
            <w:r>
              <w:t>G107</w:t>
            </w:r>
            <w:r>
              <w:rPr>
                <w:rFonts w:hint="eastAsia"/>
              </w:rPr>
              <w:t>国道以及沿线与本项目相交的乡村道路。</w:t>
            </w:r>
          </w:p>
        </w:tc>
      </w:tr>
    </w:tbl>
    <w:p>
      <w:pPr>
        <w:pStyle w:val="6"/>
        <w:tabs>
          <w:tab w:val="left" w:pos="360"/>
        </w:tabs>
        <w:ind w:left="567" w:hanging="567"/>
      </w:pPr>
      <w:r>
        <w:rPr>
          <w:rFonts w:hint="eastAsia"/>
        </w:rPr>
        <w:t>水土流失</w:t>
      </w:r>
    </w:p>
    <w:p>
      <w:pPr>
        <w:pStyle w:val="3"/>
        <w:ind w:firstLine="31680"/>
      </w:pPr>
      <w:r>
        <w:rPr>
          <w:rFonts w:hint="eastAsia"/>
        </w:rPr>
        <w:t>根据《土壤侵蚀分类分级标准》（</w:t>
      </w:r>
      <w:r>
        <w:t>SL190-2007</w:t>
      </w:r>
      <w:r>
        <w:rPr>
          <w:rFonts w:hint="eastAsia"/>
        </w:rPr>
        <w:t>），项目区属于南方红壤丘陵区，土壤容许流失量为</w:t>
      </w:r>
      <w:r>
        <w:t>500t/km</w:t>
      </w:r>
      <w:r>
        <w:rPr>
          <w:vertAlign w:val="superscript"/>
        </w:rPr>
        <w:t>2</w:t>
      </w:r>
      <w:r>
        <w:t>a</w:t>
      </w:r>
      <w:r>
        <w:rPr>
          <w:rFonts w:hint="eastAsia"/>
        </w:rPr>
        <w:t>。该地区水土流失类型以水蚀为主，水蚀以面蚀和沟蚀为主。</w:t>
      </w:r>
    </w:p>
    <w:bookmarkEnd w:id="175"/>
    <w:bookmarkEnd w:id="176"/>
    <w:p>
      <w:pPr>
        <w:pStyle w:val="4"/>
        <w:widowControl/>
        <w:ind w:left="567" w:hanging="567"/>
        <w:jc w:val="left"/>
      </w:pPr>
      <w:bookmarkStart w:id="178" w:name="_Toc243202365"/>
      <w:bookmarkStart w:id="179" w:name="_Toc18060"/>
      <w:bookmarkStart w:id="180" w:name="_Toc219864548"/>
      <w:bookmarkStart w:id="181" w:name="_Toc15599"/>
      <w:bookmarkStart w:id="182" w:name="_Toc243276913"/>
      <w:bookmarkStart w:id="183" w:name="_Toc72202469"/>
      <w:bookmarkStart w:id="184" w:name="_Toc317762457"/>
      <w:bookmarkStart w:id="185" w:name="_Toc376443247"/>
      <w:bookmarkStart w:id="186" w:name="_Toc10472"/>
      <w:bookmarkStart w:id="187" w:name="_Toc84146392"/>
      <w:r>
        <w:rPr>
          <w:rFonts w:hint="eastAsia"/>
        </w:rPr>
        <w:t>社会环境</w:t>
      </w:r>
      <w:bookmarkEnd w:id="178"/>
      <w:bookmarkEnd w:id="179"/>
      <w:bookmarkEnd w:id="180"/>
      <w:bookmarkEnd w:id="181"/>
      <w:bookmarkEnd w:id="182"/>
      <w:bookmarkEnd w:id="183"/>
      <w:bookmarkEnd w:id="184"/>
      <w:bookmarkEnd w:id="185"/>
      <w:bookmarkEnd w:id="186"/>
      <w:bookmarkEnd w:id="187"/>
    </w:p>
    <w:p>
      <w:pPr>
        <w:pStyle w:val="5"/>
        <w:widowControl/>
        <w:ind w:left="567" w:hanging="567"/>
      </w:pPr>
      <w:bookmarkStart w:id="188" w:name="_Toc84146393"/>
      <w:bookmarkStart w:id="189" w:name="_Toc72921482"/>
      <w:bookmarkStart w:id="190" w:name="_Toc21248"/>
      <w:bookmarkStart w:id="191" w:name="_Toc219864549"/>
      <w:bookmarkStart w:id="192" w:name="_Toc73254501"/>
      <w:bookmarkStart w:id="193" w:name="_Toc2648"/>
      <w:bookmarkStart w:id="194" w:name="_Toc73857953"/>
      <w:r>
        <w:rPr>
          <w:rFonts w:hint="eastAsia"/>
        </w:rPr>
        <w:t>社会经济概况</w:t>
      </w:r>
      <w:bookmarkEnd w:id="188"/>
      <w:bookmarkEnd w:id="189"/>
      <w:bookmarkEnd w:id="190"/>
      <w:bookmarkEnd w:id="191"/>
      <w:bookmarkEnd w:id="192"/>
      <w:bookmarkEnd w:id="193"/>
      <w:bookmarkEnd w:id="194"/>
    </w:p>
    <w:p>
      <w:pPr>
        <w:spacing w:line="360" w:lineRule="auto"/>
        <w:ind w:firstLine="480" w:firstLineChars="200"/>
        <w:rPr>
          <w:rFonts w:hint="eastAsia"/>
          <w:kern w:val="24"/>
          <w:sz w:val="24"/>
        </w:rPr>
      </w:pPr>
      <w:r>
        <w:rPr>
          <w:rFonts w:hint="eastAsia"/>
          <w:kern w:val="24"/>
          <w:sz w:val="24"/>
        </w:rPr>
        <w:t>2015年，汨罗市实现地区生产总值234.4亿元，比上年增长12.8 %，其中，第一产业实现增加值30.4亿元，增长3.6%；第二产业实现增加值141.5亿元，增长13.6 %；第三产业实现增加值62.5亿元，增长13.8%。三次产业结构比例由上年的13.2：60.1：26.7调整为13.0：60.4：26.6，按常住人口计算，人均生产总值达到37895元，增长15.6%。</w:t>
      </w:r>
    </w:p>
    <w:p>
      <w:pPr>
        <w:spacing w:line="360" w:lineRule="auto"/>
        <w:ind w:firstLine="480" w:firstLineChars="200"/>
        <w:rPr>
          <w:rFonts w:hint="eastAsia"/>
          <w:kern w:val="24"/>
          <w:sz w:val="24"/>
        </w:rPr>
      </w:pPr>
      <w:r>
        <w:rPr>
          <w:rFonts w:hint="eastAsia"/>
          <w:kern w:val="24"/>
          <w:sz w:val="24"/>
        </w:rPr>
        <w:t>2015年，汨罗市实现农林牧渔业总产值45.0亿元，增长3.6%，其中农业产值20.5亿元，增长3.3%；林业产值1.0亿元，增长3.1%；牧业产值18.6亿元，增长3.0%；渔业产值4.2 亿元，增长6.2%；农林牧渔服务业产值0.7亿元，增长11.0%。全市农作物播种面积为89.0千公顷，增长2.1%。其中：粮食作物种植65.5千公顷，增长2.1%；全年粮食总产量39.2万吨，增长2.1%，其中稻谷产量35.0万吨，增长1.9%；蔬菜27.6万吨，增长4.0%；肉类产量8.7万吨，增长3.9%；水产品产量3.3 万吨，增长10.7%。</w:t>
      </w:r>
    </w:p>
    <w:p>
      <w:pPr>
        <w:spacing w:line="360" w:lineRule="auto"/>
        <w:ind w:firstLine="480" w:firstLineChars="200"/>
        <w:rPr>
          <w:color w:val="FF0000"/>
          <w:sz w:val="24"/>
          <w:szCs w:val="24"/>
        </w:rPr>
      </w:pPr>
      <w:r>
        <w:rPr>
          <w:rFonts w:hint="eastAsia"/>
          <w:kern w:val="24"/>
          <w:sz w:val="24"/>
        </w:rPr>
        <w:t>2015年，工业总产值增长13.9%，规模工业总产值增长14.2%，规模工业增加值增长16.5%。规模工业企业243家，规模工业全部资产利税率32.1%，万元规模工业增加值能耗降低23.3%，高新技术产品增加值占规模工业增加值比重17.2%，工业固定资产投资总额123.2 亿元，增长28.8%，工业技术改造投资增长29.9%。工业园工业总产值增长9.5%。</w:t>
      </w:r>
    </w:p>
    <w:p>
      <w:pPr>
        <w:pStyle w:val="5"/>
        <w:ind w:left="567" w:hanging="567"/>
      </w:pPr>
      <w:r>
        <w:rPr>
          <w:rFonts w:hint="eastAsia"/>
        </w:rPr>
        <w:t>交通运输</w:t>
      </w:r>
    </w:p>
    <w:p>
      <w:pPr>
        <w:spacing w:line="360" w:lineRule="auto"/>
        <w:ind w:firstLine="31680" w:firstLineChars="200"/>
        <w:rPr>
          <w:rFonts w:hAnsi="宋体"/>
          <w:sz w:val="24"/>
        </w:rPr>
      </w:pPr>
      <w:r>
        <w:rPr>
          <w:rFonts w:hint="eastAsia" w:hAnsi="宋体"/>
          <w:sz w:val="24"/>
        </w:rPr>
        <w:t>弼时镇位于岳阳市、</w:t>
      </w:r>
      <w:r>
        <w:fldChar w:fldCharType="begin"/>
      </w:r>
      <w:r>
        <w:instrText xml:space="preserve"> HYPERLINK "http://baike.sogou.com/lemma/ShowInnerLink.htm?lemmaId=831970" \t "http://baike.sogou.com/_blank" </w:instrText>
      </w:r>
      <w:r>
        <w:fldChar w:fldCharType="separate"/>
      </w:r>
      <w:r>
        <w:rPr>
          <w:rFonts w:hint="eastAsia" w:hAnsi="宋体"/>
          <w:sz w:val="24"/>
        </w:rPr>
        <w:t>汨罗</w:t>
      </w:r>
      <w:r>
        <w:rPr>
          <w:rFonts w:hint="eastAsia" w:hAnsi="宋体"/>
          <w:sz w:val="24"/>
        </w:rPr>
        <w:fldChar w:fldCharType="end"/>
      </w:r>
      <w:r>
        <w:rPr>
          <w:rFonts w:hint="eastAsia" w:hAnsi="宋体"/>
          <w:sz w:val="24"/>
        </w:rPr>
        <w:t>市最南端，地处长沙、岳阳、汨罗的</w:t>
      </w:r>
      <w:r>
        <w:fldChar w:fldCharType="begin"/>
      </w:r>
      <w:r>
        <w:instrText xml:space="preserve"> HYPERLINK "http://baike.sogou.com/lemma/ShowInnerLink.htm?lemmaId=65050130" \t "http://baike.sogou.com/_blank" </w:instrText>
      </w:r>
      <w:r>
        <w:fldChar w:fldCharType="separate"/>
      </w:r>
      <w:r>
        <w:rPr>
          <w:rFonts w:hint="eastAsia" w:hAnsi="宋体"/>
          <w:sz w:val="24"/>
        </w:rPr>
        <w:t>中间地带</w:t>
      </w:r>
      <w:r>
        <w:rPr>
          <w:rFonts w:hint="eastAsia" w:hAnsi="宋体"/>
          <w:sz w:val="24"/>
        </w:rPr>
        <w:fldChar w:fldCharType="end"/>
      </w:r>
      <w:r>
        <w:rPr>
          <w:rFonts w:hint="eastAsia" w:hAnsi="宋体"/>
          <w:sz w:val="24"/>
        </w:rPr>
        <w:t>，</w:t>
      </w:r>
      <w:r>
        <w:fldChar w:fldCharType="begin"/>
      </w:r>
      <w:r>
        <w:instrText xml:space="preserve"> HYPERLINK "http://baike.sogou.com/lemma/ShowInnerLink.htm?lemmaId=38959" \t "http://baike.sogou.com/_blank" </w:instrText>
      </w:r>
      <w:r>
        <w:fldChar w:fldCharType="separate"/>
      </w:r>
      <w:r>
        <w:rPr>
          <w:rFonts w:hAnsi="宋体"/>
          <w:sz w:val="24"/>
        </w:rPr>
        <w:t>107</w:t>
      </w:r>
      <w:r>
        <w:rPr>
          <w:rFonts w:hint="eastAsia" w:hAnsi="宋体"/>
          <w:sz w:val="24"/>
        </w:rPr>
        <w:t>国道</w:t>
      </w:r>
      <w:r>
        <w:rPr>
          <w:rFonts w:hint="eastAsia" w:hAnsi="宋体"/>
          <w:sz w:val="24"/>
        </w:rPr>
        <w:fldChar w:fldCharType="end"/>
      </w:r>
      <w:r>
        <w:rPr>
          <w:rFonts w:hint="eastAsia" w:hAnsi="宋体"/>
          <w:sz w:val="24"/>
        </w:rPr>
        <w:t>纵穿镇区南北。镇区距长沙市</w:t>
      </w:r>
      <w:r>
        <w:rPr>
          <w:rFonts w:hAnsi="宋体"/>
          <w:sz w:val="24"/>
        </w:rPr>
        <w:t>35</w:t>
      </w:r>
      <w:r>
        <w:rPr>
          <w:rFonts w:hint="eastAsia" w:hAnsi="宋体"/>
          <w:sz w:val="24"/>
        </w:rPr>
        <w:t>公里，距</w:t>
      </w:r>
      <w:r>
        <w:fldChar w:fldCharType="begin"/>
      </w:r>
      <w:r>
        <w:instrText xml:space="preserve"> HYPERLINK "http://baike.sogou.com/lemma/ShowInnerLink.htm?lemmaId=831970" \t "http://baike.sogou.com/_blank" </w:instrText>
      </w:r>
      <w:r>
        <w:fldChar w:fldCharType="separate"/>
      </w:r>
      <w:r>
        <w:rPr>
          <w:rFonts w:hint="eastAsia" w:hAnsi="宋体"/>
          <w:sz w:val="24"/>
        </w:rPr>
        <w:t>汨罗市</w:t>
      </w:r>
      <w:r>
        <w:rPr>
          <w:rFonts w:hint="eastAsia" w:hAnsi="宋体"/>
          <w:sz w:val="24"/>
        </w:rPr>
        <w:fldChar w:fldCharType="end"/>
      </w:r>
      <w:r>
        <w:rPr>
          <w:rFonts w:hAnsi="宋体"/>
          <w:sz w:val="24"/>
        </w:rPr>
        <w:t>35</w:t>
      </w:r>
      <w:r>
        <w:rPr>
          <w:rFonts w:hint="eastAsia" w:hAnsi="宋体"/>
          <w:sz w:val="24"/>
        </w:rPr>
        <w:t>公里，距岳阳</w:t>
      </w:r>
      <w:r>
        <w:rPr>
          <w:rFonts w:hAnsi="宋体"/>
          <w:sz w:val="24"/>
        </w:rPr>
        <w:t>70</w:t>
      </w:r>
      <w:r>
        <w:rPr>
          <w:rFonts w:hint="eastAsia" w:hAnsi="宋体"/>
          <w:sz w:val="24"/>
        </w:rPr>
        <w:t>公里，距京珠高广福入口</w:t>
      </w:r>
      <w:r>
        <w:rPr>
          <w:rFonts w:hAnsi="宋体"/>
          <w:sz w:val="24"/>
        </w:rPr>
        <w:t>4</w:t>
      </w:r>
      <w:r>
        <w:rPr>
          <w:rFonts w:hint="eastAsia" w:hAnsi="宋体"/>
          <w:sz w:val="24"/>
        </w:rPr>
        <w:t>公里，开慧入口</w:t>
      </w:r>
      <w:r>
        <w:rPr>
          <w:rFonts w:hAnsi="宋体"/>
          <w:sz w:val="24"/>
        </w:rPr>
        <w:t>13</w:t>
      </w:r>
      <w:r>
        <w:rPr>
          <w:rFonts w:hint="eastAsia" w:hAnsi="宋体"/>
          <w:sz w:val="24"/>
        </w:rPr>
        <w:t>公里，距正在修建的</w:t>
      </w:r>
      <w:r>
        <w:fldChar w:fldCharType="begin"/>
      </w:r>
      <w:r>
        <w:instrText xml:space="preserve"> HYPERLINK "http://baike.sogou.com/lemma/ShowInnerLink.htm?lemmaId=38232" \t "http://baike.sogou.com/_blank" </w:instrText>
      </w:r>
      <w:r>
        <w:fldChar w:fldCharType="separate"/>
      </w:r>
      <w:r>
        <w:rPr>
          <w:rFonts w:hint="eastAsia" w:hAnsi="宋体"/>
          <w:sz w:val="24"/>
        </w:rPr>
        <w:t>武广客运专线</w:t>
      </w:r>
      <w:r>
        <w:rPr>
          <w:rFonts w:hint="eastAsia" w:hAnsi="宋体"/>
          <w:sz w:val="24"/>
        </w:rPr>
        <w:fldChar w:fldCharType="end"/>
      </w:r>
      <w:r>
        <w:fldChar w:fldCharType="begin"/>
      </w:r>
      <w:r>
        <w:instrText xml:space="preserve"> HYPERLINK "http://baike.sogou.com/lemma/ShowInnerLink.htm?lemmaId=402935" \t "http://baike.sogou.com/_blank" </w:instrText>
      </w:r>
      <w:r>
        <w:fldChar w:fldCharType="separate"/>
      </w:r>
      <w:r>
        <w:rPr>
          <w:rFonts w:hint="eastAsia" w:hAnsi="宋体"/>
          <w:sz w:val="24"/>
        </w:rPr>
        <w:t>汨罗站</w:t>
      </w:r>
      <w:r>
        <w:rPr>
          <w:rFonts w:hint="eastAsia" w:hAnsi="宋体"/>
          <w:sz w:val="24"/>
        </w:rPr>
        <w:fldChar w:fldCharType="end"/>
      </w:r>
      <w:r>
        <w:rPr>
          <w:rFonts w:hAnsi="宋体"/>
          <w:sz w:val="24"/>
        </w:rPr>
        <w:t>18</w:t>
      </w:r>
      <w:r>
        <w:rPr>
          <w:rFonts w:hint="eastAsia" w:hAnsi="宋体"/>
          <w:sz w:val="24"/>
        </w:rPr>
        <w:t>公里，</w:t>
      </w:r>
      <w:r>
        <w:fldChar w:fldCharType="begin"/>
      </w:r>
      <w:r>
        <w:instrText xml:space="preserve"> HYPERLINK "http://baike.sogou.com/lemma/ShowInnerLink.htm?lemmaId=10502794" \t "http://baike.sogou.com/_blank" </w:instrText>
      </w:r>
      <w:r>
        <w:fldChar w:fldCharType="separate"/>
      </w:r>
      <w:r>
        <w:rPr>
          <w:rFonts w:hint="eastAsia" w:hAnsi="宋体"/>
          <w:sz w:val="24"/>
        </w:rPr>
        <w:t>距星</w:t>
      </w:r>
      <w:r>
        <w:rPr>
          <w:rFonts w:hint="eastAsia" w:hAnsi="宋体"/>
          <w:sz w:val="24"/>
        </w:rPr>
        <w:fldChar w:fldCharType="end"/>
      </w:r>
      <w:r>
        <w:rPr>
          <w:rFonts w:hint="eastAsia" w:hAnsi="宋体"/>
          <w:sz w:val="24"/>
        </w:rPr>
        <w:t>沙开发区</w:t>
      </w:r>
      <w:r>
        <w:rPr>
          <w:rFonts w:hAnsi="宋体"/>
          <w:sz w:val="24"/>
        </w:rPr>
        <w:t>30</w:t>
      </w:r>
      <w:r>
        <w:rPr>
          <w:rFonts w:hint="eastAsia" w:hAnsi="宋体"/>
          <w:sz w:val="24"/>
        </w:rPr>
        <w:t>公里。交通方便，四通八达，属于省会长沙</w:t>
      </w:r>
      <w:r>
        <w:fldChar w:fldCharType="begin"/>
      </w:r>
      <w:r>
        <w:instrText xml:space="preserve"> HYPERLINK "http://baike.sogou.com/lemma/ShowInnerLink.htm?lemmaId=142390" \t "http://baike.sogou.com/_blank" </w:instrText>
      </w:r>
      <w:r>
        <w:fldChar w:fldCharType="separate"/>
      </w:r>
      <w:r>
        <w:rPr>
          <w:rFonts w:hint="eastAsia" w:hAnsi="宋体"/>
          <w:sz w:val="24"/>
        </w:rPr>
        <w:t>经济半小时</w:t>
      </w:r>
      <w:r>
        <w:rPr>
          <w:rFonts w:hint="eastAsia" w:hAnsi="宋体"/>
          <w:sz w:val="24"/>
        </w:rPr>
        <w:fldChar w:fldCharType="end"/>
      </w:r>
      <w:r>
        <w:rPr>
          <w:rFonts w:hint="eastAsia" w:hAnsi="宋体"/>
          <w:sz w:val="24"/>
        </w:rPr>
        <w:t>辐射圈范畴。</w:t>
      </w:r>
    </w:p>
    <w:p>
      <w:pPr>
        <w:pStyle w:val="5"/>
        <w:widowControl/>
        <w:ind w:left="567" w:hanging="567"/>
      </w:pPr>
      <w:r>
        <w:rPr>
          <w:rFonts w:hint="eastAsia"/>
        </w:rPr>
        <w:t>工程沿线地质灾害情况</w:t>
      </w:r>
    </w:p>
    <w:p>
      <w:pPr>
        <w:pStyle w:val="3"/>
        <w:ind w:firstLine="31680"/>
      </w:pPr>
      <w:r>
        <w:rPr>
          <w:rFonts w:hint="eastAsia"/>
        </w:rPr>
        <w:t>根据《湖南省弼时镇铜盆至青山铺公路工程地质灾害危险性评估报告》评价结论：</w:t>
      </w:r>
    </w:p>
    <w:p>
      <w:pPr>
        <w:pStyle w:val="3"/>
        <w:ind w:firstLine="31680"/>
      </w:pPr>
      <w:r>
        <w:t>a</w:t>
      </w:r>
      <w:r>
        <w:rPr>
          <w:rFonts w:hint="eastAsia"/>
        </w:rPr>
        <w:t>）评估区地质环境条件中等，湖南省弼时镇铜盆至青山铺公路工程为重要建设项目，综合确定工程建设用地地质灾害危险性评估级别为一级。</w:t>
      </w:r>
    </w:p>
    <w:p>
      <w:pPr>
        <w:pStyle w:val="3"/>
        <w:ind w:firstLine="31680"/>
      </w:pPr>
      <w:r>
        <w:t>b</w:t>
      </w:r>
      <w:r>
        <w:rPr>
          <w:rFonts w:hint="eastAsia"/>
        </w:rPr>
        <w:t>）评估区内现状条件下，拟建公路建设场地分为危险性中等和小两个级别。</w:t>
      </w:r>
    </w:p>
    <w:p>
      <w:pPr>
        <w:pStyle w:val="3"/>
        <w:ind w:firstLine="31680"/>
      </w:pPr>
      <w:r>
        <w:t>c</w:t>
      </w:r>
      <w:r>
        <w:rPr>
          <w:rFonts w:hint="eastAsia"/>
        </w:rPr>
        <w:t>）预测评估结果为在</w:t>
      </w:r>
      <w:r>
        <w:t>K4+200~K4+900</w:t>
      </w:r>
      <w:r>
        <w:rPr>
          <w:rFonts w:hint="eastAsia"/>
        </w:rPr>
        <w:t>、</w:t>
      </w:r>
      <w:r>
        <w:t>K5+300~K5+400</w:t>
      </w:r>
      <w:r>
        <w:rPr>
          <w:rFonts w:hint="eastAsia"/>
        </w:rPr>
        <w:t>、</w:t>
      </w:r>
      <w:r>
        <w:t>K6+600~K7+400</w:t>
      </w:r>
      <w:r>
        <w:rPr>
          <w:rFonts w:hint="eastAsia"/>
        </w:rPr>
        <w:t>路段</w:t>
      </w:r>
      <w:r>
        <w:t>3</w:t>
      </w:r>
      <w:r>
        <w:rPr>
          <w:rFonts w:hint="eastAsia"/>
        </w:rPr>
        <w:t>路堑路段引发滑坡地质灾害的可能性中等，危险性中等，其它路段引发滑坡地质灾害的可能性小，危险性小。</w:t>
      </w:r>
    </w:p>
    <w:p>
      <w:pPr>
        <w:pStyle w:val="3"/>
        <w:ind w:firstLine="31680"/>
      </w:pPr>
      <w:r>
        <w:t>d</w:t>
      </w:r>
      <w:r>
        <w:rPr>
          <w:rFonts w:hint="eastAsia"/>
        </w:rPr>
        <w:t>）本次建设项目共</w:t>
      </w:r>
      <w:r>
        <w:t>8.369km</w:t>
      </w:r>
      <w:r>
        <w:rPr>
          <w:rFonts w:hint="eastAsia"/>
        </w:rPr>
        <w:t>，其中适宜区段</w:t>
      </w:r>
      <w:r>
        <w:t>6.8km</w:t>
      </w:r>
      <w:r>
        <w:rPr>
          <w:rFonts w:hint="eastAsia"/>
        </w:rPr>
        <w:t>，占公路总长</w:t>
      </w:r>
      <w:r>
        <w:t>81%</w:t>
      </w:r>
      <w:r>
        <w:rPr>
          <w:rFonts w:hint="eastAsia"/>
        </w:rPr>
        <w:t>，因此，建设用地适宜性为适宜。</w:t>
      </w:r>
    </w:p>
    <w:p>
      <w:pPr>
        <w:pStyle w:val="5"/>
        <w:ind w:left="567" w:hanging="567"/>
        <w:rPr>
          <w:u w:val="single"/>
        </w:rPr>
      </w:pPr>
      <w:r>
        <w:rPr>
          <w:rFonts w:hint="eastAsia"/>
          <w:u w:val="single"/>
        </w:rPr>
        <w:t>沿线村镇居民饮用水源情况</w:t>
      </w:r>
    </w:p>
    <w:p>
      <w:pPr>
        <w:pStyle w:val="3"/>
        <w:ind w:firstLine="31680"/>
        <w:rPr>
          <w:u w:val="single"/>
        </w:rPr>
      </w:pPr>
      <w:r>
        <w:rPr>
          <w:rFonts w:hint="eastAsia"/>
          <w:u w:val="single"/>
        </w:rPr>
        <w:t>本项目沿线主要为汨罗市弼时镇地区，其中沿线弼时镇镇居民的饮用水源为居民自打水井。</w:t>
      </w:r>
      <w:r>
        <w:rPr>
          <w:rFonts w:ascii="Times New Roman" w:hAnsi="Times New Roman" w:cs="Times New Roman"/>
          <w:color w:val="auto"/>
          <w:sz w:val="24"/>
          <w:u w:val="single"/>
        </w:rPr>
        <w:t>弼时镇区现状供水由弼时镇自来水厂提供，设计供水规模为5000t/d，实际日供水200～300t，取水水源为青坑水库和定里冲水库。</w:t>
      </w:r>
      <w:r>
        <w:rPr>
          <w:rFonts w:hint="eastAsia"/>
          <w:snapToGrid w:val="0"/>
          <w:u w:val="single"/>
        </w:rPr>
        <w:t>因此，项目建设不会对农村居民取水造成影响。</w:t>
      </w:r>
    </w:p>
    <w:bookmarkEnd w:id="159"/>
    <w:p>
      <w:pPr>
        <w:pStyle w:val="5"/>
        <w:ind w:left="567" w:hanging="567"/>
        <w:rPr>
          <w:color w:val="FF0000"/>
        </w:rPr>
        <w:sectPr>
          <w:pgSz w:w="11906" w:h="16838"/>
          <w:pgMar w:top="1588" w:right="1361" w:bottom="1474" w:left="1843" w:header="851" w:footer="851" w:gutter="0"/>
          <w:pgBorders>
            <w:top w:val="none" w:sz="0" w:space="0"/>
            <w:left w:val="none" w:sz="0" w:space="0"/>
            <w:bottom w:val="none" w:sz="0" w:space="0"/>
            <w:right w:val="none" w:sz="0" w:space="0"/>
          </w:pgBorders>
          <w:cols w:space="425" w:num="1"/>
          <w:docGrid w:linePitch="326" w:charSpace="0"/>
        </w:sectPr>
      </w:pPr>
    </w:p>
    <w:p>
      <w:pPr>
        <w:pStyle w:val="2"/>
        <w:ind w:left="567" w:hanging="567"/>
      </w:pPr>
      <w:bookmarkStart w:id="195" w:name="_Toc3549"/>
      <w:r>
        <w:rPr>
          <w:rFonts w:hint="eastAsia"/>
        </w:rPr>
        <w:t>环境质量现状</w:t>
      </w:r>
      <w:bookmarkEnd w:id="195"/>
    </w:p>
    <w:p>
      <w:pPr>
        <w:pStyle w:val="3"/>
        <w:ind w:firstLine="31680"/>
      </w:pPr>
      <w:r>
        <w:rPr>
          <w:rFonts w:hint="eastAsia"/>
        </w:rPr>
        <w:t>本报告编制过程中，根据环境影响评价技术导则的现状调查要求，委托</w:t>
      </w:r>
      <w:r>
        <w:rPr>
          <w:rFonts w:hint="eastAsia"/>
          <w:szCs w:val="24"/>
        </w:rPr>
        <w:t>汨罗市环境监测站</w:t>
      </w:r>
      <w:r>
        <w:rPr>
          <w:rFonts w:hint="eastAsia"/>
        </w:rPr>
        <w:t>对工程影响范围的环境质量进行了现状监测，监测点位根据相关导则要求，覆盖整个评价范围。</w:t>
      </w:r>
    </w:p>
    <w:p>
      <w:pPr>
        <w:pStyle w:val="4"/>
        <w:ind w:left="567" w:hanging="567"/>
      </w:pPr>
      <w:bookmarkStart w:id="196" w:name="_Toc10448"/>
      <w:r>
        <w:rPr>
          <w:rFonts w:hint="eastAsia"/>
        </w:rPr>
        <w:t>大气环境现状评价</w:t>
      </w:r>
      <w:bookmarkEnd w:id="196"/>
    </w:p>
    <w:p>
      <w:pPr>
        <w:pStyle w:val="5"/>
        <w:ind w:left="567" w:hanging="567"/>
      </w:pPr>
      <w:r>
        <w:rPr>
          <w:rFonts w:hint="eastAsia"/>
        </w:rPr>
        <w:t>现状监测方案</w:t>
      </w:r>
    </w:p>
    <w:p>
      <w:pPr>
        <w:pStyle w:val="3"/>
        <w:ind w:firstLine="31680"/>
      </w:pPr>
      <w:r>
        <w:t>a</w:t>
      </w:r>
      <w:r>
        <w:rPr>
          <w:rFonts w:hint="eastAsia"/>
        </w:rPr>
        <w:t>）监测点位：监测点布设原则为“以点代线”，选择沿线评价范围内</w:t>
      </w:r>
      <w:r>
        <w:t>2</w:t>
      </w:r>
      <w:r>
        <w:rPr>
          <w:rFonts w:hint="eastAsia"/>
        </w:rPr>
        <w:t>个具有代表性的敏感点进行环境空气质量现状监测，即</w:t>
      </w:r>
      <w:r>
        <w:t>G1</w:t>
      </w:r>
      <w:r>
        <w:rPr>
          <w:rFonts w:hint="eastAsia"/>
        </w:rPr>
        <w:t>：项目地汨罗市弼时镇上风向居民点；</w:t>
      </w:r>
      <w:r>
        <w:t>G2</w:t>
      </w:r>
      <w:r>
        <w:rPr>
          <w:rFonts w:hint="eastAsia"/>
        </w:rPr>
        <w:t>：项目地汨罗市弼时镇下风向居民点。</w:t>
      </w:r>
    </w:p>
    <w:p>
      <w:pPr>
        <w:pStyle w:val="3"/>
        <w:ind w:firstLine="31680"/>
      </w:pPr>
      <w:r>
        <w:t>b</w:t>
      </w:r>
      <w:r>
        <w:rPr>
          <w:rFonts w:hint="eastAsia"/>
        </w:rPr>
        <w:t>）监测因子：监测因子为</w:t>
      </w:r>
      <w:r>
        <w:t>NO</w:t>
      </w:r>
      <w:r>
        <w:rPr>
          <w:vertAlign w:val="subscript"/>
        </w:rPr>
        <w:t>2</w:t>
      </w:r>
      <w:r>
        <w:rPr>
          <w:rFonts w:hint="eastAsia"/>
        </w:rPr>
        <w:t>、</w:t>
      </w:r>
      <w:r>
        <w:t>TSP</w:t>
      </w:r>
      <w:r>
        <w:rPr>
          <w:rFonts w:hint="eastAsia"/>
        </w:rPr>
        <w:t>。</w:t>
      </w:r>
    </w:p>
    <w:p>
      <w:pPr>
        <w:pStyle w:val="3"/>
        <w:ind w:firstLine="31680"/>
      </w:pPr>
      <w:r>
        <w:t>c</w:t>
      </w:r>
      <w:r>
        <w:rPr>
          <w:rFonts w:hint="eastAsia"/>
        </w:rPr>
        <w:t>）采样时间、频率：监测时间为</w:t>
      </w:r>
      <w:r>
        <w:t>2017</w:t>
      </w:r>
      <w:r>
        <w:rPr>
          <w:rFonts w:hint="eastAsia"/>
        </w:rPr>
        <w:t>年</w:t>
      </w:r>
      <w:r>
        <w:t>2</w:t>
      </w:r>
      <w:r>
        <w:rPr>
          <w:rFonts w:hint="eastAsia"/>
        </w:rPr>
        <w:t>月</w:t>
      </w:r>
      <w:r>
        <w:t>22</w:t>
      </w:r>
      <w:r>
        <w:rPr>
          <w:rFonts w:hint="eastAsia"/>
        </w:rPr>
        <w:t>日</w:t>
      </w:r>
      <w:r>
        <w:t>~28</w:t>
      </w:r>
      <w:r>
        <w:rPr>
          <w:rFonts w:hint="eastAsia"/>
        </w:rPr>
        <w:t>日，连续</w:t>
      </w:r>
      <w:r>
        <w:t>7</w:t>
      </w:r>
      <w:r>
        <w:rPr>
          <w:rFonts w:hint="eastAsia"/>
        </w:rPr>
        <w:t>天现状监测采样测</w:t>
      </w:r>
      <w:r>
        <w:t>24</w:t>
      </w:r>
      <w:r>
        <w:rPr>
          <w:rFonts w:hint="eastAsia"/>
        </w:rPr>
        <w:t>小时平均值。</w:t>
      </w:r>
    </w:p>
    <w:p>
      <w:pPr>
        <w:pStyle w:val="3"/>
        <w:ind w:firstLine="31680"/>
      </w:pPr>
      <w:r>
        <w:t>d</w:t>
      </w:r>
      <w:r>
        <w:rPr>
          <w:rFonts w:hint="eastAsia"/>
        </w:rPr>
        <w:t>）采样分析方法：依照原国家环保总局《环境监测技术规范》、《大气环境分析方法标准工作手册》和《空气和废气监测分析方法》中的有关规定执行。</w:t>
      </w:r>
    </w:p>
    <w:p>
      <w:pPr>
        <w:ind w:firstLine="31680" w:firstLineChars="225"/>
        <w:jc w:val="center"/>
        <w:rPr>
          <w:b/>
          <w:szCs w:val="24"/>
        </w:rPr>
      </w:pPr>
      <w:r>
        <w:rPr>
          <w:rFonts w:hint="eastAsia"/>
          <w:b/>
          <w:sz w:val="24"/>
          <w:szCs w:val="24"/>
        </w:rPr>
        <w:t>表</w:t>
      </w:r>
      <w:r>
        <w:rPr>
          <w:b/>
          <w:sz w:val="24"/>
          <w:szCs w:val="24"/>
        </w:rPr>
        <w:t xml:space="preserve">6.1-1     </w:t>
      </w:r>
      <w:r>
        <w:rPr>
          <w:rFonts w:hint="eastAsia"/>
          <w:b/>
          <w:sz w:val="24"/>
          <w:szCs w:val="24"/>
        </w:rPr>
        <w:t>本项目环境空气质量监测结果汇总表</w:t>
      </w:r>
      <w:r>
        <w:rPr>
          <w:b/>
          <w:sz w:val="24"/>
          <w:szCs w:val="24"/>
        </w:rPr>
        <w:t xml:space="preserve"> </w:t>
      </w:r>
      <w:r>
        <w:rPr>
          <w:rFonts w:hint="eastAsia"/>
          <w:b/>
          <w:sz w:val="24"/>
          <w:szCs w:val="24"/>
        </w:rPr>
        <w:t>单位：</w:t>
      </w:r>
      <w:r>
        <w:rPr>
          <w:b/>
          <w:sz w:val="24"/>
          <w:szCs w:val="24"/>
        </w:rPr>
        <w:t>µg/m</w:t>
      </w:r>
      <w:r>
        <w:rPr>
          <w:b/>
          <w:sz w:val="24"/>
          <w:szCs w:val="24"/>
          <w:vertAlign w:val="superscript"/>
        </w:rPr>
        <w:t>3</w:t>
      </w:r>
      <w:r>
        <w:rPr>
          <w:b/>
          <w:sz w:val="24"/>
          <w:szCs w:val="24"/>
        </w:rPr>
        <w:t>·N</w:t>
      </w:r>
    </w:p>
    <w:tbl>
      <w:tblPr>
        <w:tblStyle w:val="65"/>
        <w:tblW w:w="9042"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753"/>
        <w:gridCol w:w="2034"/>
        <w:gridCol w:w="1752"/>
        <w:gridCol w:w="1752"/>
        <w:gridCol w:w="175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tcBorders>
              <w:top w:val="single" w:color="auto" w:sz="12" w:space="0"/>
            </w:tcBorders>
            <w:vAlign w:val="center"/>
          </w:tcPr>
          <w:p>
            <w:pPr>
              <w:jc w:val="center"/>
              <w:textAlignment w:val="baseline"/>
              <w:rPr>
                <w:sz w:val="21"/>
                <w:szCs w:val="21"/>
              </w:rPr>
            </w:pPr>
            <w:r>
              <w:rPr>
                <w:rFonts w:hint="eastAsia"/>
                <w:sz w:val="21"/>
                <w:szCs w:val="21"/>
              </w:rPr>
              <w:t>监测点</w:t>
            </w:r>
          </w:p>
        </w:tc>
        <w:tc>
          <w:tcPr>
            <w:tcW w:w="2034" w:type="dxa"/>
            <w:tcBorders>
              <w:top w:val="single" w:color="auto" w:sz="12" w:space="0"/>
            </w:tcBorders>
            <w:vAlign w:val="center"/>
          </w:tcPr>
          <w:p>
            <w:pPr>
              <w:jc w:val="center"/>
              <w:textAlignment w:val="baseline"/>
              <w:rPr>
                <w:sz w:val="21"/>
                <w:szCs w:val="21"/>
              </w:rPr>
            </w:pPr>
            <w:r>
              <w:rPr>
                <w:rFonts w:hint="eastAsia"/>
                <w:sz w:val="21"/>
                <w:szCs w:val="21"/>
              </w:rPr>
              <w:t>统计项目</w:t>
            </w:r>
          </w:p>
        </w:tc>
        <w:tc>
          <w:tcPr>
            <w:tcW w:w="1752" w:type="dxa"/>
            <w:tcBorders>
              <w:top w:val="single" w:color="auto" w:sz="12" w:space="0"/>
            </w:tcBorders>
            <w:vAlign w:val="center"/>
          </w:tcPr>
          <w:p>
            <w:pPr>
              <w:jc w:val="center"/>
              <w:textAlignment w:val="baseline"/>
              <w:rPr>
                <w:sz w:val="21"/>
                <w:szCs w:val="21"/>
              </w:rPr>
            </w:pPr>
            <w:r>
              <w:rPr>
                <w:sz w:val="21"/>
                <w:szCs w:val="21"/>
              </w:rPr>
              <w:t>SO</w:t>
            </w:r>
            <w:r>
              <w:rPr>
                <w:sz w:val="21"/>
                <w:szCs w:val="21"/>
                <w:vertAlign w:val="subscript"/>
              </w:rPr>
              <w:t>2</w:t>
            </w:r>
          </w:p>
        </w:tc>
        <w:tc>
          <w:tcPr>
            <w:tcW w:w="1752" w:type="dxa"/>
            <w:tcBorders>
              <w:top w:val="single" w:color="auto" w:sz="12" w:space="0"/>
            </w:tcBorders>
            <w:vAlign w:val="center"/>
          </w:tcPr>
          <w:p>
            <w:pPr>
              <w:jc w:val="center"/>
              <w:textAlignment w:val="baseline"/>
              <w:rPr>
                <w:sz w:val="21"/>
                <w:szCs w:val="21"/>
              </w:rPr>
            </w:pPr>
            <w:r>
              <w:rPr>
                <w:sz w:val="21"/>
                <w:szCs w:val="21"/>
              </w:rPr>
              <w:t>NO</w:t>
            </w:r>
            <w:r>
              <w:rPr>
                <w:sz w:val="21"/>
                <w:szCs w:val="21"/>
                <w:vertAlign w:val="subscript"/>
              </w:rPr>
              <w:t>2</w:t>
            </w:r>
          </w:p>
        </w:tc>
        <w:tc>
          <w:tcPr>
            <w:tcW w:w="1751" w:type="dxa"/>
            <w:tcBorders>
              <w:top w:val="single" w:color="auto" w:sz="12" w:space="0"/>
            </w:tcBorders>
            <w:vAlign w:val="center"/>
          </w:tcPr>
          <w:p>
            <w:pPr>
              <w:jc w:val="center"/>
              <w:textAlignment w:val="baseline"/>
              <w:rPr>
                <w:sz w:val="21"/>
                <w:szCs w:val="21"/>
              </w:rPr>
            </w:pPr>
            <w:r>
              <w:rPr>
                <w:sz w:val="21"/>
                <w:szCs w:val="21"/>
              </w:rPr>
              <w:t>PM</w:t>
            </w:r>
            <w:r>
              <w:rPr>
                <w:sz w:val="21"/>
                <w:szCs w:val="21"/>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restart"/>
            <w:vAlign w:val="center"/>
          </w:tcPr>
          <w:p>
            <w:pPr>
              <w:jc w:val="center"/>
              <w:textAlignment w:val="baseline"/>
              <w:rPr>
                <w:sz w:val="21"/>
                <w:szCs w:val="21"/>
              </w:rPr>
            </w:pPr>
            <w:r>
              <w:rPr>
                <w:sz w:val="21"/>
                <w:szCs w:val="21"/>
              </w:rPr>
              <w:t>G1</w:t>
            </w:r>
            <w:r>
              <w:rPr>
                <w:rFonts w:hint="eastAsia"/>
              </w:rPr>
              <w:t>：项目地汨罗市弼时镇上风向居民点</w:t>
            </w:r>
          </w:p>
        </w:tc>
        <w:tc>
          <w:tcPr>
            <w:tcW w:w="2034" w:type="dxa"/>
            <w:vAlign w:val="center"/>
          </w:tcPr>
          <w:p>
            <w:pPr>
              <w:jc w:val="center"/>
              <w:textAlignment w:val="baseline"/>
              <w:rPr>
                <w:sz w:val="21"/>
                <w:szCs w:val="21"/>
              </w:rPr>
            </w:pPr>
            <w:r>
              <w:rPr>
                <w:rFonts w:hint="eastAsia"/>
                <w:sz w:val="21"/>
                <w:szCs w:val="21"/>
              </w:rPr>
              <w:t>数据个数</w:t>
            </w:r>
          </w:p>
        </w:tc>
        <w:tc>
          <w:tcPr>
            <w:tcW w:w="1752" w:type="dxa"/>
            <w:vAlign w:val="center"/>
          </w:tcPr>
          <w:p>
            <w:pPr>
              <w:jc w:val="center"/>
              <w:textAlignment w:val="baseline"/>
              <w:rPr>
                <w:sz w:val="21"/>
                <w:szCs w:val="21"/>
              </w:rPr>
            </w:pPr>
            <w:r>
              <w:rPr>
                <w:sz w:val="21"/>
                <w:szCs w:val="21"/>
              </w:rPr>
              <w:t>28</w:t>
            </w:r>
          </w:p>
        </w:tc>
        <w:tc>
          <w:tcPr>
            <w:tcW w:w="1752" w:type="dxa"/>
            <w:vAlign w:val="center"/>
          </w:tcPr>
          <w:p>
            <w:pPr>
              <w:jc w:val="center"/>
              <w:textAlignment w:val="baseline"/>
              <w:rPr>
                <w:sz w:val="21"/>
                <w:szCs w:val="21"/>
              </w:rPr>
            </w:pPr>
            <w:r>
              <w:rPr>
                <w:sz w:val="21"/>
                <w:szCs w:val="21"/>
              </w:rPr>
              <w:t>28</w:t>
            </w:r>
          </w:p>
        </w:tc>
        <w:tc>
          <w:tcPr>
            <w:tcW w:w="1751" w:type="dxa"/>
            <w:vAlign w:val="center"/>
          </w:tcPr>
          <w:p>
            <w:pPr>
              <w:jc w:val="center"/>
              <w:textAlignment w:val="baseline"/>
              <w:rPr>
                <w:sz w:val="21"/>
                <w:szCs w:val="21"/>
              </w:rPr>
            </w:pPr>
            <w:r>
              <w:rPr>
                <w:sz w:val="21"/>
                <w:szCs w:val="21"/>
              </w:rPr>
              <w:t>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continue"/>
            <w:vAlign w:val="center"/>
          </w:tcPr>
          <w:p>
            <w:pPr>
              <w:jc w:val="center"/>
              <w:textAlignment w:val="baseline"/>
              <w:rPr>
                <w:sz w:val="21"/>
                <w:szCs w:val="21"/>
              </w:rPr>
            </w:pPr>
          </w:p>
        </w:tc>
        <w:tc>
          <w:tcPr>
            <w:tcW w:w="2034" w:type="dxa"/>
            <w:vAlign w:val="center"/>
          </w:tcPr>
          <w:p>
            <w:pPr>
              <w:jc w:val="center"/>
              <w:textAlignment w:val="baseline"/>
              <w:rPr>
                <w:sz w:val="21"/>
                <w:szCs w:val="21"/>
              </w:rPr>
            </w:pPr>
            <w:r>
              <w:rPr>
                <w:rFonts w:hint="eastAsia"/>
                <w:sz w:val="21"/>
                <w:szCs w:val="21"/>
              </w:rPr>
              <w:t>最小值</w:t>
            </w:r>
          </w:p>
        </w:tc>
        <w:tc>
          <w:tcPr>
            <w:tcW w:w="1752" w:type="dxa"/>
            <w:vAlign w:val="center"/>
          </w:tcPr>
          <w:p>
            <w:pPr>
              <w:jc w:val="center"/>
              <w:textAlignment w:val="baseline"/>
              <w:rPr>
                <w:sz w:val="21"/>
                <w:szCs w:val="21"/>
              </w:rPr>
            </w:pPr>
            <w:r>
              <w:rPr>
                <w:sz w:val="21"/>
                <w:szCs w:val="21"/>
              </w:rPr>
              <w:t>8</w:t>
            </w:r>
          </w:p>
        </w:tc>
        <w:tc>
          <w:tcPr>
            <w:tcW w:w="1752" w:type="dxa"/>
            <w:vAlign w:val="center"/>
          </w:tcPr>
          <w:p>
            <w:pPr>
              <w:jc w:val="center"/>
              <w:textAlignment w:val="baseline"/>
              <w:rPr>
                <w:sz w:val="21"/>
                <w:szCs w:val="21"/>
              </w:rPr>
            </w:pPr>
            <w:r>
              <w:rPr>
                <w:sz w:val="21"/>
                <w:szCs w:val="21"/>
              </w:rPr>
              <w:t>9</w:t>
            </w:r>
          </w:p>
        </w:tc>
        <w:tc>
          <w:tcPr>
            <w:tcW w:w="1751" w:type="dxa"/>
            <w:vAlign w:val="center"/>
          </w:tcPr>
          <w:p>
            <w:pPr>
              <w:jc w:val="center"/>
              <w:textAlignment w:val="baseline"/>
              <w:rPr>
                <w:sz w:val="21"/>
                <w:szCs w:val="21"/>
              </w:rPr>
            </w:pPr>
            <w:r>
              <w:rPr>
                <w:sz w:val="21"/>
                <w:szCs w:val="21"/>
              </w:rPr>
              <w:t>59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continue"/>
            <w:vAlign w:val="center"/>
          </w:tcPr>
          <w:p>
            <w:pPr>
              <w:jc w:val="center"/>
              <w:textAlignment w:val="baseline"/>
              <w:rPr>
                <w:sz w:val="21"/>
                <w:szCs w:val="21"/>
              </w:rPr>
            </w:pPr>
          </w:p>
        </w:tc>
        <w:tc>
          <w:tcPr>
            <w:tcW w:w="2034" w:type="dxa"/>
            <w:vAlign w:val="center"/>
          </w:tcPr>
          <w:p>
            <w:pPr>
              <w:jc w:val="center"/>
              <w:textAlignment w:val="baseline"/>
              <w:rPr>
                <w:sz w:val="21"/>
                <w:szCs w:val="21"/>
              </w:rPr>
            </w:pPr>
            <w:r>
              <w:rPr>
                <w:rFonts w:hint="eastAsia"/>
                <w:sz w:val="21"/>
                <w:szCs w:val="21"/>
              </w:rPr>
              <w:t>最大值</w:t>
            </w:r>
          </w:p>
        </w:tc>
        <w:tc>
          <w:tcPr>
            <w:tcW w:w="1752" w:type="dxa"/>
            <w:vAlign w:val="center"/>
          </w:tcPr>
          <w:p>
            <w:pPr>
              <w:jc w:val="center"/>
              <w:textAlignment w:val="baseline"/>
              <w:rPr>
                <w:sz w:val="21"/>
                <w:szCs w:val="21"/>
              </w:rPr>
            </w:pPr>
            <w:r>
              <w:rPr>
                <w:sz w:val="21"/>
                <w:szCs w:val="21"/>
              </w:rPr>
              <w:t>12</w:t>
            </w:r>
          </w:p>
        </w:tc>
        <w:tc>
          <w:tcPr>
            <w:tcW w:w="1752" w:type="dxa"/>
            <w:vAlign w:val="center"/>
          </w:tcPr>
          <w:p>
            <w:pPr>
              <w:jc w:val="center"/>
              <w:textAlignment w:val="baseline"/>
              <w:rPr>
                <w:sz w:val="21"/>
                <w:szCs w:val="21"/>
              </w:rPr>
            </w:pPr>
            <w:r>
              <w:rPr>
                <w:sz w:val="21"/>
                <w:szCs w:val="21"/>
              </w:rPr>
              <w:t>61</w:t>
            </w:r>
          </w:p>
        </w:tc>
        <w:tc>
          <w:tcPr>
            <w:tcW w:w="1751" w:type="dxa"/>
            <w:vAlign w:val="center"/>
          </w:tcPr>
          <w:p>
            <w:pPr>
              <w:jc w:val="center"/>
              <w:textAlignment w:val="baseline"/>
              <w:rPr>
                <w:sz w:val="21"/>
                <w:szCs w:val="21"/>
              </w:rPr>
            </w:pPr>
            <w:r>
              <w:rPr>
                <w:sz w:val="21"/>
                <w:szCs w:val="21"/>
              </w:rPr>
              <w:t>77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continue"/>
            <w:vAlign w:val="center"/>
          </w:tcPr>
          <w:p>
            <w:pPr>
              <w:jc w:val="center"/>
              <w:textAlignment w:val="baseline"/>
              <w:rPr>
                <w:sz w:val="21"/>
                <w:szCs w:val="21"/>
              </w:rPr>
            </w:pPr>
          </w:p>
        </w:tc>
        <w:tc>
          <w:tcPr>
            <w:tcW w:w="2034" w:type="dxa"/>
            <w:vAlign w:val="center"/>
          </w:tcPr>
          <w:p>
            <w:pPr>
              <w:jc w:val="center"/>
              <w:textAlignment w:val="baseline"/>
              <w:rPr>
                <w:sz w:val="21"/>
                <w:szCs w:val="21"/>
              </w:rPr>
            </w:pPr>
            <w:r>
              <w:rPr>
                <w:rFonts w:hint="eastAsia"/>
                <w:sz w:val="21"/>
                <w:szCs w:val="21"/>
              </w:rPr>
              <w:t>平均值</w:t>
            </w:r>
          </w:p>
        </w:tc>
        <w:tc>
          <w:tcPr>
            <w:tcW w:w="1752" w:type="dxa"/>
            <w:vAlign w:val="center"/>
          </w:tcPr>
          <w:p>
            <w:pPr>
              <w:jc w:val="center"/>
              <w:textAlignment w:val="baseline"/>
              <w:rPr>
                <w:sz w:val="21"/>
                <w:szCs w:val="21"/>
              </w:rPr>
            </w:pPr>
            <w:r>
              <w:rPr>
                <w:sz w:val="21"/>
                <w:szCs w:val="21"/>
              </w:rPr>
              <w:t>17</w:t>
            </w:r>
          </w:p>
        </w:tc>
        <w:tc>
          <w:tcPr>
            <w:tcW w:w="1752" w:type="dxa"/>
            <w:vAlign w:val="center"/>
          </w:tcPr>
          <w:p>
            <w:pPr>
              <w:jc w:val="center"/>
              <w:textAlignment w:val="baseline"/>
              <w:rPr>
                <w:sz w:val="21"/>
                <w:szCs w:val="21"/>
              </w:rPr>
            </w:pPr>
            <w:r>
              <w:rPr>
                <w:sz w:val="21"/>
                <w:szCs w:val="21"/>
              </w:rPr>
              <w:t>26</w:t>
            </w:r>
          </w:p>
        </w:tc>
        <w:tc>
          <w:tcPr>
            <w:tcW w:w="1751" w:type="dxa"/>
            <w:vAlign w:val="center"/>
          </w:tcPr>
          <w:p>
            <w:pPr>
              <w:jc w:val="center"/>
              <w:textAlignment w:val="baseline"/>
              <w:rPr>
                <w:sz w:val="21"/>
                <w:szCs w:val="21"/>
              </w:rPr>
            </w:pPr>
            <w:r>
              <w:rPr>
                <w:sz w:val="21"/>
                <w:szCs w:val="21"/>
              </w:rPr>
              <w:t>65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continue"/>
            <w:vAlign w:val="center"/>
          </w:tcPr>
          <w:p>
            <w:pPr>
              <w:jc w:val="center"/>
              <w:textAlignment w:val="baseline"/>
              <w:rPr>
                <w:sz w:val="21"/>
                <w:szCs w:val="21"/>
              </w:rPr>
            </w:pPr>
          </w:p>
        </w:tc>
        <w:tc>
          <w:tcPr>
            <w:tcW w:w="2034" w:type="dxa"/>
            <w:vAlign w:val="center"/>
          </w:tcPr>
          <w:p>
            <w:pPr>
              <w:jc w:val="center"/>
              <w:textAlignment w:val="baseline"/>
              <w:rPr>
                <w:sz w:val="21"/>
                <w:szCs w:val="21"/>
              </w:rPr>
            </w:pPr>
            <w:r>
              <w:rPr>
                <w:rFonts w:hint="eastAsia"/>
                <w:sz w:val="21"/>
                <w:szCs w:val="21"/>
              </w:rPr>
              <w:t>超标个数</w:t>
            </w:r>
          </w:p>
        </w:tc>
        <w:tc>
          <w:tcPr>
            <w:tcW w:w="1752" w:type="dxa"/>
            <w:vAlign w:val="center"/>
          </w:tcPr>
          <w:p>
            <w:pPr>
              <w:jc w:val="center"/>
              <w:textAlignment w:val="baseline"/>
              <w:rPr>
                <w:sz w:val="21"/>
                <w:szCs w:val="21"/>
              </w:rPr>
            </w:pPr>
            <w:r>
              <w:rPr>
                <w:sz w:val="21"/>
                <w:szCs w:val="21"/>
              </w:rPr>
              <w:t>0</w:t>
            </w:r>
          </w:p>
        </w:tc>
        <w:tc>
          <w:tcPr>
            <w:tcW w:w="1752" w:type="dxa"/>
            <w:vAlign w:val="center"/>
          </w:tcPr>
          <w:p>
            <w:pPr>
              <w:jc w:val="center"/>
              <w:textAlignment w:val="baseline"/>
              <w:rPr>
                <w:sz w:val="21"/>
                <w:szCs w:val="21"/>
              </w:rPr>
            </w:pPr>
            <w:r>
              <w:rPr>
                <w:sz w:val="21"/>
                <w:szCs w:val="21"/>
              </w:rPr>
              <w:t>0</w:t>
            </w:r>
          </w:p>
        </w:tc>
        <w:tc>
          <w:tcPr>
            <w:tcW w:w="1751" w:type="dxa"/>
            <w:vAlign w:val="center"/>
          </w:tcPr>
          <w:p>
            <w:pPr>
              <w:jc w:val="center"/>
              <w:textAlignment w:val="baseline"/>
              <w:rPr>
                <w:sz w:val="21"/>
                <w:szCs w:val="21"/>
              </w:rPr>
            </w:pPr>
            <w:r>
              <w:rPr>
                <w:sz w:val="21"/>
                <w:szCs w:val="21"/>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continue"/>
            <w:vAlign w:val="center"/>
          </w:tcPr>
          <w:p>
            <w:pPr>
              <w:jc w:val="center"/>
              <w:textAlignment w:val="baseline"/>
              <w:rPr>
                <w:sz w:val="21"/>
                <w:szCs w:val="21"/>
              </w:rPr>
            </w:pPr>
          </w:p>
        </w:tc>
        <w:tc>
          <w:tcPr>
            <w:tcW w:w="2034" w:type="dxa"/>
            <w:vAlign w:val="center"/>
          </w:tcPr>
          <w:p>
            <w:pPr>
              <w:jc w:val="center"/>
              <w:textAlignment w:val="baseline"/>
              <w:rPr>
                <w:sz w:val="21"/>
                <w:szCs w:val="21"/>
              </w:rPr>
            </w:pPr>
            <w:r>
              <w:rPr>
                <w:rFonts w:hint="eastAsia"/>
                <w:sz w:val="21"/>
                <w:szCs w:val="21"/>
              </w:rPr>
              <w:t>最大超标倍数</w:t>
            </w:r>
          </w:p>
        </w:tc>
        <w:tc>
          <w:tcPr>
            <w:tcW w:w="1752" w:type="dxa"/>
            <w:vAlign w:val="center"/>
          </w:tcPr>
          <w:p>
            <w:pPr>
              <w:jc w:val="center"/>
              <w:textAlignment w:val="baseline"/>
              <w:rPr>
                <w:sz w:val="21"/>
                <w:szCs w:val="21"/>
              </w:rPr>
            </w:pPr>
            <w:r>
              <w:rPr>
                <w:sz w:val="21"/>
                <w:szCs w:val="21"/>
              </w:rPr>
              <w:t>0.00</w:t>
            </w:r>
          </w:p>
        </w:tc>
        <w:tc>
          <w:tcPr>
            <w:tcW w:w="1752" w:type="dxa"/>
            <w:vAlign w:val="center"/>
          </w:tcPr>
          <w:p>
            <w:pPr>
              <w:jc w:val="center"/>
              <w:textAlignment w:val="baseline"/>
              <w:rPr>
                <w:sz w:val="21"/>
                <w:szCs w:val="21"/>
              </w:rPr>
            </w:pPr>
            <w:r>
              <w:rPr>
                <w:sz w:val="21"/>
                <w:szCs w:val="21"/>
              </w:rPr>
              <w:t>0.00</w:t>
            </w:r>
          </w:p>
        </w:tc>
        <w:tc>
          <w:tcPr>
            <w:tcW w:w="1751" w:type="dxa"/>
            <w:vAlign w:val="center"/>
          </w:tcPr>
          <w:p>
            <w:pPr>
              <w:jc w:val="center"/>
              <w:textAlignment w:val="baseline"/>
              <w:rPr>
                <w:sz w:val="21"/>
                <w:szCs w:val="21"/>
              </w:rPr>
            </w:pPr>
            <w:r>
              <w:rPr>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restart"/>
            <w:vAlign w:val="center"/>
          </w:tcPr>
          <w:p>
            <w:pPr>
              <w:jc w:val="center"/>
              <w:textAlignment w:val="baseline"/>
              <w:rPr>
                <w:sz w:val="21"/>
                <w:szCs w:val="21"/>
              </w:rPr>
            </w:pPr>
            <w:r>
              <w:t>G2</w:t>
            </w:r>
            <w:r>
              <w:rPr>
                <w:rFonts w:hint="eastAsia"/>
              </w:rPr>
              <w:t>：项目地汨罗市弼时镇下风向居民点</w:t>
            </w:r>
          </w:p>
        </w:tc>
        <w:tc>
          <w:tcPr>
            <w:tcW w:w="2034" w:type="dxa"/>
            <w:vAlign w:val="center"/>
          </w:tcPr>
          <w:p>
            <w:pPr>
              <w:jc w:val="center"/>
              <w:textAlignment w:val="baseline"/>
              <w:rPr>
                <w:sz w:val="21"/>
                <w:szCs w:val="21"/>
              </w:rPr>
            </w:pPr>
            <w:r>
              <w:rPr>
                <w:rFonts w:hint="eastAsia"/>
                <w:sz w:val="21"/>
                <w:szCs w:val="21"/>
              </w:rPr>
              <w:t>数据个数</w:t>
            </w:r>
          </w:p>
        </w:tc>
        <w:tc>
          <w:tcPr>
            <w:tcW w:w="1752" w:type="dxa"/>
            <w:vAlign w:val="center"/>
          </w:tcPr>
          <w:p>
            <w:pPr>
              <w:jc w:val="center"/>
              <w:textAlignment w:val="baseline"/>
              <w:rPr>
                <w:sz w:val="21"/>
                <w:szCs w:val="21"/>
              </w:rPr>
            </w:pPr>
            <w:r>
              <w:rPr>
                <w:sz w:val="21"/>
                <w:szCs w:val="21"/>
              </w:rPr>
              <w:t>28</w:t>
            </w:r>
          </w:p>
        </w:tc>
        <w:tc>
          <w:tcPr>
            <w:tcW w:w="1752" w:type="dxa"/>
            <w:vAlign w:val="center"/>
          </w:tcPr>
          <w:p>
            <w:pPr>
              <w:jc w:val="center"/>
              <w:textAlignment w:val="baseline"/>
              <w:rPr>
                <w:sz w:val="21"/>
                <w:szCs w:val="21"/>
              </w:rPr>
            </w:pPr>
            <w:r>
              <w:rPr>
                <w:sz w:val="21"/>
                <w:szCs w:val="21"/>
              </w:rPr>
              <w:t>28</w:t>
            </w:r>
          </w:p>
        </w:tc>
        <w:tc>
          <w:tcPr>
            <w:tcW w:w="1751" w:type="dxa"/>
            <w:vAlign w:val="center"/>
          </w:tcPr>
          <w:p>
            <w:pPr>
              <w:jc w:val="center"/>
              <w:textAlignment w:val="baseline"/>
              <w:rPr>
                <w:sz w:val="21"/>
                <w:szCs w:val="21"/>
              </w:rPr>
            </w:pPr>
            <w:r>
              <w:rPr>
                <w:sz w:val="21"/>
                <w:szCs w:val="21"/>
              </w:rPr>
              <w:t>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continue"/>
            <w:vAlign w:val="center"/>
          </w:tcPr>
          <w:p>
            <w:pPr>
              <w:jc w:val="center"/>
              <w:textAlignment w:val="baseline"/>
              <w:rPr>
                <w:sz w:val="21"/>
                <w:szCs w:val="21"/>
              </w:rPr>
            </w:pPr>
          </w:p>
        </w:tc>
        <w:tc>
          <w:tcPr>
            <w:tcW w:w="2034" w:type="dxa"/>
            <w:vAlign w:val="center"/>
          </w:tcPr>
          <w:p>
            <w:pPr>
              <w:jc w:val="center"/>
              <w:textAlignment w:val="baseline"/>
              <w:rPr>
                <w:sz w:val="21"/>
                <w:szCs w:val="21"/>
              </w:rPr>
            </w:pPr>
            <w:r>
              <w:rPr>
                <w:rFonts w:hint="eastAsia"/>
                <w:sz w:val="21"/>
                <w:szCs w:val="21"/>
              </w:rPr>
              <w:t>最小值</w:t>
            </w:r>
          </w:p>
        </w:tc>
        <w:tc>
          <w:tcPr>
            <w:tcW w:w="1752" w:type="dxa"/>
            <w:vAlign w:val="center"/>
          </w:tcPr>
          <w:p>
            <w:pPr>
              <w:jc w:val="center"/>
              <w:textAlignment w:val="baseline"/>
              <w:rPr>
                <w:sz w:val="21"/>
                <w:szCs w:val="21"/>
              </w:rPr>
            </w:pPr>
            <w:r>
              <w:rPr>
                <w:sz w:val="21"/>
                <w:szCs w:val="21"/>
              </w:rPr>
              <w:t>12</w:t>
            </w:r>
          </w:p>
        </w:tc>
        <w:tc>
          <w:tcPr>
            <w:tcW w:w="1752" w:type="dxa"/>
            <w:vAlign w:val="center"/>
          </w:tcPr>
          <w:p>
            <w:pPr>
              <w:jc w:val="center"/>
              <w:textAlignment w:val="baseline"/>
              <w:rPr>
                <w:sz w:val="21"/>
                <w:szCs w:val="21"/>
              </w:rPr>
            </w:pPr>
            <w:r>
              <w:rPr>
                <w:sz w:val="21"/>
                <w:szCs w:val="21"/>
              </w:rPr>
              <w:t>11</w:t>
            </w:r>
          </w:p>
        </w:tc>
        <w:tc>
          <w:tcPr>
            <w:tcW w:w="1751" w:type="dxa"/>
            <w:vAlign w:val="center"/>
          </w:tcPr>
          <w:p>
            <w:pPr>
              <w:jc w:val="center"/>
              <w:textAlignment w:val="baseline"/>
              <w:rPr>
                <w:sz w:val="21"/>
                <w:szCs w:val="21"/>
              </w:rPr>
            </w:pPr>
            <w:r>
              <w:rPr>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continue"/>
            <w:vAlign w:val="center"/>
          </w:tcPr>
          <w:p>
            <w:pPr>
              <w:jc w:val="center"/>
              <w:textAlignment w:val="baseline"/>
              <w:rPr>
                <w:sz w:val="21"/>
                <w:szCs w:val="21"/>
              </w:rPr>
            </w:pPr>
          </w:p>
        </w:tc>
        <w:tc>
          <w:tcPr>
            <w:tcW w:w="2034" w:type="dxa"/>
            <w:vAlign w:val="center"/>
          </w:tcPr>
          <w:p>
            <w:pPr>
              <w:jc w:val="center"/>
              <w:textAlignment w:val="baseline"/>
              <w:rPr>
                <w:sz w:val="21"/>
                <w:szCs w:val="21"/>
              </w:rPr>
            </w:pPr>
            <w:r>
              <w:rPr>
                <w:rFonts w:hint="eastAsia"/>
                <w:sz w:val="21"/>
                <w:szCs w:val="21"/>
              </w:rPr>
              <w:t>最大值</w:t>
            </w:r>
          </w:p>
        </w:tc>
        <w:tc>
          <w:tcPr>
            <w:tcW w:w="1752" w:type="dxa"/>
            <w:vAlign w:val="center"/>
          </w:tcPr>
          <w:p>
            <w:pPr>
              <w:jc w:val="center"/>
              <w:textAlignment w:val="baseline"/>
              <w:rPr>
                <w:sz w:val="21"/>
                <w:szCs w:val="21"/>
              </w:rPr>
            </w:pPr>
            <w:r>
              <w:rPr>
                <w:sz w:val="21"/>
                <w:szCs w:val="21"/>
              </w:rPr>
              <w:t>28</w:t>
            </w:r>
          </w:p>
        </w:tc>
        <w:tc>
          <w:tcPr>
            <w:tcW w:w="1752" w:type="dxa"/>
            <w:vAlign w:val="center"/>
          </w:tcPr>
          <w:p>
            <w:pPr>
              <w:jc w:val="center"/>
              <w:textAlignment w:val="baseline"/>
              <w:rPr>
                <w:sz w:val="21"/>
                <w:szCs w:val="21"/>
              </w:rPr>
            </w:pPr>
            <w:r>
              <w:rPr>
                <w:sz w:val="21"/>
                <w:szCs w:val="21"/>
              </w:rPr>
              <w:t>66</w:t>
            </w:r>
          </w:p>
        </w:tc>
        <w:tc>
          <w:tcPr>
            <w:tcW w:w="1751" w:type="dxa"/>
            <w:vAlign w:val="center"/>
          </w:tcPr>
          <w:p>
            <w:pPr>
              <w:jc w:val="center"/>
              <w:textAlignment w:val="baseline"/>
              <w:rPr>
                <w:sz w:val="21"/>
                <w:szCs w:val="21"/>
              </w:rPr>
            </w:pPr>
            <w:r>
              <w:rPr>
                <w:sz w:val="21"/>
                <w:szCs w:val="21"/>
              </w:rPr>
              <w:t>91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continue"/>
            <w:vAlign w:val="center"/>
          </w:tcPr>
          <w:p>
            <w:pPr>
              <w:jc w:val="center"/>
              <w:textAlignment w:val="baseline"/>
              <w:rPr>
                <w:sz w:val="21"/>
                <w:szCs w:val="21"/>
              </w:rPr>
            </w:pPr>
          </w:p>
        </w:tc>
        <w:tc>
          <w:tcPr>
            <w:tcW w:w="2034" w:type="dxa"/>
            <w:vAlign w:val="center"/>
          </w:tcPr>
          <w:p>
            <w:pPr>
              <w:jc w:val="center"/>
              <w:textAlignment w:val="baseline"/>
              <w:rPr>
                <w:sz w:val="21"/>
                <w:szCs w:val="21"/>
              </w:rPr>
            </w:pPr>
            <w:r>
              <w:rPr>
                <w:rFonts w:hint="eastAsia"/>
                <w:sz w:val="21"/>
                <w:szCs w:val="21"/>
              </w:rPr>
              <w:t>平均值</w:t>
            </w:r>
          </w:p>
        </w:tc>
        <w:tc>
          <w:tcPr>
            <w:tcW w:w="1752" w:type="dxa"/>
            <w:vAlign w:val="center"/>
          </w:tcPr>
          <w:p>
            <w:pPr>
              <w:jc w:val="center"/>
              <w:textAlignment w:val="baseline"/>
              <w:rPr>
                <w:color w:val="FF0000"/>
                <w:sz w:val="21"/>
                <w:szCs w:val="21"/>
              </w:rPr>
            </w:pPr>
            <w:r>
              <w:rPr>
                <w:sz w:val="21"/>
                <w:szCs w:val="21"/>
              </w:rPr>
              <w:t>16</w:t>
            </w:r>
          </w:p>
        </w:tc>
        <w:tc>
          <w:tcPr>
            <w:tcW w:w="1752" w:type="dxa"/>
            <w:vAlign w:val="center"/>
          </w:tcPr>
          <w:p>
            <w:pPr>
              <w:jc w:val="center"/>
              <w:textAlignment w:val="baseline"/>
              <w:rPr>
                <w:sz w:val="21"/>
                <w:szCs w:val="21"/>
              </w:rPr>
            </w:pPr>
            <w:r>
              <w:rPr>
                <w:sz w:val="21"/>
                <w:szCs w:val="21"/>
              </w:rPr>
              <w:t>29</w:t>
            </w:r>
          </w:p>
        </w:tc>
        <w:tc>
          <w:tcPr>
            <w:tcW w:w="1751" w:type="dxa"/>
            <w:vAlign w:val="center"/>
          </w:tcPr>
          <w:p>
            <w:pPr>
              <w:jc w:val="center"/>
              <w:textAlignment w:val="baseline"/>
              <w:rPr>
                <w:sz w:val="21"/>
                <w:szCs w:val="21"/>
              </w:rPr>
            </w:pPr>
            <w:r>
              <w:rPr>
                <w:sz w:val="21"/>
                <w:szCs w:val="21"/>
              </w:rPr>
              <w:t>79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continue"/>
            <w:vAlign w:val="center"/>
          </w:tcPr>
          <w:p>
            <w:pPr>
              <w:jc w:val="center"/>
              <w:textAlignment w:val="baseline"/>
              <w:rPr>
                <w:sz w:val="21"/>
                <w:szCs w:val="21"/>
              </w:rPr>
            </w:pPr>
          </w:p>
        </w:tc>
        <w:tc>
          <w:tcPr>
            <w:tcW w:w="2034" w:type="dxa"/>
            <w:vAlign w:val="center"/>
          </w:tcPr>
          <w:p>
            <w:pPr>
              <w:jc w:val="center"/>
              <w:textAlignment w:val="baseline"/>
              <w:rPr>
                <w:sz w:val="21"/>
                <w:szCs w:val="21"/>
              </w:rPr>
            </w:pPr>
            <w:r>
              <w:rPr>
                <w:rFonts w:hint="eastAsia"/>
                <w:sz w:val="21"/>
                <w:szCs w:val="21"/>
              </w:rPr>
              <w:t>超标个数</w:t>
            </w:r>
          </w:p>
        </w:tc>
        <w:tc>
          <w:tcPr>
            <w:tcW w:w="1752" w:type="dxa"/>
            <w:vAlign w:val="center"/>
          </w:tcPr>
          <w:p>
            <w:pPr>
              <w:jc w:val="center"/>
              <w:textAlignment w:val="baseline"/>
              <w:rPr>
                <w:sz w:val="21"/>
                <w:szCs w:val="21"/>
              </w:rPr>
            </w:pPr>
            <w:r>
              <w:rPr>
                <w:sz w:val="21"/>
                <w:szCs w:val="21"/>
              </w:rPr>
              <w:t>0</w:t>
            </w:r>
          </w:p>
        </w:tc>
        <w:tc>
          <w:tcPr>
            <w:tcW w:w="1752" w:type="dxa"/>
            <w:vAlign w:val="center"/>
          </w:tcPr>
          <w:p>
            <w:pPr>
              <w:jc w:val="center"/>
              <w:textAlignment w:val="baseline"/>
              <w:rPr>
                <w:sz w:val="21"/>
                <w:szCs w:val="21"/>
              </w:rPr>
            </w:pPr>
            <w:r>
              <w:rPr>
                <w:sz w:val="21"/>
                <w:szCs w:val="21"/>
              </w:rPr>
              <w:t>0</w:t>
            </w:r>
          </w:p>
        </w:tc>
        <w:tc>
          <w:tcPr>
            <w:tcW w:w="1751" w:type="dxa"/>
            <w:vAlign w:val="center"/>
          </w:tcPr>
          <w:p>
            <w:pPr>
              <w:jc w:val="center"/>
              <w:textAlignment w:val="baseline"/>
              <w:rPr>
                <w:sz w:val="21"/>
                <w:szCs w:val="21"/>
              </w:rPr>
            </w:pPr>
            <w:r>
              <w:rPr>
                <w:sz w:val="21"/>
                <w:szCs w:val="21"/>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1753" w:type="dxa"/>
            <w:vMerge w:val="continue"/>
            <w:vAlign w:val="center"/>
          </w:tcPr>
          <w:p>
            <w:pPr>
              <w:jc w:val="center"/>
              <w:textAlignment w:val="baseline"/>
              <w:rPr>
                <w:sz w:val="21"/>
                <w:szCs w:val="21"/>
              </w:rPr>
            </w:pPr>
          </w:p>
        </w:tc>
        <w:tc>
          <w:tcPr>
            <w:tcW w:w="2034" w:type="dxa"/>
            <w:vAlign w:val="center"/>
          </w:tcPr>
          <w:p>
            <w:pPr>
              <w:jc w:val="center"/>
              <w:textAlignment w:val="baseline"/>
              <w:rPr>
                <w:sz w:val="21"/>
                <w:szCs w:val="21"/>
              </w:rPr>
            </w:pPr>
            <w:r>
              <w:rPr>
                <w:rFonts w:hint="eastAsia"/>
                <w:sz w:val="21"/>
                <w:szCs w:val="21"/>
              </w:rPr>
              <w:t>最大超标倍数</w:t>
            </w:r>
          </w:p>
        </w:tc>
        <w:tc>
          <w:tcPr>
            <w:tcW w:w="1752" w:type="dxa"/>
            <w:vAlign w:val="center"/>
          </w:tcPr>
          <w:p>
            <w:pPr>
              <w:jc w:val="center"/>
              <w:textAlignment w:val="baseline"/>
              <w:rPr>
                <w:sz w:val="21"/>
                <w:szCs w:val="21"/>
              </w:rPr>
            </w:pPr>
            <w:r>
              <w:rPr>
                <w:sz w:val="21"/>
                <w:szCs w:val="21"/>
              </w:rPr>
              <w:t>0.00</w:t>
            </w:r>
          </w:p>
        </w:tc>
        <w:tc>
          <w:tcPr>
            <w:tcW w:w="1752" w:type="dxa"/>
            <w:vAlign w:val="center"/>
          </w:tcPr>
          <w:p>
            <w:pPr>
              <w:jc w:val="center"/>
              <w:textAlignment w:val="baseline"/>
              <w:rPr>
                <w:sz w:val="21"/>
                <w:szCs w:val="21"/>
              </w:rPr>
            </w:pPr>
            <w:r>
              <w:rPr>
                <w:sz w:val="21"/>
                <w:szCs w:val="21"/>
              </w:rPr>
              <w:t>0.00</w:t>
            </w:r>
          </w:p>
        </w:tc>
        <w:tc>
          <w:tcPr>
            <w:tcW w:w="1751" w:type="dxa"/>
            <w:vAlign w:val="center"/>
          </w:tcPr>
          <w:p>
            <w:pPr>
              <w:jc w:val="center"/>
              <w:textAlignment w:val="baseline"/>
              <w:rPr>
                <w:sz w:val="21"/>
                <w:szCs w:val="21"/>
              </w:rPr>
            </w:pPr>
            <w:r>
              <w:rPr>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397" w:hRule="atLeast"/>
          <w:jc w:val="center"/>
        </w:trPr>
        <w:tc>
          <w:tcPr>
            <w:tcW w:w="9042" w:type="dxa"/>
            <w:gridSpan w:val="5"/>
            <w:tcBorders>
              <w:bottom w:val="single" w:color="auto" w:sz="12" w:space="0"/>
            </w:tcBorders>
            <w:vAlign w:val="center"/>
          </w:tcPr>
          <w:p>
            <w:pPr>
              <w:jc w:val="center"/>
              <w:textAlignment w:val="baseline"/>
              <w:rPr>
                <w:sz w:val="21"/>
                <w:szCs w:val="21"/>
              </w:rPr>
            </w:pPr>
            <w:r>
              <w:rPr>
                <w:rFonts w:hint="eastAsia"/>
                <w:sz w:val="21"/>
                <w:szCs w:val="21"/>
              </w:rPr>
              <w:t>《环境空气质量标准》（</w:t>
            </w:r>
            <w:r>
              <w:rPr>
                <w:sz w:val="21"/>
                <w:szCs w:val="21"/>
              </w:rPr>
              <w:t>GB3095-2012</w:t>
            </w:r>
            <w:r>
              <w:rPr>
                <w:rFonts w:hint="eastAsia"/>
                <w:sz w:val="21"/>
                <w:szCs w:val="21"/>
              </w:rPr>
              <w:t>）中二级标准值：</w:t>
            </w:r>
            <w:r>
              <w:rPr>
                <w:sz w:val="21"/>
                <w:szCs w:val="21"/>
              </w:rPr>
              <w:t>SO</w:t>
            </w:r>
            <w:r>
              <w:rPr>
                <w:sz w:val="21"/>
                <w:szCs w:val="21"/>
                <w:vertAlign w:val="subscript"/>
              </w:rPr>
              <w:t>2</w:t>
            </w:r>
            <w:r>
              <w:rPr>
                <w:rFonts w:hint="eastAsia"/>
                <w:sz w:val="21"/>
                <w:szCs w:val="21"/>
              </w:rPr>
              <w:t>：</w:t>
            </w:r>
            <w:r>
              <w:rPr>
                <w:sz w:val="21"/>
                <w:szCs w:val="21"/>
              </w:rPr>
              <w:t>150µg/m</w:t>
            </w:r>
            <w:r>
              <w:rPr>
                <w:sz w:val="21"/>
                <w:szCs w:val="21"/>
                <w:vertAlign w:val="superscript"/>
              </w:rPr>
              <w:t>3</w:t>
            </w:r>
            <w:r>
              <w:rPr>
                <w:rFonts w:hint="eastAsia"/>
                <w:sz w:val="21"/>
                <w:szCs w:val="21"/>
              </w:rPr>
              <w:t>；</w:t>
            </w:r>
            <w:r>
              <w:rPr>
                <w:sz w:val="21"/>
                <w:szCs w:val="21"/>
              </w:rPr>
              <w:t>NO</w:t>
            </w:r>
            <w:r>
              <w:rPr>
                <w:sz w:val="21"/>
                <w:szCs w:val="21"/>
                <w:vertAlign w:val="subscript"/>
              </w:rPr>
              <w:t>2</w:t>
            </w:r>
            <w:r>
              <w:rPr>
                <w:rFonts w:hint="eastAsia"/>
                <w:sz w:val="21"/>
                <w:szCs w:val="21"/>
              </w:rPr>
              <w:t>：</w:t>
            </w:r>
            <w:r>
              <w:rPr>
                <w:sz w:val="21"/>
                <w:szCs w:val="21"/>
              </w:rPr>
              <w:t>80µg/m</w:t>
            </w:r>
            <w:r>
              <w:rPr>
                <w:sz w:val="21"/>
                <w:szCs w:val="21"/>
                <w:vertAlign w:val="superscript"/>
              </w:rPr>
              <w:t>3</w:t>
            </w:r>
            <w:r>
              <w:rPr>
                <w:rFonts w:hint="eastAsia"/>
                <w:sz w:val="21"/>
                <w:szCs w:val="21"/>
              </w:rPr>
              <w:t>；</w:t>
            </w:r>
            <w:r>
              <w:rPr>
                <w:sz w:val="21"/>
                <w:szCs w:val="21"/>
              </w:rPr>
              <w:t>PM</w:t>
            </w:r>
            <w:r>
              <w:rPr>
                <w:sz w:val="21"/>
                <w:szCs w:val="21"/>
                <w:vertAlign w:val="subscript"/>
              </w:rPr>
              <w:t>10</w:t>
            </w:r>
            <w:r>
              <w:rPr>
                <w:rFonts w:hint="eastAsia"/>
                <w:sz w:val="21"/>
                <w:szCs w:val="21"/>
              </w:rPr>
              <w:t>：</w:t>
            </w:r>
            <w:r>
              <w:rPr>
                <w:sz w:val="21"/>
                <w:szCs w:val="21"/>
              </w:rPr>
              <w:t>150µg/m</w:t>
            </w:r>
            <w:r>
              <w:rPr>
                <w:sz w:val="21"/>
                <w:szCs w:val="21"/>
                <w:vertAlign w:val="superscript"/>
              </w:rPr>
              <w:t>3</w:t>
            </w:r>
            <w:r>
              <w:rPr>
                <w:rFonts w:hint="eastAsia"/>
                <w:sz w:val="21"/>
                <w:szCs w:val="21"/>
              </w:rPr>
              <w:t>。</w:t>
            </w:r>
          </w:p>
        </w:tc>
      </w:tr>
    </w:tbl>
    <w:p>
      <w:pPr>
        <w:pStyle w:val="3"/>
        <w:ind w:firstLine="31680"/>
        <w:rPr>
          <w:kern w:val="2"/>
        </w:rPr>
      </w:pPr>
      <w:r>
        <w:rPr>
          <w:rFonts w:hint="eastAsia"/>
        </w:rPr>
        <w:t>由表</w:t>
      </w:r>
      <w:r>
        <w:t>6.1-1</w:t>
      </w:r>
      <w:r>
        <w:rPr>
          <w:rFonts w:hint="eastAsia"/>
        </w:rPr>
        <w:t>的监测结果可知，工程沿线各环境空气质量现状监测点</w:t>
      </w:r>
      <w:r>
        <w:t>NO</w:t>
      </w:r>
      <w:r>
        <w:rPr>
          <w:vertAlign w:val="subscript"/>
        </w:rPr>
        <w:t>2</w:t>
      </w:r>
      <w:r>
        <w:rPr>
          <w:rFonts w:hint="eastAsia"/>
        </w:rPr>
        <w:t>、</w:t>
      </w:r>
      <w:r>
        <w:rPr>
          <w:szCs w:val="24"/>
        </w:rPr>
        <w:t>PM</w:t>
      </w:r>
      <w:r>
        <w:rPr>
          <w:szCs w:val="24"/>
          <w:vertAlign w:val="subscript"/>
        </w:rPr>
        <w:t>10</w:t>
      </w:r>
      <w:r>
        <w:rPr>
          <w:rFonts w:hint="eastAsia"/>
          <w:sz w:val="21"/>
          <w:szCs w:val="21"/>
        </w:rPr>
        <w:t>、</w:t>
      </w:r>
      <w:r>
        <w:rPr>
          <w:szCs w:val="24"/>
        </w:rPr>
        <w:t>SO</w:t>
      </w:r>
      <w:r>
        <w:rPr>
          <w:szCs w:val="24"/>
          <w:vertAlign w:val="subscript"/>
        </w:rPr>
        <w:t>2</w:t>
      </w:r>
      <w:r>
        <w:rPr>
          <w:rFonts w:hint="eastAsia"/>
        </w:rPr>
        <w:t>因子都达到《环境空气质量标准》（</w:t>
      </w:r>
      <w:r>
        <w:t>GB3095-2012</w:t>
      </w:r>
      <w:r>
        <w:rPr>
          <w:rFonts w:hint="eastAsia"/>
        </w:rPr>
        <w:t>）中的二级标准。</w:t>
      </w:r>
    </w:p>
    <w:p>
      <w:pPr>
        <w:pStyle w:val="4"/>
        <w:ind w:left="567" w:hanging="567"/>
      </w:pPr>
      <w:bookmarkStart w:id="197" w:name="_Toc12339"/>
      <w:r>
        <w:rPr>
          <w:rFonts w:hint="eastAsia"/>
        </w:rPr>
        <w:t>水环境现状监测与评价</w:t>
      </w:r>
      <w:bookmarkEnd w:id="197"/>
    </w:p>
    <w:p>
      <w:pPr>
        <w:pStyle w:val="5"/>
        <w:ind w:left="567" w:hanging="567"/>
      </w:pPr>
      <w:r>
        <w:rPr>
          <w:rFonts w:hint="eastAsia"/>
        </w:rPr>
        <w:t>现状监测方案</w:t>
      </w:r>
    </w:p>
    <w:p>
      <w:pPr>
        <w:pStyle w:val="3"/>
        <w:ind w:firstLine="31680"/>
      </w:pPr>
      <w:r>
        <w:t>a</w:t>
      </w:r>
      <w:r>
        <w:rPr>
          <w:rFonts w:hint="eastAsia"/>
        </w:rPr>
        <w:t>）监测点位：共设置</w:t>
      </w:r>
      <w:r>
        <w:t>3</w:t>
      </w:r>
      <w:r>
        <w:rPr>
          <w:rFonts w:hint="eastAsia"/>
        </w:rPr>
        <w:t>个现状监测点，具体见表</w:t>
      </w:r>
      <w:r>
        <w:t>6.2-1</w:t>
      </w:r>
      <w:r>
        <w:rPr>
          <w:rFonts w:hint="eastAsia"/>
        </w:rPr>
        <w:t>。</w:t>
      </w:r>
    </w:p>
    <w:p>
      <w:pPr>
        <w:pStyle w:val="19"/>
        <w:jc w:val="center"/>
      </w:pPr>
      <w:r>
        <w:rPr>
          <w:rFonts w:hint="eastAsia"/>
        </w:rPr>
        <w:t>表</w:t>
      </w:r>
      <w:r>
        <w:t xml:space="preserve">6.2-1      </w:t>
      </w:r>
      <w:r>
        <w:rPr>
          <w:rFonts w:hint="eastAsia"/>
        </w:rPr>
        <w:t>水环境质量现状监测点一览表</w:t>
      </w:r>
    </w:p>
    <w:tbl>
      <w:tblPr>
        <w:tblStyle w:val="65"/>
        <w:tblW w:w="91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4"/>
        <w:gridCol w:w="1662"/>
        <w:gridCol w:w="4267"/>
        <w:gridCol w:w="2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714" w:type="dxa"/>
            <w:vAlign w:val="center"/>
          </w:tcPr>
          <w:p>
            <w:pPr>
              <w:pStyle w:val="112"/>
              <w:rPr>
                <w:kern w:val="2"/>
              </w:rPr>
            </w:pPr>
            <w:r>
              <w:rPr>
                <w:rFonts w:hint="eastAsia"/>
                <w:kern w:val="2"/>
              </w:rPr>
              <w:t>编号</w:t>
            </w:r>
          </w:p>
        </w:tc>
        <w:tc>
          <w:tcPr>
            <w:tcW w:w="1662" w:type="dxa"/>
            <w:vAlign w:val="center"/>
          </w:tcPr>
          <w:p>
            <w:pPr>
              <w:pStyle w:val="112"/>
              <w:rPr>
                <w:kern w:val="2"/>
              </w:rPr>
            </w:pPr>
            <w:r>
              <w:rPr>
                <w:rFonts w:hint="eastAsia"/>
                <w:kern w:val="2"/>
              </w:rPr>
              <w:t>水体</w:t>
            </w:r>
          </w:p>
        </w:tc>
        <w:tc>
          <w:tcPr>
            <w:tcW w:w="4267" w:type="dxa"/>
            <w:vAlign w:val="center"/>
          </w:tcPr>
          <w:p>
            <w:pPr>
              <w:pStyle w:val="112"/>
              <w:rPr>
                <w:kern w:val="2"/>
              </w:rPr>
            </w:pPr>
            <w:r>
              <w:rPr>
                <w:rFonts w:hint="eastAsia"/>
                <w:kern w:val="2"/>
              </w:rPr>
              <w:t>监测点位</w:t>
            </w:r>
          </w:p>
        </w:tc>
        <w:tc>
          <w:tcPr>
            <w:tcW w:w="2530" w:type="dxa"/>
            <w:vAlign w:val="center"/>
          </w:tcPr>
          <w:p>
            <w:pPr>
              <w:pStyle w:val="112"/>
              <w:rPr>
                <w:kern w:val="2"/>
              </w:rPr>
            </w:pPr>
            <w:r>
              <w:rPr>
                <w:rFonts w:hint="eastAsia"/>
                <w:kern w:val="2"/>
              </w:rPr>
              <w:t>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0" w:hRule="atLeast"/>
        </w:trPr>
        <w:tc>
          <w:tcPr>
            <w:tcW w:w="714" w:type="dxa"/>
            <w:vAlign w:val="center"/>
          </w:tcPr>
          <w:p>
            <w:pPr>
              <w:pStyle w:val="112"/>
              <w:rPr>
                <w:kern w:val="2"/>
              </w:rPr>
            </w:pPr>
            <w:r>
              <w:rPr>
                <w:kern w:val="2"/>
              </w:rPr>
              <w:t>W1</w:t>
            </w:r>
          </w:p>
        </w:tc>
        <w:tc>
          <w:tcPr>
            <w:tcW w:w="1662" w:type="dxa"/>
            <w:vAlign w:val="center"/>
          </w:tcPr>
          <w:p>
            <w:pPr>
              <w:pStyle w:val="112"/>
              <w:rPr>
                <w:kern w:val="2"/>
              </w:rPr>
            </w:pPr>
            <w:r>
              <w:rPr>
                <w:rFonts w:hint="eastAsia"/>
                <w:szCs w:val="21"/>
              </w:rPr>
              <w:t>无名小溪</w:t>
            </w:r>
            <w:r>
              <w:rPr>
                <w:szCs w:val="21"/>
              </w:rPr>
              <w:t>1</w:t>
            </w:r>
          </w:p>
        </w:tc>
        <w:tc>
          <w:tcPr>
            <w:tcW w:w="4267" w:type="dxa"/>
            <w:vAlign w:val="center"/>
          </w:tcPr>
          <w:p>
            <w:pPr>
              <w:pStyle w:val="112"/>
              <w:rPr>
                <w:kern w:val="2"/>
              </w:rPr>
            </w:pPr>
            <w:r>
              <w:rPr>
                <w:rFonts w:hint="eastAsia"/>
                <w:szCs w:val="21"/>
              </w:rPr>
              <w:t>无名小溪</w:t>
            </w:r>
            <w:r>
              <w:rPr>
                <w:szCs w:val="21"/>
              </w:rPr>
              <w:t>1</w:t>
            </w:r>
            <w:r>
              <w:rPr>
                <w:rFonts w:hint="eastAsia"/>
                <w:szCs w:val="21"/>
              </w:rPr>
              <w:t>樟树塘桥断面</w:t>
            </w:r>
          </w:p>
        </w:tc>
        <w:tc>
          <w:tcPr>
            <w:tcW w:w="2530" w:type="dxa"/>
            <w:vMerge w:val="restart"/>
            <w:vAlign w:val="center"/>
          </w:tcPr>
          <w:p>
            <w:pPr>
              <w:pStyle w:val="112"/>
              <w:rPr>
                <w:kern w:val="2"/>
              </w:rPr>
            </w:pPr>
            <w:r>
              <w:rPr>
                <w:kern w:val="2"/>
              </w:rPr>
              <w:t>GB3838-2002</w:t>
            </w:r>
            <w:r>
              <w:rPr>
                <w:rFonts w:hint="eastAsia" w:ascii="宋体" w:hAnsi="宋体"/>
                <w:kern w:val="2"/>
              </w:rPr>
              <w:t>Ⅲ</w:t>
            </w:r>
            <w:r>
              <w:rPr>
                <w:rFonts w:hint="eastAsia"/>
                <w:kern w:val="2"/>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trPr>
        <w:tc>
          <w:tcPr>
            <w:tcW w:w="714" w:type="dxa"/>
            <w:vAlign w:val="center"/>
          </w:tcPr>
          <w:p>
            <w:pPr>
              <w:pStyle w:val="112"/>
              <w:rPr>
                <w:kern w:val="2"/>
              </w:rPr>
            </w:pPr>
            <w:r>
              <w:rPr>
                <w:kern w:val="2"/>
              </w:rPr>
              <w:t>W2</w:t>
            </w:r>
          </w:p>
        </w:tc>
        <w:tc>
          <w:tcPr>
            <w:tcW w:w="1662" w:type="dxa"/>
            <w:vAlign w:val="center"/>
          </w:tcPr>
          <w:p>
            <w:pPr>
              <w:pStyle w:val="112"/>
              <w:rPr>
                <w:rFonts w:hAnsi="宋体"/>
                <w:kern w:val="2"/>
              </w:rPr>
            </w:pPr>
            <w:r>
              <w:rPr>
                <w:rFonts w:hint="eastAsia"/>
                <w:szCs w:val="21"/>
              </w:rPr>
              <w:t>无名小溪</w:t>
            </w:r>
            <w:r>
              <w:rPr>
                <w:szCs w:val="21"/>
              </w:rPr>
              <w:t>2</w:t>
            </w:r>
          </w:p>
        </w:tc>
        <w:tc>
          <w:tcPr>
            <w:tcW w:w="4267" w:type="dxa"/>
            <w:tcBorders>
              <w:bottom w:val="single" w:color="auto" w:sz="4" w:space="0"/>
            </w:tcBorders>
            <w:vAlign w:val="center"/>
          </w:tcPr>
          <w:p>
            <w:pPr>
              <w:pStyle w:val="112"/>
              <w:rPr>
                <w:kern w:val="2"/>
              </w:rPr>
            </w:pPr>
            <w:r>
              <w:rPr>
                <w:rFonts w:hint="eastAsia"/>
                <w:szCs w:val="21"/>
              </w:rPr>
              <w:t>无名小溪</w:t>
            </w:r>
            <w:r>
              <w:rPr>
                <w:szCs w:val="21"/>
              </w:rPr>
              <w:t>2</w:t>
            </w:r>
            <w:r>
              <w:rPr>
                <w:rFonts w:hint="eastAsia"/>
                <w:szCs w:val="21"/>
              </w:rPr>
              <w:t>范家屋场桥断面</w:t>
            </w:r>
          </w:p>
        </w:tc>
        <w:tc>
          <w:tcPr>
            <w:tcW w:w="2530" w:type="dxa"/>
            <w:vMerge w:val="continue"/>
            <w:tcBorders>
              <w:bottom w:val="single" w:color="auto" w:sz="4" w:space="0"/>
            </w:tcBorders>
            <w:vAlign w:val="center"/>
          </w:tcPr>
          <w:p>
            <w:pPr>
              <w:pStyle w:val="112"/>
              <w:rPr>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5" w:hRule="atLeast"/>
        </w:trPr>
        <w:tc>
          <w:tcPr>
            <w:tcW w:w="714" w:type="dxa"/>
            <w:vAlign w:val="center"/>
          </w:tcPr>
          <w:p>
            <w:pPr>
              <w:pStyle w:val="112"/>
              <w:rPr>
                <w:kern w:val="2"/>
              </w:rPr>
            </w:pPr>
            <w:r>
              <w:rPr>
                <w:kern w:val="2"/>
              </w:rPr>
              <w:t>W3</w:t>
            </w:r>
          </w:p>
        </w:tc>
        <w:tc>
          <w:tcPr>
            <w:tcW w:w="1662" w:type="dxa"/>
            <w:vAlign w:val="center"/>
          </w:tcPr>
          <w:p>
            <w:pPr>
              <w:pStyle w:val="112"/>
            </w:pPr>
            <w:r>
              <w:rPr>
                <w:rFonts w:hint="eastAsia"/>
              </w:rPr>
              <w:t>大里塘水库</w:t>
            </w:r>
          </w:p>
        </w:tc>
        <w:tc>
          <w:tcPr>
            <w:tcW w:w="4267" w:type="dxa"/>
            <w:tcBorders>
              <w:top w:val="single" w:color="auto" w:sz="4" w:space="0"/>
            </w:tcBorders>
            <w:vAlign w:val="center"/>
          </w:tcPr>
          <w:p>
            <w:pPr>
              <w:pStyle w:val="112"/>
              <w:rPr>
                <w:szCs w:val="21"/>
              </w:rPr>
            </w:pPr>
            <w:r>
              <w:rPr>
                <w:rFonts w:hint="eastAsia"/>
                <w:color w:val="auto"/>
                <w:szCs w:val="21"/>
              </w:rPr>
              <w:t>大里塘水库</w:t>
            </w:r>
            <w:r>
              <w:rPr>
                <w:rFonts w:hint="eastAsia"/>
                <w:color w:val="auto"/>
                <w:szCs w:val="21"/>
                <w:lang w:eastAsia="zh-CN"/>
              </w:rPr>
              <w:t>中心</w:t>
            </w:r>
          </w:p>
        </w:tc>
        <w:tc>
          <w:tcPr>
            <w:tcW w:w="2530" w:type="dxa"/>
            <w:tcBorders>
              <w:top w:val="single" w:color="auto" w:sz="4" w:space="0"/>
              <w:bottom w:val="single" w:color="auto" w:sz="4" w:space="0"/>
            </w:tcBorders>
            <w:vAlign w:val="center"/>
          </w:tcPr>
          <w:p>
            <w:pPr>
              <w:pStyle w:val="112"/>
              <w:rPr>
                <w:kern w:val="2"/>
              </w:rPr>
            </w:pPr>
            <w:r>
              <w:rPr>
                <w:kern w:val="2"/>
              </w:rPr>
              <w:t>GB3838-2002</w:t>
            </w:r>
            <w:r>
              <w:rPr>
                <w:rFonts w:hint="eastAsia" w:ascii="宋体" w:hAnsi="宋体" w:cs="宋体"/>
                <w:kern w:val="2"/>
              </w:rPr>
              <w:t>Ⅱ</w:t>
            </w:r>
            <w:r>
              <w:rPr>
                <w:rFonts w:hint="eastAsia"/>
                <w:kern w:val="2"/>
              </w:rPr>
              <w:t>类标准</w:t>
            </w:r>
          </w:p>
        </w:tc>
      </w:tr>
    </w:tbl>
    <w:p>
      <w:pPr>
        <w:pStyle w:val="3"/>
        <w:ind w:firstLine="31680"/>
        <w:rPr>
          <w:rFonts w:hAnsi="宋体"/>
        </w:rPr>
      </w:pPr>
      <w:r>
        <w:t>b</w:t>
      </w:r>
      <w:r>
        <w:rPr>
          <w:rFonts w:hint="eastAsia"/>
        </w:rPr>
        <w:t>）监测因子：</w:t>
      </w:r>
      <w:r>
        <w:t>pH</w:t>
      </w:r>
      <w:r>
        <w:rPr>
          <w:rFonts w:hint="eastAsia" w:hAnsi="宋体"/>
        </w:rPr>
        <w:t>、</w:t>
      </w:r>
      <w:r>
        <w:t>SS</w:t>
      </w:r>
      <w:r>
        <w:rPr>
          <w:rFonts w:hint="eastAsia" w:hAnsi="宋体"/>
        </w:rPr>
        <w:t>、</w:t>
      </w:r>
      <w:r>
        <w:t>COD</w:t>
      </w:r>
      <w:r>
        <w:rPr>
          <w:vertAlign w:val="subscript"/>
        </w:rPr>
        <w:t>Cr</w:t>
      </w:r>
      <w:r>
        <w:rPr>
          <w:rFonts w:hint="eastAsia" w:hAnsi="宋体"/>
        </w:rPr>
        <w:t>、氨氮、</w:t>
      </w:r>
      <w:r>
        <w:rPr>
          <w:rFonts w:hAnsi="宋体"/>
        </w:rPr>
        <w:t>BOD</w:t>
      </w:r>
      <w:r>
        <w:rPr>
          <w:rFonts w:hint="eastAsia" w:hAnsi="宋体"/>
        </w:rPr>
        <w:t>、总磷、</w:t>
      </w:r>
      <w:r>
        <w:rPr>
          <w:rFonts w:hint="eastAsia"/>
        </w:rPr>
        <w:t>石油类、溶解氧</w:t>
      </w:r>
      <w:r>
        <w:rPr>
          <w:rFonts w:hAnsi="宋体"/>
        </w:rPr>
        <w:t>8</w:t>
      </w:r>
      <w:r>
        <w:rPr>
          <w:rFonts w:hint="eastAsia" w:hAnsi="宋体"/>
        </w:rPr>
        <w:t>项。</w:t>
      </w:r>
    </w:p>
    <w:p>
      <w:pPr>
        <w:pStyle w:val="3"/>
        <w:ind w:firstLine="31680"/>
      </w:pPr>
      <w:r>
        <w:t>c</w:t>
      </w:r>
      <w:r>
        <w:rPr>
          <w:rFonts w:hint="eastAsia"/>
        </w:rPr>
        <w:t>）采样时间、频率：监测时间为</w:t>
      </w:r>
      <w:r>
        <w:t>2017</w:t>
      </w:r>
      <w:r>
        <w:rPr>
          <w:rFonts w:hint="eastAsia"/>
        </w:rPr>
        <w:t>年</w:t>
      </w:r>
      <w:r>
        <w:t>2</w:t>
      </w:r>
      <w:r>
        <w:rPr>
          <w:rFonts w:hint="eastAsia"/>
        </w:rPr>
        <w:t>月</w:t>
      </w:r>
      <w:r>
        <w:t>22</w:t>
      </w:r>
      <w:r>
        <w:rPr>
          <w:rFonts w:hint="eastAsia"/>
        </w:rPr>
        <w:t>日</w:t>
      </w:r>
      <w:r>
        <w:t>~24</w:t>
      </w:r>
      <w:r>
        <w:rPr>
          <w:rFonts w:hint="eastAsia"/>
        </w:rPr>
        <w:t>日，连续监测</w:t>
      </w:r>
      <w:r>
        <w:t>3</w:t>
      </w:r>
      <w:r>
        <w:rPr>
          <w:rFonts w:hint="eastAsia"/>
        </w:rPr>
        <w:t>天，每天一次；监测单位为汨罗市环境保护监测站。</w:t>
      </w:r>
    </w:p>
    <w:p>
      <w:pPr>
        <w:pStyle w:val="3"/>
        <w:ind w:firstLine="31680"/>
      </w:pPr>
      <w:r>
        <w:t>d</w:t>
      </w:r>
      <w:r>
        <w:rPr>
          <w:rFonts w:hint="eastAsia"/>
        </w:rPr>
        <w:t>）采样分析方法：按《环境监测技术规范》（地表水部分）执行。</w:t>
      </w:r>
    </w:p>
    <w:p>
      <w:pPr>
        <w:pStyle w:val="5"/>
        <w:widowControl/>
        <w:ind w:left="567" w:hanging="567"/>
      </w:pPr>
      <w:r>
        <w:rPr>
          <w:rFonts w:hint="eastAsia"/>
        </w:rPr>
        <w:t>水质现状评价</w:t>
      </w:r>
    </w:p>
    <w:p>
      <w:pPr>
        <w:pStyle w:val="3"/>
        <w:ind w:firstLine="31680"/>
        <w:rPr>
          <w:rStyle w:val="80"/>
        </w:rPr>
      </w:pPr>
      <w:r>
        <w:rPr>
          <w:rStyle w:val="80"/>
          <w:rFonts w:hint="eastAsia"/>
        </w:rPr>
        <w:t>本工程水质监测结果见表</w:t>
      </w:r>
      <w:r>
        <w:rPr>
          <w:rStyle w:val="80"/>
        </w:rPr>
        <w:t>6.2-2</w:t>
      </w:r>
      <w:r>
        <w:rPr>
          <w:rStyle w:val="80"/>
          <w:rFonts w:hint="eastAsia"/>
        </w:rPr>
        <w:t>。</w:t>
      </w:r>
    </w:p>
    <w:p>
      <w:pPr>
        <w:pStyle w:val="19"/>
        <w:jc w:val="center"/>
      </w:pPr>
      <w:bookmarkStart w:id="198" w:name="_Ref398197367"/>
      <w:r>
        <w:rPr>
          <w:rFonts w:hint="eastAsia"/>
        </w:rPr>
        <w:t>表</w:t>
      </w:r>
      <w:bookmarkEnd w:id="198"/>
      <w:r>
        <w:t xml:space="preserve">6.2-2   </w:t>
      </w:r>
      <w:r>
        <w:rPr>
          <w:rFonts w:hint="eastAsia"/>
        </w:rPr>
        <w:t>水质现状监测及评价结果</w:t>
      </w:r>
    </w:p>
    <w:tbl>
      <w:tblPr>
        <w:tblStyle w:val="65"/>
        <w:tblW w:w="90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97"/>
        <w:gridCol w:w="1977"/>
        <w:gridCol w:w="1974"/>
        <w:gridCol w:w="1076"/>
        <w:gridCol w:w="1076"/>
        <w:gridCol w:w="1078"/>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blHeader/>
        </w:trPr>
        <w:tc>
          <w:tcPr>
            <w:tcW w:w="797" w:type="dxa"/>
            <w:vAlign w:val="center"/>
          </w:tcPr>
          <w:p>
            <w:pPr>
              <w:pStyle w:val="112"/>
              <w:rPr>
                <w:kern w:val="2"/>
              </w:rPr>
            </w:pPr>
            <w:r>
              <w:rPr>
                <w:rFonts w:hint="eastAsia"/>
                <w:kern w:val="2"/>
              </w:rPr>
              <w:t>监测</w:t>
            </w:r>
          </w:p>
          <w:p>
            <w:pPr>
              <w:pStyle w:val="112"/>
              <w:rPr>
                <w:kern w:val="2"/>
              </w:rPr>
            </w:pPr>
            <w:r>
              <w:rPr>
                <w:rFonts w:hint="eastAsia"/>
                <w:kern w:val="2"/>
              </w:rPr>
              <w:t>地点</w:t>
            </w:r>
          </w:p>
        </w:tc>
        <w:tc>
          <w:tcPr>
            <w:tcW w:w="1977" w:type="dxa"/>
            <w:vAlign w:val="center"/>
          </w:tcPr>
          <w:p>
            <w:pPr>
              <w:pStyle w:val="112"/>
              <w:rPr>
                <w:kern w:val="2"/>
              </w:rPr>
            </w:pPr>
            <w:r>
              <w:rPr>
                <w:rFonts w:hint="eastAsia"/>
                <w:kern w:val="2"/>
              </w:rPr>
              <w:t>监测</w:t>
            </w:r>
          </w:p>
          <w:p>
            <w:pPr>
              <w:pStyle w:val="112"/>
              <w:rPr>
                <w:kern w:val="2"/>
              </w:rPr>
            </w:pPr>
            <w:r>
              <w:rPr>
                <w:rFonts w:hint="eastAsia"/>
                <w:kern w:val="2"/>
              </w:rPr>
              <w:t>因子</w:t>
            </w:r>
          </w:p>
        </w:tc>
        <w:tc>
          <w:tcPr>
            <w:tcW w:w="1974" w:type="dxa"/>
            <w:vAlign w:val="center"/>
          </w:tcPr>
          <w:p>
            <w:pPr>
              <w:pStyle w:val="112"/>
              <w:rPr>
                <w:kern w:val="2"/>
              </w:rPr>
            </w:pPr>
            <w:r>
              <w:rPr>
                <w:rFonts w:hint="eastAsia"/>
                <w:kern w:val="2"/>
              </w:rPr>
              <w:t>浓度范围</w:t>
            </w:r>
          </w:p>
          <w:p>
            <w:pPr>
              <w:pStyle w:val="112"/>
              <w:rPr>
                <w:kern w:val="2"/>
              </w:rPr>
            </w:pPr>
            <w:r>
              <w:rPr>
                <w:rFonts w:hint="eastAsia"/>
                <w:kern w:val="2"/>
              </w:rPr>
              <w:t>（</w:t>
            </w:r>
            <w:r>
              <w:rPr>
                <w:kern w:val="2"/>
              </w:rPr>
              <w:t>mg/L</w:t>
            </w:r>
            <w:r>
              <w:rPr>
                <w:rFonts w:hint="eastAsia"/>
                <w:kern w:val="2"/>
              </w:rPr>
              <w:t>，</w:t>
            </w:r>
            <w:r>
              <w:rPr>
                <w:kern w:val="2"/>
              </w:rPr>
              <w:t>pH</w:t>
            </w:r>
            <w:r>
              <w:rPr>
                <w:rFonts w:hint="eastAsia"/>
                <w:kern w:val="2"/>
              </w:rPr>
              <w:t>除外）</w:t>
            </w:r>
          </w:p>
        </w:tc>
        <w:tc>
          <w:tcPr>
            <w:tcW w:w="1076" w:type="dxa"/>
            <w:vAlign w:val="center"/>
          </w:tcPr>
          <w:p>
            <w:pPr>
              <w:pStyle w:val="112"/>
              <w:rPr>
                <w:kern w:val="2"/>
              </w:rPr>
            </w:pPr>
            <w:r>
              <w:rPr>
                <w:rFonts w:hint="eastAsia"/>
                <w:kern w:val="2"/>
              </w:rPr>
              <w:t>平均值</w:t>
            </w:r>
          </w:p>
          <w:p>
            <w:pPr>
              <w:pStyle w:val="112"/>
              <w:rPr>
                <w:kern w:val="2"/>
              </w:rPr>
            </w:pPr>
            <w:r>
              <w:rPr>
                <w:rFonts w:hint="eastAsia"/>
                <w:kern w:val="2"/>
              </w:rPr>
              <w:t>（</w:t>
            </w:r>
            <w:r>
              <w:rPr>
                <w:kern w:val="2"/>
              </w:rPr>
              <w:t>mg/L</w:t>
            </w:r>
            <w:r>
              <w:rPr>
                <w:rFonts w:hint="eastAsia"/>
                <w:kern w:val="2"/>
              </w:rPr>
              <w:t>）</w:t>
            </w:r>
          </w:p>
        </w:tc>
        <w:tc>
          <w:tcPr>
            <w:tcW w:w="1076" w:type="dxa"/>
            <w:vAlign w:val="center"/>
          </w:tcPr>
          <w:p>
            <w:pPr>
              <w:pStyle w:val="112"/>
              <w:rPr>
                <w:kern w:val="2"/>
              </w:rPr>
            </w:pPr>
            <w:r>
              <w:rPr>
                <w:rFonts w:hint="eastAsia"/>
                <w:kern w:val="2"/>
              </w:rPr>
              <w:t>超标率</w:t>
            </w:r>
          </w:p>
          <w:p>
            <w:pPr>
              <w:pStyle w:val="112"/>
              <w:rPr>
                <w:kern w:val="2"/>
              </w:rPr>
            </w:pPr>
            <w:r>
              <w:rPr>
                <w:rFonts w:hint="eastAsia"/>
                <w:kern w:val="2"/>
              </w:rPr>
              <w:t>（</w:t>
            </w:r>
            <w:r>
              <w:rPr>
                <w:kern w:val="2"/>
              </w:rPr>
              <w:t>%</w:t>
            </w:r>
            <w:r>
              <w:rPr>
                <w:rFonts w:hint="eastAsia"/>
                <w:kern w:val="2"/>
              </w:rPr>
              <w:t>）</w:t>
            </w:r>
          </w:p>
        </w:tc>
        <w:tc>
          <w:tcPr>
            <w:tcW w:w="1078" w:type="dxa"/>
            <w:vAlign w:val="center"/>
          </w:tcPr>
          <w:p>
            <w:pPr>
              <w:pStyle w:val="112"/>
              <w:rPr>
                <w:kern w:val="2"/>
              </w:rPr>
            </w:pPr>
            <w:r>
              <w:rPr>
                <w:rFonts w:hint="eastAsia"/>
                <w:kern w:val="2"/>
              </w:rPr>
              <w:t>最大超标倍数（倍）</w:t>
            </w:r>
          </w:p>
        </w:tc>
        <w:tc>
          <w:tcPr>
            <w:tcW w:w="1035" w:type="dxa"/>
            <w:vAlign w:val="center"/>
          </w:tcPr>
          <w:p>
            <w:pPr>
              <w:pStyle w:val="112"/>
              <w:rPr>
                <w:kern w:val="2"/>
              </w:rPr>
            </w:pPr>
            <w:r>
              <w:rPr>
                <w:rFonts w:hint="eastAsia"/>
                <w:kern w:val="2"/>
              </w:rPr>
              <w:t>评价标准</w:t>
            </w:r>
          </w:p>
          <w:p>
            <w:pPr>
              <w:pStyle w:val="112"/>
              <w:rPr>
                <w:kern w:val="2"/>
              </w:rPr>
            </w:pPr>
            <w:r>
              <w:rPr>
                <w:rFonts w:hint="eastAsia"/>
                <w:kern w:val="2"/>
              </w:rPr>
              <w:t>（</w:t>
            </w:r>
            <w:r>
              <w:rPr>
                <w:kern w:val="2"/>
              </w:rPr>
              <w:t>mg/L</w:t>
            </w:r>
            <w:r>
              <w:rPr>
                <w:rFonts w:hint="eastAsia"/>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restart"/>
            <w:vAlign w:val="center"/>
          </w:tcPr>
          <w:p>
            <w:pPr>
              <w:pStyle w:val="112"/>
              <w:rPr>
                <w:kern w:val="2"/>
              </w:rPr>
            </w:pPr>
            <w:r>
              <w:rPr>
                <w:kern w:val="2"/>
              </w:rPr>
              <w:t>W1</w:t>
            </w:r>
          </w:p>
          <w:p>
            <w:pPr>
              <w:pStyle w:val="112"/>
              <w:rPr>
                <w:kern w:val="2"/>
              </w:rPr>
            </w:pPr>
            <w:r>
              <w:rPr>
                <w:rFonts w:hint="eastAsia"/>
                <w:kern w:val="2"/>
              </w:rPr>
              <w:t>（</w:t>
            </w:r>
            <w:r>
              <w:rPr>
                <w:rFonts w:hint="eastAsia"/>
                <w:szCs w:val="21"/>
              </w:rPr>
              <w:t>无名小溪</w:t>
            </w:r>
            <w:r>
              <w:rPr>
                <w:szCs w:val="21"/>
              </w:rPr>
              <w:t>1</w:t>
            </w:r>
            <w:r>
              <w:rPr>
                <w:rFonts w:hint="eastAsia"/>
                <w:szCs w:val="21"/>
              </w:rPr>
              <w:t>樟树塘桥断面</w:t>
            </w:r>
            <w:r>
              <w:rPr>
                <w:rFonts w:hint="eastAsia"/>
                <w:kern w:val="2"/>
              </w:rPr>
              <w:t>）</w:t>
            </w:r>
          </w:p>
        </w:tc>
        <w:tc>
          <w:tcPr>
            <w:tcW w:w="1977" w:type="dxa"/>
            <w:vAlign w:val="center"/>
          </w:tcPr>
          <w:p>
            <w:pPr>
              <w:pStyle w:val="112"/>
              <w:rPr>
                <w:rFonts w:ascii="宋体" w:cs="宋体"/>
              </w:rPr>
            </w:pPr>
            <w:r>
              <w:t>pH</w:t>
            </w:r>
            <w:r>
              <w:rPr>
                <w:rFonts w:hint="eastAsia"/>
              </w:rPr>
              <w:t>（无纲量）</w:t>
            </w:r>
          </w:p>
        </w:tc>
        <w:tc>
          <w:tcPr>
            <w:tcW w:w="1974" w:type="dxa"/>
            <w:vAlign w:val="center"/>
          </w:tcPr>
          <w:p>
            <w:pPr>
              <w:pStyle w:val="112"/>
            </w:pPr>
            <w:r>
              <w:t>7.14~7.15</w:t>
            </w:r>
          </w:p>
        </w:tc>
        <w:tc>
          <w:tcPr>
            <w:tcW w:w="1076" w:type="dxa"/>
            <w:vAlign w:val="center"/>
          </w:tcPr>
          <w:p>
            <w:pPr>
              <w:pStyle w:val="112"/>
            </w:pPr>
            <w:r>
              <w:t>--</w:t>
            </w:r>
          </w:p>
        </w:tc>
        <w:tc>
          <w:tcPr>
            <w:tcW w:w="1076" w:type="dxa"/>
            <w:vAlign w:val="center"/>
          </w:tcPr>
          <w:p>
            <w:pPr>
              <w:pStyle w:val="112"/>
            </w:pPr>
            <w:r>
              <w:t>--</w:t>
            </w:r>
          </w:p>
        </w:tc>
        <w:tc>
          <w:tcPr>
            <w:tcW w:w="1078" w:type="dxa"/>
            <w:vAlign w:val="center"/>
          </w:tcPr>
          <w:p>
            <w:pPr>
              <w:pStyle w:val="112"/>
            </w:pPr>
            <w:r>
              <w:t>--</w:t>
            </w:r>
          </w:p>
        </w:tc>
        <w:tc>
          <w:tcPr>
            <w:tcW w:w="1035" w:type="dxa"/>
            <w:vAlign w:val="center"/>
          </w:tcPr>
          <w:p>
            <w:pPr>
              <w:pStyle w:val="112"/>
            </w:pP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pStyle w:val="112"/>
              <w:rPr>
                <w:rFonts w:ascii="宋体" w:cs="宋体"/>
              </w:rPr>
            </w:pPr>
            <w:r>
              <w:t>SS</w:t>
            </w:r>
            <w:r>
              <w:rPr>
                <w:b/>
                <w:szCs w:val="21"/>
              </w:rPr>
              <w:t>*</w:t>
            </w:r>
          </w:p>
        </w:tc>
        <w:tc>
          <w:tcPr>
            <w:tcW w:w="1974" w:type="dxa"/>
            <w:vAlign w:val="center"/>
          </w:tcPr>
          <w:p>
            <w:pPr>
              <w:pStyle w:val="112"/>
            </w:pPr>
            <w:r>
              <w:t>15~19</w:t>
            </w:r>
          </w:p>
        </w:tc>
        <w:tc>
          <w:tcPr>
            <w:tcW w:w="1076" w:type="dxa"/>
            <w:vAlign w:val="center"/>
          </w:tcPr>
          <w:p>
            <w:pPr>
              <w:pStyle w:val="112"/>
            </w:pPr>
            <w:r>
              <w:t>17</w:t>
            </w:r>
          </w:p>
        </w:tc>
        <w:tc>
          <w:tcPr>
            <w:tcW w:w="1076" w:type="dxa"/>
            <w:vAlign w:val="center"/>
          </w:tcPr>
          <w:p>
            <w:pPr>
              <w:pStyle w:val="112"/>
            </w:pPr>
            <w:r>
              <w:t>--</w:t>
            </w:r>
          </w:p>
        </w:tc>
        <w:tc>
          <w:tcPr>
            <w:tcW w:w="1078" w:type="dxa"/>
            <w:vAlign w:val="center"/>
          </w:tcPr>
          <w:p>
            <w:pPr>
              <w:pStyle w:val="112"/>
            </w:pPr>
            <w:r>
              <w:t>--</w:t>
            </w:r>
          </w:p>
        </w:tc>
        <w:tc>
          <w:tcPr>
            <w:tcW w:w="1035" w:type="dxa"/>
            <w:vAlign w:val="center"/>
          </w:tcPr>
          <w:p>
            <w:pPr>
              <w:pStyle w:val="112"/>
            </w:pPr>
            <w:r>
              <w:rPr>
                <w:rFonts w:hint="eastAsia" w:ascii="宋体" w:hAnsi="宋体" w:cs="宋体"/>
              </w:rPr>
              <w:t>≤</w:t>
            </w: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pStyle w:val="112"/>
              <w:rPr>
                <w:rFonts w:ascii="宋体" w:cs="宋体"/>
              </w:rPr>
            </w:pPr>
            <w:r>
              <w:t>COD</w:t>
            </w:r>
            <w:r>
              <w:rPr>
                <w:vertAlign w:val="subscript"/>
              </w:rPr>
              <w:t>Cr</w:t>
            </w:r>
          </w:p>
        </w:tc>
        <w:tc>
          <w:tcPr>
            <w:tcW w:w="1974" w:type="dxa"/>
            <w:vAlign w:val="center"/>
          </w:tcPr>
          <w:p>
            <w:pPr>
              <w:pStyle w:val="112"/>
              <w:rPr>
                <w:color w:val="auto"/>
              </w:rPr>
            </w:pPr>
            <w:r>
              <w:rPr>
                <w:color w:val="auto"/>
              </w:rPr>
              <w:t>18.2~23.6</w:t>
            </w:r>
          </w:p>
        </w:tc>
        <w:tc>
          <w:tcPr>
            <w:tcW w:w="1076" w:type="dxa"/>
            <w:vAlign w:val="center"/>
          </w:tcPr>
          <w:p>
            <w:pPr>
              <w:pStyle w:val="112"/>
              <w:rPr>
                <w:color w:val="auto"/>
              </w:rPr>
            </w:pPr>
            <w:r>
              <w:rPr>
                <w:color w:val="auto"/>
              </w:rPr>
              <w:t>20.7</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rFonts w:hint="eastAsia" w:ascii="宋体" w:hAnsi="宋体" w:cs="宋体"/>
                <w:color w:val="auto"/>
              </w:rPr>
              <w:t>≤</w:t>
            </w:r>
            <w:r>
              <w:rPr>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pStyle w:val="112"/>
              <w:rPr>
                <w:rFonts w:ascii="宋体" w:cs="宋体"/>
              </w:rPr>
            </w:pPr>
            <w:r>
              <w:rPr>
                <w:rFonts w:hint="eastAsia"/>
              </w:rPr>
              <w:t>氨氮</w:t>
            </w:r>
          </w:p>
        </w:tc>
        <w:tc>
          <w:tcPr>
            <w:tcW w:w="1974" w:type="dxa"/>
            <w:vAlign w:val="center"/>
          </w:tcPr>
          <w:p>
            <w:pPr>
              <w:pStyle w:val="112"/>
              <w:rPr>
                <w:color w:val="auto"/>
              </w:rPr>
            </w:pPr>
            <w:r>
              <w:rPr>
                <w:color w:val="auto"/>
              </w:rPr>
              <w:t>0.434~0.477</w:t>
            </w:r>
          </w:p>
        </w:tc>
        <w:tc>
          <w:tcPr>
            <w:tcW w:w="1076" w:type="dxa"/>
            <w:vAlign w:val="center"/>
          </w:tcPr>
          <w:p>
            <w:pPr>
              <w:pStyle w:val="112"/>
              <w:rPr>
                <w:color w:val="auto"/>
              </w:rPr>
            </w:pPr>
            <w:r>
              <w:rPr>
                <w:color w:val="auto"/>
              </w:rPr>
              <w:t>0.456</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rFonts w:hint="eastAsia" w:ascii="宋体" w:hAnsi="宋体" w:cs="宋体"/>
                <w:color w:val="auto"/>
              </w:rPr>
              <w:t>≤</w:t>
            </w:r>
            <w:r>
              <w:rPr>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pStyle w:val="112"/>
              <w:rPr>
                <w:rFonts w:ascii="宋体" w:cs="宋体"/>
              </w:rPr>
            </w:pPr>
            <w:r>
              <w:rPr>
                <w:rFonts w:hint="eastAsia"/>
              </w:rPr>
              <w:t>总磷</w:t>
            </w:r>
          </w:p>
        </w:tc>
        <w:tc>
          <w:tcPr>
            <w:tcW w:w="1974" w:type="dxa"/>
            <w:vAlign w:val="center"/>
          </w:tcPr>
          <w:p>
            <w:pPr>
              <w:pStyle w:val="112"/>
              <w:rPr>
                <w:color w:val="auto"/>
              </w:rPr>
            </w:pPr>
            <w:r>
              <w:rPr>
                <w:color w:val="auto"/>
              </w:rPr>
              <w:t>0.09~0.12</w:t>
            </w:r>
          </w:p>
        </w:tc>
        <w:tc>
          <w:tcPr>
            <w:tcW w:w="1076" w:type="dxa"/>
            <w:vAlign w:val="center"/>
          </w:tcPr>
          <w:p>
            <w:pPr>
              <w:pStyle w:val="112"/>
              <w:rPr>
                <w:color w:val="auto"/>
              </w:rPr>
            </w:pPr>
            <w:r>
              <w:rPr>
                <w:color w:val="auto"/>
              </w:rPr>
              <w:t>0.11</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rFonts w:hint="eastAsia" w:ascii="宋体" w:hAnsi="宋体" w:cs="宋体"/>
                <w:color w:val="auto"/>
              </w:rPr>
              <w:t>≤</w:t>
            </w:r>
            <w:r>
              <w:rPr>
                <w:color w:val="auto"/>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spacing w:line="300" w:lineRule="exact"/>
              <w:jc w:val="center"/>
            </w:pPr>
            <w:r>
              <w:rPr>
                <w:rFonts w:hint="eastAsia"/>
                <w:kern w:val="0"/>
                <w:sz w:val="21"/>
              </w:rPr>
              <w:t>石油类</w:t>
            </w:r>
          </w:p>
        </w:tc>
        <w:tc>
          <w:tcPr>
            <w:tcW w:w="1974" w:type="dxa"/>
            <w:vAlign w:val="center"/>
          </w:tcPr>
          <w:p>
            <w:pPr>
              <w:pStyle w:val="112"/>
              <w:rPr>
                <w:color w:val="auto"/>
              </w:rPr>
            </w:pPr>
            <w:r>
              <w:rPr>
                <w:color w:val="auto"/>
              </w:rPr>
              <w:t>&lt;0.01</w:t>
            </w:r>
          </w:p>
        </w:tc>
        <w:tc>
          <w:tcPr>
            <w:tcW w:w="1076" w:type="dxa"/>
            <w:vAlign w:val="center"/>
          </w:tcPr>
          <w:p>
            <w:pPr>
              <w:pStyle w:val="112"/>
              <w:rPr>
                <w:color w:val="auto"/>
              </w:rPr>
            </w:pPr>
            <w:r>
              <w:rPr>
                <w:color w:val="auto"/>
              </w:rPr>
              <w:t>&lt;0.01</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rFonts w:hint="eastAsia" w:ascii="宋体" w:hAnsi="宋体" w:cs="宋体"/>
                <w:color w:val="auto"/>
              </w:rPr>
              <w:t>≤</w:t>
            </w:r>
            <w:r>
              <w:rPr>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spacing w:line="300" w:lineRule="exact"/>
              <w:jc w:val="center"/>
              <w:rPr>
                <w:kern w:val="0"/>
                <w:sz w:val="21"/>
              </w:rPr>
            </w:pPr>
            <w:r>
              <w:rPr>
                <w:kern w:val="0"/>
                <w:sz w:val="21"/>
              </w:rPr>
              <w:t>BOD</w:t>
            </w:r>
          </w:p>
        </w:tc>
        <w:tc>
          <w:tcPr>
            <w:tcW w:w="1974" w:type="dxa"/>
            <w:vAlign w:val="center"/>
          </w:tcPr>
          <w:p>
            <w:pPr>
              <w:pStyle w:val="112"/>
              <w:rPr>
                <w:color w:val="auto"/>
              </w:rPr>
            </w:pPr>
            <w:r>
              <w:rPr>
                <w:color w:val="auto"/>
              </w:rPr>
              <w:t>2.5~2.7</w:t>
            </w:r>
          </w:p>
        </w:tc>
        <w:tc>
          <w:tcPr>
            <w:tcW w:w="1076" w:type="dxa"/>
            <w:vAlign w:val="center"/>
          </w:tcPr>
          <w:p>
            <w:pPr>
              <w:pStyle w:val="112"/>
              <w:rPr>
                <w:color w:val="auto"/>
              </w:rPr>
            </w:pPr>
            <w:r>
              <w:rPr>
                <w:color w:val="auto"/>
              </w:rPr>
              <w:t>2.6</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rFonts w:hint="eastAsia" w:ascii="宋体" w:hAnsi="宋体" w:cs="宋体"/>
                <w:color w:val="auto"/>
              </w:rPr>
              <w:t>≤</w:t>
            </w:r>
            <w:r>
              <w:rPr>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spacing w:line="300" w:lineRule="exact"/>
              <w:jc w:val="center"/>
              <w:rPr>
                <w:kern w:val="0"/>
                <w:sz w:val="21"/>
              </w:rPr>
            </w:pPr>
            <w:r>
              <w:rPr>
                <w:rFonts w:hint="eastAsia"/>
                <w:kern w:val="0"/>
                <w:sz w:val="21"/>
              </w:rPr>
              <w:t>溶解氧</w:t>
            </w:r>
          </w:p>
        </w:tc>
        <w:tc>
          <w:tcPr>
            <w:tcW w:w="1974" w:type="dxa"/>
            <w:vAlign w:val="center"/>
          </w:tcPr>
          <w:p>
            <w:pPr>
              <w:pStyle w:val="112"/>
              <w:rPr>
                <w:color w:val="auto"/>
              </w:rPr>
            </w:pPr>
            <w:r>
              <w:rPr>
                <w:color w:val="auto"/>
              </w:rPr>
              <w:t>8.1~8.2</w:t>
            </w:r>
          </w:p>
        </w:tc>
        <w:tc>
          <w:tcPr>
            <w:tcW w:w="1076" w:type="dxa"/>
            <w:vAlign w:val="center"/>
          </w:tcPr>
          <w:p>
            <w:pPr>
              <w:pStyle w:val="112"/>
              <w:rPr>
                <w:color w:val="auto"/>
              </w:rPr>
            </w:pPr>
            <w:r>
              <w:rPr>
                <w:color w:val="auto"/>
              </w:rPr>
              <w:t>8.17</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rFonts w:hint="eastAsia" w:ascii="宋体" w:hAnsi="宋体" w:cs="宋体"/>
                <w:color w:val="auto"/>
              </w:rPr>
              <w:t>≥</w:t>
            </w: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restart"/>
            <w:vAlign w:val="center"/>
          </w:tcPr>
          <w:p>
            <w:pPr>
              <w:pStyle w:val="112"/>
              <w:rPr>
                <w:kern w:val="2"/>
              </w:rPr>
            </w:pPr>
            <w:r>
              <w:rPr>
                <w:kern w:val="2"/>
              </w:rPr>
              <w:t>W2</w:t>
            </w:r>
          </w:p>
          <w:p>
            <w:pPr>
              <w:pStyle w:val="112"/>
              <w:rPr>
                <w:kern w:val="2"/>
              </w:rPr>
            </w:pPr>
            <w:r>
              <w:rPr>
                <w:rFonts w:hint="eastAsia"/>
                <w:kern w:val="2"/>
              </w:rPr>
              <w:t>（</w:t>
            </w:r>
            <w:r>
              <w:rPr>
                <w:rFonts w:hint="eastAsia"/>
                <w:szCs w:val="21"/>
              </w:rPr>
              <w:t>无名小溪</w:t>
            </w:r>
            <w:r>
              <w:rPr>
                <w:szCs w:val="21"/>
              </w:rPr>
              <w:t>2</w:t>
            </w:r>
            <w:r>
              <w:rPr>
                <w:rFonts w:hint="eastAsia"/>
                <w:szCs w:val="21"/>
              </w:rPr>
              <w:t>范家屋场桥断面）</w:t>
            </w:r>
          </w:p>
        </w:tc>
        <w:tc>
          <w:tcPr>
            <w:tcW w:w="1977" w:type="dxa"/>
            <w:vAlign w:val="center"/>
          </w:tcPr>
          <w:p>
            <w:pPr>
              <w:pStyle w:val="112"/>
              <w:rPr>
                <w:rFonts w:ascii="宋体" w:cs="宋体"/>
              </w:rPr>
            </w:pPr>
            <w:r>
              <w:t>pH</w:t>
            </w:r>
            <w:r>
              <w:rPr>
                <w:rFonts w:hint="eastAsia"/>
              </w:rPr>
              <w:t>（无纲量）</w:t>
            </w:r>
          </w:p>
        </w:tc>
        <w:tc>
          <w:tcPr>
            <w:tcW w:w="1974" w:type="dxa"/>
            <w:vAlign w:val="center"/>
          </w:tcPr>
          <w:p>
            <w:pPr>
              <w:pStyle w:val="112"/>
              <w:rPr>
                <w:color w:val="auto"/>
              </w:rPr>
            </w:pPr>
            <w:r>
              <w:rPr>
                <w:color w:val="auto"/>
              </w:rPr>
              <w:t>7.09~7.12</w:t>
            </w:r>
          </w:p>
        </w:tc>
        <w:tc>
          <w:tcPr>
            <w:tcW w:w="1076" w:type="dxa"/>
            <w:vAlign w:val="center"/>
          </w:tcPr>
          <w:p>
            <w:pPr>
              <w:pStyle w:val="112"/>
              <w:rPr>
                <w:color w:val="auto"/>
              </w:rPr>
            </w:pPr>
            <w:r>
              <w:rPr>
                <w:color w:val="auto"/>
              </w:rPr>
              <w:t>--</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color w:val="auto"/>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pStyle w:val="112"/>
              <w:rPr>
                <w:rFonts w:ascii="宋体" w:cs="宋体"/>
              </w:rPr>
            </w:pPr>
            <w:r>
              <w:t>SS</w:t>
            </w:r>
          </w:p>
        </w:tc>
        <w:tc>
          <w:tcPr>
            <w:tcW w:w="1974" w:type="dxa"/>
            <w:vAlign w:val="center"/>
          </w:tcPr>
          <w:p>
            <w:pPr>
              <w:pStyle w:val="112"/>
              <w:rPr>
                <w:color w:val="auto"/>
              </w:rPr>
            </w:pPr>
            <w:r>
              <w:rPr>
                <w:color w:val="auto"/>
              </w:rPr>
              <w:t>13~16</w:t>
            </w:r>
          </w:p>
        </w:tc>
        <w:tc>
          <w:tcPr>
            <w:tcW w:w="1076" w:type="dxa"/>
            <w:vAlign w:val="center"/>
          </w:tcPr>
          <w:p>
            <w:pPr>
              <w:pStyle w:val="112"/>
              <w:rPr>
                <w:color w:val="auto"/>
              </w:rPr>
            </w:pPr>
            <w:r>
              <w:rPr>
                <w:color w:val="auto"/>
              </w:rPr>
              <w:t>14.3</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rFonts w:hint="eastAsia" w:ascii="宋体" w:hAnsi="宋体" w:cs="宋体"/>
                <w:color w:val="auto"/>
              </w:rPr>
              <w:t>≤</w:t>
            </w:r>
            <w:r>
              <w:rPr>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pStyle w:val="112"/>
              <w:rPr>
                <w:rFonts w:ascii="宋体" w:cs="宋体"/>
              </w:rPr>
            </w:pPr>
            <w:r>
              <w:t>COD</w:t>
            </w:r>
            <w:r>
              <w:rPr>
                <w:vertAlign w:val="subscript"/>
              </w:rPr>
              <w:t>Cr</w:t>
            </w:r>
          </w:p>
        </w:tc>
        <w:tc>
          <w:tcPr>
            <w:tcW w:w="1974" w:type="dxa"/>
            <w:vAlign w:val="center"/>
          </w:tcPr>
          <w:p>
            <w:pPr>
              <w:pStyle w:val="112"/>
              <w:rPr>
                <w:color w:val="auto"/>
              </w:rPr>
            </w:pPr>
            <w:r>
              <w:rPr>
                <w:color w:val="auto"/>
              </w:rPr>
              <w:t>22.8~31.7</w:t>
            </w:r>
          </w:p>
        </w:tc>
        <w:tc>
          <w:tcPr>
            <w:tcW w:w="1076" w:type="dxa"/>
            <w:vAlign w:val="center"/>
          </w:tcPr>
          <w:p>
            <w:pPr>
              <w:pStyle w:val="112"/>
              <w:rPr>
                <w:color w:val="auto"/>
              </w:rPr>
            </w:pPr>
            <w:r>
              <w:rPr>
                <w:color w:val="auto"/>
              </w:rPr>
              <w:t>25.9</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rFonts w:hint="eastAsia" w:ascii="宋体" w:hAnsi="宋体" w:cs="宋体"/>
                <w:color w:val="auto"/>
              </w:rPr>
              <w:t>≤</w:t>
            </w:r>
            <w:r>
              <w:rPr>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pStyle w:val="112"/>
              <w:rPr>
                <w:rFonts w:ascii="宋体" w:cs="宋体"/>
              </w:rPr>
            </w:pPr>
            <w:r>
              <w:rPr>
                <w:rFonts w:hint="eastAsia"/>
              </w:rPr>
              <w:t>氨氮</w:t>
            </w:r>
          </w:p>
        </w:tc>
        <w:tc>
          <w:tcPr>
            <w:tcW w:w="1974" w:type="dxa"/>
            <w:vAlign w:val="center"/>
          </w:tcPr>
          <w:p>
            <w:pPr>
              <w:pStyle w:val="112"/>
            </w:pPr>
            <w:r>
              <w:t>0.424~0.558</w:t>
            </w:r>
          </w:p>
        </w:tc>
        <w:tc>
          <w:tcPr>
            <w:tcW w:w="1076" w:type="dxa"/>
            <w:vAlign w:val="center"/>
          </w:tcPr>
          <w:p>
            <w:pPr>
              <w:pStyle w:val="112"/>
            </w:pPr>
            <w:r>
              <w:t>0.504</w:t>
            </w:r>
          </w:p>
        </w:tc>
        <w:tc>
          <w:tcPr>
            <w:tcW w:w="1076" w:type="dxa"/>
            <w:vAlign w:val="center"/>
          </w:tcPr>
          <w:p>
            <w:pPr>
              <w:pStyle w:val="112"/>
            </w:pPr>
            <w:r>
              <w:t>--</w:t>
            </w:r>
          </w:p>
        </w:tc>
        <w:tc>
          <w:tcPr>
            <w:tcW w:w="1078" w:type="dxa"/>
            <w:vAlign w:val="center"/>
          </w:tcPr>
          <w:p>
            <w:pPr>
              <w:pStyle w:val="112"/>
            </w:pPr>
            <w:r>
              <w:t>--</w:t>
            </w:r>
          </w:p>
        </w:tc>
        <w:tc>
          <w:tcPr>
            <w:tcW w:w="1035" w:type="dxa"/>
            <w:vAlign w:val="center"/>
          </w:tcPr>
          <w:p>
            <w:pPr>
              <w:pStyle w:val="112"/>
            </w:pPr>
            <w:r>
              <w:rPr>
                <w:rFonts w:hint="eastAsia" w:ascii="宋体" w:hAnsi="宋体" w:cs="宋体"/>
              </w:rPr>
              <w:t>≤</w:t>
            </w: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pStyle w:val="112"/>
              <w:rPr>
                <w:rFonts w:ascii="宋体" w:cs="宋体"/>
              </w:rPr>
            </w:pPr>
            <w:r>
              <w:rPr>
                <w:rFonts w:hint="eastAsia"/>
              </w:rPr>
              <w:t>总磷</w:t>
            </w:r>
          </w:p>
        </w:tc>
        <w:tc>
          <w:tcPr>
            <w:tcW w:w="1974" w:type="dxa"/>
            <w:vAlign w:val="center"/>
          </w:tcPr>
          <w:p>
            <w:pPr>
              <w:pStyle w:val="112"/>
            </w:pPr>
            <w:r>
              <w:t>0.1~0.13</w:t>
            </w:r>
          </w:p>
        </w:tc>
        <w:tc>
          <w:tcPr>
            <w:tcW w:w="1076" w:type="dxa"/>
            <w:vAlign w:val="center"/>
          </w:tcPr>
          <w:p>
            <w:pPr>
              <w:pStyle w:val="112"/>
            </w:pPr>
            <w:r>
              <w:t>0.17</w:t>
            </w:r>
          </w:p>
        </w:tc>
        <w:tc>
          <w:tcPr>
            <w:tcW w:w="1076" w:type="dxa"/>
            <w:vAlign w:val="center"/>
          </w:tcPr>
          <w:p>
            <w:pPr>
              <w:pStyle w:val="112"/>
            </w:pPr>
            <w:r>
              <w:t>--</w:t>
            </w:r>
          </w:p>
        </w:tc>
        <w:tc>
          <w:tcPr>
            <w:tcW w:w="1078" w:type="dxa"/>
            <w:vAlign w:val="center"/>
          </w:tcPr>
          <w:p>
            <w:pPr>
              <w:pStyle w:val="112"/>
            </w:pPr>
            <w:r>
              <w:t>--</w:t>
            </w:r>
          </w:p>
        </w:tc>
        <w:tc>
          <w:tcPr>
            <w:tcW w:w="1035" w:type="dxa"/>
            <w:vAlign w:val="center"/>
          </w:tcPr>
          <w:p>
            <w:pPr>
              <w:pStyle w:val="112"/>
            </w:pPr>
            <w:r>
              <w:rPr>
                <w:rFonts w:hint="eastAsia" w:ascii="宋体" w:hAnsi="宋体" w:cs="宋体"/>
              </w:rPr>
              <w:t>≤</w:t>
            </w: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spacing w:line="300" w:lineRule="exact"/>
              <w:jc w:val="center"/>
            </w:pPr>
            <w:r>
              <w:rPr>
                <w:rFonts w:hint="eastAsia"/>
                <w:kern w:val="0"/>
                <w:sz w:val="21"/>
              </w:rPr>
              <w:t>石油类</w:t>
            </w:r>
          </w:p>
        </w:tc>
        <w:tc>
          <w:tcPr>
            <w:tcW w:w="1974" w:type="dxa"/>
            <w:vAlign w:val="center"/>
          </w:tcPr>
          <w:p>
            <w:pPr>
              <w:pStyle w:val="112"/>
            </w:pPr>
            <w:r>
              <w:t>0.01~0.02</w:t>
            </w:r>
          </w:p>
        </w:tc>
        <w:tc>
          <w:tcPr>
            <w:tcW w:w="1076" w:type="dxa"/>
            <w:vAlign w:val="center"/>
          </w:tcPr>
          <w:p>
            <w:pPr>
              <w:pStyle w:val="112"/>
            </w:pPr>
            <w:r>
              <w:t>0.013</w:t>
            </w:r>
          </w:p>
        </w:tc>
        <w:tc>
          <w:tcPr>
            <w:tcW w:w="1076" w:type="dxa"/>
            <w:vAlign w:val="center"/>
          </w:tcPr>
          <w:p>
            <w:pPr>
              <w:pStyle w:val="112"/>
            </w:pPr>
            <w:r>
              <w:t>--</w:t>
            </w:r>
          </w:p>
        </w:tc>
        <w:tc>
          <w:tcPr>
            <w:tcW w:w="1078" w:type="dxa"/>
            <w:vAlign w:val="center"/>
          </w:tcPr>
          <w:p>
            <w:pPr>
              <w:pStyle w:val="112"/>
            </w:pPr>
            <w:r>
              <w:t>--</w:t>
            </w:r>
          </w:p>
        </w:tc>
        <w:tc>
          <w:tcPr>
            <w:tcW w:w="1035" w:type="dxa"/>
            <w:vAlign w:val="center"/>
          </w:tcPr>
          <w:p>
            <w:pPr>
              <w:pStyle w:val="112"/>
            </w:pPr>
            <w:r>
              <w:rPr>
                <w:rFonts w:hint="eastAsia" w:ascii="宋体" w:hAnsi="宋体" w:cs="宋体"/>
              </w:rPr>
              <w:t>≤</w:t>
            </w: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color w:val="FF0000"/>
                <w:kern w:val="2"/>
              </w:rPr>
            </w:pPr>
          </w:p>
        </w:tc>
        <w:tc>
          <w:tcPr>
            <w:tcW w:w="1977" w:type="dxa"/>
            <w:vAlign w:val="center"/>
          </w:tcPr>
          <w:p>
            <w:pPr>
              <w:spacing w:line="300" w:lineRule="exact"/>
              <w:jc w:val="center"/>
              <w:rPr>
                <w:color w:val="FF0000"/>
                <w:kern w:val="0"/>
                <w:sz w:val="21"/>
              </w:rPr>
            </w:pPr>
            <w:r>
              <w:rPr>
                <w:kern w:val="0"/>
                <w:sz w:val="21"/>
              </w:rPr>
              <w:t>BOD</w:t>
            </w:r>
          </w:p>
        </w:tc>
        <w:tc>
          <w:tcPr>
            <w:tcW w:w="1974" w:type="dxa"/>
            <w:vAlign w:val="center"/>
          </w:tcPr>
          <w:p>
            <w:pPr>
              <w:pStyle w:val="112"/>
            </w:pPr>
            <w:r>
              <w:t>2.4~2.6</w:t>
            </w:r>
          </w:p>
        </w:tc>
        <w:tc>
          <w:tcPr>
            <w:tcW w:w="1076" w:type="dxa"/>
            <w:vAlign w:val="center"/>
          </w:tcPr>
          <w:p>
            <w:pPr>
              <w:pStyle w:val="112"/>
            </w:pPr>
            <w:r>
              <w:t>2.5</w:t>
            </w:r>
          </w:p>
        </w:tc>
        <w:tc>
          <w:tcPr>
            <w:tcW w:w="1076" w:type="dxa"/>
            <w:vAlign w:val="center"/>
          </w:tcPr>
          <w:p>
            <w:pPr>
              <w:pStyle w:val="112"/>
            </w:pPr>
            <w:r>
              <w:t>--</w:t>
            </w:r>
          </w:p>
        </w:tc>
        <w:tc>
          <w:tcPr>
            <w:tcW w:w="1078" w:type="dxa"/>
            <w:vAlign w:val="center"/>
          </w:tcPr>
          <w:p>
            <w:pPr>
              <w:pStyle w:val="112"/>
            </w:pPr>
            <w:r>
              <w:t>--</w:t>
            </w:r>
          </w:p>
        </w:tc>
        <w:tc>
          <w:tcPr>
            <w:tcW w:w="1035" w:type="dxa"/>
            <w:vAlign w:val="center"/>
          </w:tcPr>
          <w:p>
            <w:pPr>
              <w:pStyle w:val="112"/>
              <w:rPr>
                <w:color w:val="FF0000"/>
              </w:rPr>
            </w:pPr>
            <w:r>
              <w:rPr>
                <w:rFonts w:hint="eastAsia" w:ascii="宋体" w:hAnsi="宋体" w:cs="宋体"/>
              </w:rPr>
              <w:t>≤</w:t>
            </w: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color w:val="FF0000"/>
                <w:kern w:val="2"/>
              </w:rPr>
            </w:pPr>
          </w:p>
        </w:tc>
        <w:tc>
          <w:tcPr>
            <w:tcW w:w="1977" w:type="dxa"/>
            <w:vAlign w:val="center"/>
          </w:tcPr>
          <w:p>
            <w:pPr>
              <w:spacing w:line="300" w:lineRule="exact"/>
              <w:jc w:val="center"/>
              <w:rPr>
                <w:color w:val="FF0000"/>
                <w:kern w:val="0"/>
                <w:sz w:val="21"/>
              </w:rPr>
            </w:pPr>
            <w:r>
              <w:rPr>
                <w:rFonts w:hint="eastAsia"/>
                <w:kern w:val="0"/>
                <w:sz w:val="21"/>
              </w:rPr>
              <w:t>溶解氧</w:t>
            </w:r>
          </w:p>
        </w:tc>
        <w:tc>
          <w:tcPr>
            <w:tcW w:w="1974" w:type="dxa"/>
            <w:vAlign w:val="center"/>
          </w:tcPr>
          <w:p>
            <w:pPr>
              <w:pStyle w:val="112"/>
            </w:pPr>
            <w:r>
              <w:t>8.2~8.3</w:t>
            </w:r>
          </w:p>
        </w:tc>
        <w:tc>
          <w:tcPr>
            <w:tcW w:w="1076" w:type="dxa"/>
            <w:vAlign w:val="center"/>
          </w:tcPr>
          <w:p>
            <w:pPr>
              <w:pStyle w:val="112"/>
            </w:pPr>
            <w:r>
              <w:t>8.27</w:t>
            </w:r>
          </w:p>
        </w:tc>
        <w:tc>
          <w:tcPr>
            <w:tcW w:w="1076" w:type="dxa"/>
            <w:vAlign w:val="center"/>
          </w:tcPr>
          <w:p>
            <w:pPr>
              <w:pStyle w:val="112"/>
            </w:pPr>
            <w:r>
              <w:t>--</w:t>
            </w:r>
          </w:p>
        </w:tc>
        <w:tc>
          <w:tcPr>
            <w:tcW w:w="1078" w:type="dxa"/>
            <w:vAlign w:val="center"/>
          </w:tcPr>
          <w:p>
            <w:pPr>
              <w:pStyle w:val="112"/>
            </w:pPr>
            <w:r>
              <w:t>--</w:t>
            </w:r>
          </w:p>
        </w:tc>
        <w:tc>
          <w:tcPr>
            <w:tcW w:w="1035" w:type="dxa"/>
            <w:vAlign w:val="center"/>
          </w:tcPr>
          <w:p>
            <w:pPr>
              <w:pStyle w:val="112"/>
              <w:rPr>
                <w:color w:val="FF0000"/>
              </w:rPr>
            </w:pPr>
            <w:r>
              <w:rPr>
                <w:rFonts w:hint="eastAsia" w:ascii="宋体" w:hAnsi="宋体" w:cs="宋体"/>
              </w:rPr>
              <w:t>≥</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restart"/>
            <w:vAlign w:val="center"/>
          </w:tcPr>
          <w:p>
            <w:pPr>
              <w:pStyle w:val="112"/>
              <w:rPr>
                <w:color w:val="auto"/>
                <w:kern w:val="2"/>
              </w:rPr>
            </w:pPr>
            <w:r>
              <w:rPr>
                <w:color w:val="auto"/>
                <w:kern w:val="2"/>
              </w:rPr>
              <w:t>W3</w:t>
            </w:r>
          </w:p>
          <w:p>
            <w:pPr>
              <w:pStyle w:val="112"/>
              <w:rPr>
                <w:color w:val="auto"/>
                <w:kern w:val="2"/>
              </w:rPr>
            </w:pPr>
            <w:r>
              <w:rPr>
                <w:rFonts w:hint="eastAsia"/>
                <w:color w:val="auto"/>
                <w:kern w:val="2"/>
              </w:rPr>
              <w:t>（</w:t>
            </w:r>
            <w:r>
              <w:rPr>
                <w:rFonts w:hint="eastAsia"/>
                <w:color w:val="auto"/>
                <w:szCs w:val="21"/>
              </w:rPr>
              <w:t>大里塘水库</w:t>
            </w:r>
            <w:r>
              <w:rPr>
                <w:rFonts w:hint="eastAsia"/>
                <w:color w:val="auto"/>
                <w:szCs w:val="21"/>
                <w:lang w:eastAsia="zh-CN"/>
              </w:rPr>
              <w:t>中心</w:t>
            </w:r>
            <w:r>
              <w:rPr>
                <w:rFonts w:hint="eastAsia"/>
                <w:color w:val="auto"/>
                <w:szCs w:val="21"/>
              </w:rPr>
              <w:t>）</w:t>
            </w:r>
          </w:p>
        </w:tc>
        <w:tc>
          <w:tcPr>
            <w:tcW w:w="1977" w:type="dxa"/>
            <w:vAlign w:val="center"/>
          </w:tcPr>
          <w:p>
            <w:pPr>
              <w:pStyle w:val="112"/>
              <w:rPr>
                <w:rFonts w:ascii="宋体" w:cs="宋体"/>
                <w:color w:val="auto"/>
              </w:rPr>
            </w:pPr>
            <w:r>
              <w:rPr>
                <w:color w:val="auto"/>
              </w:rPr>
              <w:t>pH</w:t>
            </w:r>
            <w:r>
              <w:rPr>
                <w:rFonts w:hint="eastAsia"/>
                <w:color w:val="auto"/>
              </w:rPr>
              <w:t>（无纲量）</w:t>
            </w:r>
          </w:p>
        </w:tc>
        <w:tc>
          <w:tcPr>
            <w:tcW w:w="1974" w:type="dxa"/>
            <w:vAlign w:val="center"/>
          </w:tcPr>
          <w:p>
            <w:pPr>
              <w:pStyle w:val="112"/>
              <w:rPr>
                <w:color w:val="auto"/>
              </w:rPr>
            </w:pPr>
            <w:r>
              <w:rPr>
                <w:color w:val="auto"/>
              </w:rPr>
              <w:t>7.02~7.04</w:t>
            </w:r>
          </w:p>
        </w:tc>
        <w:tc>
          <w:tcPr>
            <w:tcW w:w="1076" w:type="dxa"/>
            <w:vAlign w:val="center"/>
          </w:tcPr>
          <w:p>
            <w:pPr>
              <w:pStyle w:val="112"/>
              <w:rPr>
                <w:color w:val="auto"/>
              </w:rPr>
            </w:pPr>
            <w:r>
              <w:rPr>
                <w:color w:val="auto"/>
              </w:rPr>
              <w:t>--</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color w:val="auto"/>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color w:val="auto"/>
                <w:kern w:val="2"/>
              </w:rPr>
            </w:pPr>
          </w:p>
        </w:tc>
        <w:tc>
          <w:tcPr>
            <w:tcW w:w="1977" w:type="dxa"/>
            <w:vAlign w:val="center"/>
          </w:tcPr>
          <w:p>
            <w:pPr>
              <w:pStyle w:val="112"/>
              <w:rPr>
                <w:rFonts w:ascii="宋体" w:cs="宋体"/>
                <w:color w:val="auto"/>
              </w:rPr>
            </w:pPr>
            <w:r>
              <w:rPr>
                <w:color w:val="auto"/>
              </w:rPr>
              <w:t>SS</w:t>
            </w:r>
            <w:r>
              <w:rPr>
                <w:b/>
                <w:color w:val="auto"/>
                <w:szCs w:val="21"/>
              </w:rPr>
              <w:t>*</w:t>
            </w:r>
          </w:p>
        </w:tc>
        <w:tc>
          <w:tcPr>
            <w:tcW w:w="1974" w:type="dxa"/>
            <w:vAlign w:val="center"/>
          </w:tcPr>
          <w:p>
            <w:pPr>
              <w:pStyle w:val="112"/>
              <w:rPr>
                <w:color w:val="auto"/>
              </w:rPr>
            </w:pPr>
            <w:r>
              <w:rPr>
                <w:color w:val="auto"/>
              </w:rPr>
              <w:t>12~18</w:t>
            </w:r>
          </w:p>
        </w:tc>
        <w:tc>
          <w:tcPr>
            <w:tcW w:w="1076" w:type="dxa"/>
            <w:vAlign w:val="center"/>
          </w:tcPr>
          <w:p>
            <w:pPr>
              <w:pStyle w:val="112"/>
              <w:rPr>
                <w:color w:val="auto"/>
              </w:rPr>
            </w:pPr>
            <w:r>
              <w:rPr>
                <w:color w:val="auto"/>
              </w:rPr>
              <w:t>15</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rFonts w:hint="eastAsia" w:ascii="宋体" w:hAnsi="宋体" w:cs="宋体"/>
                <w:color w:val="auto"/>
              </w:rPr>
              <w:t>≤</w:t>
            </w:r>
            <w:r>
              <w:rPr>
                <w:color w:val="auto"/>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color w:val="auto"/>
                <w:kern w:val="2"/>
              </w:rPr>
            </w:pPr>
          </w:p>
        </w:tc>
        <w:tc>
          <w:tcPr>
            <w:tcW w:w="1977" w:type="dxa"/>
            <w:vAlign w:val="center"/>
          </w:tcPr>
          <w:p>
            <w:pPr>
              <w:pStyle w:val="112"/>
              <w:rPr>
                <w:rFonts w:ascii="宋体" w:cs="宋体"/>
                <w:color w:val="auto"/>
              </w:rPr>
            </w:pPr>
            <w:r>
              <w:rPr>
                <w:color w:val="auto"/>
              </w:rPr>
              <w:t>COD</w:t>
            </w:r>
            <w:r>
              <w:rPr>
                <w:color w:val="auto"/>
                <w:vertAlign w:val="subscript"/>
              </w:rPr>
              <w:t>Cr</w:t>
            </w:r>
          </w:p>
        </w:tc>
        <w:tc>
          <w:tcPr>
            <w:tcW w:w="1974" w:type="dxa"/>
            <w:vAlign w:val="center"/>
          </w:tcPr>
          <w:p>
            <w:pPr>
              <w:pStyle w:val="112"/>
              <w:rPr>
                <w:color w:val="auto"/>
              </w:rPr>
            </w:pPr>
            <w:r>
              <w:rPr>
                <w:color w:val="auto"/>
              </w:rPr>
              <w:t>8.18~16.7</w:t>
            </w:r>
          </w:p>
        </w:tc>
        <w:tc>
          <w:tcPr>
            <w:tcW w:w="1076" w:type="dxa"/>
            <w:vAlign w:val="center"/>
          </w:tcPr>
          <w:p>
            <w:pPr>
              <w:pStyle w:val="112"/>
              <w:rPr>
                <w:color w:val="auto"/>
              </w:rPr>
            </w:pPr>
            <w:r>
              <w:rPr>
                <w:color w:val="auto"/>
              </w:rPr>
              <w:t>12.7</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rFonts w:hint="eastAsia" w:ascii="宋体" w:hAnsi="宋体" w:cs="宋体"/>
                <w:color w:val="auto"/>
              </w:rPr>
              <w:t>≤</w:t>
            </w:r>
            <w:r>
              <w:rPr>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color w:val="auto"/>
                <w:kern w:val="2"/>
              </w:rPr>
            </w:pPr>
          </w:p>
        </w:tc>
        <w:tc>
          <w:tcPr>
            <w:tcW w:w="1977" w:type="dxa"/>
            <w:vAlign w:val="center"/>
          </w:tcPr>
          <w:p>
            <w:pPr>
              <w:pStyle w:val="112"/>
              <w:rPr>
                <w:rFonts w:ascii="宋体" w:cs="宋体"/>
                <w:color w:val="auto"/>
              </w:rPr>
            </w:pPr>
            <w:r>
              <w:rPr>
                <w:rFonts w:hint="eastAsia"/>
                <w:color w:val="auto"/>
              </w:rPr>
              <w:t>氨氮</w:t>
            </w:r>
          </w:p>
        </w:tc>
        <w:tc>
          <w:tcPr>
            <w:tcW w:w="1974" w:type="dxa"/>
            <w:vAlign w:val="center"/>
          </w:tcPr>
          <w:p>
            <w:pPr>
              <w:pStyle w:val="112"/>
              <w:rPr>
                <w:color w:val="auto"/>
              </w:rPr>
            </w:pPr>
            <w:r>
              <w:rPr>
                <w:color w:val="auto"/>
              </w:rPr>
              <w:t>0.359~0.413</w:t>
            </w:r>
          </w:p>
        </w:tc>
        <w:tc>
          <w:tcPr>
            <w:tcW w:w="1076" w:type="dxa"/>
            <w:vAlign w:val="center"/>
          </w:tcPr>
          <w:p>
            <w:pPr>
              <w:pStyle w:val="112"/>
              <w:rPr>
                <w:color w:val="auto"/>
              </w:rPr>
            </w:pPr>
            <w:r>
              <w:rPr>
                <w:color w:val="auto"/>
              </w:rPr>
              <w:t>0.385</w:t>
            </w:r>
          </w:p>
        </w:tc>
        <w:tc>
          <w:tcPr>
            <w:tcW w:w="1076" w:type="dxa"/>
            <w:vAlign w:val="center"/>
          </w:tcPr>
          <w:p>
            <w:pPr>
              <w:pStyle w:val="112"/>
              <w:rPr>
                <w:color w:val="auto"/>
              </w:rPr>
            </w:pPr>
            <w:r>
              <w:rPr>
                <w:color w:val="auto"/>
              </w:rPr>
              <w:t>--</w:t>
            </w:r>
          </w:p>
        </w:tc>
        <w:tc>
          <w:tcPr>
            <w:tcW w:w="1078" w:type="dxa"/>
            <w:vAlign w:val="center"/>
          </w:tcPr>
          <w:p>
            <w:pPr>
              <w:pStyle w:val="112"/>
              <w:rPr>
                <w:color w:val="auto"/>
              </w:rPr>
            </w:pPr>
            <w:r>
              <w:rPr>
                <w:color w:val="auto"/>
              </w:rPr>
              <w:t>--</w:t>
            </w:r>
          </w:p>
        </w:tc>
        <w:tc>
          <w:tcPr>
            <w:tcW w:w="1035" w:type="dxa"/>
            <w:vAlign w:val="center"/>
          </w:tcPr>
          <w:p>
            <w:pPr>
              <w:pStyle w:val="112"/>
              <w:rPr>
                <w:color w:val="auto"/>
              </w:rPr>
            </w:pPr>
            <w:r>
              <w:rPr>
                <w:rFonts w:hint="eastAsia" w:ascii="宋体" w:hAnsi="宋体" w:cs="宋体"/>
                <w:color w:val="auto"/>
              </w:rPr>
              <w:t>≤</w:t>
            </w:r>
            <w:r>
              <w:rPr>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pStyle w:val="112"/>
              <w:rPr>
                <w:rFonts w:ascii="宋体" w:cs="宋体"/>
                <w:color w:val="auto"/>
              </w:rPr>
            </w:pPr>
            <w:r>
              <w:rPr>
                <w:rFonts w:hint="eastAsia"/>
                <w:color w:val="auto"/>
              </w:rPr>
              <w:t>总磷</w:t>
            </w:r>
          </w:p>
        </w:tc>
        <w:tc>
          <w:tcPr>
            <w:tcW w:w="1974" w:type="dxa"/>
            <w:vAlign w:val="center"/>
          </w:tcPr>
          <w:p>
            <w:pPr>
              <w:pStyle w:val="112"/>
              <w:rPr>
                <w:color w:val="auto"/>
              </w:rPr>
            </w:pPr>
            <w:r>
              <w:rPr>
                <w:color w:val="auto"/>
              </w:rPr>
              <w:t>0.13~0.16</w:t>
            </w:r>
          </w:p>
        </w:tc>
        <w:tc>
          <w:tcPr>
            <w:tcW w:w="1076" w:type="dxa"/>
            <w:vAlign w:val="center"/>
          </w:tcPr>
          <w:p>
            <w:pPr>
              <w:pStyle w:val="112"/>
              <w:rPr>
                <w:color w:val="auto"/>
              </w:rPr>
            </w:pPr>
            <w:r>
              <w:rPr>
                <w:color w:val="auto"/>
              </w:rPr>
              <w:t>0.14</w:t>
            </w:r>
          </w:p>
        </w:tc>
        <w:tc>
          <w:tcPr>
            <w:tcW w:w="1076" w:type="dxa"/>
            <w:vAlign w:val="center"/>
          </w:tcPr>
          <w:p>
            <w:pPr>
              <w:pStyle w:val="112"/>
              <w:rPr>
                <w:color w:val="auto"/>
              </w:rPr>
            </w:pPr>
            <w:r>
              <w:rPr>
                <w:color w:val="auto"/>
              </w:rPr>
              <w:t>100</w:t>
            </w:r>
          </w:p>
        </w:tc>
        <w:tc>
          <w:tcPr>
            <w:tcW w:w="1078" w:type="dxa"/>
            <w:vAlign w:val="center"/>
          </w:tcPr>
          <w:p>
            <w:pPr>
              <w:pStyle w:val="112"/>
              <w:rPr>
                <w:color w:val="auto"/>
              </w:rPr>
            </w:pPr>
            <w:r>
              <w:rPr>
                <w:color w:val="auto"/>
              </w:rPr>
              <w:t>5.4</w:t>
            </w:r>
          </w:p>
        </w:tc>
        <w:tc>
          <w:tcPr>
            <w:tcW w:w="1035" w:type="dxa"/>
            <w:vAlign w:val="center"/>
          </w:tcPr>
          <w:p>
            <w:pPr>
              <w:pStyle w:val="112"/>
              <w:rPr>
                <w:color w:val="auto"/>
              </w:rPr>
            </w:pPr>
            <w:r>
              <w:rPr>
                <w:rFonts w:hint="eastAsia" w:ascii="宋体" w:hAnsi="宋体" w:cs="宋体"/>
                <w:color w:val="auto"/>
              </w:rPr>
              <w:t>≤</w:t>
            </w:r>
            <w:r>
              <w:rPr>
                <w:color w:val="auto"/>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spacing w:line="300" w:lineRule="exact"/>
              <w:jc w:val="center"/>
            </w:pPr>
            <w:r>
              <w:rPr>
                <w:rFonts w:hint="eastAsia"/>
                <w:kern w:val="0"/>
                <w:sz w:val="21"/>
              </w:rPr>
              <w:t>石油类</w:t>
            </w:r>
          </w:p>
        </w:tc>
        <w:tc>
          <w:tcPr>
            <w:tcW w:w="1974" w:type="dxa"/>
            <w:vAlign w:val="center"/>
          </w:tcPr>
          <w:p>
            <w:pPr>
              <w:pStyle w:val="112"/>
            </w:pPr>
            <w:r>
              <w:t>&lt;0.01</w:t>
            </w:r>
          </w:p>
        </w:tc>
        <w:tc>
          <w:tcPr>
            <w:tcW w:w="1076" w:type="dxa"/>
            <w:vAlign w:val="center"/>
          </w:tcPr>
          <w:p>
            <w:pPr>
              <w:pStyle w:val="112"/>
            </w:pPr>
            <w:r>
              <w:t>&lt;0.01</w:t>
            </w:r>
          </w:p>
        </w:tc>
        <w:tc>
          <w:tcPr>
            <w:tcW w:w="1076" w:type="dxa"/>
            <w:vAlign w:val="center"/>
          </w:tcPr>
          <w:p>
            <w:pPr>
              <w:pStyle w:val="112"/>
            </w:pPr>
            <w:r>
              <w:t>--</w:t>
            </w:r>
          </w:p>
        </w:tc>
        <w:tc>
          <w:tcPr>
            <w:tcW w:w="1078" w:type="dxa"/>
            <w:vAlign w:val="center"/>
          </w:tcPr>
          <w:p>
            <w:pPr>
              <w:pStyle w:val="112"/>
            </w:pPr>
            <w:r>
              <w:t>--</w:t>
            </w:r>
          </w:p>
        </w:tc>
        <w:tc>
          <w:tcPr>
            <w:tcW w:w="1035" w:type="dxa"/>
            <w:vAlign w:val="center"/>
          </w:tcPr>
          <w:p>
            <w:pPr>
              <w:pStyle w:val="112"/>
              <w:rPr>
                <w:color w:val="FF0000"/>
              </w:rPr>
            </w:pPr>
            <w:r>
              <w:rPr>
                <w:rFonts w:hint="eastAsia" w:ascii="宋体" w:hAnsi="宋体" w:cs="宋体"/>
              </w:rPr>
              <w:t>≤</w:t>
            </w: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spacing w:line="300" w:lineRule="exact"/>
              <w:jc w:val="center"/>
              <w:rPr>
                <w:kern w:val="0"/>
                <w:sz w:val="21"/>
              </w:rPr>
            </w:pPr>
            <w:r>
              <w:rPr>
                <w:kern w:val="0"/>
                <w:sz w:val="21"/>
              </w:rPr>
              <w:t>BOD</w:t>
            </w:r>
          </w:p>
        </w:tc>
        <w:tc>
          <w:tcPr>
            <w:tcW w:w="1974" w:type="dxa"/>
            <w:vAlign w:val="center"/>
          </w:tcPr>
          <w:p>
            <w:pPr>
              <w:pStyle w:val="112"/>
            </w:pPr>
            <w:r>
              <w:t>2.2~2.3</w:t>
            </w:r>
          </w:p>
        </w:tc>
        <w:tc>
          <w:tcPr>
            <w:tcW w:w="1076" w:type="dxa"/>
            <w:vAlign w:val="center"/>
          </w:tcPr>
          <w:p>
            <w:pPr>
              <w:pStyle w:val="112"/>
            </w:pPr>
            <w:r>
              <w:t>2.3</w:t>
            </w:r>
          </w:p>
        </w:tc>
        <w:tc>
          <w:tcPr>
            <w:tcW w:w="1076" w:type="dxa"/>
            <w:vAlign w:val="center"/>
          </w:tcPr>
          <w:p>
            <w:pPr>
              <w:pStyle w:val="112"/>
            </w:pPr>
            <w:r>
              <w:t>--</w:t>
            </w:r>
          </w:p>
        </w:tc>
        <w:tc>
          <w:tcPr>
            <w:tcW w:w="1078" w:type="dxa"/>
            <w:vAlign w:val="center"/>
          </w:tcPr>
          <w:p>
            <w:pPr>
              <w:pStyle w:val="112"/>
            </w:pPr>
            <w:r>
              <w:t>--</w:t>
            </w:r>
          </w:p>
        </w:tc>
        <w:tc>
          <w:tcPr>
            <w:tcW w:w="1035" w:type="dxa"/>
            <w:vAlign w:val="center"/>
          </w:tcPr>
          <w:p>
            <w:pPr>
              <w:pStyle w:val="112"/>
              <w:rPr>
                <w:color w:val="FF0000"/>
              </w:rPr>
            </w:pPr>
            <w:r>
              <w:rPr>
                <w:rFonts w:hint="eastAsia" w:ascii="宋体" w:hAnsi="宋体" w:cs="宋体"/>
              </w:rPr>
              <w:t>≤</w:t>
            </w: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797" w:type="dxa"/>
            <w:vMerge w:val="continue"/>
            <w:vAlign w:val="center"/>
          </w:tcPr>
          <w:p>
            <w:pPr>
              <w:pStyle w:val="112"/>
              <w:rPr>
                <w:kern w:val="2"/>
              </w:rPr>
            </w:pPr>
          </w:p>
        </w:tc>
        <w:tc>
          <w:tcPr>
            <w:tcW w:w="1977" w:type="dxa"/>
            <w:vAlign w:val="center"/>
          </w:tcPr>
          <w:p>
            <w:pPr>
              <w:spacing w:line="300" w:lineRule="exact"/>
              <w:jc w:val="center"/>
              <w:rPr>
                <w:kern w:val="0"/>
                <w:sz w:val="21"/>
              </w:rPr>
            </w:pPr>
            <w:r>
              <w:rPr>
                <w:rFonts w:hint="eastAsia"/>
                <w:kern w:val="0"/>
                <w:sz w:val="21"/>
              </w:rPr>
              <w:t>溶解氧</w:t>
            </w:r>
          </w:p>
        </w:tc>
        <w:tc>
          <w:tcPr>
            <w:tcW w:w="1974" w:type="dxa"/>
            <w:vAlign w:val="center"/>
          </w:tcPr>
          <w:p>
            <w:pPr>
              <w:pStyle w:val="112"/>
            </w:pPr>
            <w:r>
              <w:t>8.4~8.6</w:t>
            </w:r>
          </w:p>
        </w:tc>
        <w:tc>
          <w:tcPr>
            <w:tcW w:w="1076" w:type="dxa"/>
            <w:vAlign w:val="center"/>
          </w:tcPr>
          <w:p>
            <w:pPr>
              <w:pStyle w:val="112"/>
            </w:pPr>
            <w:r>
              <w:t>8.5</w:t>
            </w:r>
          </w:p>
        </w:tc>
        <w:tc>
          <w:tcPr>
            <w:tcW w:w="1076" w:type="dxa"/>
            <w:vAlign w:val="center"/>
          </w:tcPr>
          <w:p>
            <w:pPr>
              <w:pStyle w:val="112"/>
            </w:pPr>
            <w:r>
              <w:t>--</w:t>
            </w:r>
          </w:p>
        </w:tc>
        <w:tc>
          <w:tcPr>
            <w:tcW w:w="1078" w:type="dxa"/>
            <w:vAlign w:val="center"/>
          </w:tcPr>
          <w:p>
            <w:pPr>
              <w:pStyle w:val="112"/>
            </w:pPr>
            <w:r>
              <w:t>--</w:t>
            </w:r>
          </w:p>
        </w:tc>
        <w:tc>
          <w:tcPr>
            <w:tcW w:w="1035" w:type="dxa"/>
            <w:vAlign w:val="center"/>
          </w:tcPr>
          <w:p>
            <w:pPr>
              <w:pStyle w:val="112"/>
              <w:rPr>
                <w:color w:val="FF0000"/>
              </w:rPr>
            </w:pPr>
            <w:r>
              <w:rPr>
                <w:rFonts w:hint="eastAsia" w:ascii="宋体" w:hAnsi="宋体" w:cs="宋体"/>
              </w:rPr>
              <w:t>≥</w:t>
            </w:r>
            <w:r>
              <w:t>6</w:t>
            </w:r>
          </w:p>
        </w:tc>
      </w:tr>
    </w:tbl>
    <w:p>
      <w:pPr>
        <w:pStyle w:val="3"/>
        <w:ind w:firstLine="31680"/>
        <w:rPr>
          <w:rFonts w:eastAsia="仿宋"/>
          <w:color w:val="auto"/>
          <w:sz w:val="21"/>
          <w:szCs w:val="21"/>
        </w:rPr>
      </w:pPr>
      <w:r>
        <w:rPr>
          <w:rFonts w:hint="eastAsia" w:hAnsi="仿宋" w:eastAsia="仿宋"/>
          <w:sz w:val="21"/>
          <w:szCs w:val="21"/>
        </w:rPr>
        <w:t>注</w:t>
      </w:r>
      <w:r>
        <w:rPr>
          <w:rFonts w:hint="eastAsia" w:hAnsi="仿宋" w:eastAsia="仿宋"/>
          <w:color w:val="auto"/>
          <w:sz w:val="21"/>
          <w:szCs w:val="21"/>
        </w:rPr>
        <w:t>：</w:t>
      </w:r>
      <w:r>
        <w:rPr>
          <w:rFonts w:eastAsia="仿宋"/>
          <w:color w:val="auto"/>
          <w:sz w:val="21"/>
          <w:szCs w:val="21"/>
        </w:rPr>
        <w:t>SS*</w:t>
      </w:r>
      <w:r>
        <w:rPr>
          <w:rFonts w:hint="eastAsia" w:hAnsi="仿宋" w:eastAsia="仿宋"/>
          <w:color w:val="auto"/>
          <w:sz w:val="21"/>
          <w:szCs w:val="21"/>
        </w:rPr>
        <w:t>参照《地表水资源质量标准》第</w:t>
      </w:r>
      <w:r>
        <w:rPr>
          <w:rFonts w:hint="eastAsia" w:hAnsi="仿宋" w:eastAsia="仿宋"/>
          <w:color w:val="auto"/>
          <w:sz w:val="21"/>
          <w:szCs w:val="21"/>
          <w:lang w:val="en-US" w:eastAsia="zh-CN"/>
        </w:rPr>
        <w:t>二</w:t>
      </w:r>
      <w:r>
        <w:rPr>
          <w:rFonts w:hint="eastAsia" w:hAnsi="仿宋" w:eastAsia="仿宋"/>
          <w:color w:val="auto"/>
          <w:sz w:val="21"/>
          <w:szCs w:val="21"/>
        </w:rPr>
        <w:t>级</w:t>
      </w:r>
      <w:r>
        <w:rPr>
          <w:rFonts w:hint="eastAsia" w:hAnsi="仿宋" w:eastAsia="仿宋"/>
          <w:color w:val="auto"/>
          <w:sz w:val="21"/>
          <w:szCs w:val="21"/>
          <w:lang w:eastAsia="zh-CN"/>
        </w:rPr>
        <w:t>、</w:t>
      </w:r>
      <w:r>
        <w:rPr>
          <w:rFonts w:hint="eastAsia" w:hAnsi="仿宋" w:eastAsia="仿宋"/>
          <w:color w:val="auto"/>
          <w:sz w:val="21"/>
          <w:szCs w:val="21"/>
          <w:lang w:val="en-US" w:eastAsia="zh-CN"/>
        </w:rPr>
        <w:t>第三级</w:t>
      </w:r>
      <w:r>
        <w:rPr>
          <w:rFonts w:hint="eastAsia" w:hAnsi="仿宋" w:eastAsia="仿宋"/>
          <w:color w:val="auto"/>
          <w:sz w:val="21"/>
          <w:szCs w:val="21"/>
        </w:rPr>
        <w:t>指标进行评价。</w:t>
      </w:r>
    </w:p>
    <w:p>
      <w:pPr>
        <w:pStyle w:val="3"/>
        <w:ind w:firstLine="31680"/>
        <w:rPr>
          <w:color w:val="auto"/>
        </w:rPr>
      </w:pPr>
      <w:r>
        <w:rPr>
          <w:rFonts w:hint="eastAsia"/>
          <w:color w:val="auto"/>
        </w:rPr>
        <w:t>由上表可知，两条无名小溪</w:t>
      </w:r>
      <w:r>
        <w:rPr>
          <w:rFonts w:hint="eastAsia"/>
          <w:color w:val="auto"/>
          <w:lang w:val="en-US" w:eastAsia="zh-CN"/>
        </w:rPr>
        <w:t>除CODcr略有超标外，其余</w:t>
      </w:r>
      <w:r>
        <w:rPr>
          <w:rFonts w:hint="eastAsia"/>
          <w:color w:val="auto"/>
        </w:rPr>
        <w:t>的各项污染物指标均达到《地表水环境质量标准》（</w:t>
      </w:r>
      <w:r>
        <w:rPr>
          <w:color w:val="auto"/>
        </w:rPr>
        <w:t>GB3838-2002</w:t>
      </w:r>
      <w:r>
        <w:rPr>
          <w:rFonts w:hint="eastAsia"/>
          <w:color w:val="auto"/>
        </w:rPr>
        <w:t>）的</w:t>
      </w:r>
      <w:r>
        <w:rPr>
          <w:color w:val="auto"/>
        </w:rPr>
        <w:t>III</w:t>
      </w:r>
      <w:r>
        <w:rPr>
          <w:rFonts w:hint="eastAsia"/>
          <w:color w:val="auto"/>
        </w:rPr>
        <w:t>类标准，大里塘水库监测点</w:t>
      </w:r>
      <w:r>
        <w:rPr>
          <w:rFonts w:hint="eastAsia"/>
          <w:color w:val="auto"/>
          <w:lang w:val="en-US" w:eastAsia="zh-CN"/>
        </w:rPr>
        <w:t>除CODcr、总磷超标外，其余</w:t>
      </w:r>
      <w:r>
        <w:rPr>
          <w:rFonts w:hint="eastAsia"/>
          <w:color w:val="auto"/>
        </w:rPr>
        <w:t>各项污染物指标均达到《地表水环境质量标准》（</w:t>
      </w:r>
      <w:r>
        <w:rPr>
          <w:color w:val="auto"/>
        </w:rPr>
        <w:t>GB3838-2002</w:t>
      </w:r>
      <w:r>
        <w:rPr>
          <w:rFonts w:hint="eastAsia"/>
          <w:color w:val="auto"/>
        </w:rPr>
        <w:t>）的</w:t>
      </w:r>
      <w:r>
        <w:rPr>
          <w:rFonts w:hint="eastAsia" w:ascii="宋体" w:hAnsi="宋体" w:cs="宋体"/>
          <w:color w:val="auto"/>
        </w:rPr>
        <w:t>Ⅱ</w:t>
      </w:r>
      <w:r>
        <w:rPr>
          <w:rFonts w:hint="eastAsia"/>
          <w:color w:val="auto"/>
        </w:rPr>
        <w:t>类标准。</w:t>
      </w:r>
      <w:r>
        <w:rPr>
          <w:rFonts w:hint="eastAsia"/>
          <w:color w:val="auto"/>
          <w:lang w:val="en-US" w:eastAsia="zh-CN"/>
        </w:rPr>
        <w:t>超标原因可能是溪流及水库周围居民像水体排放污染物所致。</w:t>
      </w:r>
    </w:p>
    <w:p>
      <w:pPr>
        <w:pStyle w:val="4"/>
        <w:ind w:left="567" w:hanging="567"/>
      </w:pPr>
      <w:bookmarkStart w:id="199" w:name="_Toc12360"/>
      <w:r>
        <w:rPr>
          <w:rFonts w:hint="eastAsia"/>
        </w:rPr>
        <w:t>声环境现状监测与评价</w:t>
      </w:r>
      <w:bookmarkEnd w:id="199"/>
    </w:p>
    <w:p>
      <w:pPr>
        <w:pStyle w:val="5"/>
        <w:ind w:left="567" w:hanging="567"/>
      </w:pPr>
      <w:r>
        <w:rPr>
          <w:rFonts w:hint="eastAsia"/>
        </w:rPr>
        <w:t>现状监测方案</w:t>
      </w:r>
    </w:p>
    <w:p>
      <w:pPr>
        <w:pStyle w:val="3"/>
        <w:ind w:firstLine="31680"/>
        <w:rPr>
          <w:szCs w:val="24"/>
        </w:rPr>
      </w:pPr>
      <w:bookmarkStart w:id="200" w:name="_Ref398212013"/>
      <w:r>
        <w:rPr>
          <w:rFonts w:hint="eastAsia"/>
          <w:szCs w:val="24"/>
        </w:rPr>
        <w:t>本次评价过程中，委托</w:t>
      </w:r>
      <w:r>
        <w:rPr>
          <w:rFonts w:hint="eastAsia"/>
        </w:rPr>
        <w:t>汨罗市环境监测站</w:t>
      </w:r>
      <w:r>
        <w:rPr>
          <w:rFonts w:hint="eastAsia"/>
          <w:szCs w:val="24"/>
        </w:rPr>
        <w:t>于</w:t>
      </w:r>
      <w:r>
        <w:rPr>
          <w:szCs w:val="24"/>
        </w:rPr>
        <w:t>2017</w:t>
      </w:r>
      <w:r>
        <w:rPr>
          <w:rFonts w:hint="eastAsia"/>
          <w:szCs w:val="24"/>
        </w:rPr>
        <w:t>年</w:t>
      </w:r>
      <w:r>
        <w:rPr>
          <w:szCs w:val="24"/>
        </w:rPr>
        <w:t>2</w:t>
      </w:r>
      <w:r>
        <w:rPr>
          <w:rFonts w:hint="eastAsia"/>
          <w:szCs w:val="24"/>
        </w:rPr>
        <w:t>月</w:t>
      </w:r>
      <w:r>
        <w:rPr>
          <w:szCs w:val="24"/>
        </w:rPr>
        <w:t>21</w:t>
      </w:r>
      <w:r>
        <w:rPr>
          <w:rFonts w:hint="eastAsia"/>
          <w:szCs w:val="24"/>
        </w:rPr>
        <w:t>日</w:t>
      </w:r>
      <w:r>
        <w:rPr>
          <w:szCs w:val="24"/>
        </w:rPr>
        <w:t>~22</w:t>
      </w:r>
      <w:r>
        <w:rPr>
          <w:rFonts w:hint="eastAsia"/>
          <w:szCs w:val="24"/>
        </w:rPr>
        <w:t>日对沿线各监测点位的声环境质量现状进行了监测，监测方案如下：</w:t>
      </w:r>
    </w:p>
    <w:p>
      <w:pPr>
        <w:pStyle w:val="3"/>
        <w:ind w:firstLine="31680"/>
        <w:rPr>
          <w:szCs w:val="24"/>
        </w:rPr>
      </w:pPr>
      <w:r>
        <w:t>a</w:t>
      </w:r>
      <w:r>
        <w:rPr>
          <w:rFonts w:hint="eastAsia"/>
        </w:rPr>
        <w:t>）监测布点：</w:t>
      </w:r>
      <w:r>
        <w:rPr>
          <w:rFonts w:hint="eastAsia"/>
          <w:szCs w:val="24"/>
        </w:rPr>
        <w:t>沿线敏感点现状噪声主要以社会生活噪声为主，另有少部分敏感点现状噪声以社会生活噪声及现有的交通噪声为主。监测点的布置以能反映沿线敏感点的声环境现状为原则，采用“以点代线，反馈全线”的方法。</w:t>
      </w:r>
      <w:r>
        <w:rPr>
          <w:rFonts w:hint="eastAsia"/>
        </w:rPr>
        <w:t>本项目公路两侧红线外</w:t>
      </w:r>
      <w:r>
        <w:t>35m</w:t>
      </w:r>
      <w:r>
        <w:rPr>
          <w:rFonts w:hint="eastAsia"/>
        </w:rPr>
        <w:t>以内区域执行</w:t>
      </w:r>
      <w:r>
        <w:t>4a</w:t>
      </w:r>
      <w:r>
        <w:rPr>
          <w:rFonts w:hint="eastAsia"/>
        </w:rPr>
        <w:t>类标准，红线两侧</w:t>
      </w:r>
      <w:r>
        <w:t>35m</w:t>
      </w:r>
      <w:r>
        <w:rPr>
          <w:rFonts w:hint="eastAsia"/>
        </w:rPr>
        <w:t>外的区域执行</w:t>
      </w:r>
      <w:r>
        <w:t>2</w:t>
      </w:r>
      <w:r>
        <w:rPr>
          <w:rFonts w:hint="eastAsia"/>
        </w:rPr>
        <w:t>类标准。敏感点</w:t>
      </w:r>
      <w:r>
        <w:rPr>
          <w:rFonts w:hint="eastAsia"/>
          <w:szCs w:val="24"/>
        </w:rPr>
        <w:t>声环境质量现状监测点布置情况见</w:t>
      </w:r>
      <w:r>
        <w:rPr>
          <w:rFonts w:hint="eastAsia"/>
        </w:rPr>
        <w:t>表</w:t>
      </w:r>
      <w:r>
        <w:t>6.3-1</w:t>
      </w:r>
      <w:r>
        <w:rPr>
          <w:rFonts w:hint="eastAsia"/>
          <w:szCs w:val="24"/>
        </w:rPr>
        <w:t>。</w:t>
      </w:r>
    </w:p>
    <w:p>
      <w:pPr>
        <w:pStyle w:val="19"/>
        <w:jc w:val="center"/>
      </w:pPr>
      <w:r>
        <w:rPr>
          <w:rFonts w:hint="eastAsia"/>
        </w:rPr>
        <w:t>表</w:t>
      </w:r>
      <w:bookmarkEnd w:id="200"/>
      <w:r>
        <w:t xml:space="preserve">6.3-1   </w:t>
      </w:r>
      <w:r>
        <w:rPr>
          <w:rFonts w:hint="eastAsia"/>
        </w:rPr>
        <w:t>声环境质量现状监测点布置一览表</w:t>
      </w:r>
    </w:p>
    <w:tbl>
      <w:tblPr>
        <w:tblStyle w:val="65"/>
        <w:tblW w:w="9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510"/>
        <w:gridCol w:w="2126"/>
        <w:gridCol w:w="993"/>
        <w:gridCol w:w="710"/>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74" w:type="dxa"/>
            <w:vAlign w:val="center"/>
          </w:tcPr>
          <w:p>
            <w:pPr>
              <w:pStyle w:val="112"/>
              <w:rPr>
                <w:kern w:val="2"/>
                <w:sz w:val="18"/>
                <w:szCs w:val="18"/>
              </w:rPr>
            </w:pPr>
            <w:r>
              <w:rPr>
                <w:rFonts w:hint="eastAsia" w:hAnsi="宋体"/>
                <w:kern w:val="2"/>
                <w:sz w:val="18"/>
                <w:szCs w:val="18"/>
              </w:rPr>
              <w:t>序号</w:t>
            </w:r>
          </w:p>
        </w:tc>
        <w:tc>
          <w:tcPr>
            <w:tcW w:w="2510" w:type="dxa"/>
            <w:vAlign w:val="center"/>
          </w:tcPr>
          <w:p>
            <w:pPr>
              <w:pStyle w:val="112"/>
              <w:rPr>
                <w:kern w:val="2"/>
                <w:sz w:val="18"/>
                <w:szCs w:val="18"/>
              </w:rPr>
            </w:pPr>
            <w:r>
              <w:rPr>
                <w:rFonts w:hint="eastAsia" w:hAnsi="宋体"/>
                <w:kern w:val="2"/>
                <w:sz w:val="18"/>
                <w:szCs w:val="18"/>
              </w:rPr>
              <w:t>敏感点</w:t>
            </w:r>
          </w:p>
        </w:tc>
        <w:tc>
          <w:tcPr>
            <w:tcW w:w="2126" w:type="dxa"/>
            <w:vAlign w:val="center"/>
          </w:tcPr>
          <w:p>
            <w:pPr>
              <w:pStyle w:val="112"/>
              <w:rPr>
                <w:kern w:val="2"/>
                <w:sz w:val="18"/>
                <w:szCs w:val="18"/>
              </w:rPr>
            </w:pPr>
            <w:r>
              <w:rPr>
                <w:rFonts w:hint="eastAsia" w:hAnsi="宋体"/>
                <w:kern w:val="2"/>
                <w:sz w:val="18"/>
                <w:szCs w:val="18"/>
              </w:rPr>
              <w:t>桩号</w:t>
            </w:r>
          </w:p>
        </w:tc>
        <w:tc>
          <w:tcPr>
            <w:tcW w:w="993" w:type="dxa"/>
            <w:vAlign w:val="center"/>
          </w:tcPr>
          <w:p>
            <w:pPr>
              <w:pStyle w:val="112"/>
              <w:rPr>
                <w:kern w:val="2"/>
                <w:sz w:val="18"/>
                <w:szCs w:val="18"/>
              </w:rPr>
            </w:pPr>
            <w:r>
              <w:rPr>
                <w:rFonts w:hint="eastAsia" w:hAnsi="宋体"/>
                <w:kern w:val="2"/>
                <w:sz w:val="18"/>
                <w:szCs w:val="18"/>
              </w:rPr>
              <w:t>现状车流量</w:t>
            </w:r>
          </w:p>
          <w:p>
            <w:pPr>
              <w:pStyle w:val="112"/>
              <w:rPr>
                <w:kern w:val="2"/>
                <w:sz w:val="18"/>
                <w:szCs w:val="18"/>
              </w:rPr>
            </w:pPr>
            <w:r>
              <w:rPr>
                <w:rFonts w:hint="eastAsia" w:hAnsi="宋体"/>
                <w:kern w:val="2"/>
                <w:sz w:val="18"/>
                <w:szCs w:val="18"/>
              </w:rPr>
              <w:t>（</w:t>
            </w:r>
            <w:r>
              <w:rPr>
                <w:kern w:val="2"/>
                <w:sz w:val="18"/>
                <w:szCs w:val="18"/>
              </w:rPr>
              <w:t>pcu/h</w:t>
            </w:r>
            <w:r>
              <w:rPr>
                <w:rFonts w:hint="eastAsia" w:hAnsi="宋体"/>
                <w:kern w:val="2"/>
                <w:sz w:val="18"/>
                <w:szCs w:val="18"/>
              </w:rPr>
              <w:t>）</w:t>
            </w:r>
          </w:p>
        </w:tc>
        <w:tc>
          <w:tcPr>
            <w:tcW w:w="710" w:type="dxa"/>
            <w:vAlign w:val="center"/>
          </w:tcPr>
          <w:p>
            <w:pPr>
              <w:pStyle w:val="112"/>
              <w:rPr>
                <w:kern w:val="2"/>
                <w:sz w:val="18"/>
                <w:szCs w:val="18"/>
              </w:rPr>
            </w:pPr>
            <w:r>
              <w:rPr>
                <w:rFonts w:hint="eastAsia" w:hAnsi="宋体"/>
                <w:kern w:val="2"/>
                <w:sz w:val="18"/>
                <w:szCs w:val="18"/>
              </w:rPr>
              <w:t>声环境</w:t>
            </w:r>
          </w:p>
          <w:p>
            <w:pPr>
              <w:pStyle w:val="112"/>
              <w:rPr>
                <w:kern w:val="2"/>
                <w:sz w:val="18"/>
                <w:szCs w:val="18"/>
              </w:rPr>
            </w:pPr>
            <w:r>
              <w:rPr>
                <w:rFonts w:hint="eastAsia" w:hAnsi="宋体"/>
                <w:kern w:val="2"/>
                <w:sz w:val="18"/>
                <w:szCs w:val="18"/>
              </w:rPr>
              <w:t>质量标准</w:t>
            </w:r>
          </w:p>
        </w:tc>
        <w:tc>
          <w:tcPr>
            <w:tcW w:w="2260" w:type="dxa"/>
            <w:vAlign w:val="center"/>
          </w:tcPr>
          <w:p>
            <w:pPr>
              <w:pStyle w:val="112"/>
              <w:rPr>
                <w:kern w:val="2"/>
                <w:sz w:val="18"/>
                <w:szCs w:val="18"/>
              </w:rPr>
            </w:pPr>
            <w:r>
              <w:rPr>
                <w:rFonts w:hint="eastAsia" w:hAnsi="宋体"/>
                <w:kern w:val="2"/>
                <w:sz w:val="18"/>
                <w:szCs w:val="18"/>
              </w:rPr>
              <w:t>具体监测点位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74" w:type="dxa"/>
            <w:vAlign w:val="center"/>
          </w:tcPr>
          <w:p>
            <w:pPr>
              <w:pStyle w:val="112"/>
              <w:rPr>
                <w:sz w:val="18"/>
                <w:szCs w:val="18"/>
              </w:rPr>
            </w:pPr>
            <w:r>
              <w:rPr>
                <w:sz w:val="18"/>
                <w:szCs w:val="18"/>
              </w:rPr>
              <w:t>N1</w:t>
            </w:r>
          </w:p>
        </w:tc>
        <w:tc>
          <w:tcPr>
            <w:tcW w:w="2510" w:type="dxa"/>
            <w:vAlign w:val="center"/>
          </w:tcPr>
          <w:p>
            <w:pPr>
              <w:jc w:val="center"/>
              <w:rPr>
                <w:sz w:val="18"/>
                <w:szCs w:val="18"/>
              </w:rPr>
            </w:pPr>
            <w:r>
              <w:rPr>
                <w:rFonts w:hint="eastAsia"/>
                <w:sz w:val="18"/>
                <w:szCs w:val="18"/>
              </w:rPr>
              <w:t>弼时镇铜盆村居民点</w:t>
            </w:r>
          </w:p>
        </w:tc>
        <w:tc>
          <w:tcPr>
            <w:tcW w:w="2126" w:type="dxa"/>
            <w:vAlign w:val="center"/>
          </w:tcPr>
          <w:p>
            <w:pPr>
              <w:jc w:val="center"/>
              <w:rPr>
                <w:sz w:val="18"/>
                <w:szCs w:val="18"/>
              </w:rPr>
            </w:pPr>
            <w:r>
              <w:rPr>
                <w:sz w:val="18"/>
                <w:szCs w:val="18"/>
              </w:rPr>
              <w:t>K0+000~K0+850</w:t>
            </w:r>
          </w:p>
        </w:tc>
        <w:tc>
          <w:tcPr>
            <w:tcW w:w="993" w:type="dxa"/>
            <w:vMerge w:val="restart"/>
            <w:vAlign w:val="center"/>
          </w:tcPr>
          <w:p>
            <w:pPr>
              <w:pStyle w:val="112"/>
              <w:rPr>
                <w:rFonts w:hAnsi="宋体"/>
                <w:kern w:val="2"/>
                <w:sz w:val="18"/>
                <w:szCs w:val="18"/>
              </w:rPr>
            </w:pPr>
            <w:r>
              <w:rPr>
                <w:rFonts w:hint="eastAsia" w:hAnsi="宋体"/>
                <w:kern w:val="2"/>
                <w:sz w:val="18"/>
                <w:szCs w:val="18"/>
              </w:rPr>
              <w:t>新建路段</w:t>
            </w:r>
          </w:p>
        </w:tc>
        <w:tc>
          <w:tcPr>
            <w:tcW w:w="710" w:type="dxa"/>
            <w:vAlign w:val="center"/>
          </w:tcPr>
          <w:p>
            <w:pPr>
              <w:jc w:val="center"/>
              <w:rPr>
                <w:sz w:val="18"/>
                <w:szCs w:val="18"/>
              </w:rPr>
            </w:pPr>
            <w:r>
              <w:rPr>
                <w:sz w:val="18"/>
                <w:szCs w:val="18"/>
              </w:rPr>
              <w:t>4a/2</w:t>
            </w:r>
            <w:r>
              <w:rPr>
                <w:rFonts w:hint="eastAsia" w:hAnsi="宋体"/>
                <w:sz w:val="18"/>
                <w:szCs w:val="18"/>
              </w:rPr>
              <w:t>类</w:t>
            </w:r>
          </w:p>
        </w:tc>
        <w:tc>
          <w:tcPr>
            <w:tcW w:w="2260" w:type="dxa"/>
            <w:vAlign w:val="center"/>
          </w:tcPr>
          <w:p>
            <w:pPr>
              <w:pStyle w:val="112"/>
              <w:rPr>
                <w:kern w:val="2"/>
                <w:sz w:val="18"/>
                <w:szCs w:val="18"/>
              </w:rPr>
            </w:pPr>
            <w:r>
              <w:rPr>
                <w:rFonts w:hint="eastAsia" w:hAnsi="宋体"/>
                <w:kern w:val="2"/>
                <w:sz w:val="18"/>
                <w:szCs w:val="18"/>
              </w:rPr>
              <w:t>拟建道路两侧首排民居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74" w:type="dxa"/>
            <w:vAlign w:val="center"/>
          </w:tcPr>
          <w:p>
            <w:pPr>
              <w:pStyle w:val="112"/>
              <w:rPr>
                <w:sz w:val="18"/>
                <w:szCs w:val="18"/>
              </w:rPr>
            </w:pPr>
            <w:r>
              <w:rPr>
                <w:sz w:val="18"/>
                <w:szCs w:val="18"/>
              </w:rPr>
              <w:t>N2</w:t>
            </w:r>
          </w:p>
        </w:tc>
        <w:tc>
          <w:tcPr>
            <w:tcW w:w="2510" w:type="dxa"/>
            <w:vAlign w:val="center"/>
          </w:tcPr>
          <w:p>
            <w:pPr>
              <w:pStyle w:val="3"/>
              <w:spacing w:line="240" w:lineRule="auto"/>
              <w:ind w:firstLine="0" w:firstLineChars="0"/>
              <w:jc w:val="center"/>
              <w:rPr>
                <w:kern w:val="2"/>
                <w:sz w:val="18"/>
                <w:szCs w:val="18"/>
              </w:rPr>
            </w:pPr>
            <w:r>
              <w:rPr>
                <w:rFonts w:hint="eastAsia"/>
                <w:sz w:val="18"/>
                <w:szCs w:val="18"/>
              </w:rPr>
              <w:t>弼时镇桃花村居民点</w:t>
            </w:r>
          </w:p>
        </w:tc>
        <w:tc>
          <w:tcPr>
            <w:tcW w:w="2126" w:type="dxa"/>
            <w:vAlign w:val="center"/>
          </w:tcPr>
          <w:p>
            <w:pPr>
              <w:jc w:val="center"/>
              <w:rPr>
                <w:sz w:val="18"/>
                <w:szCs w:val="18"/>
              </w:rPr>
            </w:pPr>
            <w:r>
              <w:rPr>
                <w:sz w:val="18"/>
                <w:szCs w:val="18"/>
              </w:rPr>
              <w:t>K0+850~K3+956</w:t>
            </w:r>
          </w:p>
        </w:tc>
        <w:tc>
          <w:tcPr>
            <w:tcW w:w="993" w:type="dxa"/>
            <w:vMerge w:val="continue"/>
            <w:vAlign w:val="center"/>
          </w:tcPr>
          <w:p>
            <w:pPr>
              <w:pStyle w:val="112"/>
              <w:rPr>
                <w:rFonts w:hAnsi="宋体"/>
                <w:kern w:val="2"/>
                <w:sz w:val="18"/>
                <w:szCs w:val="18"/>
              </w:rPr>
            </w:pPr>
          </w:p>
        </w:tc>
        <w:tc>
          <w:tcPr>
            <w:tcW w:w="710" w:type="dxa"/>
            <w:vAlign w:val="center"/>
          </w:tcPr>
          <w:p>
            <w:pPr>
              <w:jc w:val="center"/>
              <w:rPr>
                <w:sz w:val="18"/>
                <w:szCs w:val="18"/>
              </w:rPr>
            </w:pPr>
            <w:r>
              <w:rPr>
                <w:sz w:val="18"/>
                <w:szCs w:val="18"/>
              </w:rPr>
              <w:t>4a/2</w:t>
            </w:r>
            <w:r>
              <w:rPr>
                <w:rFonts w:hint="eastAsia" w:hAnsi="宋体"/>
                <w:sz w:val="18"/>
                <w:szCs w:val="18"/>
              </w:rPr>
              <w:t>类</w:t>
            </w:r>
          </w:p>
        </w:tc>
        <w:tc>
          <w:tcPr>
            <w:tcW w:w="2260" w:type="dxa"/>
            <w:vAlign w:val="center"/>
          </w:tcPr>
          <w:p>
            <w:pPr>
              <w:pStyle w:val="112"/>
              <w:rPr>
                <w:kern w:val="2"/>
                <w:sz w:val="18"/>
                <w:szCs w:val="18"/>
              </w:rPr>
            </w:pPr>
            <w:r>
              <w:rPr>
                <w:rFonts w:hint="eastAsia" w:hAnsi="宋体"/>
                <w:kern w:val="2"/>
                <w:sz w:val="18"/>
                <w:szCs w:val="18"/>
              </w:rPr>
              <w:t>拟建道路两侧首排民居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74" w:type="dxa"/>
            <w:vAlign w:val="center"/>
          </w:tcPr>
          <w:p>
            <w:pPr>
              <w:pStyle w:val="112"/>
              <w:rPr>
                <w:sz w:val="18"/>
                <w:szCs w:val="18"/>
              </w:rPr>
            </w:pPr>
            <w:r>
              <w:rPr>
                <w:sz w:val="18"/>
                <w:szCs w:val="18"/>
              </w:rPr>
              <w:t>N3</w:t>
            </w:r>
          </w:p>
        </w:tc>
        <w:tc>
          <w:tcPr>
            <w:tcW w:w="2510" w:type="dxa"/>
            <w:vAlign w:val="center"/>
          </w:tcPr>
          <w:p>
            <w:pPr>
              <w:pStyle w:val="3"/>
              <w:spacing w:line="240" w:lineRule="auto"/>
              <w:ind w:firstLine="0" w:firstLineChars="0"/>
              <w:jc w:val="center"/>
              <w:rPr>
                <w:kern w:val="2"/>
                <w:sz w:val="18"/>
                <w:szCs w:val="18"/>
              </w:rPr>
            </w:pPr>
            <w:r>
              <w:rPr>
                <w:rFonts w:hint="eastAsia"/>
                <w:sz w:val="18"/>
                <w:szCs w:val="18"/>
              </w:rPr>
              <w:t>弼时镇大陆村居民点</w:t>
            </w:r>
          </w:p>
        </w:tc>
        <w:tc>
          <w:tcPr>
            <w:tcW w:w="2126" w:type="dxa"/>
            <w:vAlign w:val="center"/>
          </w:tcPr>
          <w:p>
            <w:pPr>
              <w:jc w:val="center"/>
              <w:rPr>
                <w:sz w:val="18"/>
                <w:szCs w:val="18"/>
              </w:rPr>
            </w:pPr>
            <w:r>
              <w:rPr>
                <w:sz w:val="18"/>
                <w:szCs w:val="18"/>
              </w:rPr>
              <w:t>K3+956~K4+960</w:t>
            </w:r>
          </w:p>
        </w:tc>
        <w:tc>
          <w:tcPr>
            <w:tcW w:w="993" w:type="dxa"/>
            <w:vMerge w:val="continue"/>
            <w:vAlign w:val="center"/>
          </w:tcPr>
          <w:p>
            <w:pPr>
              <w:pStyle w:val="112"/>
              <w:rPr>
                <w:rFonts w:hAnsi="宋体"/>
                <w:kern w:val="2"/>
                <w:sz w:val="18"/>
                <w:szCs w:val="18"/>
              </w:rPr>
            </w:pPr>
          </w:p>
        </w:tc>
        <w:tc>
          <w:tcPr>
            <w:tcW w:w="710" w:type="dxa"/>
            <w:vAlign w:val="center"/>
          </w:tcPr>
          <w:p>
            <w:pPr>
              <w:jc w:val="center"/>
              <w:rPr>
                <w:sz w:val="18"/>
                <w:szCs w:val="18"/>
              </w:rPr>
            </w:pPr>
            <w:r>
              <w:rPr>
                <w:sz w:val="18"/>
                <w:szCs w:val="18"/>
              </w:rPr>
              <w:t>4a/2</w:t>
            </w:r>
            <w:r>
              <w:rPr>
                <w:rFonts w:hint="eastAsia" w:hAnsi="宋体"/>
                <w:sz w:val="18"/>
                <w:szCs w:val="18"/>
              </w:rPr>
              <w:t>类</w:t>
            </w:r>
          </w:p>
        </w:tc>
        <w:tc>
          <w:tcPr>
            <w:tcW w:w="2260" w:type="dxa"/>
            <w:vAlign w:val="center"/>
          </w:tcPr>
          <w:p>
            <w:pPr>
              <w:pStyle w:val="112"/>
              <w:rPr>
                <w:kern w:val="2"/>
                <w:sz w:val="18"/>
                <w:szCs w:val="18"/>
              </w:rPr>
            </w:pPr>
            <w:r>
              <w:rPr>
                <w:rFonts w:hint="eastAsia" w:hAnsi="宋体"/>
                <w:kern w:val="2"/>
                <w:sz w:val="18"/>
                <w:szCs w:val="18"/>
              </w:rPr>
              <w:t>拟建道路两侧首排民居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74" w:type="dxa"/>
            <w:vAlign w:val="center"/>
          </w:tcPr>
          <w:p>
            <w:pPr>
              <w:pStyle w:val="112"/>
              <w:rPr>
                <w:sz w:val="18"/>
                <w:szCs w:val="18"/>
              </w:rPr>
            </w:pPr>
            <w:r>
              <w:rPr>
                <w:sz w:val="18"/>
                <w:szCs w:val="18"/>
              </w:rPr>
              <w:t>N4</w:t>
            </w:r>
          </w:p>
        </w:tc>
        <w:tc>
          <w:tcPr>
            <w:tcW w:w="2510" w:type="dxa"/>
            <w:vAlign w:val="center"/>
          </w:tcPr>
          <w:p>
            <w:pPr>
              <w:pStyle w:val="3"/>
              <w:spacing w:line="240" w:lineRule="auto"/>
              <w:ind w:firstLine="0" w:firstLineChars="0"/>
              <w:jc w:val="center"/>
              <w:rPr>
                <w:sz w:val="18"/>
                <w:szCs w:val="18"/>
              </w:rPr>
            </w:pPr>
            <w:r>
              <w:rPr>
                <w:rFonts w:hint="eastAsia"/>
                <w:sz w:val="18"/>
                <w:szCs w:val="18"/>
              </w:rPr>
              <w:t>弼时镇莲花村居民点</w:t>
            </w:r>
          </w:p>
        </w:tc>
        <w:tc>
          <w:tcPr>
            <w:tcW w:w="2126" w:type="dxa"/>
            <w:vAlign w:val="center"/>
          </w:tcPr>
          <w:p>
            <w:pPr>
              <w:jc w:val="center"/>
              <w:rPr>
                <w:sz w:val="18"/>
                <w:szCs w:val="18"/>
              </w:rPr>
            </w:pPr>
            <w:r>
              <w:rPr>
                <w:sz w:val="18"/>
                <w:szCs w:val="18"/>
              </w:rPr>
              <w:t>K4+960~K7+190</w:t>
            </w:r>
          </w:p>
        </w:tc>
        <w:tc>
          <w:tcPr>
            <w:tcW w:w="993" w:type="dxa"/>
            <w:vMerge w:val="continue"/>
            <w:vAlign w:val="center"/>
          </w:tcPr>
          <w:p>
            <w:pPr>
              <w:pStyle w:val="112"/>
              <w:rPr>
                <w:rFonts w:hAnsi="宋体"/>
                <w:kern w:val="2"/>
                <w:sz w:val="18"/>
                <w:szCs w:val="18"/>
              </w:rPr>
            </w:pPr>
          </w:p>
        </w:tc>
        <w:tc>
          <w:tcPr>
            <w:tcW w:w="710" w:type="dxa"/>
            <w:vAlign w:val="center"/>
          </w:tcPr>
          <w:p>
            <w:pPr>
              <w:jc w:val="center"/>
              <w:rPr>
                <w:sz w:val="18"/>
                <w:szCs w:val="18"/>
              </w:rPr>
            </w:pPr>
            <w:r>
              <w:rPr>
                <w:sz w:val="18"/>
                <w:szCs w:val="18"/>
              </w:rPr>
              <w:t>4a/2</w:t>
            </w:r>
            <w:r>
              <w:rPr>
                <w:rFonts w:hint="eastAsia" w:hAnsi="宋体"/>
                <w:sz w:val="18"/>
                <w:szCs w:val="18"/>
              </w:rPr>
              <w:t>类</w:t>
            </w:r>
          </w:p>
        </w:tc>
        <w:tc>
          <w:tcPr>
            <w:tcW w:w="2260" w:type="dxa"/>
            <w:vAlign w:val="center"/>
          </w:tcPr>
          <w:p>
            <w:pPr>
              <w:pStyle w:val="112"/>
              <w:rPr>
                <w:rFonts w:hAnsi="宋体"/>
                <w:kern w:val="2"/>
                <w:sz w:val="18"/>
                <w:szCs w:val="18"/>
              </w:rPr>
            </w:pPr>
            <w:r>
              <w:rPr>
                <w:rFonts w:hint="eastAsia" w:hAnsi="宋体"/>
                <w:kern w:val="2"/>
                <w:sz w:val="18"/>
                <w:szCs w:val="18"/>
              </w:rPr>
              <w:t>拟建道路南侧首排居民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74" w:type="dxa"/>
            <w:vAlign w:val="center"/>
          </w:tcPr>
          <w:p>
            <w:pPr>
              <w:pStyle w:val="112"/>
              <w:rPr>
                <w:sz w:val="18"/>
                <w:szCs w:val="18"/>
              </w:rPr>
            </w:pPr>
            <w:r>
              <w:rPr>
                <w:sz w:val="18"/>
                <w:szCs w:val="18"/>
              </w:rPr>
              <w:t>N5</w:t>
            </w:r>
          </w:p>
        </w:tc>
        <w:tc>
          <w:tcPr>
            <w:tcW w:w="2510" w:type="dxa"/>
            <w:vAlign w:val="center"/>
          </w:tcPr>
          <w:p>
            <w:pPr>
              <w:jc w:val="center"/>
              <w:rPr>
                <w:sz w:val="18"/>
                <w:szCs w:val="18"/>
              </w:rPr>
            </w:pPr>
            <w:r>
              <w:rPr>
                <w:rFonts w:hint="eastAsia"/>
                <w:sz w:val="18"/>
                <w:szCs w:val="18"/>
              </w:rPr>
              <w:t>弼时镇大里塘村居民点</w:t>
            </w:r>
          </w:p>
        </w:tc>
        <w:tc>
          <w:tcPr>
            <w:tcW w:w="2126" w:type="dxa"/>
            <w:vAlign w:val="center"/>
          </w:tcPr>
          <w:p>
            <w:pPr>
              <w:pStyle w:val="3"/>
              <w:spacing w:line="240" w:lineRule="auto"/>
              <w:ind w:firstLine="0" w:firstLineChars="0"/>
              <w:jc w:val="center"/>
              <w:rPr>
                <w:sz w:val="18"/>
                <w:szCs w:val="18"/>
              </w:rPr>
            </w:pPr>
            <w:r>
              <w:rPr>
                <w:sz w:val="18"/>
                <w:szCs w:val="18"/>
              </w:rPr>
              <w:t>K7+190~K8+369</w:t>
            </w:r>
          </w:p>
        </w:tc>
        <w:tc>
          <w:tcPr>
            <w:tcW w:w="993" w:type="dxa"/>
            <w:vMerge w:val="continue"/>
            <w:vAlign w:val="center"/>
          </w:tcPr>
          <w:p>
            <w:pPr>
              <w:pStyle w:val="112"/>
              <w:rPr>
                <w:rFonts w:hAnsi="宋体"/>
                <w:kern w:val="2"/>
                <w:sz w:val="18"/>
                <w:szCs w:val="18"/>
              </w:rPr>
            </w:pPr>
          </w:p>
        </w:tc>
        <w:tc>
          <w:tcPr>
            <w:tcW w:w="710" w:type="dxa"/>
            <w:vAlign w:val="center"/>
          </w:tcPr>
          <w:p>
            <w:pPr>
              <w:jc w:val="center"/>
              <w:rPr>
                <w:sz w:val="18"/>
                <w:szCs w:val="18"/>
              </w:rPr>
            </w:pPr>
            <w:r>
              <w:rPr>
                <w:sz w:val="18"/>
                <w:szCs w:val="18"/>
              </w:rPr>
              <w:t>4a/2</w:t>
            </w:r>
            <w:r>
              <w:rPr>
                <w:rFonts w:hint="eastAsia" w:hAnsi="宋体"/>
                <w:sz w:val="18"/>
                <w:szCs w:val="18"/>
              </w:rPr>
              <w:t>类</w:t>
            </w:r>
          </w:p>
        </w:tc>
        <w:tc>
          <w:tcPr>
            <w:tcW w:w="2260" w:type="dxa"/>
            <w:vAlign w:val="center"/>
          </w:tcPr>
          <w:p>
            <w:pPr>
              <w:pStyle w:val="112"/>
              <w:rPr>
                <w:kern w:val="2"/>
                <w:sz w:val="18"/>
                <w:szCs w:val="18"/>
              </w:rPr>
            </w:pPr>
            <w:r>
              <w:rPr>
                <w:rFonts w:hint="eastAsia" w:hAnsi="宋体"/>
                <w:kern w:val="2"/>
                <w:sz w:val="18"/>
                <w:szCs w:val="18"/>
              </w:rPr>
              <w:t>拟建道路两侧首排民居</w:t>
            </w:r>
          </w:p>
        </w:tc>
      </w:tr>
    </w:tbl>
    <w:p>
      <w:pPr>
        <w:pStyle w:val="3"/>
        <w:spacing w:before="240"/>
        <w:ind w:firstLine="31680"/>
      </w:pPr>
      <w:r>
        <w:t>b</w:t>
      </w:r>
      <w:r>
        <w:rPr>
          <w:rFonts w:hint="eastAsia"/>
        </w:rPr>
        <w:t>）</w:t>
      </w:r>
      <w:r>
        <w:rPr>
          <w:rFonts w:hint="eastAsia"/>
          <w:szCs w:val="24"/>
        </w:rPr>
        <w:t>监测项目：</w:t>
      </w:r>
      <w:r>
        <w:rPr>
          <w:rFonts w:hint="eastAsia"/>
        </w:rPr>
        <w:t>监测项目为等效连续</w:t>
      </w:r>
      <w:r>
        <w:t>A</w:t>
      </w:r>
      <w:r>
        <w:rPr>
          <w:rFonts w:hint="eastAsia"/>
        </w:rPr>
        <w:t>声级</w:t>
      </w:r>
      <w:r>
        <w:t>L</w:t>
      </w:r>
      <w:r>
        <w:rPr>
          <w:vertAlign w:val="subscript"/>
        </w:rPr>
        <w:t>Aeq</w:t>
      </w:r>
      <w:r>
        <w:rPr>
          <w:rFonts w:hint="eastAsia"/>
        </w:rPr>
        <w:t>。</w:t>
      </w:r>
    </w:p>
    <w:p>
      <w:pPr>
        <w:pStyle w:val="3"/>
        <w:ind w:firstLine="31680"/>
      </w:pPr>
      <w:r>
        <w:rPr>
          <w:szCs w:val="24"/>
        </w:rPr>
        <w:t>c</w:t>
      </w:r>
      <w:r>
        <w:rPr>
          <w:rFonts w:hint="eastAsia"/>
          <w:szCs w:val="24"/>
        </w:rPr>
        <w:t>）</w:t>
      </w:r>
      <w:r>
        <w:rPr>
          <w:rFonts w:hint="eastAsia"/>
        </w:rPr>
        <w:t>监测方法：声环境质量的监测方法按照《声环境质量标准》（</w:t>
      </w:r>
      <w:r>
        <w:t>GB3096-2008</w:t>
      </w:r>
      <w:r>
        <w:rPr>
          <w:rFonts w:hint="eastAsia"/>
        </w:rPr>
        <w:t>）的相关要求进行，监测的同时记录监测点主要噪声源和周围环境特征等。</w:t>
      </w:r>
    </w:p>
    <w:p>
      <w:pPr>
        <w:pStyle w:val="3"/>
        <w:ind w:firstLine="31680"/>
      </w:pPr>
      <w:r>
        <w:t>d</w:t>
      </w:r>
      <w:r>
        <w:rPr>
          <w:rFonts w:hint="eastAsia"/>
        </w:rPr>
        <w:t>）监测频率：连续监测</w:t>
      </w:r>
      <w:r>
        <w:t>2</w:t>
      </w:r>
      <w:r>
        <w:rPr>
          <w:rFonts w:hint="eastAsia"/>
        </w:rPr>
        <w:t>天，昼夜各监测</w:t>
      </w:r>
      <w:r>
        <w:t>1</w:t>
      </w:r>
      <w:r>
        <w:rPr>
          <w:rFonts w:hint="eastAsia"/>
        </w:rPr>
        <w:t>次，每次监测</w:t>
      </w:r>
      <w:r>
        <w:t>20min</w:t>
      </w:r>
      <w:r>
        <w:rPr>
          <w:rFonts w:hint="eastAsia"/>
        </w:rPr>
        <w:t>。</w:t>
      </w:r>
    </w:p>
    <w:p>
      <w:pPr>
        <w:pStyle w:val="5"/>
        <w:widowControl/>
        <w:ind w:left="567" w:hanging="567"/>
        <w:rPr>
          <w:szCs w:val="24"/>
        </w:rPr>
      </w:pPr>
      <w:r>
        <w:rPr>
          <w:rFonts w:hint="eastAsia"/>
        </w:rPr>
        <w:t>声环境质量现状评价</w:t>
      </w:r>
    </w:p>
    <w:p>
      <w:pPr>
        <w:pStyle w:val="3"/>
        <w:ind w:firstLine="31680"/>
        <w:rPr>
          <w:rStyle w:val="80"/>
          <w:u w:val="wave"/>
        </w:rPr>
      </w:pPr>
      <w:r>
        <w:rPr>
          <w:rStyle w:val="80"/>
          <w:rFonts w:hint="eastAsia"/>
        </w:rPr>
        <w:t>本项目</w:t>
      </w:r>
      <w:r>
        <w:rPr>
          <w:rFonts w:hint="eastAsia"/>
        </w:rPr>
        <w:t>敏感点监测结果见表</w:t>
      </w:r>
      <w:r>
        <w:t>6.3-2</w:t>
      </w:r>
      <w:r>
        <w:rPr>
          <w:rFonts w:hint="eastAsia"/>
        </w:rPr>
        <w:t>，交通噪声衰减断面监测结果见表</w:t>
      </w:r>
      <w:r>
        <w:t>6.3-3</w:t>
      </w:r>
      <w:r>
        <w:rPr>
          <w:rFonts w:hint="eastAsia"/>
        </w:rPr>
        <w:t>。</w:t>
      </w:r>
    </w:p>
    <w:p>
      <w:pPr>
        <w:pStyle w:val="19"/>
        <w:jc w:val="center"/>
      </w:pPr>
      <w:bookmarkStart w:id="201" w:name="_Ref401502808"/>
      <w:r>
        <w:rPr>
          <w:rFonts w:hint="eastAsia"/>
        </w:rPr>
        <w:t>表</w:t>
      </w:r>
      <w:bookmarkEnd w:id="201"/>
      <w:r>
        <w:t xml:space="preserve">6.3-2  </w:t>
      </w:r>
      <w:r>
        <w:rPr>
          <w:rFonts w:hint="eastAsia"/>
        </w:rPr>
        <w:t>声环境质量现状监测结果分析表</w:t>
      </w:r>
      <w:r>
        <w:t xml:space="preserve">   </w:t>
      </w:r>
      <w:r>
        <w:rPr>
          <w:rFonts w:hint="eastAsia"/>
        </w:rPr>
        <w:t>单位：</w:t>
      </w:r>
      <w:r>
        <w:t>dB(A)</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679"/>
        <w:gridCol w:w="992"/>
        <w:gridCol w:w="992"/>
        <w:gridCol w:w="992"/>
        <w:gridCol w:w="994"/>
        <w:gridCol w:w="708"/>
        <w:gridCol w:w="709"/>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blHeader/>
        </w:trPr>
        <w:tc>
          <w:tcPr>
            <w:tcW w:w="556" w:type="dxa"/>
            <w:vMerge w:val="restart"/>
            <w:vAlign w:val="center"/>
          </w:tcPr>
          <w:p>
            <w:pPr>
              <w:pStyle w:val="112"/>
              <w:rPr>
                <w:kern w:val="2"/>
                <w:sz w:val="18"/>
                <w:szCs w:val="18"/>
              </w:rPr>
            </w:pPr>
            <w:r>
              <w:rPr>
                <w:rFonts w:hint="eastAsia"/>
                <w:kern w:val="2"/>
                <w:sz w:val="18"/>
                <w:szCs w:val="18"/>
              </w:rPr>
              <w:t>序号</w:t>
            </w:r>
          </w:p>
        </w:tc>
        <w:tc>
          <w:tcPr>
            <w:tcW w:w="1679" w:type="dxa"/>
            <w:vMerge w:val="restart"/>
            <w:vAlign w:val="center"/>
          </w:tcPr>
          <w:p>
            <w:pPr>
              <w:pStyle w:val="112"/>
              <w:rPr>
                <w:kern w:val="2"/>
                <w:sz w:val="18"/>
                <w:szCs w:val="18"/>
              </w:rPr>
            </w:pPr>
            <w:r>
              <w:rPr>
                <w:rFonts w:hint="eastAsia"/>
                <w:kern w:val="2"/>
                <w:sz w:val="18"/>
                <w:szCs w:val="18"/>
              </w:rPr>
              <w:t>敏感点名称</w:t>
            </w:r>
          </w:p>
        </w:tc>
        <w:tc>
          <w:tcPr>
            <w:tcW w:w="3970" w:type="dxa"/>
            <w:gridSpan w:val="4"/>
            <w:vAlign w:val="center"/>
          </w:tcPr>
          <w:p>
            <w:pPr>
              <w:pStyle w:val="112"/>
              <w:rPr>
                <w:kern w:val="2"/>
                <w:sz w:val="18"/>
                <w:szCs w:val="18"/>
              </w:rPr>
            </w:pPr>
            <w:r>
              <w:rPr>
                <w:rFonts w:hint="eastAsia"/>
                <w:kern w:val="2"/>
                <w:sz w:val="18"/>
                <w:szCs w:val="18"/>
              </w:rPr>
              <w:t>监测结果</w:t>
            </w:r>
          </w:p>
        </w:tc>
        <w:tc>
          <w:tcPr>
            <w:tcW w:w="1417" w:type="dxa"/>
            <w:gridSpan w:val="2"/>
            <w:vMerge w:val="restart"/>
            <w:vAlign w:val="center"/>
          </w:tcPr>
          <w:p>
            <w:pPr>
              <w:pStyle w:val="112"/>
              <w:rPr>
                <w:kern w:val="2"/>
                <w:sz w:val="18"/>
                <w:szCs w:val="18"/>
              </w:rPr>
            </w:pPr>
            <w:r>
              <w:rPr>
                <w:rFonts w:hint="eastAsia"/>
                <w:kern w:val="2"/>
                <w:sz w:val="18"/>
                <w:szCs w:val="18"/>
              </w:rPr>
              <w:t>评价标准</w:t>
            </w:r>
          </w:p>
        </w:tc>
        <w:tc>
          <w:tcPr>
            <w:tcW w:w="1552" w:type="dxa"/>
            <w:vMerge w:val="restart"/>
            <w:vAlign w:val="center"/>
          </w:tcPr>
          <w:p>
            <w:pPr>
              <w:pStyle w:val="112"/>
              <w:rPr>
                <w:kern w:val="2"/>
                <w:sz w:val="18"/>
                <w:szCs w:val="18"/>
              </w:rPr>
            </w:pPr>
            <w:r>
              <w:rPr>
                <w:rFonts w:hint="eastAsia"/>
                <w:kern w:val="2"/>
                <w:sz w:val="18"/>
                <w:szCs w:val="18"/>
              </w:rPr>
              <w:t>监测评价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blHeader/>
        </w:trPr>
        <w:tc>
          <w:tcPr>
            <w:tcW w:w="556" w:type="dxa"/>
            <w:vMerge w:val="continue"/>
            <w:vAlign w:val="center"/>
          </w:tcPr>
          <w:p>
            <w:pPr>
              <w:pStyle w:val="112"/>
              <w:rPr>
                <w:kern w:val="2"/>
                <w:sz w:val="18"/>
                <w:szCs w:val="18"/>
              </w:rPr>
            </w:pPr>
          </w:p>
        </w:tc>
        <w:tc>
          <w:tcPr>
            <w:tcW w:w="1679" w:type="dxa"/>
            <w:vMerge w:val="continue"/>
            <w:vAlign w:val="center"/>
          </w:tcPr>
          <w:p>
            <w:pPr>
              <w:pStyle w:val="112"/>
              <w:rPr>
                <w:kern w:val="2"/>
                <w:sz w:val="18"/>
                <w:szCs w:val="18"/>
              </w:rPr>
            </w:pPr>
          </w:p>
        </w:tc>
        <w:tc>
          <w:tcPr>
            <w:tcW w:w="1984" w:type="dxa"/>
            <w:gridSpan w:val="2"/>
            <w:vAlign w:val="center"/>
          </w:tcPr>
          <w:p>
            <w:pPr>
              <w:pStyle w:val="112"/>
              <w:rPr>
                <w:kern w:val="2"/>
                <w:sz w:val="18"/>
                <w:szCs w:val="18"/>
              </w:rPr>
            </w:pPr>
            <w:r>
              <w:rPr>
                <w:kern w:val="2"/>
                <w:sz w:val="18"/>
                <w:szCs w:val="18"/>
              </w:rPr>
              <w:t>2</w:t>
            </w:r>
            <w:r>
              <w:rPr>
                <w:rFonts w:hint="eastAsia"/>
                <w:kern w:val="2"/>
                <w:sz w:val="18"/>
                <w:szCs w:val="18"/>
              </w:rPr>
              <w:t>月</w:t>
            </w:r>
            <w:r>
              <w:rPr>
                <w:kern w:val="2"/>
                <w:sz w:val="18"/>
                <w:szCs w:val="18"/>
              </w:rPr>
              <w:t>21</w:t>
            </w:r>
            <w:r>
              <w:rPr>
                <w:rFonts w:hint="eastAsia"/>
                <w:kern w:val="2"/>
                <w:sz w:val="18"/>
                <w:szCs w:val="18"/>
              </w:rPr>
              <w:t>日</w:t>
            </w:r>
          </w:p>
        </w:tc>
        <w:tc>
          <w:tcPr>
            <w:tcW w:w="1986" w:type="dxa"/>
            <w:gridSpan w:val="2"/>
            <w:vAlign w:val="center"/>
          </w:tcPr>
          <w:p>
            <w:pPr>
              <w:pStyle w:val="112"/>
              <w:rPr>
                <w:kern w:val="2"/>
                <w:sz w:val="18"/>
                <w:szCs w:val="18"/>
              </w:rPr>
            </w:pPr>
            <w:r>
              <w:rPr>
                <w:kern w:val="2"/>
                <w:sz w:val="18"/>
                <w:szCs w:val="18"/>
              </w:rPr>
              <w:t>2</w:t>
            </w:r>
            <w:r>
              <w:rPr>
                <w:rFonts w:hint="eastAsia"/>
                <w:kern w:val="2"/>
                <w:sz w:val="18"/>
                <w:szCs w:val="18"/>
              </w:rPr>
              <w:t>月</w:t>
            </w:r>
            <w:r>
              <w:rPr>
                <w:kern w:val="2"/>
                <w:sz w:val="18"/>
                <w:szCs w:val="18"/>
              </w:rPr>
              <w:t>22</w:t>
            </w:r>
            <w:r>
              <w:rPr>
                <w:rFonts w:hint="eastAsia"/>
                <w:kern w:val="2"/>
                <w:sz w:val="18"/>
                <w:szCs w:val="18"/>
              </w:rPr>
              <w:t>日</w:t>
            </w:r>
          </w:p>
        </w:tc>
        <w:tc>
          <w:tcPr>
            <w:tcW w:w="1417" w:type="dxa"/>
            <w:gridSpan w:val="2"/>
            <w:vMerge w:val="continue"/>
            <w:vAlign w:val="center"/>
          </w:tcPr>
          <w:p>
            <w:pPr>
              <w:pStyle w:val="112"/>
              <w:rPr>
                <w:kern w:val="2"/>
                <w:sz w:val="18"/>
                <w:szCs w:val="18"/>
              </w:rPr>
            </w:pPr>
          </w:p>
        </w:tc>
        <w:tc>
          <w:tcPr>
            <w:tcW w:w="1552" w:type="dxa"/>
            <w:vMerge w:val="continue"/>
            <w:vAlign w:val="center"/>
          </w:tcPr>
          <w:p>
            <w:pPr>
              <w:pStyle w:val="112"/>
              <w:rPr>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556" w:type="dxa"/>
            <w:vMerge w:val="continue"/>
            <w:vAlign w:val="center"/>
          </w:tcPr>
          <w:p>
            <w:pPr>
              <w:pStyle w:val="112"/>
              <w:rPr>
                <w:kern w:val="2"/>
                <w:sz w:val="18"/>
                <w:szCs w:val="18"/>
              </w:rPr>
            </w:pPr>
          </w:p>
        </w:tc>
        <w:tc>
          <w:tcPr>
            <w:tcW w:w="1679" w:type="dxa"/>
            <w:vMerge w:val="continue"/>
            <w:vAlign w:val="center"/>
          </w:tcPr>
          <w:p>
            <w:pPr>
              <w:pStyle w:val="112"/>
              <w:rPr>
                <w:kern w:val="2"/>
                <w:sz w:val="18"/>
                <w:szCs w:val="18"/>
              </w:rPr>
            </w:pPr>
          </w:p>
        </w:tc>
        <w:tc>
          <w:tcPr>
            <w:tcW w:w="992" w:type="dxa"/>
            <w:vAlign w:val="center"/>
          </w:tcPr>
          <w:p>
            <w:pPr>
              <w:pStyle w:val="112"/>
              <w:rPr>
                <w:kern w:val="2"/>
                <w:sz w:val="18"/>
                <w:szCs w:val="18"/>
              </w:rPr>
            </w:pPr>
            <w:r>
              <w:rPr>
                <w:rFonts w:hint="eastAsia"/>
                <w:kern w:val="2"/>
                <w:sz w:val="18"/>
                <w:szCs w:val="18"/>
              </w:rPr>
              <w:t>昼间</w:t>
            </w:r>
          </w:p>
        </w:tc>
        <w:tc>
          <w:tcPr>
            <w:tcW w:w="992" w:type="dxa"/>
            <w:vAlign w:val="center"/>
          </w:tcPr>
          <w:p>
            <w:pPr>
              <w:pStyle w:val="112"/>
              <w:rPr>
                <w:kern w:val="2"/>
                <w:sz w:val="18"/>
                <w:szCs w:val="18"/>
              </w:rPr>
            </w:pPr>
            <w:r>
              <w:rPr>
                <w:rFonts w:hint="eastAsia"/>
                <w:kern w:val="2"/>
                <w:sz w:val="18"/>
                <w:szCs w:val="18"/>
              </w:rPr>
              <w:t>夜间</w:t>
            </w:r>
          </w:p>
        </w:tc>
        <w:tc>
          <w:tcPr>
            <w:tcW w:w="992" w:type="dxa"/>
            <w:vAlign w:val="center"/>
          </w:tcPr>
          <w:p>
            <w:pPr>
              <w:pStyle w:val="112"/>
              <w:rPr>
                <w:kern w:val="2"/>
                <w:sz w:val="18"/>
                <w:szCs w:val="18"/>
              </w:rPr>
            </w:pPr>
            <w:r>
              <w:rPr>
                <w:rFonts w:hint="eastAsia"/>
                <w:kern w:val="2"/>
                <w:sz w:val="18"/>
                <w:szCs w:val="18"/>
              </w:rPr>
              <w:t>昼间</w:t>
            </w:r>
          </w:p>
        </w:tc>
        <w:tc>
          <w:tcPr>
            <w:tcW w:w="994" w:type="dxa"/>
            <w:vAlign w:val="center"/>
          </w:tcPr>
          <w:p>
            <w:pPr>
              <w:pStyle w:val="112"/>
              <w:rPr>
                <w:kern w:val="2"/>
                <w:sz w:val="18"/>
                <w:szCs w:val="18"/>
              </w:rPr>
            </w:pPr>
            <w:r>
              <w:rPr>
                <w:rFonts w:hint="eastAsia"/>
                <w:kern w:val="2"/>
                <w:sz w:val="18"/>
                <w:szCs w:val="18"/>
              </w:rPr>
              <w:t>夜间</w:t>
            </w:r>
          </w:p>
        </w:tc>
        <w:tc>
          <w:tcPr>
            <w:tcW w:w="708" w:type="dxa"/>
            <w:vAlign w:val="center"/>
          </w:tcPr>
          <w:p>
            <w:pPr>
              <w:pStyle w:val="112"/>
              <w:rPr>
                <w:kern w:val="2"/>
                <w:sz w:val="18"/>
                <w:szCs w:val="18"/>
              </w:rPr>
            </w:pPr>
            <w:r>
              <w:rPr>
                <w:rFonts w:hint="eastAsia"/>
                <w:kern w:val="2"/>
                <w:sz w:val="18"/>
                <w:szCs w:val="18"/>
              </w:rPr>
              <w:t>昼间</w:t>
            </w:r>
          </w:p>
        </w:tc>
        <w:tc>
          <w:tcPr>
            <w:tcW w:w="709" w:type="dxa"/>
            <w:vAlign w:val="center"/>
          </w:tcPr>
          <w:p>
            <w:pPr>
              <w:pStyle w:val="112"/>
              <w:rPr>
                <w:kern w:val="2"/>
                <w:sz w:val="18"/>
                <w:szCs w:val="18"/>
              </w:rPr>
            </w:pPr>
            <w:r>
              <w:rPr>
                <w:rFonts w:hint="eastAsia"/>
                <w:kern w:val="2"/>
                <w:sz w:val="18"/>
                <w:szCs w:val="18"/>
              </w:rPr>
              <w:t>夜间</w:t>
            </w:r>
          </w:p>
        </w:tc>
        <w:tc>
          <w:tcPr>
            <w:tcW w:w="1552" w:type="dxa"/>
            <w:vMerge w:val="continue"/>
            <w:vAlign w:val="center"/>
          </w:tcPr>
          <w:p>
            <w:pPr>
              <w:pStyle w:val="112"/>
              <w:rPr>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56" w:type="dxa"/>
            <w:vAlign w:val="center"/>
          </w:tcPr>
          <w:p>
            <w:pPr>
              <w:pStyle w:val="112"/>
              <w:rPr>
                <w:sz w:val="18"/>
                <w:szCs w:val="18"/>
              </w:rPr>
            </w:pPr>
            <w:r>
              <w:rPr>
                <w:sz w:val="18"/>
                <w:szCs w:val="18"/>
              </w:rPr>
              <w:t>N1</w:t>
            </w:r>
          </w:p>
        </w:tc>
        <w:tc>
          <w:tcPr>
            <w:tcW w:w="1679" w:type="dxa"/>
            <w:vAlign w:val="center"/>
          </w:tcPr>
          <w:p>
            <w:pPr>
              <w:jc w:val="center"/>
              <w:rPr>
                <w:color w:val="FF0000"/>
                <w:sz w:val="18"/>
                <w:szCs w:val="18"/>
              </w:rPr>
            </w:pPr>
            <w:r>
              <w:rPr>
                <w:rFonts w:hint="eastAsia"/>
                <w:sz w:val="18"/>
                <w:szCs w:val="18"/>
              </w:rPr>
              <w:t>弼时镇铜盆村居民点</w:t>
            </w:r>
          </w:p>
        </w:tc>
        <w:tc>
          <w:tcPr>
            <w:tcW w:w="992" w:type="dxa"/>
            <w:vAlign w:val="center"/>
          </w:tcPr>
          <w:p>
            <w:pPr>
              <w:pStyle w:val="112"/>
              <w:rPr>
                <w:kern w:val="2"/>
                <w:sz w:val="18"/>
                <w:szCs w:val="18"/>
              </w:rPr>
            </w:pPr>
            <w:r>
              <w:rPr>
                <w:kern w:val="2"/>
                <w:sz w:val="18"/>
                <w:szCs w:val="18"/>
              </w:rPr>
              <w:t>55.2</w:t>
            </w:r>
          </w:p>
        </w:tc>
        <w:tc>
          <w:tcPr>
            <w:tcW w:w="992" w:type="dxa"/>
            <w:vAlign w:val="center"/>
          </w:tcPr>
          <w:p>
            <w:pPr>
              <w:pStyle w:val="112"/>
              <w:rPr>
                <w:kern w:val="2"/>
                <w:sz w:val="18"/>
                <w:szCs w:val="18"/>
              </w:rPr>
            </w:pPr>
            <w:r>
              <w:rPr>
                <w:kern w:val="2"/>
                <w:sz w:val="18"/>
                <w:szCs w:val="18"/>
              </w:rPr>
              <w:t>47.4</w:t>
            </w:r>
          </w:p>
        </w:tc>
        <w:tc>
          <w:tcPr>
            <w:tcW w:w="992" w:type="dxa"/>
            <w:vAlign w:val="center"/>
          </w:tcPr>
          <w:p>
            <w:pPr>
              <w:pStyle w:val="112"/>
              <w:rPr>
                <w:kern w:val="2"/>
                <w:sz w:val="18"/>
                <w:szCs w:val="18"/>
              </w:rPr>
            </w:pPr>
            <w:r>
              <w:rPr>
                <w:kern w:val="2"/>
                <w:sz w:val="18"/>
                <w:szCs w:val="18"/>
              </w:rPr>
              <w:t>58.1</w:t>
            </w:r>
          </w:p>
        </w:tc>
        <w:tc>
          <w:tcPr>
            <w:tcW w:w="994" w:type="dxa"/>
            <w:vAlign w:val="center"/>
          </w:tcPr>
          <w:p>
            <w:pPr>
              <w:pStyle w:val="112"/>
              <w:rPr>
                <w:kern w:val="2"/>
                <w:sz w:val="18"/>
                <w:szCs w:val="18"/>
              </w:rPr>
            </w:pPr>
            <w:r>
              <w:rPr>
                <w:kern w:val="2"/>
                <w:sz w:val="18"/>
                <w:szCs w:val="18"/>
              </w:rPr>
              <w:t>46.2</w:t>
            </w:r>
          </w:p>
        </w:tc>
        <w:tc>
          <w:tcPr>
            <w:tcW w:w="708" w:type="dxa"/>
            <w:vAlign w:val="center"/>
          </w:tcPr>
          <w:p>
            <w:pPr>
              <w:jc w:val="center"/>
              <w:rPr>
                <w:sz w:val="18"/>
                <w:szCs w:val="18"/>
              </w:rPr>
            </w:pPr>
            <w:r>
              <w:rPr>
                <w:szCs w:val="21"/>
              </w:rPr>
              <w:t>70/60</w:t>
            </w:r>
          </w:p>
        </w:tc>
        <w:tc>
          <w:tcPr>
            <w:tcW w:w="709" w:type="dxa"/>
            <w:vAlign w:val="center"/>
          </w:tcPr>
          <w:p>
            <w:pPr>
              <w:jc w:val="center"/>
              <w:rPr>
                <w:sz w:val="18"/>
                <w:szCs w:val="18"/>
              </w:rPr>
            </w:pPr>
            <w:r>
              <w:rPr>
                <w:szCs w:val="21"/>
              </w:rPr>
              <w:t>55/50</w:t>
            </w:r>
          </w:p>
        </w:tc>
        <w:tc>
          <w:tcPr>
            <w:tcW w:w="1552" w:type="dxa"/>
            <w:vAlign w:val="center"/>
          </w:tcPr>
          <w:p>
            <w:pPr>
              <w:pStyle w:val="112"/>
              <w:rPr>
                <w:kern w:val="2"/>
                <w:sz w:val="18"/>
                <w:szCs w:val="18"/>
              </w:rPr>
            </w:pPr>
            <w:r>
              <w:rPr>
                <w:rFonts w:hint="eastAsia"/>
                <w:kern w:val="2"/>
                <w:sz w:val="18"/>
                <w:szCs w:val="18"/>
              </w:rPr>
              <w:t>昼夜间均达标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56" w:type="dxa"/>
            <w:vAlign w:val="center"/>
          </w:tcPr>
          <w:p>
            <w:pPr>
              <w:pStyle w:val="112"/>
              <w:rPr>
                <w:sz w:val="18"/>
                <w:szCs w:val="18"/>
              </w:rPr>
            </w:pPr>
            <w:r>
              <w:rPr>
                <w:sz w:val="18"/>
                <w:szCs w:val="18"/>
              </w:rPr>
              <w:t>N2</w:t>
            </w:r>
          </w:p>
        </w:tc>
        <w:tc>
          <w:tcPr>
            <w:tcW w:w="1679" w:type="dxa"/>
            <w:vAlign w:val="center"/>
          </w:tcPr>
          <w:p>
            <w:pPr>
              <w:pStyle w:val="3"/>
              <w:spacing w:line="240" w:lineRule="auto"/>
              <w:ind w:firstLine="0" w:firstLineChars="0"/>
              <w:jc w:val="center"/>
              <w:rPr>
                <w:color w:val="FF0000"/>
                <w:kern w:val="2"/>
                <w:sz w:val="18"/>
                <w:szCs w:val="18"/>
              </w:rPr>
            </w:pPr>
            <w:r>
              <w:rPr>
                <w:rFonts w:hint="eastAsia"/>
                <w:sz w:val="18"/>
                <w:szCs w:val="18"/>
              </w:rPr>
              <w:t>弼时镇桃花村居民点</w:t>
            </w:r>
          </w:p>
        </w:tc>
        <w:tc>
          <w:tcPr>
            <w:tcW w:w="992" w:type="dxa"/>
            <w:vAlign w:val="center"/>
          </w:tcPr>
          <w:p>
            <w:pPr>
              <w:pStyle w:val="112"/>
              <w:rPr>
                <w:kern w:val="2"/>
                <w:sz w:val="18"/>
                <w:szCs w:val="18"/>
              </w:rPr>
            </w:pPr>
            <w:r>
              <w:rPr>
                <w:kern w:val="2"/>
                <w:sz w:val="18"/>
                <w:szCs w:val="18"/>
              </w:rPr>
              <w:t>59.8</w:t>
            </w:r>
          </w:p>
        </w:tc>
        <w:tc>
          <w:tcPr>
            <w:tcW w:w="992" w:type="dxa"/>
            <w:vAlign w:val="center"/>
          </w:tcPr>
          <w:p>
            <w:pPr>
              <w:pStyle w:val="112"/>
              <w:rPr>
                <w:kern w:val="2"/>
                <w:sz w:val="18"/>
                <w:szCs w:val="18"/>
              </w:rPr>
            </w:pPr>
            <w:r>
              <w:rPr>
                <w:kern w:val="2"/>
                <w:sz w:val="18"/>
                <w:szCs w:val="18"/>
              </w:rPr>
              <w:t>44.5</w:t>
            </w:r>
          </w:p>
        </w:tc>
        <w:tc>
          <w:tcPr>
            <w:tcW w:w="992" w:type="dxa"/>
            <w:vAlign w:val="center"/>
          </w:tcPr>
          <w:p>
            <w:pPr>
              <w:pStyle w:val="112"/>
              <w:rPr>
                <w:kern w:val="2"/>
                <w:sz w:val="18"/>
                <w:szCs w:val="18"/>
              </w:rPr>
            </w:pPr>
            <w:r>
              <w:rPr>
                <w:kern w:val="2"/>
                <w:sz w:val="18"/>
                <w:szCs w:val="18"/>
              </w:rPr>
              <w:t>56.9</w:t>
            </w:r>
          </w:p>
        </w:tc>
        <w:tc>
          <w:tcPr>
            <w:tcW w:w="994" w:type="dxa"/>
            <w:vAlign w:val="center"/>
          </w:tcPr>
          <w:p>
            <w:pPr>
              <w:pStyle w:val="112"/>
              <w:rPr>
                <w:kern w:val="2"/>
                <w:sz w:val="18"/>
                <w:szCs w:val="18"/>
              </w:rPr>
            </w:pPr>
            <w:r>
              <w:rPr>
                <w:kern w:val="2"/>
                <w:sz w:val="18"/>
                <w:szCs w:val="18"/>
              </w:rPr>
              <w:t>44.1</w:t>
            </w:r>
          </w:p>
        </w:tc>
        <w:tc>
          <w:tcPr>
            <w:tcW w:w="708" w:type="dxa"/>
            <w:vAlign w:val="center"/>
          </w:tcPr>
          <w:p>
            <w:pPr>
              <w:jc w:val="center"/>
              <w:rPr>
                <w:sz w:val="18"/>
                <w:szCs w:val="18"/>
              </w:rPr>
            </w:pPr>
            <w:r>
              <w:rPr>
                <w:szCs w:val="21"/>
              </w:rPr>
              <w:t>70/60</w:t>
            </w:r>
          </w:p>
        </w:tc>
        <w:tc>
          <w:tcPr>
            <w:tcW w:w="709" w:type="dxa"/>
            <w:vAlign w:val="center"/>
          </w:tcPr>
          <w:p>
            <w:pPr>
              <w:jc w:val="center"/>
              <w:rPr>
                <w:sz w:val="18"/>
                <w:szCs w:val="18"/>
              </w:rPr>
            </w:pPr>
            <w:r>
              <w:rPr>
                <w:szCs w:val="21"/>
              </w:rPr>
              <w:t>55/50</w:t>
            </w:r>
          </w:p>
        </w:tc>
        <w:tc>
          <w:tcPr>
            <w:tcW w:w="1552" w:type="dxa"/>
            <w:vAlign w:val="center"/>
          </w:tcPr>
          <w:p>
            <w:pPr>
              <w:pStyle w:val="112"/>
              <w:rPr>
                <w:kern w:val="2"/>
                <w:sz w:val="18"/>
                <w:szCs w:val="18"/>
              </w:rPr>
            </w:pPr>
            <w:r>
              <w:rPr>
                <w:rFonts w:hint="eastAsia"/>
                <w:kern w:val="2"/>
                <w:sz w:val="18"/>
                <w:szCs w:val="18"/>
              </w:rPr>
              <w:t>昼夜间均达标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56" w:type="dxa"/>
            <w:vAlign w:val="center"/>
          </w:tcPr>
          <w:p>
            <w:pPr>
              <w:pStyle w:val="112"/>
              <w:rPr>
                <w:sz w:val="18"/>
                <w:szCs w:val="18"/>
              </w:rPr>
            </w:pPr>
            <w:r>
              <w:rPr>
                <w:sz w:val="18"/>
                <w:szCs w:val="18"/>
              </w:rPr>
              <w:t>N3</w:t>
            </w:r>
          </w:p>
        </w:tc>
        <w:tc>
          <w:tcPr>
            <w:tcW w:w="1679" w:type="dxa"/>
            <w:vAlign w:val="center"/>
          </w:tcPr>
          <w:p>
            <w:pPr>
              <w:pStyle w:val="3"/>
              <w:spacing w:line="240" w:lineRule="auto"/>
              <w:ind w:firstLine="0" w:firstLineChars="0"/>
              <w:jc w:val="center"/>
              <w:rPr>
                <w:color w:val="FF0000"/>
                <w:kern w:val="2"/>
                <w:sz w:val="18"/>
                <w:szCs w:val="18"/>
              </w:rPr>
            </w:pPr>
            <w:r>
              <w:rPr>
                <w:rFonts w:hint="eastAsia"/>
                <w:sz w:val="18"/>
                <w:szCs w:val="18"/>
              </w:rPr>
              <w:t>弼时镇大陆村居民点</w:t>
            </w:r>
          </w:p>
        </w:tc>
        <w:tc>
          <w:tcPr>
            <w:tcW w:w="992" w:type="dxa"/>
            <w:vAlign w:val="center"/>
          </w:tcPr>
          <w:p>
            <w:pPr>
              <w:pStyle w:val="112"/>
              <w:rPr>
                <w:kern w:val="2"/>
                <w:sz w:val="18"/>
                <w:szCs w:val="18"/>
              </w:rPr>
            </w:pPr>
            <w:r>
              <w:rPr>
                <w:kern w:val="2"/>
                <w:sz w:val="18"/>
                <w:szCs w:val="18"/>
              </w:rPr>
              <w:t>59.3</w:t>
            </w:r>
          </w:p>
        </w:tc>
        <w:tc>
          <w:tcPr>
            <w:tcW w:w="992" w:type="dxa"/>
            <w:vAlign w:val="center"/>
          </w:tcPr>
          <w:p>
            <w:pPr>
              <w:pStyle w:val="112"/>
              <w:rPr>
                <w:kern w:val="2"/>
                <w:sz w:val="18"/>
                <w:szCs w:val="18"/>
              </w:rPr>
            </w:pPr>
            <w:r>
              <w:rPr>
                <w:kern w:val="2"/>
                <w:sz w:val="18"/>
                <w:szCs w:val="18"/>
              </w:rPr>
              <w:t>44.1</w:t>
            </w:r>
          </w:p>
        </w:tc>
        <w:tc>
          <w:tcPr>
            <w:tcW w:w="992" w:type="dxa"/>
            <w:vAlign w:val="center"/>
          </w:tcPr>
          <w:p>
            <w:pPr>
              <w:pStyle w:val="112"/>
              <w:rPr>
                <w:kern w:val="2"/>
                <w:sz w:val="18"/>
                <w:szCs w:val="18"/>
              </w:rPr>
            </w:pPr>
            <w:r>
              <w:rPr>
                <w:kern w:val="2"/>
                <w:sz w:val="18"/>
                <w:szCs w:val="18"/>
              </w:rPr>
              <w:t>57.7</w:t>
            </w:r>
          </w:p>
        </w:tc>
        <w:tc>
          <w:tcPr>
            <w:tcW w:w="994" w:type="dxa"/>
            <w:vAlign w:val="center"/>
          </w:tcPr>
          <w:p>
            <w:pPr>
              <w:pStyle w:val="112"/>
              <w:rPr>
                <w:kern w:val="2"/>
                <w:sz w:val="18"/>
                <w:szCs w:val="18"/>
              </w:rPr>
            </w:pPr>
            <w:r>
              <w:rPr>
                <w:kern w:val="2"/>
                <w:sz w:val="18"/>
                <w:szCs w:val="18"/>
              </w:rPr>
              <w:t>44.8</w:t>
            </w:r>
          </w:p>
        </w:tc>
        <w:tc>
          <w:tcPr>
            <w:tcW w:w="708" w:type="dxa"/>
            <w:vAlign w:val="center"/>
          </w:tcPr>
          <w:p>
            <w:pPr>
              <w:jc w:val="center"/>
              <w:rPr>
                <w:sz w:val="18"/>
                <w:szCs w:val="18"/>
              </w:rPr>
            </w:pPr>
            <w:r>
              <w:rPr>
                <w:szCs w:val="21"/>
              </w:rPr>
              <w:t>70/60</w:t>
            </w:r>
          </w:p>
        </w:tc>
        <w:tc>
          <w:tcPr>
            <w:tcW w:w="709" w:type="dxa"/>
            <w:vAlign w:val="center"/>
          </w:tcPr>
          <w:p>
            <w:pPr>
              <w:jc w:val="center"/>
              <w:rPr>
                <w:sz w:val="18"/>
                <w:szCs w:val="18"/>
              </w:rPr>
            </w:pPr>
            <w:r>
              <w:rPr>
                <w:szCs w:val="21"/>
              </w:rPr>
              <w:t>55/50</w:t>
            </w:r>
          </w:p>
        </w:tc>
        <w:tc>
          <w:tcPr>
            <w:tcW w:w="1552" w:type="dxa"/>
            <w:vAlign w:val="center"/>
          </w:tcPr>
          <w:p>
            <w:pPr>
              <w:pStyle w:val="112"/>
              <w:rPr>
                <w:kern w:val="2"/>
                <w:sz w:val="18"/>
                <w:szCs w:val="18"/>
              </w:rPr>
            </w:pPr>
            <w:r>
              <w:rPr>
                <w:rFonts w:hint="eastAsia"/>
                <w:kern w:val="2"/>
                <w:sz w:val="18"/>
                <w:szCs w:val="18"/>
              </w:rPr>
              <w:t>昼夜间均达标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56" w:type="dxa"/>
            <w:vAlign w:val="center"/>
          </w:tcPr>
          <w:p>
            <w:pPr>
              <w:pStyle w:val="112"/>
              <w:rPr>
                <w:sz w:val="18"/>
                <w:szCs w:val="18"/>
              </w:rPr>
            </w:pPr>
            <w:r>
              <w:rPr>
                <w:sz w:val="18"/>
                <w:szCs w:val="18"/>
              </w:rPr>
              <w:t>N4</w:t>
            </w:r>
          </w:p>
        </w:tc>
        <w:tc>
          <w:tcPr>
            <w:tcW w:w="1679" w:type="dxa"/>
            <w:vAlign w:val="center"/>
          </w:tcPr>
          <w:p>
            <w:pPr>
              <w:pStyle w:val="3"/>
              <w:spacing w:line="240" w:lineRule="auto"/>
              <w:ind w:firstLine="0" w:firstLineChars="0"/>
              <w:jc w:val="center"/>
              <w:rPr>
                <w:color w:val="FF0000"/>
                <w:sz w:val="18"/>
                <w:szCs w:val="18"/>
              </w:rPr>
            </w:pPr>
            <w:r>
              <w:rPr>
                <w:rFonts w:hint="eastAsia"/>
                <w:sz w:val="18"/>
                <w:szCs w:val="18"/>
              </w:rPr>
              <w:t>弼时镇莲花村居民点</w:t>
            </w:r>
          </w:p>
        </w:tc>
        <w:tc>
          <w:tcPr>
            <w:tcW w:w="992" w:type="dxa"/>
            <w:vAlign w:val="center"/>
          </w:tcPr>
          <w:p>
            <w:pPr>
              <w:pStyle w:val="112"/>
              <w:rPr>
                <w:kern w:val="2"/>
                <w:sz w:val="18"/>
                <w:szCs w:val="18"/>
              </w:rPr>
            </w:pPr>
            <w:r>
              <w:rPr>
                <w:kern w:val="2"/>
                <w:sz w:val="18"/>
                <w:szCs w:val="18"/>
              </w:rPr>
              <w:t>58.2</w:t>
            </w:r>
          </w:p>
        </w:tc>
        <w:tc>
          <w:tcPr>
            <w:tcW w:w="992" w:type="dxa"/>
            <w:vAlign w:val="center"/>
          </w:tcPr>
          <w:p>
            <w:pPr>
              <w:pStyle w:val="112"/>
              <w:rPr>
                <w:kern w:val="2"/>
                <w:sz w:val="18"/>
                <w:szCs w:val="18"/>
              </w:rPr>
            </w:pPr>
            <w:r>
              <w:rPr>
                <w:kern w:val="2"/>
                <w:sz w:val="18"/>
                <w:szCs w:val="18"/>
              </w:rPr>
              <w:t>46.4</w:t>
            </w:r>
          </w:p>
        </w:tc>
        <w:tc>
          <w:tcPr>
            <w:tcW w:w="992" w:type="dxa"/>
            <w:vAlign w:val="center"/>
          </w:tcPr>
          <w:p>
            <w:pPr>
              <w:pStyle w:val="112"/>
              <w:rPr>
                <w:kern w:val="2"/>
                <w:sz w:val="18"/>
                <w:szCs w:val="18"/>
              </w:rPr>
            </w:pPr>
            <w:r>
              <w:rPr>
                <w:kern w:val="2"/>
                <w:sz w:val="18"/>
                <w:szCs w:val="18"/>
              </w:rPr>
              <w:t>54.8</w:t>
            </w:r>
          </w:p>
        </w:tc>
        <w:tc>
          <w:tcPr>
            <w:tcW w:w="994" w:type="dxa"/>
            <w:vAlign w:val="center"/>
          </w:tcPr>
          <w:p>
            <w:pPr>
              <w:pStyle w:val="112"/>
              <w:rPr>
                <w:kern w:val="2"/>
                <w:sz w:val="18"/>
                <w:szCs w:val="18"/>
              </w:rPr>
            </w:pPr>
            <w:r>
              <w:rPr>
                <w:kern w:val="2"/>
                <w:sz w:val="18"/>
                <w:szCs w:val="18"/>
              </w:rPr>
              <w:t>47.9</w:t>
            </w:r>
          </w:p>
        </w:tc>
        <w:tc>
          <w:tcPr>
            <w:tcW w:w="708" w:type="dxa"/>
            <w:vAlign w:val="center"/>
          </w:tcPr>
          <w:p>
            <w:pPr>
              <w:jc w:val="center"/>
              <w:rPr>
                <w:sz w:val="18"/>
                <w:szCs w:val="18"/>
              </w:rPr>
            </w:pPr>
            <w:r>
              <w:rPr>
                <w:szCs w:val="21"/>
              </w:rPr>
              <w:t>70/60</w:t>
            </w:r>
          </w:p>
        </w:tc>
        <w:tc>
          <w:tcPr>
            <w:tcW w:w="709" w:type="dxa"/>
            <w:vAlign w:val="center"/>
          </w:tcPr>
          <w:p>
            <w:pPr>
              <w:jc w:val="center"/>
              <w:rPr>
                <w:sz w:val="18"/>
                <w:szCs w:val="18"/>
              </w:rPr>
            </w:pPr>
            <w:r>
              <w:rPr>
                <w:szCs w:val="21"/>
              </w:rPr>
              <w:t>55/50</w:t>
            </w:r>
          </w:p>
        </w:tc>
        <w:tc>
          <w:tcPr>
            <w:tcW w:w="1552" w:type="dxa"/>
            <w:vAlign w:val="center"/>
          </w:tcPr>
          <w:p>
            <w:pPr>
              <w:pStyle w:val="112"/>
              <w:rPr>
                <w:kern w:val="2"/>
                <w:sz w:val="18"/>
                <w:szCs w:val="18"/>
              </w:rPr>
            </w:pPr>
            <w:r>
              <w:rPr>
                <w:rFonts w:hint="eastAsia"/>
                <w:kern w:val="2"/>
                <w:sz w:val="18"/>
                <w:szCs w:val="18"/>
              </w:rPr>
              <w:t>昼夜间均达标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56" w:type="dxa"/>
            <w:vAlign w:val="center"/>
          </w:tcPr>
          <w:p>
            <w:pPr>
              <w:pStyle w:val="112"/>
              <w:rPr>
                <w:sz w:val="18"/>
                <w:szCs w:val="18"/>
              </w:rPr>
            </w:pPr>
            <w:r>
              <w:rPr>
                <w:sz w:val="18"/>
                <w:szCs w:val="18"/>
              </w:rPr>
              <w:t>N5</w:t>
            </w:r>
          </w:p>
        </w:tc>
        <w:tc>
          <w:tcPr>
            <w:tcW w:w="1679" w:type="dxa"/>
            <w:vAlign w:val="center"/>
          </w:tcPr>
          <w:p>
            <w:pPr>
              <w:jc w:val="center"/>
              <w:rPr>
                <w:color w:val="FF0000"/>
                <w:sz w:val="18"/>
                <w:szCs w:val="18"/>
              </w:rPr>
            </w:pPr>
            <w:r>
              <w:rPr>
                <w:rFonts w:hint="eastAsia"/>
                <w:sz w:val="18"/>
                <w:szCs w:val="18"/>
              </w:rPr>
              <w:t>弼时镇大里塘村居民点</w:t>
            </w:r>
          </w:p>
        </w:tc>
        <w:tc>
          <w:tcPr>
            <w:tcW w:w="992" w:type="dxa"/>
            <w:vAlign w:val="center"/>
          </w:tcPr>
          <w:p>
            <w:pPr>
              <w:pStyle w:val="112"/>
              <w:rPr>
                <w:kern w:val="2"/>
                <w:sz w:val="18"/>
                <w:szCs w:val="18"/>
              </w:rPr>
            </w:pPr>
            <w:r>
              <w:rPr>
                <w:kern w:val="2"/>
                <w:sz w:val="18"/>
                <w:szCs w:val="18"/>
              </w:rPr>
              <w:t>58.0</w:t>
            </w:r>
          </w:p>
        </w:tc>
        <w:tc>
          <w:tcPr>
            <w:tcW w:w="992" w:type="dxa"/>
            <w:vAlign w:val="center"/>
          </w:tcPr>
          <w:p>
            <w:pPr>
              <w:pStyle w:val="112"/>
              <w:rPr>
                <w:kern w:val="2"/>
                <w:sz w:val="18"/>
                <w:szCs w:val="18"/>
              </w:rPr>
            </w:pPr>
            <w:r>
              <w:rPr>
                <w:kern w:val="2"/>
                <w:sz w:val="18"/>
                <w:szCs w:val="18"/>
              </w:rPr>
              <w:t>49.2</w:t>
            </w:r>
          </w:p>
        </w:tc>
        <w:tc>
          <w:tcPr>
            <w:tcW w:w="992" w:type="dxa"/>
            <w:vAlign w:val="center"/>
          </w:tcPr>
          <w:p>
            <w:pPr>
              <w:pStyle w:val="112"/>
              <w:rPr>
                <w:kern w:val="2"/>
                <w:sz w:val="18"/>
                <w:szCs w:val="18"/>
              </w:rPr>
            </w:pPr>
            <w:r>
              <w:rPr>
                <w:kern w:val="2"/>
                <w:sz w:val="18"/>
                <w:szCs w:val="18"/>
              </w:rPr>
              <w:t>59.5</w:t>
            </w:r>
          </w:p>
        </w:tc>
        <w:tc>
          <w:tcPr>
            <w:tcW w:w="994" w:type="dxa"/>
            <w:vAlign w:val="center"/>
          </w:tcPr>
          <w:p>
            <w:pPr>
              <w:pStyle w:val="112"/>
              <w:rPr>
                <w:kern w:val="2"/>
                <w:sz w:val="18"/>
                <w:szCs w:val="18"/>
              </w:rPr>
            </w:pPr>
            <w:r>
              <w:rPr>
                <w:kern w:val="2"/>
                <w:sz w:val="18"/>
                <w:szCs w:val="18"/>
              </w:rPr>
              <w:t>47.0</w:t>
            </w:r>
          </w:p>
        </w:tc>
        <w:tc>
          <w:tcPr>
            <w:tcW w:w="708" w:type="dxa"/>
            <w:vAlign w:val="center"/>
          </w:tcPr>
          <w:p>
            <w:pPr>
              <w:jc w:val="center"/>
              <w:rPr>
                <w:sz w:val="18"/>
                <w:szCs w:val="18"/>
              </w:rPr>
            </w:pPr>
            <w:r>
              <w:rPr>
                <w:szCs w:val="21"/>
              </w:rPr>
              <w:t>70/60</w:t>
            </w:r>
          </w:p>
        </w:tc>
        <w:tc>
          <w:tcPr>
            <w:tcW w:w="709" w:type="dxa"/>
            <w:vAlign w:val="center"/>
          </w:tcPr>
          <w:p>
            <w:pPr>
              <w:jc w:val="center"/>
              <w:rPr>
                <w:sz w:val="18"/>
                <w:szCs w:val="18"/>
              </w:rPr>
            </w:pPr>
            <w:r>
              <w:rPr>
                <w:szCs w:val="21"/>
              </w:rPr>
              <w:t>55/50</w:t>
            </w:r>
          </w:p>
        </w:tc>
        <w:tc>
          <w:tcPr>
            <w:tcW w:w="1552" w:type="dxa"/>
            <w:vAlign w:val="center"/>
          </w:tcPr>
          <w:p>
            <w:pPr>
              <w:pStyle w:val="112"/>
              <w:rPr>
                <w:kern w:val="2"/>
                <w:sz w:val="18"/>
                <w:szCs w:val="18"/>
              </w:rPr>
            </w:pPr>
            <w:r>
              <w:rPr>
                <w:rFonts w:hint="eastAsia"/>
                <w:kern w:val="2"/>
                <w:sz w:val="18"/>
                <w:szCs w:val="18"/>
              </w:rPr>
              <w:t>昼夜间均达标</w:t>
            </w:r>
          </w:p>
        </w:tc>
      </w:tr>
    </w:tbl>
    <w:p>
      <w:pPr>
        <w:pStyle w:val="168"/>
        <w:spacing w:line="480" w:lineRule="exact"/>
        <w:ind w:firstLine="31680"/>
      </w:pPr>
      <w:r>
        <w:rPr>
          <w:rFonts w:hint="eastAsia"/>
        </w:rPr>
        <w:t>项目环境保护目标，昼夜间声环境质量均满足</w:t>
      </w:r>
      <w:r>
        <w:t>4a/2</w:t>
      </w:r>
      <w:r>
        <w:rPr>
          <w:rFonts w:hint="eastAsia"/>
        </w:rPr>
        <w:t>类标准要求；</w:t>
      </w:r>
    </w:p>
    <w:p>
      <w:pPr>
        <w:pStyle w:val="19"/>
        <w:jc w:val="center"/>
      </w:pPr>
      <w:r>
        <w:rPr>
          <w:rFonts w:hint="eastAsia"/>
        </w:rPr>
        <w:t>表</w:t>
      </w:r>
      <w:r>
        <w:t>6.3-3</w:t>
      </w:r>
      <w:r>
        <w:rPr>
          <w:rFonts w:hint="eastAsia"/>
        </w:rPr>
        <w:t>拟建公路衰减断面监测结果</w:t>
      </w:r>
    </w:p>
    <w:tbl>
      <w:tblPr>
        <w:tblStyle w:val="65"/>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313"/>
        <w:gridCol w:w="1315"/>
        <w:gridCol w:w="1314"/>
        <w:gridCol w:w="1315"/>
        <w:gridCol w:w="1314"/>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2627" w:type="dxa"/>
            <w:gridSpan w:val="2"/>
          </w:tcPr>
          <w:p>
            <w:pPr>
              <w:jc w:val="center"/>
              <w:rPr>
                <w:szCs w:val="21"/>
              </w:rPr>
            </w:pPr>
            <w:r>
              <w:rPr>
                <w:rFonts w:hint="eastAsia"/>
                <w:szCs w:val="21"/>
              </w:rPr>
              <w:t>距离公路中心线距离</w:t>
            </w:r>
          </w:p>
        </w:tc>
        <w:tc>
          <w:tcPr>
            <w:tcW w:w="1315" w:type="dxa"/>
          </w:tcPr>
          <w:p>
            <w:pPr>
              <w:jc w:val="center"/>
              <w:rPr>
                <w:szCs w:val="21"/>
              </w:rPr>
            </w:pPr>
            <w:r>
              <w:rPr>
                <w:szCs w:val="21"/>
              </w:rPr>
              <w:t>20</w:t>
            </w:r>
          </w:p>
        </w:tc>
        <w:tc>
          <w:tcPr>
            <w:tcW w:w="1314" w:type="dxa"/>
          </w:tcPr>
          <w:p>
            <w:pPr>
              <w:jc w:val="center"/>
              <w:rPr>
                <w:szCs w:val="21"/>
              </w:rPr>
            </w:pPr>
            <w:r>
              <w:rPr>
                <w:szCs w:val="21"/>
              </w:rPr>
              <w:t>40</w:t>
            </w:r>
          </w:p>
        </w:tc>
        <w:tc>
          <w:tcPr>
            <w:tcW w:w="1315" w:type="dxa"/>
          </w:tcPr>
          <w:p>
            <w:pPr>
              <w:jc w:val="center"/>
              <w:rPr>
                <w:szCs w:val="21"/>
              </w:rPr>
            </w:pPr>
            <w:r>
              <w:rPr>
                <w:szCs w:val="21"/>
              </w:rPr>
              <w:t>60</w:t>
            </w:r>
          </w:p>
        </w:tc>
        <w:tc>
          <w:tcPr>
            <w:tcW w:w="1314" w:type="dxa"/>
          </w:tcPr>
          <w:p>
            <w:pPr>
              <w:jc w:val="center"/>
              <w:rPr>
                <w:szCs w:val="21"/>
              </w:rPr>
            </w:pPr>
            <w:r>
              <w:rPr>
                <w:szCs w:val="21"/>
              </w:rPr>
              <w:t>80</w:t>
            </w:r>
          </w:p>
        </w:tc>
        <w:tc>
          <w:tcPr>
            <w:tcW w:w="1315" w:type="dxa"/>
          </w:tcPr>
          <w:p>
            <w:pPr>
              <w:jc w:val="center"/>
              <w:rPr>
                <w:szCs w:val="21"/>
              </w:rPr>
            </w:pPr>
            <w:r>
              <w:rPr>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314" w:type="dxa"/>
            <w:vMerge w:val="restart"/>
            <w:vAlign w:val="center"/>
          </w:tcPr>
          <w:p>
            <w:pPr>
              <w:jc w:val="center"/>
              <w:rPr>
                <w:szCs w:val="21"/>
              </w:rPr>
            </w:pPr>
            <w:r>
              <w:rPr>
                <w:szCs w:val="21"/>
              </w:rPr>
              <w:t>2</w:t>
            </w:r>
            <w:r>
              <w:rPr>
                <w:rFonts w:hint="eastAsia"/>
                <w:szCs w:val="21"/>
              </w:rPr>
              <w:t>月</w:t>
            </w:r>
            <w:r>
              <w:rPr>
                <w:szCs w:val="21"/>
              </w:rPr>
              <w:t>21</w:t>
            </w:r>
            <w:r>
              <w:rPr>
                <w:rFonts w:hint="eastAsia"/>
                <w:szCs w:val="21"/>
              </w:rPr>
              <w:t>日</w:t>
            </w:r>
          </w:p>
        </w:tc>
        <w:tc>
          <w:tcPr>
            <w:tcW w:w="1313" w:type="dxa"/>
          </w:tcPr>
          <w:p>
            <w:pPr>
              <w:jc w:val="center"/>
              <w:rPr>
                <w:szCs w:val="21"/>
              </w:rPr>
            </w:pPr>
            <w:r>
              <w:rPr>
                <w:rFonts w:hint="eastAsia"/>
                <w:szCs w:val="21"/>
              </w:rPr>
              <w:t>昼间</w:t>
            </w:r>
            <w:r>
              <w:rPr>
                <w:szCs w:val="21"/>
              </w:rPr>
              <w:t>Leq</w:t>
            </w:r>
          </w:p>
        </w:tc>
        <w:tc>
          <w:tcPr>
            <w:tcW w:w="1315" w:type="dxa"/>
          </w:tcPr>
          <w:p>
            <w:pPr>
              <w:jc w:val="center"/>
              <w:rPr>
                <w:szCs w:val="21"/>
              </w:rPr>
            </w:pPr>
            <w:r>
              <w:rPr>
                <w:szCs w:val="21"/>
              </w:rPr>
              <w:t>53.8</w:t>
            </w:r>
          </w:p>
        </w:tc>
        <w:tc>
          <w:tcPr>
            <w:tcW w:w="1314" w:type="dxa"/>
          </w:tcPr>
          <w:p>
            <w:pPr>
              <w:jc w:val="center"/>
              <w:rPr>
                <w:szCs w:val="21"/>
              </w:rPr>
            </w:pPr>
            <w:r>
              <w:rPr>
                <w:szCs w:val="21"/>
              </w:rPr>
              <w:t>56.9</w:t>
            </w:r>
          </w:p>
        </w:tc>
        <w:tc>
          <w:tcPr>
            <w:tcW w:w="1315" w:type="dxa"/>
          </w:tcPr>
          <w:p>
            <w:pPr>
              <w:jc w:val="center"/>
              <w:rPr>
                <w:szCs w:val="21"/>
              </w:rPr>
            </w:pPr>
            <w:r>
              <w:rPr>
                <w:szCs w:val="21"/>
              </w:rPr>
              <w:t>58.2</w:t>
            </w:r>
          </w:p>
        </w:tc>
        <w:tc>
          <w:tcPr>
            <w:tcW w:w="1314" w:type="dxa"/>
          </w:tcPr>
          <w:p>
            <w:pPr>
              <w:jc w:val="center"/>
              <w:rPr>
                <w:szCs w:val="21"/>
              </w:rPr>
            </w:pPr>
            <w:r>
              <w:rPr>
                <w:szCs w:val="21"/>
              </w:rPr>
              <w:t>58.2</w:t>
            </w:r>
          </w:p>
        </w:tc>
        <w:tc>
          <w:tcPr>
            <w:tcW w:w="1315" w:type="dxa"/>
          </w:tcPr>
          <w:p>
            <w:pPr>
              <w:jc w:val="center"/>
              <w:rPr>
                <w:szCs w:val="21"/>
              </w:rPr>
            </w:pPr>
            <w:r>
              <w:rPr>
                <w:szCs w:val="21"/>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314" w:type="dxa"/>
            <w:vMerge w:val="continue"/>
            <w:vAlign w:val="center"/>
          </w:tcPr>
          <w:p>
            <w:pPr>
              <w:jc w:val="center"/>
              <w:rPr>
                <w:szCs w:val="21"/>
              </w:rPr>
            </w:pPr>
          </w:p>
        </w:tc>
        <w:tc>
          <w:tcPr>
            <w:tcW w:w="1313" w:type="dxa"/>
          </w:tcPr>
          <w:p>
            <w:pPr>
              <w:jc w:val="center"/>
              <w:rPr>
                <w:szCs w:val="21"/>
              </w:rPr>
            </w:pPr>
            <w:r>
              <w:rPr>
                <w:rFonts w:hint="eastAsia"/>
                <w:szCs w:val="21"/>
              </w:rPr>
              <w:t>夜间</w:t>
            </w:r>
            <w:r>
              <w:rPr>
                <w:szCs w:val="21"/>
              </w:rPr>
              <w:t>Leq</w:t>
            </w:r>
          </w:p>
        </w:tc>
        <w:tc>
          <w:tcPr>
            <w:tcW w:w="1315" w:type="dxa"/>
          </w:tcPr>
          <w:p>
            <w:pPr>
              <w:jc w:val="center"/>
              <w:rPr>
                <w:szCs w:val="21"/>
              </w:rPr>
            </w:pPr>
            <w:r>
              <w:rPr>
                <w:szCs w:val="21"/>
              </w:rPr>
              <w:t>37.8</w:t>
            </w:r>
          </w:p>
        </w:tc>
        <w:tc>
          <w:tcPr>
            <w:tcW w:w="1314" w:type="dxa"/>
          </w:tcPr>
          <w:p>
            <w:pPr>
              <w:jc w:val="center"/>
              <w:rPr>
                <w:szCs w:val="21"/>
              </w:rPr>
            </w:pPr>
            <w:r>
              <w:rPr>
                <w:szCs w:val="21"/>
              </w:rPr>
              <w:t>37.1</w:t>
            </w:r>
          </w:p>
        </w:tc>
        <w:tc>
          <w:tcPr>
            <w:tcW w:w="1315" w:type="dxa"/>
          </w:tcPr>
          <w:p>
            <w:pPr>
              <w:jc w:val="center"/>
              <w:rPr>
                <w:szCs w:val="21"/>
              </w:rPr>
            </w:pPr>
            <w:r>
              <w:rPr>
                <w:szCs w:val="21"/>
              </w:rPr>
              <w:t>39.0</w:t>
            </w:r>
          </w:p>
        </w:tc>
        <w:tc>
          <w:tcPr>
            <w:tcW w:w="1314" w:type="dxa"/>
          </w:tcPr>
          <w:p>
            <w:pPr>
              <w:jc w:val="center"/>
              <w:rPr>
                <w:szCs w:val="21"/>
              </w:rPr>
            </w:pPr>
            <w:r>
              <w:rPr>
                <w:szCs w:val="21"/>
              </w:rPr>
              <w:t>41.6</w:t>
            </w:r>
          </w:p>
        </w:tc>
        <w:tc>
          <w:tcPr>
            <w:tcW w:w="1315" w:type="dxa"/>
          </w:tcPr>
          <w:p>
            <w:pPr>
              <w:jc w:val="center"/>
              <w:rPr>
                <w:szCs w:val="21"/>
              </w:rPr>
            </w:pPr>
            <w:r>
              <w:rPr>
                <w:szCs w:val="21"/>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314" w:type="dxa"/>
            <w:vMerge w:val="restart"/>
            <w:vAlign w:val="center"/>
          </w:tcPr>
          <w:p>
            <w:pPr>
              <w:jc w:val="center"/>
              <w:rPr>
                <w:szCs w:val="21"/>
              </w:rPr>
            </w:pPr>
            <w:r>
              <w:rPr>
                <w:szCs w:val="21"/>
              </w:rPr>
              <w:t>2</w:t>
            </w:r>
            <w:r>
              <w:rPr>
                <w:rFonts w:hint="eastAsia"/>
                <w:szCs w:val="21"/>
              </w:rPr>
              <w:t>月</w:t>
            </w:r>
            <w:r>
              <w:rPr>
                <w:szCs w:val="21"/>
              </w:rPr>
              <w:t>22</w:t>
            </w:r>
            <w:r>
              <w:rPr>
                <w:rFonts w:hint="eastAsia"/>
                <w:szCs w:val="21"/>
              </w:rPr>
              <w:t>日</w:t>
            </w:r>
          </w:p>
        </w:tc>
        <w:tc>
          <w:tcPr>
            <w:tcW w:w="1313" w:type="dxa"/>
          </w:tcPr>
          <w:p>
            <w:pPr>
              <w:jc w:val="center"/>
              <w:rPr>
                <w:szCs w:val="21"/>
              </w:rPr>
            </w:pPr>
            <w:r>
              <w:rPr>
                <w:rFonts w:hint="eastAsia"/>
                <w:szCs w:val="21"/>
              </w:rPr>
              <w:t>昼间</w:t>
            </w:r>
            <w:r>
              <w:rPr>
                <w:szCs w:val="21"/>
              </w:rPr>
              <w:t>Leq</w:t>
            </w:r>
          </w:p>
        </w:tc>
        <w:tc>
          <w:tcPr>
            <w:tcW w:w="1315" w:type="dxa"/>
          </w:tcPr>
          <w:p>
            <w:pPr>
              <w:jc w:val="center"/>
              <w:rPr>
                <w:szCs w:val="21"/>
              </w:rPr>
            </w:pPr>
            <w:r>
              <w:rPr>
                <w:szCs w:val="21"/>
              </w:rPr>
              <w:t>54.2</w:t>
            </w:r>
          </w:p>
        </w:tc>
        <w:tc>
          <w:tcPr>
            <w:tcW w:w="1314" w:type="dxa"/>
          </w:tcPr>
          <w:p>
            <w:pPr>
              <w:jc w:val="center"/>
              <w:rPr>
                <w:szCs w:val="21"/>
              </w:rPr>
            </w:pPr>
            <w:r>
              <w:rPr>
                <w:szCs w:val="21"/>
              </w:rPr>
              <w:t>54.1</w:t>
            </w:r>
          </w:p>
        </w:tc>
        <w:tc>
          <w:tcPr>
            <w:tcW w:w="1315" w:type="dxa"/>
          </w:tcPr>
          <w:p>
            <w:pPr>
              <w:jc w:val="center"/>
              <w:rPr>
                <w:szCs w:val="21"/>
              </w:rPr>
            </w:pPr>
            <w:r>
              <w:rPr>
                <w:szCs w:val="21"/>
              </w:rPr>
              <w:t>53.6</w:t>
            </w:r>
          </w:p>
        </w:tc>
        <w:tc>
          <w:tcPr>
            <w:tcW w:w="1314" w:type="dxa"/>
          </w:tcPr>
          <w:p>
            <w:pPr>
              <w:jc w:val="center"/>
              <w:rPr>
                <w:szCs w:val="21"/>
              </w:rPr>
            </w:pPr>
            <w:r>
              <w:rPr>
                <w:szCs w:val="21"/>
              </w:rPr>
              <w:t>56.2</w:t>
            </w:r>
          </w:p>
        </w:tc>
        <w:tc>
          <w:tcPr>
            <w:tcW w:w="1315" w:type="dxa"/>
          </w:tcPr>
          <w:p>
            <w:pPr>
              <w:jc w:val="center"/>
              <w:rPr>
                <w:szCs w:val="21"/>
              </w:rPr>
            </w:pPr>
            <w:r>
              <w:rPr>
                <w:szCs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314" w:type="dxa"/>
            <w:vMerge w:val="continue"/>
            <w:vAlign w:val="center"/>
          </w:tcPr>
          <w:p>
            <w:pPr>
              <w:jc w:val="center"/>
              <w:rPr>
                <w:szCs w:val="21"/>
              </w:rPr>
            </w:pPr>
          </w:p>
        </w:tc>
        <w:tc>
          <w:tcPr>
            <w:tcW w:w="1313" w:type="dxa"/>
          </w:tcPr>
          <w:p>
            <w:pPr>
              <w:jc w:val="center"/>
              <w:rPr>
                <w:szCs w:val="21"/>
              </w:rPr>
            </w:pPr>
            <w:r>
              <w:rPr>
                <w:rFonts w:hint="eastAsia"/>
                <w:szCs w:val="21"/>
              </w:rPr>
              <w:t>夜间</w:t>
            </w:r>
            <w:r>
              <w:rPr>
                <w:szCs w:val="21"/>
              </w:rPr>
              <w:t>Leq</w:t>
            </w:r>
          </w:p>
        </w:tc>
        <w:tc>
          <w:tcPr>
            <w:tcW w:w="1315" w:type="dxa"/>
          </w:tcPr>
          <w:p>
            <w:pPr>
              <w:jc w:val="center"/>
              <w:rPr>
                <w:szCs w:val="21"/>
              </w:rPr>
            </w:pPr>
            <w:r>
              <w:rPr>
                <w:szCs w:val="21"/>
              </w:rPr>
              <w:t>31.4</w:t>
            </w:r>
          </w:p>
        </w:tc>
        <w:tc>
          <w:tcPr>
            <w:tcW w:w="1314" w:type="dxa"/>
          </w:tcPr>
          <w:p>
            <w:pPr>
              <w:jc w:val="center"/>
              <w:rPr>
                <w:szCs w:val="21"/>
              </w:rPr>
            </w:pPr>
            <w:r>
              <w:rPr>
                <w:szCs w:val="21"/>
              </w:rPr>
              <w:t>32.3</w:t>
            </w:r>
          </w:p>
        </w:tc>
        <w:tc>
          <w:tcPr>
            <w:tcW w:w="1315" w:type="dxa"/>
          </w:tcPr>
          <w:p>
            <w:pPr>
              <w:jc w:val="center"/>
              <w:rPr>
                <w:szCs w:val="21"/>
              </w:rPr>
            </w:pPr>
            <w:r>
              <w:rPr>
                <w:szCs w:val="21"/>
              </w:rPr>
              <w:t>31.3</w:t>
            </w:r>
          </w:p>
        </w:tc>
        <w:tc>
          <w:tcPr>
            <w:tcW w:w="1314" w:type="dxa"/>
          </w:tcPr>
          <w:p>
            <w:pPr>
              <w:jc w:val="center"/>
              <w:rPr>
                <w:szCs w:val="21"/>
              </w:rPr>
            </w:pPr>
            <w:r>
              <w:rPr>
                <w:szCs w:val="21"/>
              </w:rPr>
              <w:t>38.8</w:t>
            </w:r>
          </w:p>
        </w:tc>
        <w:tc>
          <w:tcPr>
            <w:tcW w:w="1315" w:type="dxa"/>
          </w:tcPr>
          <w:p>
            <w:pPr>
              <w:jc w:val="center"/>
              <w:rPr>
                <w:szCs w:val="21"/>
              </w:rPr>
            </w:pPr>
            <w:r>
              <w:rPr>
                <w:szCs w:val="21"/>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314" w:type="dxa"/>
            <w:vMerge w:val="restart"/>
            <w:vAlign w:val="center"/>
          </w:tcPr>
          <w:p>
            <w:pPr>
              <w:jc w:val="center"/>
              <w:rPr>
                <w:szCs w:val="21"/>
              </w:rPr>
            </w:pPr>
            <w:r>
              <w:rPr>
                <w:rFonts w:hint="eastAsia"/>
                <w:szCs w:val="21"/>
              </w:rPr>
              <w:t>标准值</w:t>
            </w:r>
          </w:p>
        </w:tc>
        <w:tc>
          <w:tcPr>
            <w:tcW w:w="1313" w:type="dxa"/>
          </w:tcPr>
          <w:p>
            <w:pPr>
              <w:jc w:val="center"/>
              <w:rPr>
                <w:szCs w:val="21"/>
              </w:rPr>
            </w:pPr>
            <w:r>
              <w:rPr>
                <w:rFonts w:hint="eastAsia"/>
                <w:szCs w:val="21"/>
              </w:rPr>
              <w:t>昼间</w:t>
            </w:r>
            <w:r>
              <w:rPr>
                <w:szCs w:val="21"/>
              </w:rPr>
              <w:t>Leq</w:t>
            </w:r>
          </w:p>
        </w:tc>
        <w:tc>
          <w:tcPr>
            <w:tcW w:w="1315" w:type="dxa"/>
          </w:tcPr>
          <w:p>
            <w:pPr>
              <w:jc w:val="center"/>
              <w:rPr>
                <w:szCs w:val="21"/>
              </w:rPr>
            </w:pPr>
            <w:r>
              <w:rPr>
                <w:szCs w:val="21"/>
              </w:rPr>
              <w:t>70</w:t>
            </w:r>
          </w:p>
        </w:tc>
        <w:tc>
          <w:tcPr>
            <w:tcW w:w="1314" w:type="dxa"/>
          </w:tcPr>
          <w:p>
            <w:pPr>
              <w:jc w:val="center"/>
              <w:rPr>
                <w:szCs w:val="21"/>
              </w:rPr>
            </w:pPr>
            <w:r>
              <w:rPr>
                <w:szCs w:val="21"/>
              </w:rPr>
              <w:t>60</w:t>
            </w:r>
          </w:p>
        </w:tc>
        <w:tc>
          <w:tcPr>
            <w:tcW w:w="1315" w:type="dxa"/>
          </w:tcPr>
          <w:p>
            <w:pPr>
              <w:jc w:val="center"/>
              <w:rPr>
                <w:szCs w:val="21"/>
              </w:rPr>
            </w:pPr>
            <w:r>
              <w:rPr>
                <w:szCs w:val="21"/>
              </w:rPr>
              <w:t>60</w:t>
            </w:r>
          </w:p>
        </w:tc>
        <w:tc>
          <w:tcPr>
            <w:tcW w:w="1314" w:type="dxa"/>
          </w:tcPr>
          <w:p>
            <w:pPr>
              <w:jc w:val="center"/>
              <w:rPr>
                <w:szCs w:val="21"/>
              </w:rPr>
            </w:pPr>
            <w:r>
              <w:rPr>
                <w:szCs w:val="21"/>
              </w:rPr>
              <w:t>60</w:t>
            </w:r>
          </w:p>
        </w:tc>
        <w:tc>
          <w:tcPr>
            <w:tcW w:w="1315" w:type="dxa"/>
          </w:tcPr>
          <w:p>
            <w:pPr>
              <w:jc w:val="center"/>
              <w:rPr>
                <w:szCs w:val="21"/>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1314" w:type="dxa"/>
            <w:vMerge w:val="continue"/>
          </w:tcPr>
          <w:p>
            <w:pPr>
              <w:jc w:val="center"/>
              <w:rPr>
                <w:szCs w:val="21"/>
              </w:rPr>
            </w:pPr>
          </w:p>
        </w:tc>
        <w:tc>
          <w:tcPr>
            <w:tcW w:w="1313" w:type="dxa"/>
          </w:tcPr>
          <w:p>
            <w:pPr>
              <w:jc w:val="center"/>
              <w:rPr>
                <w:szCs w:val="21"/>
              </w:rPr>
            </w:pPr>
            <w:r>
              <w:rPr>
                <w:rFonts w:hint="eastAsia"/>
                <w:szCs w:val="21"/>
              </w:rPr>
              <w:t>夜间</w:t>
            </w:r>
            <w:r>
              <w:rPr>
                <w:szCs w:val="21"/>
              </w:rPr>
              <w:t>Leq</w:t>
            </w:r>
          </w:p>
        </w:tc>
        <w:tc>
          <w:tcPr>
            <w:tcW w:w="1315" w:type="dxa"/>
          </w:tcPr>
          <w:p>
            <w:pPr>
              <w:jc w:val="center"/>
              <w:rPr>
                <w:szCs w:val="21"/>
              </w:rPr>
            </w:pPr>
            <w:r>
              <w:rPr>
                <w:szCs w:val="21"/>
              </w:rPr>
              <w:t>55</w:t>
            </w:r>
          </w:p>
        </w:tc>
        <w:tc>
          <w:tcPr>
            <w:tcW w:w="1314" w:type="dxa"/>
          </w:tcPr>
          <w:p>
            <w:pPr>
              <w:jc w:val="center"/>
              <w:rPr>
                <w:szCs w:val="21"/>
              </w:rPr>
            </w:pPr>
            <w:r>
              <w:rPr>
                <w:szCs w:val="21"/>
              </w:rPr>
              <w:t>50</w:t>
            </w:r>
          </w:p>
        </w:tc>
        <w:tc>
          <w:tcPr>
            <w:tcW w:w="1315" w:type="dxa"/>
          </w:tcPr>
          <w:p>
            <w:pPr>
              <w:jc w:val="center"/>
              <w:rPr>
                <w:szCs w:val="21"/>
              </w:rPr>
            </w:pPr>
            <w:r>
              <w:rPr>
                <w:szCs w:val="21"/>
              </w:rPr>
              <w:t>50</w:t>
            </w:r>
          </w:p>
        </w:tc>
        <w:tc>
          <w:tcPr>
            <w:tcW w:w="1314" w:type="dxa"/>
          </w:tcPr>
          <w:p>
            <w:pPr>
              <w:jc w:val="center"/>
              <w:rPr>
                <w:szCs w:val="21"/>
              </w:rPr>
            </w:pPr>
            <w:r>
              <w:rPr>
                <w:szCs w:val="21"/>
              </w:rPr>
              <w:t>50</w:t>
            </w:r>
          </w:p>
        </w:tc>
        <w:tc>
          <w:tcPr>
            <w:tcW w:w="1315" w:type="dxa"/>
          </w:tcPr>
          <w:p>
            <w:pPr>
              <w:jc w:val="center"/>
              <w:rPr>
                <w:szCs w:val="21"/>
              </w:rPr>
            </w:pPr>
            <w:r>
              <w:rPr>
                <w:szCs w:val="21"/>
              </w:rPr>
              <w:t>50</w:t>
            </w:r>
          </w:p>
        </w:tc>
      </w:tr>
    </w:tbl>
    <w:p>
      <w:pPr>
        <w:pStyle w:val="168"/>
        <w:spacing w:line="480" w:lineRule="exact"/>
        <w:ind w:firstLine="31680"/>
      </w:pPr>
      <w:r>
        <w:rPr>
          <w:rFonts w:hint="eastAsia"/>
        </w:rPr>
        <w:t>根据表</w:t>
      </w:r>
      <w:r>
        <w:t>6.3-2</w:t>
      </w:r>
      <w:r>
        <w:rPr>
          <w:rFonts w:hint="eastAsia"/>
        </w:rPr>
        <w:t>，公路红线</w:t>
      </w:r>
      <w:r>
        <w:t>35m</w:t>
      </w:r>
      <w:r>
        <w:rPr>
          <w:rFonts w:hint="eastAsia"/>
        </w:rPr>
        <w:t>范围内外昼间和夜间均能达到《声环境质量标准》（</w:t>
      </w:r>
      <w:r>
        <w:t>GB3096-2008</w:t>
      </w:r>
      <w:r>
        <w:rPr>
          <w:rFonts w:hint="eastAsia"/>
        </w:rPr>
        <w:t>）中</w:t>
      </w:r>
      <w:r>
        <w:t>2</w:t>
      </w:r>
      <w:r>
        <w:rPr>
          <w:rFonts w:hint="eastAsia"/>
        </w:rPr>
        <w:t>类及</w:t>
      </w:r>
      <w:r>
        <w:t>4a</w:t>
      </w:r>
      <w:r>
        <w:rPr>
          <w:rFonts w:hint="eastAsia"/>
        </w:rPr>
        <w:t>类标准，满足</w:t>
      </w:r>
      <w:r>
        <w:t>2</w:t>
      </w:r>
      <w:r>
        <w:rPr>
          <w:rFonts w:hint="eastAsia"/>
        </w:rPr>
        <w:t>类及</w:t>
      </w:r>
      <w:r>
        <w:t>4a</w:t>
      </w:r>
      <w:r>
        <w:rPr>
          <w:rFonts w:hint="eastAsia"/>
        </w:rPr>
        <w:t>类区标准要求。</w:t>
      </w:r>
    </w:p>
    <w:p>
      <w:pPr>
        <w:pStyle w:val="168"/>
        <w:spacing w:line="480" w:lineRule="exact"/>
        <w:ind w:firstLine="31680"/>
      </w:pPr>
      <w:r>
        <w:rPr>
          <w:rFonts w:hint="eastAsia"/>
        </w:rPr>
        <w:t>综合评价，该公路经过区域，及周围环境保护目标均能达到《声环境质量标准》（</w:t>
      </w:r>
      <w:r>
        <w:t>GB3096-2008</w:t>
      </w:r>
      <w:r>
        <w:rPr>
          <w:rFonts w:hint="eastAsia"/>
        </w:rPr>
        <w:t>）中相关标准要求。</w:t>
      </w:r>
    </w:p>
    <w:p>
      <w:pPr>
        <w:pStyle w:val="4"/>
        <w:ind w:left="567" w:hanging="567"/>
      </w:pPr>
      <w:bookmarkStart w:id="202" w:name="_Toc20605"/>
      <w:r>
        <w:rPr>
          <w:rFonts w:hint="eastAsia"/>
        </w:rPr>
        <w:t>生态环境质量现状</w:t>
      </w:r>
      <w:bookmarkEnd w:id="202"/>
    </w:p>
    <w:p>
      <w:pPr>
        <w:spacing w:line="360" w:lineRule="auto"/>
        <w:ind w:firstLine="31680" w:firstLineChars="200"/>
        <w:rPr>
          <w:kern w:val="0"/>
          <w:sz w:val="24"/>
        </w:rPr>
      </w:pPr>
      <w:r>
        <w:rPr>
          <w:rFonts w:hint="eastAsia"/>
          <w:kern w:val="0"/>
          <w:sz w:val="24"/>
        </w:rPr>
        <w:t>工程区地貌为属微丘地貌，地势起伏较小，属亚热带季风湿润气候区，温和湿润，自然条件较好，适宜农作物及林木的生长。</w:t>
      </w:r>
    </w:p>
    <w:p>
      <w:pPr>
        <w:spacing w:line="360" w:lineRule="auto"/>
        <w:ind w:firstLine="31680" w:firstLineChars="200"/>
        <w:rPr>
          <w:kern w:val="0"/>
          <w:sz w:val="24"/>
        </w:rPr>
      </w:pPr>
      <w:r>
        <w:rPr>
          <w:rFonts w:hint="eastAsia"/>
          <w:kern w:val="0"/>
          <w:sz w:val="24"/>
        </w:rPr>
        <w:t>由于项目评价区农业开垦、砍伐及人为活动频繁等，生态系统为人工生态系统，沿线植被基本为人工植被，主要为农田作物、苗圃人工移栽景观植物、人工用材林植物等，植物类型单一，分布不均衡。现状土地利用类型主要有农田、旱地及林地等，土地资源利用率高。</w:t>
      </w:r>
    </w:p>
    <w:p>
      <w:pPr>
        <w:pStyle w:val="6"/>
        <w:widowControl/>
        <w:ind w:left="567" w:hanging="567"/>
        <w:jc w:val="left"/>
        <w:rPr>
          <w:bCs w:val="0"/>
          <w:szCs w:val="20"/>
        </w:rPr>
      </w:pPr>
      <w:r>
        <w:rPr>
          <w:rFonts w:hint="eastAsia"/>
          <w:bCs w:val="0"/>
          <w:szCs w:val="20"/>
        </w:rPr>
        <w:t>植物</w:t>
      </w:r>
    </w:p>
    <w:p>
      <w:pPr>
        <w:spacing w:line="360" w:lineRule="auto"/>
        <w:ind w:firstLine="31680" w:firstLineChars="200"/>
        <w:rPr>
          <w:kern w:val="0"/>
          <w:sz w:val="24"/>
        </w:rPr>
      </w:pPr>
      <w:r>
        <w:rPr>
          <w:rFonts w:hint="eastAsia"/>
          <w:kern w:val="0"/>
          <w:sz w:val="24"/>
        </w:rPr>
        <w:t>工程沿线主要植被为人工用材林、经济林、灌木林及农田作物。山地植被主要是绿栎类林，落叶、常绿阔叶混交林；农田经济作物主要为水稻、油菜、柑橘及商品蔬菜等；项目沿线主要物种有马尾松、麻栎、苦楝、紫穗槐、茶树等。</w:t>
      </w:r>
    </w:p>
    <w:p>
      <w:pPr>
        <w:pStyle w:val="6"/>
        <w:widowControl/>
        <w:ind w:left="567" w:hanging="567"/>
        <w:jc w:val="left"/>
        <w:rPr>
          <w:bCs w:val="0"/>
          <w:szCs w:val="20"/>
        </w:rPr>
      </w:pPr>
      <w:r>
        <w:rPr>
          <w:rFonts w:hint="eastAsia"/>
          <w:bCs w:val="0"/>
          <w:szCs w:val="20"/>
        </w:rPr>
        <w:t>动物</w:t>
      </w:r>
    </w:p>
    <w:p>
      <w:pPr>
        <w:spacing w:line="360" w:lineRule="auto"/>
        <w:ind w:firstLine="31680" w:firstLineChars="200"/>
        <w:rPr>
          <w:kern w:val="0"/>
          <w:sz w:val="24"/>
        </w:rPr>
      </w:pPr>
      <w:r>
        <w:rPr>
          <w:rFonts w:hint="eastAsia"/>
          <w:kern w:val="0"/>
          <w:sz w:val="24"/>
        </w:rPr>
        <w:t>工程沿线农业开发利用程度较高，沿途林地特别是成片林地分布较少，多在农业用地中呈零散孤岛分布，野生动物分布较少，无大型野生动物分布，主要为常见小型啮齿类动物以及蛇类、蛙类、鸟类为主，如田鼠、蜥蜴、青蛙、壁虎、山雀、八哥、野兔等。家畜主要有猪、牛、羊、鸡、兔、鸭、鹅等。水生鱼类资源主要有草鱼、鲤鱼、鲫鱼、青鱼、鲢鱼等。</w:t>
      </w:r>
    </w:p>
    <w:p>
      <w:pPr>
        <w:pStyle w:val="6"/>
        <w:widowControl/>
        <w:ind w:left="567" w:hanging="567"/>
        <w:jc w:val="left"/>
        <w:rPr>
          <w:bCs w:val="0"/>
          <w:szCs w:val="20"/>
        </w:rPr>
      </w:pPr>
      <w:r>
        <w:rPr>
          <w:rFonts w:hint="eastAsia"/>
          <w:bCs w:val="0"/>
          <w:szCs w:val="20"/>
        </w:rPr>
        <w:t>国家保护动植物</w:t>
      </w:r>
    </w:p>
    <w:p>
      <w:pPr>
        <w:spacing w:line="360" w:lineRule="auto"/>
        <w:ind w:firstLine="31680" w:firstLineChars="200"/>
        <w:rPr>
          <w:kern w:val="0"/>
          <w:sz w:val="24"/>
        </w:rPr>
      </w:pPr>
      <w:r>
        <w:rPr>
          <w:rFonts w:hint="eastAsia"/>
          <w:kern w:val="0"/>
          <w:sz w:val="24"/>
        </w:rPr>
        <w:t>由于工程区域人类开发强度大，大部分为农田和乡村居民住宅。根据现场调查，并咨询当地居民，拟建公路沿线</w:t>
      </w:r>
      <w:r>
        <w:rPr>
          <w:kern w:val="0"/>
          <w:sz w:val="24"/>
        </w:rPr>
        <w:t>200m</w:t>
      </w:r>
      <w:r>
        <w:rPr>
          <w:rFonts w:hint="eastAsia"/>
          <w:kern w:val="0"/>
          <w:sz w:val="24"/>
        </w:rPr>
        <w:t>范围内，未发现国家珍稀保护野生动物活动，除水杉、银杏、杜仲外无其它国家野生珍稀保护植物存在。</w:t>
      </w:r>
    </w:p>
    <w:p>
      <w:pPr>
        <w:pStyle w:val="6"/>
        <w:widowControl/>
        <w:ind w:left="567" w:hanging="567"/>
        <w:rPr>
          <w:bCs w:val="0"/>
          <w:szCs w:val="20"/>
        </w:rPr>
      </w:pPr>
      <w:r>
        <w:rPr>
          <w:rFonts w:hint="eastAsia"/>
          <w:bCs w:val="0"/>
          <w:szCs w:val="20"/>
        </w:rPr>
        <w:t>沿线景观现状</w:t>
      </w:r>
    </w:p>
    <w:p>
      <w:pPr>
        <w:spacing w:line="360" w:lineRule="auto"/>
        <w:ind w:firstLine="31680" w:firstLineChars="200"/>
        <w:rPr>
          <w:kern w:val="0"/>
          <w:sz w:val="24"/>
        </w:rPr>
      </w:pPr>
      <w:r>
        <w:rPr>
          <w:rFonts w:hint="eastAsia"/>
          <w:kern w:val="0"/>
          <w:sz w:val="24"/>
        </w:rPr>
        <w:t>路线走廓带主要为平原微丘地貌，沿线的景观类型主要有微丘景观、农田景观、道路景观、农村居民点景观等，景观廊道主要为各种道路和农灌渠等，各种纵横廊道交织成网，使各景观斑块联系在一起。景观异质性、连通性均较好。</w:t>
      </w:r>
    </w:p>
    <w:p>
      <w:pPr>
        <w:spacing w:line="360" w:lineRule="auto"/>
        <w:ind w:firstLine="31680" w:firstLineChars="200"/>
        <w:rPr>
          <w:kern w:val="0"/>
          <w:sz w:val="24"/>
        </w:rPr>
      </w:pPr>
      <w:r>
        <w:rPr>
          <w:rFonts w:hint="eastAsia"/>
          <w:kern w:val="0"/>
          <w:sz w:val="24"/>
        </w:rPr>
        <w:t>总体而言，项目沿线景观类型不丰富，景观环境质量总体良好。</w:t>
      </w:r>
    </w:p>
    <w:p>
      <w:pPr>
        <w:pStyle w:val="3"/>
        <w:ind w:firstLine="31680"/>
        <w:rPr>
          <w:color w:val="FF0000"/>
        </w:rPr>
      </w:pPr>
      <w:r>
        <w:rPr>
          <w:color w:val="FF0000"/>
        </w:rPr>
        <w:t xml:space="preserve">  </w:t>
      </w:r>
    </w:p>
    <w:p>
      <w:pPr>
        <w:pStyle w:val="2"/>
        <w:widowControl/>
        <w:ind w:left="0" w:firstLine="0"/>
        <w:jc w:val="left"/>
        <w:rPr>
          <w:color w:val="FF0000"/>
        </w:rPr>
        <w:sectPr>
          <w:pgSz w:w="11906" w:h="16838"/>
          <w:pgMar w:top="1588" w:right="1361" w:bottom="1474" w:left="1588" w:header="851" w:footer="851" w:gutter="0"/>
          <w:pgBorders>
            <w:top w:val="none" w:sz="0" w:space="0"/>
            <w:left w:val="none" w:sz="0" w:space="0"/>
            <w:bottom w:val="none" w:sz="0" w:space="0"/>
            <w:right w:val="none" w:sz="0" w:space="0"/>
          </w:pgBorders>
          <w:cols w:space="425" w:num="1"/>
          <w:docGrid w:linePitch="326" w:charSpace="0"/>
        </w:sectPr>
      </w:pPr>
      <w:bookmarkStart w:id="203" w:name="_Toc354581905"/>
      <w:bookmarkStart w:id="204" w:name="_Toc354581725"/>
      <w:bookmarkStart w:id="205" w:name="_Toc354558922"/>
    </w:p>
    <w:p>
      <w:pPr>
        <w:pStyle w:val="2"/>
        <w:ind w:left="567" w:hanging="567"/>
      </w:pPr>
      <w:bookmarkStart w:id="206" w:name="_Toc1274"/>
      <w:bookmarkStart w:id="207" w:name="_Toc408503575"/>
      <w:bookmarkStart w:id="208" w:name="_Toc376443262"/>
      <w:bookmarkStart w:id="209" w:name="_Toc361092686"/>
      <w:r>
        <w:rPr>
          <w:rFonts w:hint="eastAsia"/>
        </w:rPr>
        <w:t>环境影响预测与评价</w:t>
      </w:r>
      <w:bookmarkEnd w:id="206"/>
      <w:bookmarkEnd w:id="207"/>
    </w:p>
    <w:p>
      <w:pPr>
        <w:pStyle w:val="4"/>
        <w:ind w:left="567" w:hanging="567"/>
      </w:pPr>
      <w:bookmarkStart w:id="210" w:name="_Toc5786"/>
      <w:bookmarkStart w:id="211" w:name="_Toc408503576"/>
      <w:bookmarkStart w:id="212" w:name="_Toc354558908"/>
      <w:bookmarkStart w:id="213" w:name="_Toc342145765"/>
      <w:bookmarkStart w:id="214" w:name="_Toc354581712"/>
      <w:bookmarkStart w:id="215" w:name="_Toc354581892"/>
      <w:r>
        <w:rPr>
          <w:rFonts w:hint="eastAsia"/>
        </w:rPr>
        <w:t>声环境影响预测与评价</w:t>
      </w:r>
      <w:bookmarkEnd w:id="210"/>
      <w:bookmarkEnd w:id="211"/>
      <w:bookmarkEnd w:id="212"/>
      <w:bookmarkEnd w:id="213"/>
      <w:bookmarkEnd w:id="214"/>
      <w:bookmarkEnd w:id="215"/>
    </w:p>
    <w:p>
      <w:pPr>
        <w:pStyle w:val="5"/>
        <w:ind w:left="567" w:hanging="567"/>
      </w:pPr>
      <w:r>
        <w:rPr>
          <w:rFonts w:hint="eastAsia"/>
        </w:rPr>
        <w:t>施工期声环境影响预测与评价</w:t>
      </w:r>
    </w:p>
    <w:p>
      <w:pPr>
        <w:pStyle w:val="6"/>
        <w:widowControl/>
        <w:ind w:left="567" w:hanging="567"/>
        <w:jc w:val="left"/>
      </w:pPr>
      <w:bookmarkStart w:id="216" w:name="_Ref352683004"/>
      <w:r>
        <w:rPr>
          <w:rFonts w:hint="eastAsia"/>
        </w:rPr>
        <w:t>施工噪声预测方法和预测模式</w:t>
      </w:r>
    </w:p>
    <w:p>
      <w:pPr>
        <w:spacing w:line="360" w:lineRule="auto"/>
        <w:ind w:firstLine="31680" w:firstLineChars="200"/>
        <w:rPr>
          <w:sz w:val="24"/>
          <w:szCs w:val="24"/>
        </w:rPr>
      </w:pPr>
      <w:r>
        <w:rPr>
          <w:rFonts w:hint="eastAsia"/>
          <w:sz w:val="24"/>
          <w:szCs w:val="24"/>
        </w:rPr>
        <w:t>施工噪声可近似视为点声源处理，根据点声源噪声衰减模式，估算出离声源不同距离处的噪声值，预测模式如下：</w:t>
      </w:r>
    </w:p>
    <w:p>
      <w:pPr>
        <w:spacing w:line="360" w:lineRule="auto"/>
        <w:ind w:firstLine="31680" w:firstLineChars="850"/>
        <w:rPr>
          <w:sz w:val="24"/>
          <w:szCs w:val="24"/>
        </w:rPr>
      </w:pPr>
      <w:r>
        <w:rPr>
          <w:sz w:val="24"/>
          <w:szCs w:val="24"/>
        </w:rPr>
        <w:pict>
          <v:shape id="_x0000_i1047" o:spt="75" type="#_x0000_t75" style="height:35.25pt;width:116.25pt;" filled="f" o:preferrelative="t" stroked="f" coordsize="21600,21600">
            <v:path/>
            <v:fill on="f" focussize="0,0"/>
            <v:stroke on="f" joinstyle="miter"/>
            <v:imagedata r:id="rId40" o:title=""/>
            <o:lock v:ext="edit" aspectratio="t"/>
            <w10:wrap type="none"/>
            <w10:anchorlock/>
          </v:shape>
        </w:pict>
      </w:r>
    </w:p>
    <w:p>
      <w:pPr>
        <w:spacing w:line="360" w:lineRule="auto"/>
        <w:ind w:firstLine="31680" w:firstLineChars="200"/>
        <w:rPr>
          <w:sz w:val="24"/>
          <w:szCs w:val="24"/>
        </w:rPr>
      </w:pPr>
      <w:r>
        <w:rPr>
          <w:rFonts w:hint="eastAsia"/>
          <w:sz w:val="24"/>
          <w:szCs w:val="24"/>
        </w:rPr>
        <w:t>式中：</w:t>
      </w:r>
      <w:r>
        <w:rPr>
          <w:sz w:val="24"/>
          <w:szCs w:val="24"/>
        </w:rPr>
        <w:t>L</w:t>
      </w:r>
      <w:r>
        <w:rPr>
          <w:sz w:val="24"/>
          <w:szCs w:val="24"/>
          <w:vertAlign w:val="subscript"/>
        </w:rPr>
        <w:t>i</w:t>
      </w:r>
      <w:r>
        <w:rPr>
          <w:sz w:val="24"/>
          <w:szCs w:val="24"/>
        </w:rPr>
        <w:t>――</w:t>
      </w:r>
      <w:r>
        <w:rPr>
          <w:rFonts w:hint="eastAsia"/>
          <w:sz w:val="24"/>
          <w:szCs w:val="24"/>
        </w:rPr>
        <w:t>距声源</w:t>
      </w:r>
      <w:r>
        <w:rPr>
          <w:sz w:val="24"/>
          <w:szCs w:val="24"/>
        </w:rPr>
        <w:t>R</w:t>
      </w:r>
      <w:r>
        <w:rPr>
          <w:sz w:val="24"/>
          <w:szCs w:val="24"/>
          <w:vertAlign w:val="subscript"/>
        </w:rPr>
        <w:t>i</w:t>
      </w:r>
      <w:r>
        <w:rPr>
          <w:rFonts w:hint="eastAsia"/>
          <w:sz w:val="24"/>
          <w:szCs w:val="24"/>
        </w:rPr>
        <w:t>（</w:t>
      </w:r>
      <w:r>
        <w:rPr>
          <w:sz w:val="24"/>
          <w:szCs w:val="24"/>
        </w:rPr>
        <w:t>m</w:t>
      </w:r>
      <w:r>
        <w:rPr>
          <w:rFonts w:hint="eastAsia"/>
          <w:sz w:val="24"/>
          <w:szCs w:val="24"/>
        </w:rPr>
        <w:t>）处的施工噪声预测值，</w:t>
      </w:r>
      <w:r>
        <w:rPr>
          <w:sz w:val="24"/>
          <w:szCs w:val="24"/>
        </w:rPr>
        <w:t>dB</w:t>
      </w:r>
      <w:r>
        <w:rPr>
          <w:rFonts w:hint="eastAsia"/>
          <w:sz w:val="24"/>
          <w:szCs w:val="24"/>
        </w:rPr>
        <w:t>；</w:t>
      </w:r>
    </w:p>
    <w:p>
      <w:pPr>
        <w:spacing w:line="360" w:lineRule="auto"/>
        <w:ind w:firstLine="31680" w:firstLineChars="500"/>
        <w:rPr>
          <w:sz w:val="24"/>
          <w:szCs w:val="24"/>
        </w:rPr>
      </w:pPr>
      <w:r>
        <w:rPr>
          <w:sz w:val="24"/>
          <w:szCs w:val="24"/>
        </w:rPr>
        <w:t>L</w:t>
      </w:r>
      <w:r>
        <w:rPr>
          <w:sz w:val="24"/>
          <w:szCs w:val="24"/>
          <w:vertAlign w:val="subscript"/>
        </w:rPr>
        <w:t>0</w:t>
      </w:r>
      <w:r>
        <w:rPr>
          <w:sz w:val="24"/>
          <w:szCs w:val="24"/>
        </w:rPr>
        <w:t>――</w:t>
      </w:r>
      <w:r>
        <w:rPr>
          <w:rFonts w:hint="eastAsia"/>
          <w:sz w:val="24"/>
          <w:szCs w:val="24"/>
        </w:rPr>
        <w:t>距声源</w:t>
      </w:r>
      <w:r>
        <w:rPr>
          <w:sz w:val="24"/>
          <w:szCs w:val="24"/>
        </w:rPr>
        <w:t>R</w:t>
      </w:r>
      <w:r>
        <w:rPr>
          <w:sz w:val="24"/>
          <w:szCs w:val="24"/>
          <w:vertAlign w:val="subscript"/>
        </w:rPr>
        <w:t>0</w:t>
      </w:r>
      <w:r>
        <w:rPr>
          <w:rFonts w:hint="eastAsia"/>
          <w:sz w:val="24"/>
          <w:szCs w:val="24"/>
        </w:rPr>
        <w:t>（</w:t>
      </w:r>
      <w:r>
        <w:rPr>
          <w:sz w:val="24"/>
          <w:szCs w:val="24"/>
        </w:rPr>
        <w:t>m</w:t>
      </w:r>
      <w:r>
        <w:rPr>
          <w:rFonts w:hint="eastAsia"/>
          <w:sz w:val="24"/>
          <w:szCs w:val="24"/>
        </w:rPr>
        <w:t>）处的施工噪声级，</w:t>
      </w:r>
      <w:r>
        <w:rPr>
          <w:sz w:val="24"/>
          <w:szCs w:val="24"/>
        </w:rPr>
        <w:t>dB</w:t>
      </w:r>
      <w:r>
        <w:rPr>
          <w:rFonts w:hint="eastAsia"/>
          <w:sz w:val="24"/>
          <w:szCs w:val="24"/>
        </w:rPr>
        <w:t>；</w:t>
      </w:r>
    </w:p>
    <w:p>
      <w:pPr>
        <w:spacing w:line="360" w:lineRule="auto"/>
        <w:ind w:firstLine="31680" w:firstLineChars="500"/>
        <w:rPr>
          <w:sz w:val="24"/>
          <w:szCs w:val="24"/>
        </w:rPr>
      </w:pPr>
      <w:r>
        <w:rPr>
          <w:rFonts w:ascii="Cambria Math" w:hAnsi="Cambria Math" w:cs="Cambria Math"/>
          <w:sz w:val="24"/>
          <w:szCs w:val="24"/>
        </w:rPr>
        <w:t>△</w:t>
      </w:r>
      <w:r>
        <w:rPr>
          <w:sz w:val="24"/>
          <w:szCs w:val="24"/>
        </w:rPr>
        <w:t>L――</w:t>
      </w:r>
      <w:r>
        <w:rPr>
          <w:rFonts w:hint="eastAsia"/>
          <w:sz w:val="24"/>
          <w:szCs w:val="24"/>
        </w:rPr>
        <w:t>障碍物、植被、空气等产生的附加衰减量。</w:t>
      </w:r>
    </w:p>
    <w:p>
      <w:pPr>
        <w:spacing w:line="360" w:lineRule="auto"/>
        <w:ind w:firstLine="31680" w:firstLineChars="200"/>
        <w:rPr>
          <w:sz w:val="24"/>
          <w:szCs w:val="24"/>
        </w:rPr>
      </w:pPr>
      <w:r>
        <w:rPr>
          <w:rFonts w:hint="eastAsia"/>
          <w:sz w:val="24"/>
          <w:szCs w:val="24"/>
        </w:rPr>
        <w:t>对于多台施工机械同时作业时对某个预测点的影响，应按下式进行声级叠加：</w:t>
      </w:r>
    </w:p>
    <w:p>
      <w:pPr>
        <w:spacing w:line="360" w:lineRule="auto"/>
        <w:ind w:firstLine="31680" w:firstLineChars="1050"/>
        <w:rPr>
          <w:sz w:val="24"/>
          <w:szCs w:val="24"/>
        </w:rPr>
      </w:pPr>
      <w:r>
        <w:rPr>
          <w:sz w:val="24"/>
          <w:szCs w:val="24"/>
        </w:rPr>
        <w:pict>
          <v:shape id="_x0000_i1048" o:spt="75" type="#_x0000_t75" style="height:34.5pt;width:93pt;" filled="f" o:preferrelative="t" stroked="f" coordsize="21600,21600">
            <v:path/>
            <v:fill on="f" focussize="0,0"/>
            <v:stroke on="f" joinstyle="miter"/>
            <v:imagedata r:id="rId41" o:title=""/>
            <o:lock v:ext="edit" aspectratio="t"/>
            <w10:wrap type="none"/>
            <w10:anchorlock/>
          </v:shape>
        </w:pict>
      </w:r>
    </w:p>
    <w:p>
      <w:pPr>
        <w:pStyle w:val="6"/>
        <w:widowControl/>
        <w:ind w:left="567" w:hanging="567"/>
        <w:jc w:val="left"/>
      </w:pPr>
      <w:r>
        <w:rPr>
          <w:rFonts w:hint="eastAsia"/>
        </w:rPr>
        <w:t>施工噪声影响范围计算和影响分析</w:t>
      </w:r>
    </w:p>
    <w:p>
      <w:pPr>
        <w:spacing w:line="360" w:lineRule="auto"/>
        <w:ind w:firstLine="31680" w:firstLineChars="200"/>
        <w:rPr>
          <w:sz w:val="24"/>
          <w:szCs w:val="24"/>
        </w:rPr>
      </w:pPr>
      <w:r>
        <w:rPr>
          <w:sz w:val="24"/>
          <w:szCs w:val="24"/>
        </w:rPr>
        <w:t>a</w:t>
      </w:r>
      <w:r>
        <w:rPr>
          <w:rFonts w:hint="eastAsia"/>
          <w:sz w:val="24"/>
          <w:szCs w:val="24"/>
        </w:rPr>
        <w:t>）施工噪声影响范围计算</w:t>
      </w:r>
    </w:p>
    <w:p>
      <w:pPr>
        <w:pStyle w:val="3"/>
        <w:ind w:firstLine="31680"/>
      </w:pPr>
      <w:r>
        <w:rPr>
          <w:rFonts w:hint="eastAsia"/>
        </w:rPr>
        <w:t>根据前述的预测方法和预测模式，对施工过程中各种设备噪声影响范围进行计算，结果见表</w:t>
      </w:r>
      <w:r>
        <w:t>7.1-1</w:t>
      </w:r>
      <w:r>
        <w:rPr>
          <w:rFonts w:hint="eastAsia"/>
        </w:rPr>
        <w:t>。</w:t>
      </w:r>
    </w:p>
    <w:p>
      <w:pPr>
        <w:pStyle w:val="19"/>
        <w:jc w:val="center"/>
      </w:pPr>
      <w:bookmarkStart w:id="217" w:name="_Ref401478923"/>
      <w:r>
        <w:rPr>
          <w:rFonts w:hint="eastAsia"/>
        </w:rPr>
        <w:t>表</w:t>
      </w:r>
      <w:r>
        <w:t xml:space="preserve"> </w:t>
      </w:r>
      <w:bookmarkEnd w:id="217"/>
      <w:r>
        <w:t xml:space="preserve">7.1-1 </w:t>
      </w:r>
      <w:r>
        <w:rPr>
          <w:rFonts w:hint="eastAsia"/>
        </w:rPr>
        <w:t>单台施工机械设备噪声的影响范围</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1750"/>
        <w:gridCol w:w="1752"/>
        <w:gridCol w:w="1752"/>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171" w:type="dxa"/>
            <w:vMerge w:val="restart"/>
            <w:vAlign w:val="center"/>
          </w:tcPr>
          <w:p>
            <w:pPr>
              <w:pStyle w:val="112"/>
              <w:ind w:left="400"/>
            </w:pPr>
            <w:r>
              <w:rPr>
                <w:rFonts w:hint="eastAsia"/>
              </w:rPr>
              <w:t>施工机械</w:t>
            </w:r>
          </w:p>
        </w:tc>
        <w:tc>
          <w:tcPr>
            <w:tcW w:w="3502" w:type="dxa"/>
            <w:gridSpan w:val="2"/>
            <w:vAlign w:val="center"/>
          </w:tcPr>
          <w:p>
            <w:pPr>
              <w:pStyle w:val="112"/>
            </w:pPr>
            <w:r>
              <w:rPr>
                <w:rFonts w:hint="eastAsia"/>
              </w:rPr>
              <w:t>源强</w:t>
            </w:r>
          </w:p>
        </w:tc>
        <w:tc>
          <w:tcPr>
            <w:tcW w:w="3501" w:type="dxa"/>
            <w:gridSpan w:val="2"/>
            <w:vAlign w:val="center"/>
          </w:tcPr>
          <w:p>
            <w:pPr>
              <w:pStyle w:val="112"/>
            </w:pPr>
            <w:r>
              <w:rPr>
                <w:rFonts w:hint="eastAsia"/>
              </w:rPr>
              <w:t>影响范围</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171" w:type="dxa"/>
            <w:vMerge w:val="continue"/>
            <w:vAlign w:val="center"/>
          </w:tcPr>
          <w:p>
            <w:pPr>
              <w:pStyle w:val="112"/>
            </w:pPr>
          </w:p>
        </w:tc>
        <w:tc>
          <w:tcPr>
            <w:tcW w:w="1750" w:type="dxa"/>
            <w:vAlign w:val="center"/>
          </w:tcPr>
          <w:p>
            <w:pPr>
              <w:pStyle w:val="112"/>
            </w:pPr>
            <w:r>
              <w:rPr>
                <w:rFonts w:hint="eastAsia"/>
              </w:rPr>
              <w:t>测距（</w:t>
            </w:r>
            <w:r>
              <w:t>m</w:t>
            </w:r>
            <w:r>
              <w:rPr>
                <w:rFonts w:hint="eastAsia"/>
              </w:rPr>
              <w:t>）</w:t>
            </w:r>
          </w:p>
        </w:tc>
        <w:tc>
          <w:tcPr>
            <w:tcW w:w="1752" w:type="dxa"/>
            <w:vAlign w:val="center"/>
          </w:tcPr>
          <w:p>
            <w:pPr>
              <w:pStyle w:val="112"/>
            </w:pPr>
            <w:r>
              <w:rPr>
                <w:rFonts w:hint="eastAsia"/>
              </w:rPr>
              <w:t>噪声值</w:t>
            </w:r>
            <w:r>
              <w:t>dB(A)</w:t>
            </w:r>
          </w:p>
        </w:tc>
        <w:tc>
          <w:tcPr>
            <w:tcW w:w="1752" w:type="dxa"/>
            <w:vAlign w:val="center"/>
          </w:tcPr>
          <w:p>
            <w:pPr>
              <w:pStyle w:val="112"/>
            </w:pPr>
            <w:r>
              <w:rPr>
                <w:rFonts w:hint="eastAsia"/>
              </w:rPr>
              <w:t>昼</w:t>
            </w:r>
          </w:p>
        </w:tc>
        <w:tc>
          <w:tcPr>
            <w:tcW w:w="1749" w:type="dxa"/>
            <w:vAlign w:val="center"/>
          </w:tcPr>
          <w:p>
            <w:pPr>
              <w:pStyle w:val="112"/>
            </w:pPr>
            <w:r>
              <w:rPr>
                <w:rFonts w:hint="eastAsia"/>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71" w:type="dxa"/>
            <w:vAlign w:val="center"/>
          </w:tcPr>
          <w:p>
            <w:pPr>
              <w:pStyle w:val="112"/>
            </w:pPr>
            <w:r>
              <w:rPr>
                <w:rFonts w:hint="eastAsia"/>
              </w:rPr>
              <w:t>装载机</w:t>
            </w:r>
          </w:p>
        </w:tc>
        <w:tc>
          <w:tcPr>
            <w:tcW w:w="1750" w:type="dxa"/>
            <w:vAlign w:val="center"/>
          </w:tcPr>
          <w:p>
            <w:pPr>
              <w:pStyle w:val="112"/>
            </w:pPr>
            <w:r>
              <w:t>5</w:t>
            </w:r>
          </w:p>
        </w:tc>
        <w:tc>
          <w:tcPr>
            <w:tcW w:w="1752" w:type="dxa"/>
            <w:vAlign w:val="center"/>
          </w:tcPr>
          <w:p>
            <w:pPr>
              <w:pStyle w:val="112"/>
            </w:pPr>
            <w:r>
              <w:t>90</w:t>
            </w:r>
          </w:p>
        </w:tc>
        <w:tc>
          <w:tcPr>
            <w:tcW w:w="1752" w:type="dxa"/>
            <w:vAlign w:val="center"/>
          </w:tcPr>
          <w:p>
            <w:pPr>
              <w:pStyle w:val="112"/>
            </w:pPr>
            <w:r>
              <w:t>50.0</w:t>
            </w:r>
          </w:p>
        </w:tc>
        <w:tc>
          <w:tcPr>
            <w:tcW w:w="1749" w:type="dxa"/>
            <w:vAlign w:val="center"/>
          </w:tcPr>
          <w:p>
            <w:pPr>
              <w:pStyle w:val="112"/>
            </w:pPr>
            <w:r>
              <w:t>281.2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71" w:type="dxa"/>
            <w:vAlign w:val="center"/>
          </w:tcPr>
          <w:p>
            <w:pPr>
              <w:pStyle w:val="112"/>
            </w:pPr>
            <w:r>
              <w:rPr>
                <w:rFonts w:hint="eastAsia"/>
              </w:rPr>
              <w:t>平土机</w:t>
            </w:r>
          </w:p>
        </w:tc>
        <w:tc>
          <w:tcPr>
            <w:tcW w:w="1750" w:type="dxa"/>
            <w:vAlign w:val="center"/>
          </w:tcPr>
          <w:p>
            <w:pPr>
              <w:pStyle w:val="112"/>
              <w:rPr>
                <w:bCs/>
              </w:rPr>
            </w:pPr>
            <w:r>
              <w:rPr>
                <w:bCs/>
              </w:rPr>
              <w:t>5</w:t>
            </w:r>
          </w:p>
        </w:tc>
        <w:tc>
          <w:tcPr>
            <w:tcW w:w="1752" w:type="dxa"/>
            <w:vAlign w:val="center"/>
          </w:tcPr>
          <w:p>
            <w:pPr>
              <w:pStyle w:val="112"/>
              <w:rPr>
                <w:bCs/>
              </w:rPr>
            </w:pPr>
            <w:r>
              <w:rPr>
                <w:bCs/>
              </w:rPr>
              <w:t>86</w:t>
            </w:r>
          </w:p>
        </w:tc>
        <w:tc>
          <w:tcPr>
            <w:tcW w:w="1752" w:type="dxa"/>
            <w:vAlign w:val="center"/>
          </w:tcPr>
          <w:p>
            <w:pPr>
              <w:pStyle w:val="112"/>
            </w:pPr>
            <w:r>
              <w:t>31.6</w:t>
            </w:r>
          </w:p>
        </w:tc>
        <w:tc>
          <w:tcPr>
            <w:tcW w:w="1749" w:type="dxa"/>
            <w:vAlign w:val="center"/>
          </w:tcPr>
          <w:p>
            <w:pPr>
              <w:pStyle w:val="112"/>
            </w:pPr>
            <w:r>
              <w:t>177.4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71" w:type="dxa"/>
            <w:vAlign w:val="center"/>
          </w:tcPr>
          <w:p>
            <w:pPr>
              <w:pStyle w:val="112"/>
            </w:pPr>
            <w:r>
              <w:rPr>
                <w:rFonts w:hint="eastAsia"/>
              </w:rPr>
              <w:t>推土机</w:t>
            </w:r>
          </w:p>
        </w:tc>
        <w:tc>
          <w:tcPr>
            <w:tcW w:w="1750" w:type="dxa"/>
            <w:vAlign w:val="center"/>
          </w:tcPr>
          <w:p>
            <w:pPr>
              <w:pStyle w:val="112"/>
            </w:pPr>
            <w:r>
              <w:t>5</w:t>
            </w:r>
          </w:p>
        </w:tc>
        <w:tc>
          <w:tcPr>
            <w:tcW w:w="1752" w:type="dxa"/>
            <w:vAlign w:val="center"/>
          </w:tcPr>
          <w:p>
            <w:pPr>
              <w:pStyle w:val="112"/>
            </w:pPr>
            <w:r>
              <w:t>86</w:t>
            </w:r>
          </w:p>
        </w:tc>
        <w:tc>
          <w:tcPr>
            <w:tcW w:w="1752" w:type="dxa"/>
            <w:vAlign w:val="center"/>
          </w:tcPr>
          <w:p>
            <w:pPr>
              <w:pStyle w:val="112"/>
            </w:pPr>
            <w:r>
              <w:t>31.6</w:t>
            </w:r>
          </w:p>
        </w:tc>
        <w:tc>
          <w:tcPr>
            <w:tcW w:w="1749" w:type="dxa"/>
            <w:vAlign w:val="center"/>
          </w:tcPr>
          <w:p>
            <w:pPr>
              <w:pStyle w:val="112"/>
            </w:pPr>
            <w:r>
              <w:t>177.4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71" w:type="dxa"/>
            <w:vAlign w:val="center"/>
          </w:tcPr>
          <w:p>
            <w:pPr>
              <w:pStyle w:val="112"/>
            </w:pPr>
            <w:r>
              <w:rPr>
                <w:rFonts w:hint="eastAsia"/>
              </w:rPr>
              <w:t>挖掘机</w:t>
            </w:r>
          </w:p>
        </w:tc>
        <w:tc>
          <w:tcPr>
            <w:tcW w:w="1750" w:type="dxa"/>
            <w:vAlign w:val="center"/>
          </w:tcPr>
          <w:p>
            <w:pPr>
              <w:pStyle w:val="112"/>
              <w:rPr>
                <w:bCs/>
              </w:rPr>
            </w:pPr>
            <w:r>
              <w:rPr>
                <w:bCs/>
              </w:rPr>
              <w:t>5</w:t>
            </w:r>
          </w:p>
        </w:tc>
        <w:tc>
          <w:tcPr>
            <w:tcW w:w="1752" w:type="dxa"/>
            <w:vAlign w:val="center"/>
          </w:tcPr>
          <w:p>
            <w:pPr>
              <w:pStyle w:val="112"/>
              <w:rPr>
                <w:bCs/>
              </w:rPr>
            </w:pPr>
            <w:r>
              <w:rPr>
                <w:bCs/>
              </w:rPr>
              <w:t>84</w:t>
            </w:r>
          </w:p>
        </w:tc>
        <w:tc>
          <w:tcPr>
            <w:tcW w:w="1752" w:type="dxa"/>
            <w:vAlign w:val="center"/>
          </w:tcPr>
          <w:p>
            <w:pPr>
              <w:pStyle w:val="112"/>
            </w:pPr>
            <w:r>
              <w:t>25.1</w:t>
            </w:r>
          </w:p>
        </w:tc>
        <w:tc>
          <w:tcPr>
            <w:tcW w:w="1749" w:type="dxa"/>
            <w:vAlign w:val="center"/>
          </w:tcPr>
          <w:p>
            <w:pPr>
              <w:pStyle w:val="112"/>
            </w:pPr>
            <w:r>
              <w:t>140.9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71" w:type="dxa"/>
            <w:vAlign w:val="center"/>
          </w:tcPr>
          <w:p>
            <w:pPr>
              <w:pStyle w:val="112"/>
            </w:pPr>
            <w:r>
              <w:rPr>
                <w:rFonts w:hint="eastAsia"/>
              </w:rPr>
              <w:t>打桩机</w:t>
            </w:r>
          </w:p>
        </w:tc>
        <w:tc>
          <w:tcPr>
            <w:tcW w:w="1750" w:type="dxa"/>
            <w:vAlign w:val="center"/>
          </w:tcPr>
          <w:p>
            <w:pPr>
              <w:pStyle w:val="112"/>
            </w:pPr>
            <w:r>
              <w:t>5</w:t>
            </w:r>
          </w:p>
        </w:tc>
        <w:tc>
          <w:tcPr>
            <w:tcW w:w="1752" w:type="dxa"/>
            <w:vAlign w:val="center"/>
          </w:tcPr>
          <w:p>
            <w:pPr>
              <w:pStyle w:val="112"/>
            </w:pPr>
            <w:r>
              <w:t>100</w:t>
            </w:r>
          </w:p>
        </w:tc>
        <w:tc>
          <w:tcPr>
            <w:tcW w:w="1752" w:type="dxa"/>
            <w:vAlign w:val="center"/>
          </w:tcPr>
          <w:p>
            <w:pPr>
              <w:pStyle w:val="112"/>
            </w:pPr>
            <w:r>
              <w:t>158.1</w:t>
            </w:r>
          </w:p>
        </w:tc>
        <w:tc>
          <w:tcPr>
            <w:tcW w:w="1749" w:type="dxa"/>
            <w:vAlign w:val="center"/>
          </w:tcPr>
          <w:p>
            <w:pPr>
              <w:pStyle w:val="112"/>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71" w:type="dxa"/>
            <w:vAlign w:val="center"/>
          </w:tcPr>
          <w:p>
            <w:pPr>
              <w:pStyle w:val="112"/>
            </w:pPr>
            <w:r>
              <w:rPr>
                <w:rFonts w:hint="eastAsia"/>
              </w:rPr>
              <w:t>振捣机</w:t>
            </w:r>
          </w:p>
        </w:tc>
        <w:tc>
          <w:tcPr>
            <w:tcW w:w="1750" w:type="dxa"/>
            <w:vAlign w:val="center"/>
          </w:tcPr>
          <w:p>
            <w:pPr>
              <w:pStyle w:val="112"/>
            </w:pPr>
            <w:r>
              <w:t>5</w:t>
            </w:r>
          </w:p>
        </w:tc>
        <w:tc>
          <w:tcPr>
            <w:tcW w:w="1752" w:type="dxa"/>
            <w:vAlign w:val="center"/>
          </w:tcPr>
          <w:p>
            <w:pPr>
              <w:pStyle w:val="112"/>
            </w:pPr>
            <w:r>
              <w:t>92</w:t>
            </w:r>
          </w:p>
        </w:tc>
        <w:tc>
          <w:tcPr>
            <w:tcW w:w="1752" w:type="dxa"/>
            <w:vAlign w:val="center"/>
          </w:tcPr>
          <w:p>
            <w:pPr>
              <w:pStyle w:val="112"/>
            </w:pPr>
            <w:r>
              <w:t>63.0</w:t>
            </w:r>
          </w:p>
        </w:tc>
        <w:tc>
          <w:tcPr>
            <w:tcW w:w="1749" w:type="dxa"/>
            <w:vAlign w:val="center"/>
          </w:tcPr>
          <w:p>
            <w:pPr>
              <w:pStyle w:val="112"/>
            </w:pPr>
            <w:r>
              <w:t>354.0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71" w:type="dxa"/>
            <w:vAlign w:val="center"/>
          </w:tcPr>
          <w:p>
            <w:pPr>
              <w:pStyle w:val="112"/>
            </w:pPr>
            <w:r>
              <w:rPr>
                <w:rFonts w:hint="eastAsia"/>
              </w:rPr>
              <w:t>振动式压路机</w:t>
            </w:r>
          </w:p>
        </w:tc>
        <w:tc>
          <w:tcPr>
            <w:tcW w:w="1750" w:type="dxa"/>
            <w:vAlign w:val="center"/>
          </w:tcPr>
          <w:p>
            <w:pPr>
              <w:pStyle w:val="112"/>
            </w:pPr>
            <w:r>
              <w:t>5</w:t>
            </w:r>
          </w:p>
        </w:tc>
        <w:tc>
          <w:tcPr>
            <w:tcW w:w="1752" w:type="dxa"/>
            <w:vAlign w:val="center"/>
          </w:tcPr>
          <w:p>
            <w:pPr>
              <w:pStyle w:val="112"/>
            </w:pPr>
            <w:r>
              <w:t>86</w:t>
            </w:r>
          </w:p>
        </w:tc>
        <w:tc>
          <w:tcPr>
            <w:tcW w:w="1752" w:type="dxa"/>
            <w:vAlign w:val="center"/>
          </w:tcPr>
          <w:p>
            <w:pPr>
              <w:pStyle w:val="112"/>
            </w:pPr>
            <w:r>
              <w:t>31.6</w:t>
            </w:r>
          </w:p>
        </w:tc>
        <w:tc>
          <w:tcPr>
            <w:tcW w:w="1749" w:type="dxa"/>
            <w:vAlign w:val="center"/>
          </w:tcPr>
          <w:p>
            <w:pPr>
              <w:pStyle w:val="112"/>
            </w:pPr>
            <w:r>
              <w:t>177.4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71" w:type="dxa"/>
            <w:vAlign w:val="center"/>
          </w:tcPr>
          <w:p>
            <w:pPr>
              <w:pStyle w:val="112"/>
            </w:pPr>
            <w:r>
              <w:rPr>
                <w:rFonts w:hint="eastAsia"/>
              </w:rPr>
              <w:t>推铺机</w:t>
            </w:r>
          </w:p>
        </w:tc>
        <w:tc>
          <w:tcPr>
            <w:tcW w:w="1750" w:type="dxa"/>
            <w:vAlign w:val="center"/>
          </w:tcPr>
          <w:p>
            <w:pPr>
              <w:pStyle w:val="112"/>
              <w:rPr>
                <w:bCs/>
              </w:rPr>
            </w:pPr>
            <w:r>
              <w:rPr>
                <w:bCs/>
              </w:rPr>
              <w:t>5</w:t>
            </w:r>
          </w:p>
        </w:tc>
        <w:tc>
          <w:tcPr>
            <w:tcW w:w="1752" w:type="dxa"/>
            <w:vAlign w:val="center"/>
          </w:tcPr>
          <w:p>
            <w:pPr>
              <w:pStyle w:val="112"/>
              <w:rPr>
                <w:bCs/>
              </w:rPr>
            </w:pPr>
            <w:r>
              <w:rPr>
                <w:bCs/>
              </w:rPr>
              <w:t>87</w:t>
            </w:r>
          </w:p>
        </w:tc>
        <w:tc>
          <w:tcPr>
            <w:tcW w:w="1752" w:type="dxa"/>
            <w:vAlign w:val="center"/>
          </w:tcPr>
          <w:p>
            <w:pPr>
              <w:pStyle w:val="112"/>
            </w:pPr>
            <w:r>
              <w:t>35.4</w:t>
            </w:r>
          </w:p>
        </w:tc>
        <w:tc>
          <w:tcPr>
            <w:tcW w:w="1749" w:type="dxa"/>
            <w:vAlign w:val="center"/>
          </w:tcPr>
          <w:p>
            <w:pPr>
              <w:pStyle w:val="112"/>
            </w:pPr>
            <w:r>
              <w:t>199.1</w:t>
            </w:r>
          </w:p>
        </w:tc>
      </w:tr>
    </w:tbl>
    <w:p>
      <w:pPr>
        <w:pStyle w:val="3"/>
        <w:spacing w:line="240" w:lineRule="auto"/>
        <w:ind w:firstLine="0" w:firstLineChars="0"/>
        <w:rPr>
          <w:rFonts w:eastAsia="仿宋"/>
          <w:sz w:val="21"/>
        </w:rPr>
      </w:pPr>
      <w:r>
        <w:rPr>
          <w:rFonts w:hint="eastAsia" w:hAnsi="仿宋" w:eastAsia="仿宋"/>
          <w:sz w:val="21"/>
        </w:rPr>
        <w:t>注：昼间标准</w:t>
      </w:r>
      <w:r>
        <w:rPr>
          <w:rFonts w:eastAsia="仿宋"/>
          <w:sz w:val="21"/>
        </w:rPr>
        <w:t>70dB(A)</w:t>
      </w:r>
      <w:r>
        <w:rPr>
          <w:rFonts w:hint="eastAsia" w:hAnsi="仿宋" w:eastAsia="仿宋"/>
          <w:sz w:val="21"/>
        </w:rPr>
        <w:t>，夜间标准</w:t>
      </w:r>
      <w:r>
        <w:rPr>
          <w:rFonts w:eastAsia="仿宋"/>
          <w:sz w:val="21"/>
        </w:rPr>
        <w:t>55dB(A)</w:t>
      </w:r>
    </w:p>
    <w:p>
      <w:pPr>
        <w:spacing w:line="360" w:lineRule="auto"/>
        <w:ind w:firstLine="31680" w:firstLineChars="200"/>
        <w:rPr>
          <w:sz w:val="24"/>
          <w:szCs w:val="24"/>
        </w:rPr>
      </w:pPr>
    </w:p>
    <w:p>
      <w:pPr>
        <w:widowControl/>
        <w:jc w:val="left"/>
        <w:rPr>
          <w:sz w:val="24"/>
          <w:szCs w:val="24"/>
        </w:rPr>
      </w:pPr>
      <w:r>
        <w:rPr>
          <w:sz w:val="24"/>
          <w:szCs w:val="24"/>
        </w:rPr>
        <w:br w:type="page"/>
      </w:r>
    </w:p>
    <w:p>
      <w:pPr>
        <w:spacing w:line="360" w:lineRule="auto"/>
        <w:ind w:firstLine="31680" w:firstLineChars="200"/>
        <w:rPr>
          <w:sz w:val="24"/>
          <w:szCs w:val="24"/>
        </w:rPr>
      </w:pPr>
      <w:r>
        <w:rPr>
          <w:sz w:val="24"/>
          <w:szCs w:val="24"/>
        </w:rPr>
        <w:t>b</w:t>
      </w:r>
      <w:r>
        <w:rPr>
          <w:rFonts w:hint="eastAsia"/>
          <w:sz w:val="24"/>
          <w:szCs w:val="24"/>
        </w:rPr>
        <w:t>）施工期噪声影响</w:t>
      </w:r>
    </w:p>
    <w:p>
      <w:pPr>
        <w:pStyle w:val="3"/>
        <w:ind w:firstLine="31680"/>
      </w:pPr>
      <w:r>
        <w:rPr>
          <w:rFonts w:hint="eastAsia"/>
        </w:rPr>
        <w:t>通过对表</w:t>
      </w:r>
      <w:r>
        <w:t>7.1-1</w:t>
      </w:r>
      <w:r>
        <w:rPr>
          <w:rFonts w:hint="eastAsia"/>
        </w:rPr>
        <w:t>分析可得出如下结论：</w:t>
      </w:r>
    </w:p>
    <w:p>
      <w:pPr>
        <w:spacing w:line="360" w:lineRule="auto"/>
        <w:ind w:firstLine="31680" w:firstLineChars="200"/>
        <w:rPr>
          <w:sz w:val="24"/>
          <w:szCs w:val="24"/>
        </w:rPr>
      </w:pPr>
      <w:r>
        <w:rPr>
          <w:sz w:val="24"/>
          <w:szCs w:val="24"/>
        </w:rPr>
        <w:t>1</w:t>
      </w:r>
      <w:r>
        <w:rPr>
          <w:rFonts w:hint="eastAsia"/>
          <w:sz w:val="24"/>
          <w:szCs w:val="24"/>
        </w:rPr>
        <w:t>）在实际施工过程中可能出现多台机械同时在一处作业，则此时施工噪声影响的范围比预测值还要大，鉴于实际情况较为复杂，很难一一用声级叠加公式进行计算。</w:t>
      </w:r>
    </w:p>
    <w:p>
      <w:pPr>
        <w:spacing w:line="360" w:lineRule="auto"/>
        <w:ind w:firstLine="31680" w:firstLineChars="200"/>
        <w:rPr>
          <w:sz w:val="24"/>
          <w:szCs w:val="24"/>
        </w:rPr>
      </w:pPr>
      <w:r>
        <w:rPr>
          <w:sz w:val="24"/>
          <w:szCs w:val="24"/>
        </w:rPr>
        <w:t>2</w:t>
      </w:r>
      <w:r>
        <w:rPr>
          <w:rFonts w:hint="eastAsia"/>
          <w:sz w:val="24"/>
          <w:szCs w:val="24"/>
        </w:rPr>
        <w:t>）施工噪声将对沿线声环境质量产生一定的影响，白天将主要出现在距施工场地</w:t>
      </w:r>
      <w:r>
        <w:rPr>
          <w:sz w:val="24"/>
          <w:szCs w:val="24"/>
        </w:rPr>
        <w:t>160m</w:t>
      </w:r>
      <w:r>
        <w:rPr>
          <w:rFonts w:hint="eastAsia"/>
          <w:sz w:val="24"/>
          <w:szCs w:val="24"/>
        </w:rPr>
        <w:t>范围内，夜间将主要出现在距施工场地</w:t>
      </w:r>
      <w:r>
        <w:rPr>
          <w:sz w:val="24"/>
          <w:szCs w:val="24"/>
        </w:rPr>
        <w:t>360m</w:t>
      </w:r>
      <w:r>
        <w:rPr>
          <w:rFonts w:hint="eastAsia"/>
          <w:sz w:val="24"/>
          <w:szCs w:val="24"/>
        </w:rPr>
        <w:t>范围内。从推算的结果看，声污染最严重的施工机械是打桩机和振捣机，一般情况下，在路基和涵洞施工中将使用到这两种施工机械，其它的施工机械噪声较低。</w:t>
      </w:r>
    </w:p>
    <w:p>
      <w:pPr>
        <w:spacing w:line="360" w:lineRule="auto"/>
        <w:ind w:firstLine="31680" w:firstLineChars="200"/>
        <w:rPr>
          <w:sz w:val="24"/>
          <w:szCs w:val="24"/>
        </w:rPr>
      </w:pPr>
      <w:r>
        <w:rPr>
          <w:sz w:val="24"/>
          <w:szCs w:val="24"/>
        </w:rPr>
        <w:t>3</w:t>
      </w:r>
      <w:r>
        <w:rPr>
          <w:rFonts w:hint="eastAsia"/>
          <w:sz w:val="24"/>
          <w:szCs w:val="24"/>
        </w:rPr>
        <w:t>）受工程施工噪声的影响，距施工场界昼间</w:t>
      </w:r>
      <w:r>
        <w:rPr>
          <w:sz w:val="24"/>
          <w:szCs w:val="24"/>
        </w:rPr>
        <w:t>160m</w:t>
      </w:r>
      <w:r>
        <w:rPr>
          <w:rFonts w:hint="eastAsia"/>
          <w:sz w:val="24"/>
          <w:szCs w:val="24"/>
        </w:rPr>
        <w:t>以内、夜间</w:t>
      </w:r>
      <w:r>
        <w:rPr>
          <w:sz w:val="24"/>
          <w:szCs w:val="24"/>
        </w:rPr>
        <w:t>360m</w:t>
      </w:r>
      <w:r>
        <w:rPr>
          <w:rFonts w:hint="eastAsia"/>
          <w:sz w:val="24"/>
          <w:szCs w:val="24"/>
        </w:rPr>
        <w:t>以内的声环境可能受到施工噪声影响，其超标量与影响范围将随着使用的设备种类及数量、施工过程的不同而出现波动。</w:t>
      </w:r>
    </w:p>
    <w:p>
      <w:pPr>
        <w:pStyle w:val="3"/>
        <w:ind w:firstLine="31680"/>
      </w:pPr>
      <w:r>
        <w:t>4</w:t>
      </w:r>
      <w:r>
        <w:rPr>
          <w:rFonts w:hint="eastAsia"/>
        </w:rPr>
        <w:t>）根据项目沿线声环境敏感目标调查，在本项目沿线有弼时镇铜盆村、大陆村、桃花村、莲花村，大里塘村居民点等主要声环境保护目标均距离本项目较近。为减轻施工噪声对敏感点的影响，施工单位必须选用符合国家有关标准的施工机械和运输车辆，尽量选用低噪声的施工机械和工艺，同时应加强各类施工设备的维护和保养，保持其良好的运转；合理规划施工过程与高噪声设备和工艺的使用时间，在夜间（</w:t>
      </w:r>
      <w:r>
        <w:t>22:00~06:00</w:t>
      </w:r>
      <w:r>
        <w:rPr>
          <w:rFonts w:hint="eastAsia"/>
        </w:rPr>
        <w:t>）应停止施工；并在受施工噪声影响严重敏感点路段设置临时的隔声屏障，以减小施工对这些声环境保护目标的影响。</w:t>
      </w:r>
    </w:p>
    <w:p>
      <w:pPr>
        <w:pStyle w:val="6"/>
        <w:widowControl/>
        <w:ind w:left="567" w:hanging="567"/>
        <w:jc w:val="left"/>
      </w:pPr>
      <w:r>
        <w:rPr>
          <w:rFonts w:hint="eastAsia"/>
        </w:rPr>
        <w:t>工程房屋拆迁影响范围和影响分析</w:t>
      </w:r>
    </w:p>
    <w:p>
      <w:pPr>
        <w:pStyle w:val="3"/>
        <w:ind w:firstLine="31680"/>
        <w:rPr>
          <w:bCs/>
          <w:szCs w:val="28"/>
        </w:rPr>
      </w:pPr>
      <w:r>
        <w:rPr>
          <w:rFonts w:hint="eastAsia"/>
        </w:rPr>
        <w:t>因项目建设占地需要，本项目推荐方案沿线需拆迁房屋</w:t>
      </w:r>
      <w:r>
        <w:t>6124m</w:t>
      </w:r>
      <w:r>
        <w:rPr>
          <w:vertAlign w:val="superscript"/>
        </w:rPr>
        <w:t>2</w:t>
      </w:r>
      <w:r>
        <w:rPr>
          <w:rFonts w:hint="eastAsia"/>
        </w:rPr>
        <w:t>，设计拆迁户数约</w:t>
      </w:r>
      <w:r>
        <w:t>65</w:t>
      </w:r>
      <w:r>
        <w:rPr>
          <w:rFonts w:hint="eastAsia"/>
        </w:rPr>
        <w:t>户。拆迁施工过程中作业机械主要为挖掘机和建筑渣土运输车辆。根据</w:t>
      </w:r>
      <w:r>
        <w:rPr>
          <w:rFonts w:hint="eastAsia"/>
          <w:bCs/>
          <w:szCs w:val="28"/>
        </w:rPr>
        <w:t>表</w:t>
      </w:r>
      <w:r>
        <w:rPr>
          <w:bCs/>
          <w:szCs w:val="28"/>
        </w:rPr>
        <w:t>7.1-1</w:t>
      </w:r>
      <w:r>
        <w:rPr>
          <w:rFonts w:hint="eastAsia"/>
          <w:bCs/>
          <w:szCs w:val="28"/>
        </w:rPr>
        <w:t>，挖掘机施工噪声影响范围距施工场界昼间</w:t>
      </w:r>
      <w:r>
        <w:rPr>
          <w:bCs/>
          <w:szCs w:val="28"/>
        </w:rPr>
        <w:t>25.1m</w:t>
      </w:r>
      <w:r>
        <w:rPr>
          <w:rFonts w:hint="eastAsia"/>
          <w:bCs/>
          <w:szCs w:val="28"/>
        </w:rPr>
        <w:t>以内，夜间</w:t>
      </w:r>
      <w:r>
        <w:rPr>
          <w:bCs/>
          <w:szCs w:val="28"/>
        </w:rPr>
        <w:t>140.9m</w:t>
      </w:r>
      <w:r>
        <w:rPr>
          <w:rFonts w:hint="eastAsia"/>
          <w:bCs/>
          <w:szCs w:val="28"/>
        </w:rPr>
        <w:t>以内。</w:t>
      </w:r>
    </w:p>
    <w:p>
      <w:pPr>
        <w:pStyle w:val="3"/>
        <w:ind w:firstLine="31680"/>
      </w:pPr>
      <w:r>
        <w:rPr>
          <w:rFonts w:hint="eastAsia"/>
        </w:rPr>
        <w:t>为减轻房屋拆迁施工噪声对附近居民的影响，施工单位应采用“湿法”拆除方式减低噪声和扬尘的产生，在夜间（</w:t>
      </w:r>
      <w:r>
        <w:t>22:00~06:00</w:t>
      </w:r>
      <w:r>
        <w:rPr>
          <w:rFonts w:hint="eastAsia"/>
        </w:rPr>
        <w:t>）应停止施工。</w:t>
      </w:r>
    </w:p>
    <w:p>
      <w:pPr>
        <w:pStyle w:val="5"/>
        <w:widowControl/>
        <w:ind w:left="567" w:hanging="567"/>
      </w:pPr>
      <w:r>
        <w:rPr>
          <w:rFonts w:hint="eastAsia"/>
        </w:rPr>
        <w:t>营运期声环境影响预测与评价</w:t>
      </w:r>
      <w:bookmarkEnd w:id="216"/>
    </w:p>
    <w:p>
      <w:pPr>
        <w:pStyle w:val="6"/>
        <w:widowControl/>
        <w:ind w:left="567" w:hanging="567"/>
        <w:jc w:val="left"/>
      </w:pPr>
      <w:r>
        <w:rPr>
          <w:rFonts w:hint="eastAsia"/>
        </w:rPr>
        <w:t>预测时段及范围</w:t>
      </w:r>
    </w:p>
    <w:p>
      <w:pPr>
        <w:spacing w:line="360" w:lineRule="auto"/>
        <w:ind w:firstLine="31680" w:firstLineChars="196"/>
        <w:rPr>
          <w:kern w:val="0"/>
          <w:sz w:val="24"/>
          <w:szCs w:val="24"/>
        </w:rPr>
      </w:pPr>
      <w:r>
        <w:rPr>
          <w:rFonts w:hint="eastAsia"/>
          <w:kern w:val="0"/>
          <w:sz w:val="24"/>
        </w:rPr>
        <w:t>预测时段为近</w:t>
      </w:r>
      <w:r>
        <w:rPr>
          <w:rFonts w:hint="eastAsia"/>
          <w:kern w:val="0"/>
          <w:sz w:val="24"/>
          <w:szCs w:val="24"/>
        </w:rPr>
        <w:t>期特征年</w:t>
      </w:r>
      <w:r>
        <w:rPr>
          <w:kern w:val="0"/>
          <w:sz w:val="24"/>
          <w:szCs w:val="24"/>
        </w:rPr>
        <w:t>2019</w:t>
      </w:r>
      <w:r>
        <w:rPr>
          <w:rFonts w:hint="eastAsia"/>
          <w:kern w:val="0"/>
          <w:sz w:val="24"/>
          <w:szCs w:val="24"/>
        </w:rPr>
        <w:t>年（</w:t>
      </w:r>
      <w:r>
        <w:rPr>
          <w:rFonts w:hint="eastAsia"/>
          <w:sz w:val="24"/>
          <w:szCs w:val="24"/>
        </w:rPr>
        <w:t>运营第一年）</w:t>
      </w:r>
      <w:r>
        <w:rPr>
          <w:rFonts w:hint="eastAsia"/>
          <w:kern w:val="0"/>
          <w:sz w:val="24"/>
          <w:szCs w:val="24"/>
        </w:rPr>
        <w:t>、中期特征年</w:t>
      </w:r>
      <w:r>
        <w:rPr>
          <w:kern w:val="0"/>
          <w:sz w:val="24"/>
          <w:szCs w:val="24"/>
        </w:rPr>
        <w:t>2025</w:t>
      </w:r>
      <w:r>
        <w:rPr>
          <w:rFonts w:hint="eastAsia"/>
          <w:kern w:val="0"/>
          <w:sz w:val="24"/>
          <w:szCs w:val="24"/>
        </w:rPr>
        <w:t>年</w:t>
      </w:r>
      <w:r>
        <w:rPr>
          <w:rFonts w:hint="eastAsia"/>
          <w:sz w:val="24"/>
          <w:szCs w:val="24"/>
        </w:rPr>
        <w:t>（运营第七年）</w:t>
      </w:r>
      <w:r>
        <w:rPr>
          <w:rFonts w:hint="eastAsia"/>
          <w:kern w:val="0"/>
          <w:sz w:val="24"/>
          <w:szCs w:val="24"/>
        </w:rPr>
        <w:t>以及远期特征年</w:t>
      </w:r>
      <w:r>
        <w:rPr>
          <w:kern w:val="0"/>
          <w:sz w:val="24"/>
          <w:szCs w:val="24"/>
        </w:rPr>
        <w:t>2033</w:t>
      </w:r>
      <w:r>
        <w:rPr>
          <w:rFonts w:hint="eastAsia"/>
          <w:kern w:val="0"/>
          <w:sz w:val="24"/>
          <w:szCs w:val="24"/>
        </w:rPr>
        <w:t>年</w:t>
      </w:r>
      <w:r>
        <w:rPr>
          <w:rFonts w:hint="eastAsia"/>
          <w:sz w:val="24"/>
          <w:szCs w:val="24"/>
        </w:rPr>
        <w:t>（运营第十五年）</w:t>
      </w:r>
      <w:r>
        <w:rPr>
          <w:rFonts w:hint="eastAsia"/>
          <w:kern w:val="0"/>
          <w:sz w:val="24"/>
          <w:szCs w:val="24"/>
        </w:rPr>
        <w:t>，预测范围为拟建公路路中心线两侧</w:t>
      </w:r>
      <w:r>
        <w:rPr>
          <w:kern w:val="0"/>
          <w:sz w:val="24"/>
          <w:szCs w:val="24"/>
        </w:rPr>
        <w:t>200m</w:t>
      </w:r>
      <w:r>
        <w:rPr>
          <w:rFonts w:hint="eastAsia"/>
          <w:kern w:val="0"/>
          <w:sz w:val="24"/>
          <w:szCs w:val="24"/>
        </w:rPr>
        <w:t>范围。</w:t>
      </w:r>
    </w:p>
    <w:p>
      <w:pPr>
        <w:pStyle w:val="6"/>
        <w:widowControl/>
        <w:ind w:left="567" w:hanging="567"/>
        <w:jc w:val="left"/>
        <w:rPr>
          <w:u w:val="single"/>
        </w:rPr>
      </w:pPr>
      <w:r>
        <w:rPr>
          <w:rFonts w:hint="eastAsia"/>
          <w:u w:val="single"/>
        </w:rPr>
        <w:t>预测特征年交通量及车型比</w:t>
      </w:r>
    </w:p>
    <w:p>
      <w:pPr>
        <w:pStyle w:val="3"/>
        <w:ind w:firstLine="31680"/>
        <w:rPr>
          <w:u w:val="single"/>
        </w:rPr>
      </w:pPr>
      <w:r>
        <w:rPr>
          <w:rFonts w:hint="eastAsia"/>
          <w:u w:val="single"/>
        </w:rPr>
        <w:t>根据交通量预测数据，预测营运期车流量昼夜比为</w:t>
      </w:r>
      <w:r>
        <w:rPr>
          <w:u w:val="single"/>
        </w:rPr>
        <w:t>9</w:t>
      </w:r>
      <w:r>
        <w:rPr>
          <w:rFonts w:hint="eastAsia"/>
          <w:u w:val="single"/>
        </w:rPr>
        <w:t>：</w:t>
      </w:r>
      <w:r>
        <w:rPr>
          <w:u w:val="single"/>
        </w:rPr>
        <w:t>1</w:t>
      </w:r>
      <w:r>
        <w:rPr>
          <w:rFonts w:hint="eastAsia"/>
          <w:u w:val="single"/>
        </w:rPr>
        <w:t>（昼间</w:t>
      </w:r>
      <w:r>
        <w:rPr>
          <w:u w:val="single"/>
        </w:rPr>
        <w:t>6:00~22:00</w:t>
      </w:r>
      <w:r>
        <w:rPr>
          <w:rFonts w:hint="eastAsia"/>
          <w:u w:val="single"/>
        </w:rPr>
        <w:t>，夜间</w:t>
      </w:r>
      <w:r>
        <w:rPr>
          <w:u w:val="single"/>
        </w:rPr>
        <w:t>22:00~</w:t>
      </w:r>
      <w:r>
        <w:rPr>
          <w:rFonts w:hint="eastAsia"/>
          <w:u w:val="single"/>
        </w:rPr>
        <w:t>次日</w:t>
      </w:r>
      <w:r>
        <w:rPr>
          <w:u w:val="single"/>
        </w:rPr>
        <w:t>6:00</w:t>
      </w:r>
      <w:r>
        <w:rPr>
          <w:rFonts w:hint="eastAsia"/>
          <w:u w:val="single"/>
        </w:rPr>
        <w:t>），拟建项目预测特征年交通量预测结果见表</w:t>
      </w:r>
      <w:r>
        <w:rPr>
          <w:u w:val="single"/>
        </w:rPr>
        <w:t>7.1-2</w:t>
      </w:r>
      <w:r>
        <w:rPr>
          <w:rFonts w:hint="eastAsia"/>
          <w:u w:val="single"/>
        </w:rPr>
        <w:t>，各种车辆的车型比见表</w:t>
      </w:r>
      <w:r>
        <w:rPr>
          <w:u w:val="single"/>
        </w:rPr>
        <w:t>7.1-3</w:t>
      </w:r>
      <w:r>
        <w:rPr>
          <w:rFonts w:hint="eastAsia"/>
          <w:u w:val="single"/>
        </w:rPr>
        <w:t>。</w:t>
      </w:r>
    </w:p>
    <w:p>
      <w:pPr>
        <w:pStyle w:val="19"/>
        <w:jc w:val="center"/>
        <w:rPr>
          <w:sz w:val="20"/>
          <w:u w:val="single"/>
        </w:rPr>
      </w:pPr>
      <w:r>
        <w:rPr>
          <w:rFonts w:hint="eastAsia"/>
          <w:u w:val="single"/>
        </w:rPr>
        <w:t>表</w:t>
      </w:r>
      <w:r>
        <w:rPr>
          <w:u w:val="single"/>
        </w:rPr>
        <w:t xml:space="preserve">7.1-2 </w:t>
      </w:r>
      <w:r>
        <w:rPr>
          <w:rFonts w:ascii="黑体"/>
          <w:u w:val="single"/>
        </w:rPr>
        <w:t xml:space="preserve"> </w:t>
      </w:r>
      <w:r>
        <w:rPr>
          <w:rFonts w:hint="eastAsia" w:ascii="黑体"/>
          <w:u w:val="single"/>
        </w:rPr>
        <w:t>预测特征年交</w:t>
      </w:r>
      <w:r>
        <w:rPr>
          <w:rFonts w:hint="eastAsia"/>
          <w:u w:val="single"/>
        </w:rPr>
        <w:t>通量预测结果</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703"/>
        <w:gridCol w:w="851"/>
        <w:gridCol w:w="1703"/>
        <w:gridCol w:w="1701"/>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blHeader/>
        </w:trPr>
        <w:tc>
          <w:tcPr>
            <w:tcW w:w="3935" w:type="dxa"/>
            <w:gridSpan w:val="3"/>
            <w:tcBorders>
              <w:tl2br w:val="single" w:color="auto" w:sz="4" w:space="0"/>
            </w:tcBorders>
            <w:vAlign w:val="center"/>
          </w:tcPr>
          <w:p>
            <w:pPr>
              <w:pStyle w:val="112"/>
              <w:rPr>
                <w:kern w:val="2"/>
                <w:szCs w:val="21"/>
                <w:u w:val="single"/>
              </w:rPr>
            </w:pPr>
            <w:r>
              <w:rPr>
                <w:kern w:val="2"/>
                <w:szCs w:val="21"/>
                <w:u w:val="single"/>
              </w:rPr>
              <w:t xml:space="preserve">                 </w:t>
            </w:r>
            <w:r>
              <w:rPr>
                <w:rFonts w:hint="eastAsia"/>
                <w:kern w:val="2"/>
                <w:szCs w:val="21"/>
                <w:u w:val="single"/>
              </w:rPr>
              <w:t>预测期</w:t>
            </w:r>
          </w:p>
          <w:p>
            <w:pPr>
              <w:pStyle w:val="112"/>
              <w:jc w:val="both"/>
              <w:rPr>
                <w:kern w:val="2"/>
                <w:szCs w:val="21"/>
                <w:u w:val="single"/>
              </w:rPr>
            </w:pPr>
            <w:r>
              <w:rPr>
                <w:rFonts w:hint="eastAsia"/>
                <w:kern w:val="2"/>
                <w:szCs w:val="21"/>
                <w:u w:val="single"/>
              </w:rPr>
              <w:t>预测路段</w:t>
            </w:r>
          </w:p>
        </w:tc>
        <w:tc>
          <w:tcPr>
            <w:tcW w:w="1703" w:type="dxa"/>
            <w:vAlign w:val="center"/>
          </w:tcPr>
          <w:p>
            <w:pPr>
              <w:pStyle w:val="112"/>
              <w:rPr>
                <w:rFonts w:hAnsi="宋体"/>
                <w:kern w:val="2"/>
                <w:szCs w:val="21"/>
                <w:u w:val="single"/>
              </w:rPr>
            </w:pPr>
            <w:r>
              <w:rPr>
                <w:kern w:val="2"/>
                <w:szCs w:val="21"/>
                <w:u w:val="single"/>
              </w:rPr>
              <w:t>2019</w:t>
            </w:r>
            <w:r>
              <w:rPr>
                <w:rFonts w:hint="eastAsia" w:hAnsi="宋体"/>
                <w:kern w:val="2"/>
                <w:szCs w:val="21"/>
                <w:u w:val="single"/>
              </w:rPr>
              <w:t>年</w:t>
            </w:r>
          </w:p>
          <w:p>
            <w:pPr>
              <w:pStyle w:val="112"/>
              <w:rPr>
                <w:kern w:val="2"/>
                <w:szCs w:val="21"/>
                <w:u w:val="single"/>
              </w:rPr>
            </w:pPr>
            <w:r>
              <w:rPr>
                <w:rFonts w:hint="eastAsia" w:hAnsi="宋体"/>
                <w:kern w:val="2"/>
                <w:szCs w:val="21"/>
                <w:u w:val="single"/>
              </w:rPr>
              <w:t>（运营第一年）</w:t>
            </w:r>
          </w:p>
        </w:tc>
        <w:tc>
          <w:tcPr>
            <w:tcW w:w="1701" w:type="dxa"/>
            <w:vAlign w:val="center"/>
          </w:tcPr>
          <w:p>
            <w:pPr>
              <w:pStyle w:val="112"/>
              <w:rPr>
                <w:rFonts w:hAnsi="宋体"/>
                <w:kern w:val="2"/>
                <w:szCs w:val="21"/>
                <w:u w:val="single"/>
              </w:rPr>
            </w:pPr>
            <w:r>
              <w:rPr>
                <w:kern w:val="2"/>
                <w:szCs w:val="21"/>
                <w:u w:val="single"/>
              </w:rPr>
              <w:t>2025</w:t>
            </w:r>
            <w:r>
              <w:rPr>
                <w:rFonts w:hint="eastAsia" w:hAnsi="宋体"/>
                <w:kern w:val="2"/>
                <w:szCs w:val="21"/>
                <w:u w:val="single"/>
              </w:rPr>
              <w:t>年</w:t>
            </w:r>
          </w:p>
          <w:p>
            <w:pPr>
              <w:pStyle w:val="112"/>
              <w:rPr>
                <w:kern w:val="2"/>
                <w:szCs w:val="21"/>
                <w:u w:val="single"/>
              </w:rPr>
            </w:pPr>
            <w:r>
              <w:rPr>
                <w:rFonts w:hint="eastAsia" w:hAnsi="宋体"/>
                <w:kern w:val="2"/>
                <w:szCs w:val="21"/>
                <w:u w:val="single"/>
              </w:rPr>
              <w:t>（运营第七年）</w:t>
            </w:r>
          </w:p>
        </w:tc>
        <w:tc>
          <w:tcPr>
            <w:tcW w:w="1835" w:type="dxa"/>
            <w:vAlign w:val="center"/>
          </w:tcPr>
          <w:p>
            <w:pPr>
              <w:pStyle w:val="112"/>
              <w:rPr>
                <w:rFonts w:hAnsi="宋体"/>
                <w:kern w:val="2"/>
                <w:szCs w:val="21"/>
                <w:u w:val="single"/>
              </w:rPr>
            </w:pPr>
            <w:r>
              <w:rPr>
                <w:kern w:val="2"/>
                <w:szCs w:val="21"/>
                <w:u w:val="single"/>
              </w:rPr>
              <w:t>2033</w:t>
            </w:r>
            <w:r>
              <w:rPr>
                <w:rFonts w:hint="eastAsia" w:hAnsi="宋体"/>
                <w:kern w:val="2"/>
                <w:szCs w:val="21"/>
                <w:u w:val="single"/>
              </w:rPr>
              <w:t>年</w:t>
            </w:r>
          </w:p>
          <w:p>
            <w:pPr>
              <w:pStyle w:val="112"/>
              <w:rPr>
                <w:kern w:val="2"/>
                <w:szCs w:val="21"/>
                <w:u w:val="single"/>
              </w:rPr>
            </w:pPr>
            <w:r>
              <w:rPr>
                <w:rFonts w:hint="eastAsia" w:hAnsi="宋体"/>
                <w:kern w:val="2"/>
                <w:szCs w:val="21"/>
                <w:u w:val="single"/>
              </w:rPr>
              <w:t>（运营第十五年）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381" w:type="dxa"/>
            <w:vMerge w:val="restart"/>
            <w:vAlign w:val="center"/>
          </w:tcPr>
          <w:p>
            <w:pPr>
              <w:jc w:val="center"/>
              <w:rPr>
                <w:rFonts w:hAnsi="宋体"/>
                <w:sz w:val="21"/>
                <w:szCs w:val="21"/>
                <w:u w:val="single"/>
              </w:rPr>
            </w:pPr>
            <w:r>
              <w:rPr>
                <w:rFonts w:hint="eastAsia" w:hAnsi="宋体"/>
                <w:sz w:val="21"/>
                <w:szCs w:val="21"/>
                <w:u w:val="single"/>
              </w:rPr>
              <w:t>全线</w:t>
            </w:r>
          </w:p>
        </w:tc>
        <w:tc>
          <w:tcPr>
            <w:tcW w:w="1703" w:type="dxa"/>
            <w:vAlign w:val="center"/>
          </w:tcPr>
          <w:p>
            <w:pPr>
              <w:pStyle w:val="112"/>
              <w:rPr>
                <w:kern w:val="2"/>
                <w:szCs w:val="21"/>
                <w:u w:val="single"/>
              </w:rPr>
            </w:pPr>
            <w:r>
              <w:rPr>
                <w:rFonts w:hint="eastAsia"/>
                <w:kern w:val="2"/>
                <w:szCs w:val="21"/>
                <w:u w:val="single"/>
              </w:rPr>
              <w:t>全天车流量</w:t>
            </w:r>
          </w:p>
        </w:tc>
        <w:tc>
          <w:tcPr>
            <w:tcW w:w="851" w:type="dxa"/>
            <w:vAlign w:val="center"/>
          </w:tcPr>
          <w:p>
            <w:pPr>
              <w:pStyle w:val="112"/>
              <w:rPr>
                <w:kern w:val="2"/>
                <w:szCs w:val="21"/>
                <w:u w:val="single"/>
              </w:rPr>
            </w:pPr>
            <w:r>
              <w:rPr>
                <w:kern w:val="2"/>
                <w:szCs w:val="21"/>
                <w:u w:val="single"/>
              </w:rPr>
              <w:t>pcu/d</w:t>
            </w:r>
          </w:p>
        </w:tc>
        <w:tc>
          <w:tcPr>
            <w:tcW w:w="1703" w:type="dxa"/>
            <w:vAlign w:val="center"/>
          </w:tcPr>
          <w:p>
            <w:pPr>
              <w:autoSpaceDE w:val="0"/>
              <w:autoSpaceDN w:val="0"/>
              <w:jc w:val="center"/>
              <w:rPr>
                <w:sz w:val="21"/>
                <w:szCs w:val="21"/>
                <w:u w:val="single"/>
              </w:rPr>
            </w:pPr>
            <w:r>
              <w:rPr>
                <w:sz w:val="21"/>
                <w:szCs w:val="21"/>
                <w:u w:val="single"/>
              </w:rPr>
              <w:t>3676</w:t>
            </w:r>
          </w:p>
        </w:tc>
        <w:tc>
          <w:tcPr>
            <w:tcW w:w="1701" w:type="dxa"/>
            <w:vAlign w:val="center"/>
          </w:tcPr>
          <w:p>
            <w:pPr>
              <w:autoSpaceDE w:val="0"/>
              <w:autoSpaceDN w:val="0"/>
              <w:jc w:val="center"/>
              <w:rPr>
                <w:sz w:val="21"/>
                <w:szCs w:val="21"/>
                <w:u w:val="single"/>
              </w:rPr>
            </w:pPr>
            <w:r>
              <w:rPr>
                <w:sz w:val="21"/>
                <w:szCs w:val="21"/>
                <w:u w:val="single"/>
              </w:rPr>
              <w:t>5415</w:t>
            </w:r>
          </w:p>
        </w:tc>
        <w:tc>
          <w:tcPr>
            <w:tcW w:w="1835" w:type="dxa"/>
            <w:vAlign w:val="center"/>
          </w:tcPr>
          <w:p>
            <w:pPr>
              <w:autoSpaceDE w:val="0"/>
              <w:autoSpaceDN w:val="0"/>
              <w:jc w:val="center"/>
              <w:rPr>
                <w:sz w:val="21"/>
                <w:szCs w:val="21"/>
                <w:u w:val="single"/>
              </w:rPr>
            </w:pPr>
            <w:r>
              <w:rPr>
                <w:sz w:val="21"/>
                <w:szCs w:val="21"/>
                <w:u w:val="single"/>
              </w:rPr>
              <w:t>7540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381" w:type="dxa"/>
            <w:vMerge w:val="continue"/>
            <w:vAlign w:val="center"/>
          </w:tcPr>
          <w:p>
            <w:pPr>
              <w:jc w:val="center"/>
              <w:rPr>
                <w:sz w:val="21"/>
                <w:szCs w:val="21"/>
                <w:u w:val="single"/>
              </w:rPr>
            </w:pPr>
          </w:p>
        </w:tc>
        <w:tc>
          <w:tcPr>
            <w:tcW w:w="1703" w:type="dxa"/>
            <w:vAlign w:val="center"/>
          </w:tcPr>
          <w:p>
            <w:pPr>
              <w:pStyle w:val="112"/>
              <w:rPr>
                <w:kern w:val="2"/>
                <w:szCs w:val="21"/>
                <w:u w:val="single"/>
              </w:rPr>
            </w:pPr>
            <w:r>
              <w:rPr>
                <w:rFonts w:hint="eastAsia"/>
                <w:kern w:val="2"/>
                <w:szCs w:val="21"/>
                <w:u w:val="single"/>
              </w:rPr>
              <w:t>昼间小时车流量</w:t>
            </w:r>
          </w:p>
        </w:tc>
        <w:tc>
          <w:tcPr>
            <w:tcW w:w="851" w:type="dxa"/>
            <w:vAlign w:val="center"/>
          </w:tcPr>
          <w:p>
            <w:pPr>
              <w:pStyle w:val="112"/>
              <w:rPr>
                <w:kern w:val="2"/>
                <w:szCs w:val="21"/>
                <w:u w:val="single"/>
              </w:rPr>
            </w:pPr>
            <w:r>
              <w:rPr>
                <w:kern w:val="2"/>
                <w:szCs w:val="21"/>
                <w:u w:val="single"/>
              </w:rPr>
              <w:t>pcu/h</w:t>
            </w:r>
          </w:p>
        </w:tc>
        <w:tc>
          <w:tcPr>
            <w:tcW w:w="1703" w:type="dxa"/>
            <w:vAlign w:val="center"/>
          </w:tcPr>
          <w:p>
            <w:pPr>
              <w:pStyle w:val="112"/>
              <w:rPr>
                <w:kern w:val="2"/>
                <w:szCs w:val="21"/>
                <w:u w:val="single"/>
              </w:rPr>
            </w:pPr>
            <w:r>
              <w:rPr>
                <w:kern w:val="2"/>
                <w:szCs w:val="21"/>
                <w:u w:val="single"/>
              </w:rPr>
              <w:t>207</w:t>
            </w:r>
          </w:p>
        </w:tc>
        <w:tc>
          <w:tcPr>
            <w:tcW w:w="1701" w:type="dxa"/>
            <w:vAlign w:val="center"/>
          </w:tcPr>
          <w:p>
            <w:pPr>
              <w:autoSpaceDE w:val="0"/>
              <w:autoSpaceDN w:val="0"/>
              <w:jc w:val="center"/>
              <w:rPr>
                <w:szCs w:val="21"/>
                <w:u w:val="single"/>
              </w:rPr>
            </w:pPr>
            <w:r>
              <w:rPr>
                <w:sz w:val="21"/>
                <w:szCs w:val="21"/>
                <w:u w:val="single"/>
              </w:rPr>
              <w:t>305</w:t>
            </w:r>
          </w:p>
        </w:tc>
        <w:tc>
          <w:tcPr>
            <w:tcW w:w="1835" w:type="dxa"/>
            <w:vAlign w:val="center"/>
          </w:tcPr>
          <w:p>
            <w:pPr>
              <w:autoSpaceDE w:val="0"/>
              <w:autoSpaceDN w:val="0"/>
              <w:jc w:val="center"/>
              <w:rPr>
                <w:szCs w:val="21"/>
                <w:u w:val="single"/>
              </w:rPr>
            </w:pPr>
            <w:r>
              <w:rPr>
                <w:sz w:val="21"/>
                <w:szCs w:val="21"/>
                <w:u w:val="single"/>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381" w:type="dxa"/>
            <w:vMerge w:val="continue"/>
            <w:vAlign w:val="center"/>
          </w:tcPr>
          <w:p>
            <w:pPr>
              <w:jc w:val="center"/>
              <w:rPr>
                <w:sz w:val="21"/>
                <w:szCs w:val="21"/>
                <w:u w:val="single"/>
              </w:rPr>
            </w:pPr>
          </w:p>
        </w:tc>
        <w:tc>
          <w:tcPr>
            <w:tcW w:w="1703" w:type="dxa"/>
            <w:vAlign w:val="center"/>
          </w:tcPr>
          <w:p>
            <w:pPr>
              <w:pStyle w:val="112"/>
              <w:rPr>
                <w:kern w:val="2"/>
                <w:szCs w:val="21"/>
                <w:u w:val="single"/>
              </w:rPr>
            </w:pPr>
            <w:r>
              <w:rPr>
                <w:rFonts w:hint="eastAsia"/>
                <w:kern w:val="2"/>
                <w:szCs w:val="21"/>
                <w:u w:val="single"/>
              </w:rPr>
              <w:t>夜间小时车流量</w:t>
            </w:r>
          </w:p>
        </w:tc>
        <w:tc>
          <w:tcPr>
            <w:tcW w:w="851" w:type="dxa"/>
            <w:vAlign w:val="center"/>
          </w:tcPr>
          <w:p>
            <w:pPr>
              <w:pStyle w:val="112"/>
              <w:rPr>
                <w:kern w:val="2"/>
                <w:szCs w:val="21"/>
                <w:u w:val="single"/>
              </w:rPr>
            </w:pPr>
            <w:r>
              <w:rPr>
                <w:kern w:val="2"/>
                <w:szCs w:val="21"/>
                <w:u w:val="single"/>
              </w:rPr>
              <w:t>pcu/h</w:t>
            </w:r>
          </w:p>
        </w:tc>
        <w:tc>
          <w:tcPr>
            <w:tcW w:w="1703" w:type="dxa"/>
            <w:vAlign w:val="center"/>
          </w:tcPr>
          <w:p>
            <w:pPr>
              <w:pStyle w:val="112"/>
              <w:rPr>
                <w:kern w:val="2"/>
                <w:szCs w:val="21"/>
                <w:u w:val="single"/>
              </w:rPr>
            </w:pPr>
            <w:r>
              <w:rPr>
                <w:kern w:val="2"/>
                <w:szCs w:val="21"/>
                <w:u w:val="single"/>
              </w:rPr>
              <w:t>46</w:t>
            </w:r>
          </w:p>
        </w:tc>
        <w:tc>
          <w:tcPr>
            <w:tcW w:w="1701" w:type="dxa"/>
            <w:vAlign w:val="center"/>
          </w:tcPr>
          <w:p>
            <w:pPr>
              <w:autoSpaceDE w:val="0"/>
              <w:autoSpaceDN w:val="0"/>
              <w:jc w:val="center"/>
              <w:rPr>
                <w:szCs w:val="21"/>
                <w:u w:val="single"/>
              </w:rPr>
            </w:pPr>
            <w:r>
              <w:rPr>
                <w:sz w:val="21"/>
                <w:szCs w:val="21"/>
                <w:u w:val="single"/>
              </w:rPr>
              <w:t>68</w:t>
            </w:r>
          </w:p>
        </w:tc>
        <w:tc>
          <w:tcPr>
            <w:tcW w:w="1835" w:type="dxa"/>
            <w:vAlign w:val="center"/>
          </w:tcPr>
          <w:p>
            <w:pPr>
              <w:autoSpaceDE w:val="0"/>
              <w:autoSpaceDN w:val="0"/>
              <w:jc w:val="center"/>
              <w:rPr>
                <w:szCs w:val="21"/>
                <w:u w:val="single"/>
              </w:rPr>
            </w:pPr>
            <w:r>
              <w:rPr>
                <w:sz w:val="21"/>
                <w:szCs w:val="21"/>
                <w:u w:val="single"/>
              </w:rPr>
              <w:t>94</w:t>
            </w:r>
          </w:p>
        </w:tc>
      </w:tr>
    </w:tbl>
    <w:p>
      <w:pPr>
        <w:pStyle w:val="19"/>
        <w:jc w:val="center"/>
        <w:rPr>
          <w:u w:val="single"/>
        </w:rPr>
      </w:pPr>
      <w:bookmarkStart w:id="218" w:name="_Ref401479151"/>
      <w:r>
        <w:rPr>
          <w:rFonts w:hint="eastAsia"/>
          <w:u w:val="single"/>
        </w:rPr>
        <w:t>表</w:t>
      </w:r>
      <w:bookmarkEnd w:id="218"/>
      <w:r>
        <w:rPr>
          <w:u w:val="single"/>
        </w:rPr>
        <w:t xml:space="preserve">7.1-3   </w:t>
      </w:r>
      <w:r>
        <w:rPr>
          <w:rFonts w:hint="eastAsia"/>
          <w:u w:val="single"/>
        </w:rPr>
        <w:t>预测特征年车型比一览表</w:t>
      </w:r>
      <w:r>
        <w:rPr>
          <w:u w:val="single"/>
        </w:rPr>
        <w:t xml:space="preserve">    </w:t>
      </w:r>
      <w:r>
        <w:rPr>
          <w:rFonts w:hint="eastAsia"/>
          <w:u w:val="single"/>
        </w:rPr>
        <w:t>单位：</w:t>
      </w:r>
      <w:r>
        <w:rPr>
          <w:u w:val="single"/>
        </w:rPr>
        <w:t>%</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487"/>
        <w:gridCol w:w="1487"/>
        <w:gridCol w:w="1486"/>
        <w:gridCol w:w="1486"/>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40" w:type="dxa"/>
            <w:vAlign w:val="center"/>
          </w:tcPr>
          <w:p>
            <w:pPr>
              <w:pStyle w:val="112"/>
              <w:rPr>
                <w:kern w:val="2"/>
                <w:u w:val="single"/>
              </w:rPr>
            </w:pPr>
            <w:r>
              <w:rPr>
                <w:rFonts w:hint="eastAsia"/>
                <w:kern w:val="2"/>
                <w:u w:val="single"/>
              </w:rPr>
              <w:t>路段</w:t>
            </w:r>
          </w:p>
        </w:tc>
        <w:tc>
          <w:tcPr>
            <w:tcW w:w="1487" w:type="dxa"/>
            <w:vAlign w:val="center"/>
          </w:tcPr>
          <w:p>
            <w:pPr>
              <w:pStyle w:val="112"/>
              <w:rPr>
                <w:kern w:val="2"/>
                <w:u w:val="single"/>
              </w:rPr>
            </w:pPr>
            <w:r>
              <w:rPr>
                <w:rFonts w:hint="eastAsia"/>
                <w:kern w:val="2"/>
                <w:u w:val="single"/>
              </w:rPr>
              <w:t>预测水平年</w:t>
            </w:r>
          </w:p>
        </w:tc>
        <w:tc>
          <w:tcPr>
            <w:tcW w:w="1487" w:type="dxa"/>
            <w:vAlign w:val="center"/>
          </w:tcPr>
          <w:p>
            <w:pPr>
              <w:pStyle w:val="112"/>
              <w:rPr>
                <w:kern w:val="2"/>
                <w:u w:val="single"/>
              </w:rPr>
            </w:pPr>
            <w:r>
              <w:rPr>
                <w:rFonts w:hint="eastAsia"/>
                <w:kern w:val="2"/>
                <w:u w:val="single"/>
              </w:rPr>
              <w:t>小型车</w:t>
            </w:r>
          </w:p>
        </w:tc>
        <w:tc>
          <w:tcPr>
            <w:tcW w:w="1486" w:type="dxa"/>
            <w:vAlign w:val="center"/>
          </w:tcPr>
          <w:p>
            <w:pPr>
              <w:pStyle w:val="112"/>
              <w:rPr>
                <w:kern w:val="2"/>
                <w:u w:val="single"/>
              </w:rPr>
            </w:pPr>
            <w:r>
              <w:rPr>
                <w:rFonts w:hint="eastAsia"/>
                <w:kern w:val="2"/>
                <w:u w:val="single"/>
              </w:rPr>
              <w:t>中型车</w:t>
            </w:r>
          </w:p>
        </w:tc>
        <w:tc>
          <w:tcPr>
            <w:tcW w:w="1486" w:type="dxa"/>
            <w:vAlign w:val="center"/>
          </w:tcPr>
          <w:p>
            <w:pPr>
              <w:pStyle w:val="112"/>
              <w:rPr>
                <w:kern w:val="2"/>
                <w:u w:val="single"/>
              </w:rPr>
            </w:pPr>
            <w:r>
              <w:rPr>
                <w:rFonts w:hint="eastAsia"/>
                <w:kern w:val="2"/>
                <w:u w:val="single"/>
              </w:rPr>
              <w:t>大型车</w:t>
            </w:r>
          </w:p>
        </w:tc>
        <w:tc>
          <w:tcPr>
            <w:tcW w:w="1488" w:type="dxa"/>
            <w:vAlign w:val="center"/>
          </w:tcPr>
          <w:p>
            <w:pPr>
              <w:pStyle w:val="112"/>
              <w:rPr>
                <w:kern w:val="2"/>
                <w:u w:val="single"/>
              </w:rPr>
            </w:pPr>
            <w:r>
              <w:rPr>
                <w:rFonts w:hint="eastAsia"/>
                <w:kern w:val="2"/>
                <w:u w:val="singl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40" w:type="dxa"/>
            <w:vMerge w:val="restart"/>
            <w:vAlign w:val="center"/>
          </w:tcPr>
          <w:p>
            <w:pPr>
              <w:pStyle w:val="112"/>
              <w:rPr>
                <w:kern w:val="2"/>
                <w:u w:val="single"/>
              </w:rPr>
            </w:pPr>
            <w:r>
              <w:rPr>
                <w:rFonts w:hint="eastAsia"/>
                <w:kern w:val="2"/>
                <w:u w:val="single"/>
              </w:rPr>
              <w:t>全线</w:t>
            </w:r>
          </w:p>
        </w:tc>
        <w:tc>
          <w:tcPr>
            <w:tcW w:w="1487" w:type="dxa"/>
            <w:vAlign w:val="center"/>
          </w:tcPr>
          <w:p>
            <w:pPr>
              <w:pStyle w:val="112"/>
              <w:rPr>
                <w:kern w:val="2"/>
                <w:u w:val="single"/>
              </w:rPr>
            </w:pPr>
            <w:r>
              <w:rPr>
                <w:kern w:val="2"/>
                <w:u w:val="single"/>
              </w:rPr>
              <w:t>2019</w:t>
            </w:r>
          </w:p>
        </w:tc>
        <w:tc>
          <w:tcPr>
            <w:tcW w:w="1487" w:type="dxa"/>
            <w:vAlign w:val="center"/>
          </w:tcPr>
          <w:p>
            <w:pPr>
              <w:pStyle w:val="112"/>
              <w:rPr>
                <w:rFonts w:ascii="宋体" w:cs="宋体"/>
                <w:kern w:val="2"/>
                <w:u w:val="single"/>
              </w:rPr>
            </w:pPr>
            <w:r>
              <w:rPr>
                <w:kern w:val="2"/>
                <w:u w:val="single"/>
              </w:rPr>
              <w:t>96</w:t>
            </w:r>
          </w:p>
        </w:tc>
        <w:tc>
          <w:tcPr>
            <w:tcW w:w="1486" w:type="dxa"/>
            <w:vAlign w:val="center"/>
          </w:tcPr>
          <w:p>
            <w:pPr>
              <w:pStyle w:val="112"/>
              <w:rPr>
                <w:rFonts w:ascii="宋体" w:cs="宋体"/>
                <w:kern w:val="2"/>
                <w:u w:val="single"/>
              </w:rPr>
            </w:pPr>
            <w:r>
              <w:rPr>
                <w:kern w:val="2"/>
                <w:u w:val="single"/>
              </w:rPr>
              <w:t>2.21</w:t>
            </w:r>
          </w:p>
        </w:tc>
        <w:tc>
          <w:tcPr>
            <w:tcW w:w="1486" w:type="dxa"/>
            <w:vAlign w:val="center"/>
          </w:tcPr>
          <w:p>
            <w:pPr>
              <w:pStyle w:val="112"/>
              <w:rPr>
                <w:rFonts w:ascii="宋体" w:cs="宋体"/>
                <w:kern w:val="2"/>
                <w:u w:val="single"/>
              </w:rPr>
            </w:pPr>
            <w:r>
              <w:rPr>
                <w:kern w:val="2"/>
                <w:u w:val="single"/>
              </w:rPr>
              <w:t>1.79</w:t>
            </w:r>
          </w:p>
        </w:tc>
        <w:tc>
          <w:tcPr>
            <w:tcW w:w="1488" w:type="dxa"/>
            <w:vAlign w:val="center"/>
          </w:tcPr>
          <w:p>
            <w:pPr>
              <w:pStyle w:val="112"/>
              <w:rPr>
                <w:kern w:val="2"/>
                <w:u w:val="single"/>
              </w:rPr>
            </w:pPr>
            <w:r>
              <w:rPr>
                <w:kern w:val="2"/>
                <w:u w:val="singl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40" w:type="dxa"/>
            <w:vMerge w:val="continue"/>
            <w:vAlign w:val="center"/>
          </w:tcPr>
          <w:p>
            <w:pPr>
              <w:pStyle w:val="112"/>
              <w:rPr>
                <w:kern w:val="2"/>
                <w:u w:val="single"/>
              </w:rPr>
            </w:pPr>
          </w:p>
        </w:tc>
        <w:tc>
          <w:tcPr>
            <w:tcW w:w="1487" w:type="dxa"/>
            <w:vAlign w:val="center"/>
          </w:tcPr>
          <w:p>
            <w:pPr>
              <w:pStyle w:val="112"/>
              <w:rPr>
                <w:kern w:val="2"/>
                <w:u w:val="single"/>
              </w:rPr>
            </w:pPr>
            <w:r>
              <w:rPr>
                <w:kern w:val="2"/>
                <w:u w:val="single"/>
              </w:rPr>
              <w:t>2025</w:t>
            </w:r>
          </w:p>
        </w:tc>
        <w:tc>
          <w:tcPr>
            <w:tcW w:w="1487" w:type="dxa"/>
            <w:vAlign w:val="center"/>
          </w:tcPr>
          <w:p>
            <w:pPr>
              <w:pStyle w:val="112"/>
              <w:rPr>
                <w:rFonts w:ascii="宋体" w:cs="宋体"/>
                <w:kern w:val="2"/>
                <w:u w:val="single"/>
              </w:rPr>
            </w:pPr>
            <w:r>
              <w:rPr>
                <w:kern w:val="2"/>
                <w:u w:val="single"/>
              </w:rPr>
              <w:t>96.05</w:t>
            </w:r>
          </w:p>
        </w:tc>
        <w:tc>
          <w:tcPr>
            <w:tcW w:w="1486" w:type="dxa"/>
            <w:vAlign w:val="center"/>
          </w:tcPr>
          <w:p>
            <w:pPr>
              <w:pStyle w:val="112"/>
              <w:rPr>
                <w:rFonts w:ascii="宋体" w:cs="宋体"/>
                <w:kern w:val="2"/>
                <w:u w:val="single"/>
              </w:rPr>
            </w:pPr>
            <w:r>
              <w:rPr>
                <w:kern w:val="2"/>
                <w:u w:val="single"/>
              </w:rPr>
              <w:t>2.19</w:t>
            </w:r>
          </w:p>
        </w:tc>
        <w:tc>
          <w:tcPr>
            <w:tcW w:w="1486" w:type="dxa"/>
            <w:vAlign w:val="center"/>
          </w:tcPr>
          <w:p>
            <w:pPr>
              <w:pStyle w:val="112"/>
              <w:rPr>
                <w:rFonts w:ascii="宋体" w:cs="宋体"/>
                <w:kern w:val="2"/>
                <w:u w:val="single"/>
              </w:rPr>
            </w:pPr>
            <w:r>
              <w:rPr>
                <w:kern w:val="2"/>
                <w:u w:val="single"/>
              </w:rPr>
              <w:t>1.76</w:t>
            </w:r>
          </w:p>
        </w:tc>
        <w:tc>
          <w:tcPr>
            <w:tcW w:w="1488" w:type="dxa"/>
            <w:vAlign w:val="center"/>
          </w:tcPr>
          <w:p>
            <w:pPr>
              <w:pStyle w:val="112"/>
              <w:rPr>
                <w:kern w:val="2"/>
                <w:u w:val="single"/>
              </w:rPr>
            </w:pPr>
            <w:r>
              <w:rPr>
                <w:kern w:val="2"/>
                <w:u w:val="singl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740" w:type="dxa"/>
            <w:vMerge w:val="continue"/>
            <w:vAlign w:val="center"/>
          </w:tcPr>
          <w:p>
            <w:pPr>
              <w:pStyle w:val="112"/>
              <w:rPr>
                <w:kern w:val="2"/>
                <w:u w:val="single"/>
              </w:rPr>
            </w:pPr>
          </w:p>
        </w:tc>
        <w:tc>
          <w:tcPr>
            <w:tcW w:w="1487" w:type="dxa"/>
            <w:vAlign w:val="center"/>
          </w:tcPr>
          <w:p>
            <w:pPr>
              <w:pStyle w:val="112"/>
              <w:rPr>
                <w:kern w:val="2"/>
                <w:u w:val="single"/>
              </w:rPr>
            </w:pPr>
            <w:r>
              <w:rPr>
                <w:kern w:val="2"/>
                <w:u w:val="single"/>
              </w:rPr>
              <w:t>2033</w:t>
            </w:r>
          </w:p>
        </w:tc>
        <w:tc>
          <w:tcPr>
            <w:tcW w:w="1487" w:type="dxa"/>
            <w:vAlign w:val="center"/>
          </w:tcPr>
          <w:p>
            <w:pPr>
              <w:pStyle w:val="112"/>
              <w:rPr>
                <w:rFonts w:ascii="宋体" w:cs="宋体"/>
                <w:kern w:val="2"/>
                <w:u w:val="single"/>
              </w:rPr>
            </w:pPr>
            <w:r>
              <w:rPr>
                <w:kern w:val="2"/>
                <w:u w:val="single"/>
              </w:rPr>
              <w:t>96.27</w:t>
            </w:r>
          </w:p>
        </w:tc>
        <w:tc>
          <w:tcPr>
            <w:tcW w:w="1486" w:type="dxa"/>
            <w:vAlign w:val="center"/>
          </w:tcPr>
          <w:p>
            <w:pPr>
              <w:pStyle w:val="112"/>
              <w:rPr>
                <w:rFonts w:ascii="宋体" w:cs="宋体"/>
                <w:kern w:val="2"/>
                <w:u w:val="single"/>
              </w:rPr>
            </w:pPr>
            <w:r>
              <w:rPr>
                <w:kern w:val="2"/>
                <w:u w:val="single"/>
              </w:rPr>
              <w:t>1.97</w:t>
            </w:r>
          </w:p>
        </w:tc>
        <w:tc>
          <w:tcPr>
            <w:tcW w:w="1486" w:type="dxa"/>
            <w:vAlign w:val="center"/>
          </w:tcPr>
          <w:p>
            <w:pPr>
              <w:pStyle w:val="112"/>
              <w:rPr>
                <w:rFonts w:ascii="宋体" w:cs="宋体"/>
                <w:kern w:val="2"/>
                <w:u w:val="single"/>
              </w:rPr>
            </w:pPr>
            <w:r>
              <w:rPr>
                <w:kern w:val="2"/>
                <w:u w:val="single"/>
              </w:rPr>
              <w:t>1.76</w:t>
            </w:r>
          </w:p>
        </w:tc>
        <w:tc>
          <w:tcPr>
            <w:tcW w:w="1488" w:type="dxa"/>
            <w:vAlign w:val="center"/>
          </w:tcPr>
          <w:p>
            <w:pPr>
              <w:pStyle w:val="112"/>
              <w:rPr>
                <w:kern w:val="2"/>
                <w:u w:val="single"/>
              </w:rPr>
            </w:pPr>
            <w:r>
              <w:rPr>
                <w:kern w:val="2"/>
                <w:u w:val="single"/>
              </w:rPr>
              <w:t>100</w:t>
            </w:r>
          </w:p>
        </w:tc>
      </w:tr>
    </w:tbl>
    <w:p>
      <w:pPr>
        <w:pStyle w:val="6"/>
        <w:widowControl/>
        <w:ind w:left="567" w:hanging="567"/>
        <w:jc w:val="left"/>
      </w:pPr>
      <w:r>
        <w:rPr>
          <w:rFonts w:hint="eastAsia"/>
        </w:rPr>
        <w:t>预测模式</w:t>
      </w:r>
    </w:p>
    <w:p>
      <w:pPr>
        <w:pStyle w:val="3"/>
        <w:ind w:firstLine="31680"/>
      </w:pPr>
      <w:r>
        <w:rPr>
          <w:rFonts w:hint="eastAsia"/>
        </w:rPr>
        <w:t>根据拟建公路工程特点、沿线环境特征及工程设计的交通量等因素，声环境影响预测选用《环境影响评价技术导则</w:t>
      </w:r>
      <w:r>
        <w:t xml:space="preserve">  </w:t>
      </w:r>
      <w:r>
        <w:rPr>
          <w:rFonts w:hint="eastAsia"/>
        </w:rPr>
        <w:t>声环境》（</w:t>
      </w:r>
      <w:r>
        <w:t>HJ2.4—2009</w:t>
      </w:r>
      <w:r>
        <w:rPr>
          <w:rFonts w:hint="eastAsia"/>
        </w:rPr>
        <w:t>）中推荐的公路噪声预测模式，即：将公路上汽车按照车种分类（如大、中、小型车），先求出某一类车辆的小时等效声级，再将各类型车的小时等效声级叠加；然后根据预测点的噪声背景值及公路交通噪声预测值，预测敏感点的环境噪声值。</w:t>
      </w:r>
    </w:p>
    <w:p>
      <w:pPr>
        <w:spacing w:line="360" w:lineRule="auto"/>
        <w:ind w:firstLine="31680" w:firstLineChars="200"/>
        <w:rPr>
          <w:sz w:val="24"/>
        </w:rPr>
      </w:pPr>
      <w:r>
        <w:rPr>
          <w:rFonts w:hint="eastAsia"/>
          <w:sz w:val="24"/>
        </w:rPr>
        <w:t>计算模式为：</w:t>
      </w:r>
    </w:p>
    <w:p>
      <w:pPr>
        <w:spacing w:line="360" w:lineRule="auto"/>
        <w:ind w:firstLine="31680" w:firstLineChars="200"/>
        <w:rPr>
          <w:kern w:val="0"/>
          <w:sz w:val="24"/>
        </w:rPr>
      </w:pPr>
      <w:r>
        <w:rPr>
          <w:kern w:val="0"/>
          <w:sz w:val="24"/>
        </w:rPr>
        <w:t>a</w:t>
      </w:r>
      <w:r>
        <w:rPr>
          <w:rFonts w:hint="eastAsia" w:hAnsi="宋体"/>
          <w:kern w:val="0"/>
          <w:sz w:val="24"/>
        </w:rPr>
        <w:t>）</w:t>
      </w:r>
      <w:r>
        <w:rPr>
          <w:rFonts w:hint="eastAsia"/>
          <w:kern w:val="0"/>
          <w:sz w:val="24"/>
        </w:rPr>
        <w:t>第</w:t>
      </w:r>
      <w:r>
        <w:rPr>
          <w:kern w:val="0"/>
          <w:sz w:val="24"/>
        </w:rPr>
        <w:t xml:space="preserve"> i </w:t>
      </w:r>
      <w:r>
        <w:rPr>
          <w:rFonts w:hint="eastAsia"/>
          <w:kern w:val="0"/>
          <w:sz w:val="24"/>
        </w:rPr>
        <w:t>类车等效声级的预测模式</w:t>
      </w:r>
    </w:p>
    <w:p>
      <w:pPr>
        <w:spacing w:line="360" w:lineRule="auto"/>
        <w:jc w:val="center"/>
        <w:rPr>
          <w:kern w:val="0"/>
          <w:sz w:val="24"/>
          <w:szCs w:val="24"/>
        </w:rPr>
      </w:pPr>
      <w:r>
        <w:rPr>
          <w:kern w:val="0"/>
          <w:sz w:val="24"/>
        </w:rPr>
        <w:pict>
          <v:shape id="_x0000_i1049" o:spt="75" type="#_x0000_t75" style="height:35.25pt;width:333pt;" filled="f" o:preferrelative="t" stroked="f" coordsize="21600,21600">
            <v:path/>
            <v:fill on="f" focussize="0,0"/>
            <v:stroke on="f" joinstyle="miter"/>
            <v:imagedata r:id="rId42" o:title=""/>
            <o:lock v:ext="edit" aspectratio="t"/>
            <w10:wrap type="none"/>
            <w10:anchorlock/>
          </v:shape>
        </w:pict>
      </w:r>
    </w:p>
    <w:p>
      <w:pPr>
        <w:spacing w:line="360" w:lineRule="auto"/>
        <w:ind w:firstLine="31680" w:firstLineChars="200"/>
        <w:rPr>
          <w:kern w:val="0"/>
          <w:sz w:val="24"/>
        </w:rPr>
      </w:pPr>
      <w:r>
        <w:rPr>
          <w:rFonts w:hint="eastAsia"/>
          <w:kern w:val="0"/>
          <w:sz w:val="24"/>
        </w:rPr>
        <w:t>式中：</w:t>
      </w:r>
      <w:r>
        <w:rPr>
          <w:kern w:val="0"/>
          <w:position w:val="-16"/>
          <w:sz w:val="24"/>
        </w:rPr>
        <w:pict>
          <v:shape id="_x0000_i1050" o:spt="75" type="#_x0000_t75" style="height:20.25pt;width:41.25pt;" filled="f" o:preferrelative="t" stroked="f" coordsize="21600,21600">
            <v:path/>
            <v:fill on="f" focussize="0,0"/>
            <v:stroke on="f" joinstyle="miter"/>
            <v:imagedata r:id="rId43" o:title=""/>
            <o:lock v:ext="edit" aspectratio="t"/>
            <w10:wrap type="none"/>
            <w10:anchorlock/>
          </v:shape>
        </w:pict>
      </w:r>
      <w:r>
        <w:rPr>
          <w:kern w:val="0"/>
          <w:sz w:val="24"/>
        </w:rPr>
        <w:t>——</w:t>
      </w:r>
      <w:r>
        <w:rPr>
          <w:rFonts w:hint="eastAsia"/>
          <w:kern w:val="0"/>
          <w:sz w:val="24"/>
        </w:rPr>
        <w:t>第</w:t>
      </w:r>
      <w:r>
        <w:rPr>
          <w:kern w:val="0"/>
          <w:sz w:val="24"/>
        </w:rPr>
        <w:t>I</w:t>
      </w:r>
      <w:r>
        <w:rPr>
          <w:rFonts w:hint="eastAsia"/>
          <w:kern w:val="0"/>
          <w:sz w:val="24"/>
        </w:rPr>
        <w:t>类车的小时等效声级，</w:t>
      </w:r>
      <w:r>
        <w:rPr>
          <w:kern w:val="0"/>
          <w:sz w:val="24"/>
        </w:rPr>
        <w:t>dB(A)</w:t>
      </w:r>
      <w:r>
        <w:rPr>
          <w:rFonts w:hint="eastAsia"/>
          <w:kern w:val="0"/>
          <w:sz w:val="24"/>
        </w:rPr>
        <w:t>；</w:t>
      </w:r>
    </w:p>
    <w:p>
      <w:pPr>
        <w:spacing w:line="360" w:lineRule="auto"/>
        <w:ind w:firstLine="31680" w:firstLineChars="450"/>
        <w:rPr>
          <w:kern w:val="0"/>
          <w:sz w:val="24"/>
        </w:rPr>
      </w:pPr>
      <w:r>
        <w:rPr>
          <w:kern w:val="0"/>
          <w:position w:val="-12"/>
          <w:sz w:val="24"/>
        </w:rPr>
        <w:pict>
          <v:shape id="_x0000_i1051" o:spt="75" type="#_x0000_t75" style="height:24pt;width:30pt;" filled="f" o:preferrelative="t" stroked="f" coordsize="21600,21600">
            <v:path/>
            <v:fill on="f" focussize="0,0"/>
            <v:stroke on="f" joinstyle="miter"/>
            <v:imagedata r:id="rId44" o:title=""/>
            <o:lock v:ext="edit" aspectratio="t"/>
            <w10:wrap type="none"/>
            <w10:anchorlock/>
          </v:shape>
        </w:pict>
      </w:r>
      <w:r>
        <w:rPr>
          <w:kern w:val="0"/>
          <w:sz w:val="24"/>
        </w:rPr>
        <w:t>——</w:t>
      </w:r>
      <w:r>
        <w:rPr>
          <w:rFonts w:hint="eastAsia"/>
          <w:kern w:val="0"/>
          <w:sz w:val="24"/>
        </w:rPr>
        <w:t>第</w:t>
      </w:r>
      <w:r>
        <w:rPr>
          <w:kern w:val="0"/>
          <w:sz w:val="24"/>
        </w:rPr>
        <w:t>I</w:t>
      </w:r>
      <w:r>
        <w:rPr>
          <w:rFonts w:hint="eastAsia"/>
          <w:kern w:val="0"/>
          <w:sz w:val="24"/>
        </w:rPr>
        <w:t>类车在速度为</w:t>
      </w:r>
      <w:r>
        <w:rPr>
          <w:kern w:val="0"/>
          <w:sz w:val="24"/>
        </w:rPr>
        <w:t>V</w:t>
      </w:r>
      <w:r>
        <w:rPr>
          <w:kern w:val="0"/>
          <w:sz w:val="24"/>
          <w:vertAlign w:val="subscript"/>
        </w:rPr>
        <w:t>i</w:t>
      </w:r>
      <w:r>
        <w:rPr>
          <w:kern w:val="0"/>
          <w:sz w:val="24"/>
        </w:rPr>
        <w:t>(km/h)</w:t>
      </w:r>
      <w:r>
        <w:rPr>
          <w:rFonts w:hint="eastAsia"/>
          <w:kern w:val="0"/>
          <w:sz w:val="24"/>
        </w:rPr>
        <w:t>；水平距离为</w:t>
      </w:r>
      <w:r>
        <w:rPr>
          <w:kern w:val="0"/>
          <w:sz w:val="24"/>
        </w:rPr>
        <w:t>7.5m</w:t>
      </w:r>
      <w:r>
        <w:rPr>
          <w:rFonts w:hint="eastAsia"/>
          <w:kern w:val="0"/>
          <w:sz w:val="24"/>
        </w:rPr>
        <w:t>处的能量平均</w:t>
      </w:r>
      <w:r>
        <w:rPr>
          <w:kern w:val="0"/>
          <w:sz w:val="24"/>
        </w:rPr>
        <w:t>A</w:t>
      </w:r>
      <w:r>
        <w:rPr>
          <w:rFonts w:hint="eastAsia"/>
          <w:kern w:val="0"/>
          <w:sz w:val="24"/>
        </w:rPr>
        <w:t>声级，</w:t>
      </w:r>
      <w:r>
        <w:rPr>
          <w:kern w:val="0"/>
          <w:sz w:val="24"/>
        </w:rPr>
        <w:t>dB(A)</w:t>
      </w:r>
      <w:r>
        <w:rPr>
          <w:rFonts w:hint="eastAsia"/>
          <w:kern w:val="0"/>
          <w:sz w:val="24"/>
        </w:rPr>
        <w:t>；</w:t>
      </w:r>
    </w:p>
    <w:p>
      <w:pPr>
        <w:spacing w:line="360" w:lineRule="auto"/>
        <w:ind w:firstLine="31680" w:firstLineChars="450"/>
        <w:rPr>
          <w:kern w:val="0"/>
          <w:sz w:val="24"/>
        </w:rPr>
      </w:pPr>
      <w:r>
        <w:rPr>
          <w:kern w:val="0"/>
          <w:sz w:val="24"/>
        </w:rPr>
        <w:t>N</w:t>
      </w:r>
      <w:r>
        <w:rPr>
          <w:kern w:val="0"/>
          <w:sz w:val="24"/>
          <w:vertAlign w:val="subscript"/>
        </w:rPr>
        <w:t>i</w:t>
      </w:r>
      <w:r>
        <w:rPr>
          <w:kern w:val="0"/>
          <w:sz w:val="24"/>
        </w:rPr>
        <w:t>——</w:t>
      </w:r>
      <w:r>
        <w:rPr>
          <w:rFonts w:hint="eastAsia"/>
          <w:kern w:val="0"/>
          <w:sz w:val="24"/>
        </w:rPr>
        <w:t>昼间、夜间通过某个预测点的第</w:t>
      </w:r>
      <w:r>
        <w:rPr>
          <w:kern w:val="0"/>
          <w:sz w:val="24"/>
        </w:rPr>
        <w:t>I</w:t>
      </w:r>
      <w:r>
        <w:rPr>
          <w:rFonts w:hint="eastAsia"/>
          <w:kern w:val="0"/>
          <w:sz w:val="24"/>
        </w:rPr>
        <w:t>类车平均小时车流量，</w:t>
      </w:r>
      <w:r>
        <w:rPr>
          <w:kern w:val="0"/>
          <w:sz w:val="24"/>
        </w:rPr>
        <w:t>pcu/h</w:t>
      </w:r>
      <w:r>
        <w:rPr>
          <w:rFonts w:hint="eastAsia"/>
          <w:kern w:val="0"/>
          <w:sz w:val="24"/>
        </w:rPr>
        <w:t>；</w:t>
      </w:r>
    </w:p>
    <w:p>
      <w:pPr>
        <w:spacing w:line="360" w:lineRule="auto"/>
        <w:ind w:firstLine="31680" w:firstLineChars="450"/>
        <w:rPr>
          <w:kern w:val="0"/>
          <w:sz w:val="24"/>
        </w:rPr>
      </w:pPr>
      <w:r>
        <w:rPr>
          <w:kern w:val="0"/>
          <w:sz w:val="24"/>
        </w:rPr>
        <w:t>r——</w:t>
      </w:r>
      <w:r>
        <w:rPr>
          <w:rFonts w:hint="eastAsia"/>
          <w:kern w:val="0"/>
          <w:sz w:val="24"/>
        </w:rPr>
        <w:t>从车道中心线到预测点的距离，</w:t>
      </w:r>
      <w:r>
        <w:rPr>
          <w:kern w:val="0"/>
          <w:sz w:val="24"/>
        </w:rPr>
        <w:t>m</w:t>
      </w:r>
      <w:r>
        <w:rPr>
          <w:rFonts w:hint="eastAsia"/>
          <w:kern w:val="0"/>
          <w:sz w:val="24"/>
        </w:rPr>
        <w:t>；</w:t>
      </w:r>
      <w:r>
        <w:rPr>
          <w:kern w:val="0"/>
          <w:sz w:val="24"/>
        </w:rPr>
        <w:t>r&gt;7.5m</w:t>
      </w:r>
      <w:r>
        <w:rPr>
          <w:rFonts w:hint="eastAsia"/>
          <w:kern w:val="0"/>
          <w:sz w:val="24"/>
        </w:rPr>
        <w:t>；</w:t>
      </w:r>
    </w:p>
    <w:p>
      <w:pPr>
        <w:spacing w:line="360" w:lineRule="auto"/>
        <w:ind w:firstLine="31680" w:firstLineChars="450"/>
        <w:rPr>
          <w:kern w:val="0"/>
          <w:sz w:val="24"/>
        </w:rPr>
      </w:pPr>
      <w:r>
        <w:rPr>
          <w:kern w:val="0"/>
          <w:sz w:val="24"/>
        </w:rPr>
        <w:t>V</w:t>
      </w:r>
      <w:r>
        <w:rPr>
          <w:kern w:val="0"/>
          <w:sz w:val="24"/>
          <w:vertAlign w:val="subscript"/>
        </w:rPr>
        <w:t>i</w:t>
      </w:r>
      <w:r>
        <w:rPr>
          <w:kern w:val="0"/>
          <w:sz w:val="24"/>
        </w:rPr>
        <w:t>——</w:t>
      </w:r>
      <w:r>
        <w:rPr>
          <w:rFonts w:hint="eastAsia"/>
          <w:kern w:val="0"/>
          <w:sz w:val="24"/>
        </w:rPr>
        <w:t>第</w:t>
      </w:r>
      <w:r>
        <w:rPr>
          <w:kern w:val="0"/>
          <w:sz w:val="24"/>
        </w:rPr>
        <w:t>I</w:t>
      </w:r>
      <w:r>
        <w:rPr>
          <w:rFonts w:hint="eastAsia"/>
          <w:kern w:val="0"/>
          <w:sz w:val="24"/>
        </w:rPr>
        <w:t>类车平均车速，</w:t>
      </w:r>
      <w:r>
        <w:rPr>
          <w:kern w:val="0"/>
          <w:sz w:val="24"/>
        </w:rPr>
        <w:t>km/h</w:t>
      </w:r>
      <w:r>
        <w:rPr>
          <w:rFonts w:hint="eastAsia"/>
          <w:kern w:val="0"/>
          <w:sz w:val="24"/>
        </w:rPr>
        <w:t>；</w:t>
      </w:r>
    </w:p>
    <w:p>
      <w:pPr>
        <w:spacing w:line="360" w:lineRule="auto"/>
        <w:ind w:firstLine="31680" w:firstLineChars="450"/>
        <w:rPr>
          <w:kern w:val="0"/>
          <w:sz w:val="24"/>
        </w:rPr>
      </w:pPr>
      <w:r>
        <w:rPr>
          <w:kern w:val="0"/>
          <w:sz w:val="24"/>
        </w:rPr>
        <w:t>T——</w:t>
      </w:r>
      <w:r>
        <w:rPr>
          <w:rFonts w:hint="eastAsia"/>
          <w:kern w:val="0"/>
          <w:sz w:val="24"/>
        </w:rPr>
        <w:t>计算等效声级的时间，</w:t>
      </w:r>
      <w:r>
        <w:rPr>
          <w:kern w:val="0"/>
          <w:sz w:val="24"/>
        </w:rPr>
        <w:t>1h</w:t>
      </w:r>
      <w:r>
        <w:rPr>
          <w:rFonts w:hint="eastAsia"/>
          <w:kern w:val="0"/>
          <w:sz w:val="24"/>
        </w:rPr>
        <w:t>；</w:t>
      </w:r>
    </w:p>
    <w:p>
      <w:pPr>
        <w:pStyle w:val="3"/>
        <w:ind w:firstLine="31680" w:firstLineChars="450"/>
      </w:pPr>
      <w:r>
        <w:t>ψ</w:t>
      </w:r>
      <w:r>
        <w:rPr>
          <w:vertAlign w:val="subscript"/>
        </w:rPr>
        <w:t>1</w:t>
      </w:r>
      <w:r>
        <w:rPr>
          <w:rFonts w:hint="eastAsia"/>
        </w:rPr>
        <w:t>、</w:t>
      </w:r>
      <w:r>
        <w:t>ψ</w:t>
      </w:r>
      <w:r>
        <w:rPr>
          <w:vertAlign w:val="subscript"/>
        </w:rPr>
        <w:t>2</w:t>
      </w:r>
      <w:r>
        <w:t>——</w:t>
      </w:r>
      <w:r>
        <w:rPr>
          <w:rFonts w:hint="eastAsia"/>
        </w:rPr>
        <w:t>预测点到有限长路段两端的张角，弧度，见图</w:t>
      </w:r>
      <w:r>
        <w:t>6.1-1</w:t>
      </w:r>
      <w:r>
        <w:rPr>
          <w:rFonts w:hint="eastAsia"/>
        </w:rPr>
        <w:t>。</w:t>
      </w:r>
    </w:p>
    <w:p>
      <w:pPr>
        <w:ind w:firstLine="480"/>
        <w:jc w:val="center"/>
      </w:pPr>
      <w:r>
        <w:pict>
          <v:shape id="_x0000_i1052" o:spt="75" type="#_x0000_t75" style="height:101.25pt;width:281.25pt;" filled="f" o:preferrelative="t" stroked="f" coordsize="21600,21600">
            <v:path/>
            <v:fill on="f" focussize="0,0"/>
            <v:stroke on="f" joinstyle="miter"/>
            <v:imagedata r:id="rId45" croptop="7846f" o:title=""/>
            <o:lock v:ext="edit" aspectratio="t"/>
            <w10:wrap type="none"/>
            <w10:anchorlock/>
          </v:shape>
        </w:pict>
      </w:r>
    </w:p>
    <w:p>
      <w:pPr>
        <w:pStyle w:val="19"/>
        <w:jc w:val="center"/>
        <w:rPr>
          <w:lang w:val="zh-CN"/>
        </w:rPr>
      </w:pPr>
      <w:r>
        <w:rPr>
          <w:rFonts w:hint="eastAsia"/>
        </w:rPr>
        <w:t>图</w:t>
      </w:r>
      <w:r>
        <w:t>7.1-1</w:t>
      </w:r>
      <w:r>
        <w:rPr>
          <w:lang w:val="zh-CN"/>
        </w:rPr>
        <w:t xml:space="preserve">    </w:t>
      </w:r>
      <w:r>
        <w:rPr>
          <w:rFonts w:hint="eastAsia"/>
          <w:lang w:val="zh-CN"/>
        </w:rPr>
        <w:t>有限路段的修正函数，</w:t>
      </w:r>
      <w:r>
        <w:rPr>
          <w:lang w:val="zh-CN"/>
        </w:rPr>
        <w:t xml:space="preserve">A—B </w:t>
      </w:r>
      <w:r>
        <w:rPr>
          <w:rFonts w:hint="eastAsia"/>
          <w:lang w:val="zh-CN"/>
        </w:rPr>
        <w:t>为路段，</w:t>
      </w:r>
      <w:r>
        <w:rPr>
          <w:lang w:val="zh-CN"/>
        </w:rPr>
        <w:t>P</w:t>
      </w:r>
      <w:r>
        <w:rPr>
          <w:rFonts w:hint="eastAsia"/>
          <w:lang w:val="zh-CN"/>
        </w:rPr>
        <w:t>为预测点</w:t>
      </w:r>
    </w:p>
    <w:p>
      <w:pPr>
        <w:spacing w:line="360" w:lineRule="auto"/>
        <w:ind w:firstLine="31680" w:firstLineChars="450"/>
        <w:rPr>
          <w:kern w:val="0"/>
          <w:sz w:val="24"/>
        </w:rPr>
      </w:pPr>
      <w:r>
        <w:rPr>
          <w:kern w:val="0"/>
          <w:sz w:val="24"/>
        </w:rPr>
        <w:pict>
          <v:shape id="_x0000_i1053" o:spt="75" type="#_x0000_t75" style="height:12.75pt;width:21pt;" filled="f" o:preferrelative="t" stroked="f" coordsize="21600,21600">
            <v:path/>
            <v:fill on="f" focussize="0,0"/>
            <v:stroke on="f" joinstyle="miter"/>
            <v:imagedata r:id="rId46" o:title=""/>
            <o:lock v:ext="edit" aspectratio="t"/>
            <w10:wrap type="none"/>
            <w10:anchorlock/>
          </v:shape>
        </w:pict>
      </w:r>
      <w:r>
        <w:rPr>
          <w:kern w:val="0"/>
          <w:sz w:val="24"/>
        </w:rPr>
        <w:t>——</w:t>
      </w:r>
      <w:r>
        <w:rPr>
          <w:rFonts w:hint="eastAsia"/>
          <w:kern w:val="0"/>
          <w:sz w:val="24"/>
        </w:rPr>
        <w:t>由其它因素引起的修正量，</w:t>
      </w:r>
      <w:r>
        <w:rPr>
          <w:kern w:val="0"/>
          <w:sz w:val="24"/>
        </w:rPr>
        <w:t>dB(A)</w:t>
      </w:r>
      <w:r>
        <w:rPr>
          <w:rFonts w:hint="eastAsia"/>
          <w:kern w:val="0"/>
          <w:sz w:val="24"/>
        </w:rPr>
        <w:t>，可按下列公式计算：</w:t>
      </w:r>
    </w:p>
    <w:p>
      <w:pPr>
        <w:spacing w:line="360" w:lineRule="auto"/>
        <w:ind w:firstLine="31680" w:firstLineChars="200"/>
        <w:jc w:val="center"/>
        <w:rPr>
          <w:kern w:val="0"/>
          <w:sz w:val="24"/>
        </w:rPr>
      </w:pPr>
      <w:r>
        <w:rPr>
          <w:kern w:val="0"/>
          <w:sz w:val="24"/>
        </w:rPr>
        <w:pict>
          <v:shape id="_x0000_i1054" o:spt="75" type="#_x0000_t75" style="height:12.75pt;width:21pt;" filled="f" o:preferrelative="t" stroked="f" coordsize="21600,21600">
            <v:path/>
            <v:fill on="f" focussize="0,0"/>
            <v:stroke on="f" joinstyle="miter"/>
            <v:imagedata r:id="rId46" o:title=""/>
            <o:lock v:ext="edit" aspectratio="t"/>
            <w10:wrap type="none"/>
            <w10:anchorlock/>
          </v:shape>
        </w:pict>
      </w:r>
      <w:r>
        <w:rPr>
          <w:kern w:val="0"/>
          <w:sz w:val="24"/>
        </w:rPr>
        <w:t>=</w:t>
      </w:r>
      <w:r>
        <w:rPr>
          <w:kern w:val="0"/>
          <w:sz w:val="24"/>
        </w:rPr>
        <w:pict>
          <v:shape id="_x0000_i1055" o:spt="75" type="#_x0000_t75" style="height:12.75pt;width:21pt;" filled="f" o:preferrelative="t" stroked="f" coordsize="21600,21600">
            <v:path/>
            <v:fill on="f" focussize="0,0"/>
            <v:stroke on="f" joinstyle="miter"/>
            <v:imagedata r:id="rId46" o:title=""/>
            <o:lock v:ext="edit" aspectratio="t"/>
            <w10:wrap type="none"/>
            <w10:anchorlock/>
          </v:shape>
        </w:pict>
      </w:r>
      <w:r>
        <w:rPr>
          <w:kern w:val="0"/>
          <w:sz w:val="24"/>
          <w:vertAlign w:val="subscript"/>
        </w:rPr>
        <w:t>1</w:t>
      </w:r>
      <w:r>
        <w:rPr>
          <w:kern w:val="0"/>
          <w:sz w:val="24"/>
        </w:rPr>
        <w:t>-</w:t>
      </w:r>
      <w:r>
        <w:rPr>
          <w:kern w:val="0"/>
          <w:sz w:val="24"/>
        </w:rPr>
        <w:pict>
          <v:shape id="_x0000_i1056" o:spt="75" type="#_x0000_t75" style="height:12.75pt;width:21pt;" filled="f" o:preferrelative="t" stroked="f" coordsize="21600,21600">
            <v:path/>
            <v:fill on="f" focussize="0,0"/>
            <v:stroke on="f" joinstyle="miter"/>
            <v:imagedata r:id="rId46" o:title=""/>
            <o:lock v:ext="edit" aspectratio="t"/>
            <w10:wrap type="none"/>
            <w10:anchorlock/>
          </v:shape>
        </w:pict>
      </w:r>
      <w:r>
        <w:rPr>
          <w:kern w:val="0"/>
          <w:sz w:val="24"/>
          <w:vertAlign w:val="subscript"/>
        </w:rPr>
        <w:t>2</w:t>
      </w:r>
      <w:r>
        <w:rPr>
          <w:kern w:val="0"/>
          <w:sz w:val="24"/>
        </w:rPr>
        <w:t>+</w:t>
      </w:r>
      <w:r>
        <w:rPr>
          <w:kern w:val="0"/>
          <w:sz w:val="24"/>
        </w:rPr>
        <w:pict>
          <v:shape id="_x0000_i1057" o:spt="75" type="#_x0000_t75" style="height:12.75pt;width:21pt;" filled="f" o:preferrelative="t" stroked="f" coordsize="21600,21600">
            <v:path/>
            <v:fill on="f" focussize="0,0"/>
            <v:stroke on="f" joinstyle="miter"/>
            <v:imagedata r:id="rId46" o:title=""/>
            <o:lock v:ext="edit" aspectratio="t"/>
            <w10:wrap type="none"/>
            <w10:anchorlock/>
          </v:shape>
        </w:pict>
      </w:r>
      <w:r>
        <w:rPr>
          <w:kern w:val="0"/>
          <w:sz w:val="24"/>
          <w:vertAlign w:val="subscript"/>
        </w:rPr>
        <w:t>3</w:t>
      </w:r>
    </w:p>
    <w:p>
      <w:pPr>
        <w:spacing w:line="360" w:lineRule="auto"/>
        <w:ind w:firstLine="31680" w:firstLineChars="200"/>
        <w:jc w:val="center"/>
        <w:rPr>
          <w:kern w:val="0"/>
          <w:sz w:val="24"/>
        </w:rPr>
      </w:pPr>
      <w:r>
        <w:rPr>
          <w:kern w:val="0"/>
          <w:sz w:val="24"/>
        </w:rPr>
        <w:pict>
          <v:shape id="_x0000_i1058" o:spt="75" type="#_x0000_t75" style="height:12.75pt;width:21pt;" filled="f" o:preferrelative="t" stroked="f" coordsize="21600,21600">
            <v:path/>
            <v:fill on="f" focussize="0,0"/>
            <v:stroke on="f" joinstyle="miter"/>
            <v:imagedata r:id="rId46" o:title=""/>
            <o:lock v:ext="edit" aspectratio="t"/>
            <w10:wrap type="none"/>
            <w10:anchorlock/>
          </v:shape>
        </w:pict>
      </w:r>
      <w:r>
        <w:rPr>
          <w:kern w:val="0"/>
          <w:sz w:val="24"/>
          <w:vertAlign w:val="subscript"/>
        </w:rPr>
        <w:t>1</w:t>
      </w:r>
      <w:r>
        <w:rPr>
          <w:kern w:val="0"/>
          <w:sz w:val="24"/>
        </w:rPr>
        <w:t>=</w:t>
      </w:r>
      <w:r>
        <w:rPr>
          <w:kern w:val="0"/>
          <w:sz w:val="24"/>
        </w:rPr>
        <w:pict>
          <v:shape id="_x0000_i1059" o:spt="75" type="#_x0000_t75" style="height:12.75pt;width:21pt;" filled="f" o:preferrelative="t" stroked="f" coordsize="21600,21600">
            <v:path/>
            <v:fill on="f" focussize="0,0"/>
            <v:stroke on="f" joinstyle="miter"/>
            <v:imagedata r:id="rId46" o:title=""/>
            <o:lock v:ext="edit" aspectratio="t"/>
            <w10:wrap type="none"/>
            <w10:anchorlock/>
          </v:shape>
        </w:pict>
      </w:r>
      <w:r>
        <w:rPr>
          <w:rFonts w:hint="eastAsia"/>
          <w:kern w:val="0"/>
          <w:sz w:val="24"/>
          <w:vertAlign w:val="subscript"/>
        </w:rPr>
        <w:t>坡度</w:t>
      </w:r>
      <w:r>
        <w:rPr>
          <w:kern w:val="0"/>
          <w:sz w:val="24"/>
        </w:rPr>
        <w:t>+</w:t>
      </w:r>
      <w:r>
        <w:rPr>
          <w:kern w:val="0"/>
          <w:sz w:val="24"/>
        </w:rPr>
        <w:pict>
          <v:shape id="_x0000_i1060" o:spt="75" type="#_x0000_t75" style="height:12.75pt;width:21pt;" filled="f" o:preferrelative="t" stroked="f" coordsize="21600,21600">
            <v:path/>
            <v:fill on="f" focussize="0,0"/>
            <v:stroke on="f" joinstyle="miter"/>
            <v:imagedata r:id="rId46" o:title=""/>
            <o:lock v:ext="edit" aspectratio="t"/>
            <w10:wrap type="none"/>
            <w10:anchorlock/>
          </v:shape>
        </w:pict>
      </w:r>
      <w:r>
        <w:rPr>
          <w:rFonts w:hint="eastAsia"/>
          <w:kern w:val="0"/>
          <w:sz w:val="24"/>
          <w:vertAlign w:val="subscript"/>
        </w:rPr>
        <w:t>路面</w:t>
      </w:r>
    </w:p>
    <w:p>
      <w:pPr>
        <w:spacing w:line="360" w:lineRule="auto"/>
        <w:ind w:firstLine="31680" w:firstLineChars="200"/>
        <w:jc w:val="center"/>
        <w:rPr>
          <w:kern w:val="0"/>
          <w:sz w:val="24"/>
        </w:rPr>
      </w:pPr>
      <w:r>
        <w:rPr>
          <w:kern w:val="0"/>
          <w:sz w:val="24"/>
        </w:rPr>
        <w:pict>
          <v:shape id="_x0000_i1061" o:spt="75" type="#_x0000_t75" style="height:12.75pt;width:21pt;" filled="f" o:preferrelative="t" stroked="f" coordsize="21600,21600">
            <v:path/>
            <v:fill on="f" focussize="0,0"/>
            <v:stroke on="f" joinstyle="miter"/>
            <v:imagedata r:id="rId46" o:title=""/>
            <o:lock v:ext="edit" aspectratio="t"/>
            <w10:wrap type="none"/>
            <w10:anchorlock/>
          </v:shape>
        </w:pict>
      </w:r>
      <w:r>
        <w:rPr>
          <w:kern w:val="0"/>
          <w:sz w:val="24"/>
          <w:vertAlign w:val="subscript"/>
        </w:rPr>
        <w:t>2</w:t>
      </w:r>
      <w:r>
        <w:rPr>
          <w:kern w:val="0"/>
          <w:sz w:val="24"/>
        </w:rPr>
        <w:t>=A</w:t>
      </w:r>
      <w:r>
        <w:rPr>
          <w:kern w:val="0"/>
          <w:sz w:val="24"/>
          <w:vertAlign w:val="subscript"/>
        </w:rPr>
        <w:t>atm</w:t>
      </w:r>
      <w:r>
        <w:rPr>
          <w:kern w:val="0"/>
          <w:sz w:val="24"/>
        </w:rPr>
        <w:t>+A</w:t>
      </w:r>
      <w:r>
        <w:rPr>
          <w:kern w:val="0"/>
          <w:sz w:val="24"/>
          <w:vertAlign w:val="subscript"/>
        </w:rPr>
        <w:t>gr</w:t>
      </w:r>
      <w:r>
        <w:rPr>
          <w:kern w:val="0"/>
          <w:sz w:val="24"/>
        </w:rPr>
        <w:t>+A</w:t>
      </w:r>
      <w:r>
        <w:rPr>
          <w:kern w:val="0"/>
          <w:sz w:val="24"/>
          <w:vertAlign w:val="subscript"/>
        </w:rPr>
        <w:t>bar</w:t>
      </w:r>
      <w:r>
        <w:rPr>
          <w:kern w:val="0"/>
          <w:sz w:val="24"/>
        </w:rPr>
        <w:t>+A</w:t>
      </w:r>
      <w:r>
        <w:rPr>
          <w:kern w:val="0"/>
          <w:sz w:val="24"/>
          <w:vertAlign w:val="subscript"/>
        </w:rPr>
        <w:t>misc</w:t>
      </w:r>
    </w:p>
    <w:p>
      <w:pPr>
        <w:spacing w:line="360" w:lineRule="auto"/>
        <w:ind w:firstLine="31680" w:firstLineChars="200"/>
        <w:rPr>
          <w:kern w:val="0"/>
          <w:sz w:val="24"/>
        </w:rPr>
      </w:pPr>
      <w:r>
        <w:rPr>
          <w:rFonts w:hint="eastAsia"/>
          <w:kern w:val="0"/>
          <w:sz w:val="24"/>
          <w:lang w:val="zh-CN"/>
        </w:rPr>
        <w:t>式中</w:t>
      </w:r>
      <w:r>
        <w:rPr>
          <w:rFonts w:hint="eastAsia"/>
          <w:kern w:val="0"/>
          <w:sz w:val="24"/>
        </w:rPr>
        <w:t>：</w:t>
      </w:r>
      <w:r>
        <w:rPr>
          <w:kern w:val="0"/>
          <w:sz w:val="24"/>
        </w:rPr>
        <w:pict>
          <v:shape id="_x0000_i1062" o:spt="75" type="#_x0000_t75" style="height:12.75pt;width:21pt;" filled="f" o:preferrelative="t" stroked="f" coordsize="21600,21600">
            <v:path/>
            <v:fill on="f" focussize="0,0"/>
            <v:stroke on="f" joinstyle="miter"/>
            <v:imagedata r:id="rId46" o:title=""/>
            <o:lock v:ext="edit" aspectratio="t"/>
            <w10:wrap type="none"/>
            <w10:anchorlock/>
          </v:shape>
        </w:pict>
      </w:r>
      <w:r>
        <w:rPr>
          <w:kern w:val="0"/>
          <w:sz w:val="24"/>
          <w:vertAlign w:val="subscript"/>
        </w:rPr>
        <w:t>1</w:t>
      </w:r>
      <w:r>
        <w:rPr>
          <w:kern w:val="0"/>
          <w:sz w:val="24"/>
        </w:rPr>
        <w:t>--</w:t>
      </w:r>
      <w:r>
        <w:rPr>
          <w:rFonts w:hint="eastAsia"/>
          <w:kern w:val="0"/>
          <w:sz w:val="24"/>
        </w:rPr>
        <w:t>线路因素引起的修正量，</w:t>
      </w:r>
      <w:r>
        <w:rPr>
          <w:kern w:val="0"/>
          <w:sz w:val="24"/>
        </w:rPr>
        <w:t>dB(A)</w:t>
      </w:r>
      <w:r>
        <w:rPr>
          <w:rFonts w:hint="eastAsia"/>
          <w:kern w:val="0"/>
          <w:sz w:val="24"/>
        </w:rPr>
        <w:t>；</w:t>
      </w:r>
    </w:p>
    <w:p>
      <w:pPr>
        <w:spacing w:line="360" w:lineRule="auto"/>
        <w:ind w:firstLine="31680" w:firstLineChars="500"/>
        <w:rPr>
          <w:kern w:val="0"/>
          <w:sz w:val="24"/>
        </w:rPr>
      </w:pPr>
      <w:r>
        <w:rPr>
          <w:kern w:val="0"/>
          <w:sz w:val="24"/>
        </w:rPr>
        <w:pict>
          <v:shape id="_x0000_i1063" o:spt="75" type="#_x0000_t75" style="height:12.75pt;width:21pt;" filled="f" o:preferrelative="t" stroked="f" coordsize="21600,21600">
            <v:path/>
            <v:fill on="f" focussize="0,0"/>
            <v:stroke on="f" joinstyle="miter"/>
            <v:imagedata r:id="rId46" o:title=""/>
            <o:lock v:ext="edit" aspectratio="t"/>
            <w10:wrap type="none"/>
            <w10:anchorlock/>
          </v:shape>
        </w:pict>
      </w:r>
      <w:r>
        <w:rPr>
          <w:rFonts w:hint="eastAsia"/>
          <w:kern w:val="0"/>
          <w:sz w:val="24"/>
          <w:vertAlign w:val="subscript"/>
        </w:rPr>
        <w:t>坡度</w:t>
      </w:r>
      <w:r>
        <w:rPr>
          <w:kern w:val="0"/>
          <w:sz w:val="24"/>
        </w:rPr>
        <w:t>--</w:t>
      </w:r>
      <w:r>
        <w:rPr>
          <w:rFonts w:hint="eastAsia"/>
          <w:kern w:val="0"/>
          <w:sz w:val="24"/>
        </w:rPr>
        <w:t>公路纵坡修正量，</w:t>
      </w:r>
      <w:r>
        <w:rPr>
          <w:kern w:val="0"/>
          <w:sz w:val="24"/>
        </w:rPr>
        <w:t>dB(A)</w:t>
      </w:r>
      <w:r>
        <w:rPr>
          <w:rFonts w:hint="eastAsia"/>
          <w:kern w:val="0"/>
          <w:sz w:val="24"/>
        </w:rPr>
        <w:t>；</w:t>
      </w:r>
    </w:p>
    <w:p>
      <w:pPr>
        <w:spacing w:line="360" w:lineRule="auto"/>
        <w:ind w:firstLine="31680" w:firstLineChars="500"/>
        <w:rPr>
          <w:kern w:val="0"/>
          <w:sz w:val="24"/>
        </w:rPr>
      </w:pPr>
      <w:r>
        <w:rPr>
          <w:kern w:val="0"/>
          <w:sz w:val="24"/>
        </w:rPr>
        <w:pict>
          <v:shape id="_x0000_i1064" o:spt="75" type="#_x0000_t75" style="height:12.75pt;width:21pt;" filled="f" o:preferrelative="t" stroked="f" coordsize="21600,21600">
            <v:path/>
            <v:fill on="f" focussize="0,0"/>
            <v:stroke on="f" joinstyle="miter"/>
            <v:imagedata r:id="rId46" o:title=""/>
            <o:lock v:ext="edit" aspectratio="t"/>
            <w10:wrap type="none"/>
            <w10:anchorlock/>
          </v:shape>
        </w:pict>
      </w:r>
      <w:r>
        <w:rPr>
          <w:rFonts w:hint="eastAsia"/>
          <w:kern w:val="0"/>
          <w:sz w:val="24"/>
          <w:vertAlign w:val="subscript"/>
        </w:rPr>
        <w:t>路面</w:t>
      </w:r>
      <w:r>
        <w:rPr>
          <w:kern w:val="0"/>
          <w:sz w:val="24"/>
        </w:rPr>
        <w:t>--</w:t>
      </w:r>
      <w:r>
        <w:rPr>
          <w:rFonts w:hint="eastAsia"/>
          <w:kern w:val="0"/>
          <w:sz w:val="24"/>
        </w:rPr>
        <w:t>公路路面材料引起的修正量，</w:t>
      </w:r>
      <w:r>
        <w:rPr>
          <w:kern w:val="0"/>
          <w:sz w:val="24"/>
        </w:rPr>
        <w:t>dB(A)</w:t>
      </w:r>
      <w:r>
        <w:rPr>
          <w:rFonts w:hint="eastAsia"/>
          <w:kern w:val="0"/>
          <w:sz w:val="24"/>
        </w:rPr>
        <w:t>；</w:t>
      </w:r>
    </w:p>
    <w:p>
      <w:pPr>
        <w:spacing w:line="360" w:lineRule="auto"/>
        <w:ind w:firstLine="31680" w:firstLineChars="500"/>
        <w:rPr>
          <w:kern w:val="0"/>
          <w:sz w:val="24"/>
        </w:rPr>
      </w:pPr>
      <w:r>
        <w:rPr>
          <w:kern w:val="0"/>
          <w:sz w:val="24"/>
        </w:rPr>
        <w:pict>
          <v:shape id="_x0000_i1065" o:spt="75" type="#_x0000_t75" style="height:12.75pt;width:21pt;" filled="f" o:preferrelative="t" stroked="f" coordsize="21600,21600">
            <v:path/>
            <v:fill on="f" focussize="0,0"/>
            <v:stroke on="f" joinstyle="miter"/>
            <v:imagedata r:id="rId46" o:title=""/>
            <o:lock v:ext="edit" aspectratio="t"/>
            <w10:wrap type="none"/>
            <w10:anchorlock/>
          </v:shape>
        </w:pict>
      </w:r>
      <w:r>
        <w:rPr>
          <w:kern w:val="0"/>
          <w:sz w:val="24"/>
          <w:vertAlign w:val="subscript"/>
        </w:rPr>
        <w:t>2</w:t>
      </w:r>
      <w:r>
        <w:rPr>
          <w:kern w:val="0"/>
          <w:sz w:val="24"/>
        </w:rPr>
        <w:t>--</w:t>
      </w:r>
      <w:r>
        <w:rPr>
          <w:rFonts w:hint="eastAsia"/>
          <w:kern w:val="0"/>
          <w:sz w:val="24"/>
        </w:rPr>
        <w:t>声波传播途径引起的衰减量，</w:t>
      </w:r>
      <w:r>
        <w:rPr>
          <w:kern w:val="0"/>
          <w:sz w:val="24"/>
        </w:rPr>
        <w:t>dB(A)</w:t>
      </w:r>
      <w:r>
        <w:rPr>
          <w:rFonts w:hint="eastAsia"/>
          <w:kern w:val="0"/>
          <w:sz w:val="24"/>
        </w:rPr>
        <w:t>；</w:t>
      </w:r>
    </w:p>
    <w:p>
      <w:pPr>
        <w:spacing w:line="360" w:lineRule="auto"/>
        <w:ind w:firstLine="31680" w:firstLineChars="500"/>
        <w:rPr>
          <w:kern w:val="0"/>
          <w:sz w:val="24"/>
        </w:rPr>
      </w:pPr>
      <w:r>
        <w:rPr>
          <w:kern w:val="0"/>
          <w:sz w:val="24"/>
        </w:rPr>
        <w:pict>
          <v:shape id="_x0000_i1066" o:spt="75" type="#_x0000_t75" style="height:12.75pt;width:21pt;" filled="f" o:preferrelative="t" stroked="f" coordsize="21600,21600">
            <v:path/>
            <v:fill on="f" focussize="0,0"/>
            <v:stroke on="f" joinstyle="miter"/>
            <v:imagedata r:id="rId46" o:title=""/>
            <o:lock v:ext="edit" aspectratio="t"/>
            <w10:wrap type="none"/>
            <w10:anchorlock/>
          </v:shape>
        </w:pict>
      </w:r>
      <w:r>
        <w:rPr>
          <w:kern w:val="0"/>
          <w:sz w:val="24"/>
          <w:vertAlign w:val="subscript"/>
        </w:rPr>
        <w:t>3</w:t>
      </w:r>
      <w:r>
        <w:rPr>
          <w:kern w:val="0"/>
          <w:sz w:val="24"/>
        </w:rPr>
        <w:t>--</w:t>
      </w:r>
      <w:r>
        <w:rPr>
          <w:rFonts w:hint="eastAsia"/>
          <w:kern w:val="0"/>
          <w:sz w:val="24"/>
        </w:rPr>
        <w:t>由反射等引起的修正量，</w:t>
      </w:r>
      <w:r>
        <w:rPr>
          <w:kern w:val="0"/>
          <w:sz w:val="24"/>
        </w:rPr>
        <w:t>dB(A)</w:t>
      </w:r>
      <w:r>
        <w:rPr>
          <w:rFonts w:hint="eastAsia"/>
          <w:kern w:val="0"/>
          <w:sz w:val="24"/>
        </w:rPr>
        <w:t>。</w:t>
      </w:r>
    </w:p>
    <w:p>
      <w:pPr>
        <w:spacing w:line="360" w:lineRule="auto"/>
        <w:ind w:firstLine="31680" w:firstLineChars="200"/>
        <w:rPr>
          <w:kern w:val="0"/>
          <w:sz w:val="24"/>
        </w:rPr>
      </w:pPr>
      <w:r>
        <w:rPr>
          <w:kern w:val="0"/>
          <w:sz w:val="24"/>
        </w:rPr>
        <w:t>b</w:t>
      </w:r>
      <w:r>
        <w:rPr>
          <w:rFonts w:hint="eastAsia" w:hAnsi="宋体"/>
          <w:kern w:val="0"/>
          <w:sz w:val="24"/>
        </w:rPr>
        <w:t>）</w:t>
      </w:r>
      <w:r>
        <w:rPr>
          <w:rFonts w:hint="eastAsia"/>
          <w:kern w:val="0"/>
          <w:sz w:val="24"/>
        </w:rPr>
        <w:t>总车流等效声级</w:t>
      </w:r>
    </w:p>
    <w:p>
      <w:pPr>
        <w:spacing w:line="360" w:lineRule="auto"/>
        <w:ind w:firstLine="31680" w:firstLineChars="200"/>
        <w:jc w:val="center"/>
        <w:rPr>
          <w:spacing w:val="6"/>
          <w:kern w:val="0"/>
          <w:sz w:val="24"/>
          <w:u w:val="wave"/>
        </w:rPr>
      </w:pPr>
      <w:r>
        <w:rPr>
          <w:kern w:val="0"/>
          <w:sz w:val="24"/>
        </w:rPr>
        <w:pict>
          <v:shape id="_x0000_i1067" o:spt="75" type="#_x0000_t75" style="height:22.5pt;width:264pt;" filled="f" o:preferrelative="t" stroked="f" coordsize="21600,21600">
            <v:path/>
            <v:fill on="f" focussize="0,0"/>
            <v:stroke on="f" joinstyle="miter"/>
            <v:imagedata r:id="rId47" o:title=""/>
            <o:lock v:ext="edit" aspectratio="t"/>
            <w10:wrap type="none"/>
            <w10:anchorlock/>
          </v:shape>
        </w:pict>
      </w:r>
    </w:p>
    <w:p>
      <w:pPr>
        <w:spacing w:line="360" w:lineRule="auto"/>
        <w:ind w:firstLine="31680" w:firstLineChars="200"/>
        <w:rPr>
          <w:kern w:val="0"/>
          <w:sz w:val="24"/>
        </w:rPr>
      </w:pPr>
      <w:r>
        <w:rPr>
          <w:kern w:val="0"/>
          <w:sz w:val="24"/>
        </w:rPr>
        <w:t>c</w:t>
      </w:r>
      <w:r>
        <w:rPr>
          <w:rFonts w:hint="eastAsia" w:hAnsi="宋体"/>
          <w:kern w:val="0"/>
          <w:sz w:val="24"/>
        </w:rPr>
        <w:t>）</w:t>
      </w:r>
      <w:r>
        <w:rPr>
          <w:rFonts w:hint="eastAsia"/>
          <w:kern w:val="0"/>
          <w:sz w:val="24"/>
        </w:rPr>
        <w:t>敏感点环境噪声预测模式</w:t>
      </w:r>
    </w:p>
    <w:p>
      <w:pPr>
        <w:spacing w:line="360" w:lineRule="auto"/>
        <w:ind w:firstLine="31680" w:firstLineChars="200"/>
        <w:jc w:val="center"/>
        <w:rPr>
          <w:kern w:val="0"/>
          <w:sz w:val="24"/>
        </w:rPr>
      </w:pPr>
      <w:r>
        <w:rPr>
          <w:kern w:val="0"/>
          <w:sz w:val="24"/>
        </w:rPr>
        <w:pict>
          <v:group id="画布 117" o:spid="_x0000_s1039" o:spt="203" style="height:44.15pt;width:160.85pt;" coordsize="20427,5607" editas="canvas">
            <o:lock v:ext="edit"/>
            <v:shape id="画布 117" o:spid="_x0000_s1040" o:spt="75" type="#_x0000_t75" style="position:absolute;left:0;top:0;height:5607;width:20427;" filled="f" stroked="f" coordsize="21600,21600">
              <v:path/>
              <v:fill on="f" focussize="0,0"/>
              <v:stroke on="f"/>
              <v:imagedata o:title=""/>
              <o:lock v:ext="edit" aspectratio="t"/>
            </v:shape>
            <v:rect id="Rectangle 43" o:spid="_x0000_s1041" o:spt="1" style="position:absolute;left:7137;top:101;height:3867;width:92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v:path/>
              <v:fill on="f" focussize="0,0"/>
              <v:stroke on="f"/>
              <v:imagedata o:title=""/>
              <o:lock v:ext="edit" aspectratio="f"/>
              <v:textbox inset="0mm,0mm,0mm,0mm">
                <w:txbxContent>
                  <w:p>
                    <w:r>
                      <w:rPr>
                        <w:rFonts w:ascii="Symbol" w:hAnsi="Symbol" w:cs="Symbol"/>
                        <w:color w:val="000000"/>
                        <w:kern w:val="0"/>
                        <w:sz w:val="50"/>
                        <w:szCs w:val="50"/>
                      </w:rPr>
                      <w:t></w:t>
                    </w:r>
                  </w:p>
                </w:txbxContent>
              </v:textbox>
            </v:rect>
            <v:rect id="Rectangle 44" o:spid="_x0000_s1042" o:spt="1" style="position:absolute;left:18389;top:0;height:3892;width:106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v:path/>
              <v:fill on="f" focussize="0,0"/>
              <v:stroke on="f"/>
              <v:imagedata o:title=""/>
              <o:lock v:ext="edit" aspectratio="f"/>
              <v:textbox inset="0mm,0mm,0mm,0mm" style="mso-fit-shape-to-text:t;">
                <w:txbxContent>
                  <w:p>
                    <w:r>
                      <w:rPr>
                        <w:rFonts w:ascii="Symbol" w:hAnsi="Symbol" w:cs="Symbol"/>
                        <w:color w:val="000000"/>
                        <w:kern w:val="0"/>
                        <w:sz w:val="50"/>
                        <w:szCs w:val="50"/>
                      </w:rPr>
                      <w:t></w:t>
                    </w:r>
                  </w:p>
                </w:txbxContent>
              </v:textbox>
            </v:rect>
            <v:rect id="Rectangle 45" o:spid="_x0000_s1043" o:spt="1" style="position:absolute;left:18052;top:1956;height:825;width:642;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v:path/>
              <v:fill on="f" focussize="0,0"/>
              <v:stroke on="f"/>
              <v:imagedata o:title=""/>
              <o:lock v:ext="edit" aspectratio="f"/>
              <v:textbox inset="0mm,0mm,0mm,0mm" style="mso-fit-shape-to-text:t;">
                <w:txbxContent>
                  <w:p>
                    <w:r>
                      <w:rPr>
                        <w:rFonts w:hint="eastAsia" w:ascii="宋体" w:cs="宋体"/>
                        <w:color w:val="000000"/>
                        <w:kern w:val="0"/>
                        <w:sz w:val="10"/>
                        <w:szCs w:val="10"/>
                      </w:rPr>
                      <w:t>背</w:t>
                    </w:r>
                  </w:p>
                </w:txbxContent>
              </v:textbox>
            </v:rect>
            <v:rect id="Rectangle 46" o:spid="_x0000_s1044" o:spt="1" style="position:absolute;left:11671;top:1968;height:826;width:64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v:path/>
              <v:fill on="f" focussize="0,0"/>
              <v:stroke on="f"/>
              <v:imagedata o:title=""/>
              <o:lock v:ext="edit" aspectratio="f"/>
              <v:textbox inset="0mm,0mm,0mm,0mm" style="mso-fit-shape-to-text:t;">
                <w:txbxContent>
                  <w:p>
                    <w:r>
                      <w:rPr>
                        <w:rFonts w:hint="eastAsia" w:ascii="宋体" w:cs="宋体"/>
                        <w:color w:val="000000"/>
                        <w:kern w:val="0"/>
                        <w:sz w:val="10"/>
                        <w:szCs w:val="10"/>
                      </w:rPr>
                      <w:t>交</w:t>
                    </w:r>
                  </w:p>
                </w:txbxContent>
              </v:textbox>
            </v:rect>
            <v:rect id="Rectangle 47" o:spid="_x0000_s1045" o:spt="1" style="position:absolute;left:1949;top:2870;height:1156;width:896;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v:path/>
              <v:fill on="f" focussize="0,0"/>
              <v:stroke on="f"/>
              <v:imagedata o:title=""/>
              <o:lock v:ext="edit" aspectratio="f"/>
              <v:textbox inset="0mm,0mm,0mm,0mm" style="mso-fit-shape-to-text:t;">
                <w:txbxContent>
                  <w:p>
                    <w:r>
                      <w:rPr>
                        <w:rFonts w:hint="eastAsia" w:ascii="宋体" w:cs="宋体"/>
                        <w:color w:val="000000"/>
                        <w:kern w:val="0"/>
                        <w:sz w:val="14"/>
                        <w:szCs w:val="14"/>
                      </w:rPr>
                      <w:t>环</w:t>
                    </w:r>
                  </w:p>
                </w:txbxContent>
              </v:textbox>
            </v:rect>
            <v:rect id="Rectangle 48" o:spid="_x0000_s1046" o:spt="1" style="position:absolute;left:16725;top:1467;height:1022;width:134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v:path/>
              <v:fill on="f" focussize="0,0"/>
              <v:stroke on="f"/>
              <v:imagedata o:title=""/>
              <o:lock v:ext="edit" aspectratio="f"/>
              <v:textbox inset="0mm,0mm,0mm,0mm" style="mso-fit-shape-to-text:t;">
                <w:txbxContent>
                  <w:p>
                    <w:r>
                      <w:rPr>
                        <w:i/>
                        <w:iCs/>
                        <w:color w:val="000000"/>
                        <w:kern w:val="0"/>
                        <w:sz w:val="14"/>
                        <w:szCs w:val="14"/>
                      </w:rPr>
                      <w:t>Lep</w:t>
                    </w:r>
                  </w:p>
                </w:txbxContent>
              </v:textbox>
            </v:rect>
            <v:rect id="Rectangle 49" o:spid="_x0000_s1047" o:spt="1" style="position:absolute;left:10344;top:1467;height:1022;width:1339;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v:path/>
              <v:fill on="f" focussize="0,0"/>
              <v:stroke on="f"/>
              <v:imagedata o:title=""/>
              <o:lock v:ext="edit" aspectratio="f"/>
              <v:textbox inset="0mm,0mm,0mm,0mm" style="mso-fit-shape-to-text:t;">
                <w:txbxContent>
                  <w:p>
                    <w:r>
                      <w:rPr>
                        <w:i/>
                        <w:iCs/>
                        <w:color w:val="000000"/>
                        <w:kern w:val="0"/>
                        <w:sz w:val="14"/>
                        <w:szCs w:val="14"/>
                      </w:rPr>
                      <w:t>Lep</w:t>
                    </w:r>
                  </w:p>
                </w:txbxContent>
              </v:textbox>
            </v:rect>
            <v:rect id="Rectangle 50" o:spid="_x0000_s1048" o:spt="1" style="position:absolute;left:1118;top:2845;height:1022;width:838;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v:path/>
              <v:fill on="f" focussize="0,0"/>
              <v:stroke on="f"/>
              <v:imagedata o:title=""/>
              <o:lock v:ext="edit" aspectratio="f"/>
              <v:textbox inset="0mm,0mm,0mm,0mm" style="mso-fit-shape-to-text:t;">
                <w:txbxContent>
                  <w:p>
                    <w:r>
                      <w:rPr>
                        <w:i/>
                        <w:iCs/>
                        <w:color w:val="000000"/>
                        <w:kern w:val="0"/>
                        <w:sz w:val="14"/>
                        <w:szCs w:val="14"/>
                      </w:rPr>
                      <w:t>eq</w:t>
                    </w:r>
                  </w:p>
                </w:txbxContent>
              </v:textbox>
            </v:rect>
            <v:rect id="Rectangle 51" o:spid="_x0000_s1049" o:spt="1" style="position:absolute;left:279;top:1886;height:1753;width:85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v:path/>
              <v:fill on="f" focussize="0,0"/>
              <v:stroke on="f"/>
              <v:imagedata o:title=""/>
              <o:lock v:ext="edit" aspectratio="f"/>
              <v:textbox inset="0mm,0mm,0mm,0mm" style="mso-fit-shape-to-text:t;">
                <w:txbxContent>
                  <w:p>
                    <w:r>
                      <w:rPr>
                        <w:i/>
                        <w:iCs/>
                        <w:color w:val="000000"/>
                        <w:kern w:val="0"/>
                        <w:sz w:val="24"/>
                        <w:szCs w:val="24"/>
                      </w:rPr>
                      <w:t>L</w:t>
                    </w:r>
                  </w:p>
                </w:txbxContent>
              </v:textbox>
            </v:rect>
            <v:rect id="Rectangle 52" o:spid="_x0000_s1050" o:spt="1" style="position:absolute;left:16192;top:1765;height:1023;width:45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v:path/>
              <v:fill on="f" focussize="0,0"/>
              <v:stroke on="f"/>
              <v:imagedata o:title=""/>
              <o:lock v:ext="edit" aspectratio="f"/>
              <v:textbox inset="0mm,0mm,0mm,0mm" style="mso-fit-shape-to-text:t;">
                <w:txbxContent>
                  <w:p>
                    <w:r>
                      <w:rPr>
                        <w:color w:val="000000"/>
                        <w:kern w:val="0"/>
                        <w:sz w:val="14"/>
                        <w:szCs w:val="14"/>
                      </w:rPr>
                      <w:t>1</w:t>
                    </w:r>
                  </w:p>
                </w:txbxContent>
              </v:textbox>
            </v:rect>
            <v:rect id="Rectangle 53" o:spid="_x0000_s1051" o:spt="1" style="position:absolute;left:15970;top:1765;height:1023;width:228;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v:path/>
              <v:fill on="f" focussize="0,0"/>
              <v:stroke on="f"/>
              <v:imagedata o:title=""/>
              <o:lock v:ext="edit" aspectratio="f"/>
              <v:textbox inset="0mm,0mm,0mm,0mm" style="mso-fit-shape-to-text:t;">
                <w:txbxContent>
                  <w:p>
                    <w:r>
                      <w:rPr>
                        <w:color w:val="000000"/>
                        <w:kern w:val="0"/>
                        <w:sz w:val="14"/>
                        <w:szCs w:val="14"/>
                      </w:rPr>
                      <w:t>.</w:t>
                    </w:r>
                  </w:p>
                </w:txbxContent>
              </v:textbox>
            </v:rect>
            <v:rect id="Rectangle 54" o:spid="_x0000_s1052" o:spt="1" style="position:absolute;left:15525;top:1765;height:1023;width:45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v:path/>
              <v:fill on="f" focussize="0,0"/>
              <v:stroke on="f"/>
              <v:imagedata o:title=""/>
              <o:lock v:ext="edit" aspectratio="f"/>
              <v:textbox inset="0mm,0mm,0mm,0mm" style="mso-fit-shape-to-text:t;">
                <w:txbxContent>
                  <w:p>
                    <w:r>
                      <w:rPr>
                        <w:color w:val="000000"/>
                        <w:kern w:val="0"/>
                        <w:sz w:val="14"/>
                        <w:szCs w:val="14"/>
                      </w:rPr>
                      <w:t>0</w:t>
                    </w:r>
                  </w:p>
                </w:txbxContent>
              </v:textbox>
            </v:rect>
            <v:rect id="Rectangle 55" o:spid="_x0000_s1053" o:spt="1" style="position:absolute;left:9810;top:1765;height:1023;width:45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v:path/>
              <v:fill on="f" focussize="0,0"/>
              <v:stroke on="f"/>
              <v:imagedata o:title=""/>
              <o:lock v:ext="edit" aspectratio="f"/>
              <v:textbox inset="0mm,0mm,0mm,0mm" style="mso-fit-shape-to-text:t;">
                <w:txbxContent>
                  <w:p>
                    <w:r>
                      <w:rPr>
                        <w:color w:val="000000"/>
                        <w:kern w:val="0"/>
                        <w:sz w:val="14"/>
                        <w:szCs w:val="14"/>
                      </w:rPr>
                      <w:t>1</w:t>
                    </w:r>
                  </w:p>
                </w:txbxContent>
              </v:textbox>
            </v:rect>
            <v:rect id="Rectangle 56" o:spid="_x0000_s1054" o:spt="1" style="position:absolute;left:9588;top:1765;height:1023;width:229;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v:path/>
              <v:fill on="f" focussize="0,0"/>
              <v:stroke on="f"/>
              <v:imagedata o:title=""/>
              <o:lock v:ext="edit" aspectratio="f"/>
              <v:textbox inset="0mm,0mm,0mm,0mm" style="mso-fit-shape-to-text:t;">
                <w:txbxContent>
                  <w:p>
                    <w:r>
                      <w:rPr>
                        <w:color w:val="000000"/>
                        <w:kern w:val="0"/>
                        <w:sz w:val="14"/>
                        <w:szCs w:val="14"/>
                      </w:rPr>
                      <w:t>.</w:t>
                    </w:r>
                  </w:p>
                </w:txbxContent>
              </v:textbox>
            </v:rect>
            <v:rect id="Rectangle 57" o:spid="_x0000_s1055" o:spt="1" style="position:absolute;left:9144;top:1765;height:1023;width:45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v:path/>
              <v:fill on="f" focussize="0,0"/>
              <v:stroke on="f"/>
              <v:imagedata o:title=""/>
              <o:lock v:ext="edit" aspectratio="f"/>
              <v:textbox inset="0mm,0mm,0mm,0mm" style="mso-fit-shape-to-text:t;">
                <w:txbxContent>
                  <w:p>
                    <w:r>
                      <w:rPr>
                        <w:color w:val="000000"/>
                        <w:kern w:val="0"/>
                        <w:sz w:val="14"/>
                        <w:szCs w:val="14"/>
                      </w:rPr>
                      <w:t>0</w:t>
                    </w:r>
                  </w:p>
                </w:txbxContent>
              </v:textbox>
            </v:rect>
            <v:rect id="Rectangle 58" o:spid="_x0000_s1056" o:spt="1" style="position:absolute;left:13912;top:1886;height:1753;width:153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v:path/>
              <v:fill on="f" focussize="0,0"/>
              <v:stroke on="f"/>
              <v:imagedata o:title=""/>
              <o:lock v:ext="edit" aspectratio="f"/>
              <v:textbox inset="0mm,0mm,0mm,0mm" style="mso-fit-shape-to-text:t;">
                <w:txbxContent>
                  <w:p>
                    <w:r>
                      <w:rPr>
                        <w:color w:val="000000"/>
                        <w:kern w:val="0"/>
                        <w:sz w:val="24"/>
                        <w:szCs w:val="24"/>
                      </w:rPr>
                      <w:t>10</w:t>
                    </w:r>
                  </w:p>
                </w:txbxContent>
              </v:textbox>
            </v:rect>
            <v:rect id="Rectangle 59" o:spid="_x0000_s1057" o:spt="1" style="position:absolute;left:7531;top:1886;height:1753;width:153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v:path/>
              <v:fill on="f" focussize="0,0"/>
              <v:stroke on="f"/>
              <v:imagedata o:title=""/>
              <o:lock v:ext="edit" aspectratio="f"/>
              <v:textbox inset="0mm,0mm,0mm,0mm" style="mso-fit-shape-to-text:t;">
                <w:txbxContent>
                  <w:p>
                    <w:r>
                      <w:rPr>
                        <w:color w:val="000000"/>
                        <w:kern w:val="0"/>
                        <w:sz w:val="24"/>
                        <w:szCs w:val="24"/>
                      </w:rPr>
                      <w:t>10</w:t>
                    </w:r>
                  </w:p>
                </w:txbxContent>
              </v:textbox>
            </v:rect>
            <v:rect id="Rectangle 60" o:spid="_x0000_s1058" o:spt="1" style="position:absolute;left:6293;top:1886;height:1753;width:118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v:path/>
              <v:fill on="f" focussize="0,0"/>
              <v:stroke on="f"/>
              <v:imagedata o:title=""/>
              <o:lock v:ext="edit" aspectratio="f"/>
              <v:textbox inset="0mm,0mm,0mm,0mm" style="mso-fit-shape-to-text:t;">
                <w:txbxContent>
                  <w:p>
                    <w:r>
                      <w:rPr>
                        <w:color w:val="000000"/>
                        <w:kern w:val="0"/>
                        <w:sz w:val="24"/>
                        <w:szCs w:val="24"/>
                      </w:rPr>
                      <w:t>lg</w:t>
                    </w:r>
                  </w:p>
                </w:txbxContent>
              </v:textbox>
            </v:rect>
            <v:rect id="Rectangle 61" o:spid="_x0000_s1059" o:spt="1" style="position:absolute;left:4496;top:1886;height:1753;width:153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v:path/>
              <v:fill on="f" focussize="0,0"/>
              <v:stroke on="f"/>
              <v:imagedata o:title=""/>
              <o:lock v:ext="edit" aspectratio="f"/>
              <v:textbox inset="0mm,0mm,0mm,0mm" style="mso-fit-shape-to-text:t;">
                <w:txbxContent>
                  <w:p>
                    <w:r>
                      <w:rPr>
                        <w:color w:val="000000"/>
                        <w:kern w:val="0"/>
                        <w:sz w:val="24"/>
                        <w:szCs w:val="24"/>
                      </w:rPr>
                      <w:t>10</w:t>
                    </w:r>
                  </w:p>
                </w:txbxContent>
              </v:textbox>
            </v:rect>
            <v:rect id="Rectangle 62" o:spid="_x0000_s1060" o:spt="1" style="position:absolute;left:12915;top:1714;height:1867;width:838;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v:path/>
              <v:fill on="f" focussize="0,0"/>
              <v:stroke on="f"/>
              <v:imagedata o:title=""/>
              <o:lock v:ext="edit" aspectratio="f"/>
              <v:textbox inset="0mm,0mm,0mm,0mm" style="mso-fit-shape-to-text:t;">
                <w:txbxContent>
                  <w:p>
                    <w:r>
                      <w:rPr>
                        <w:rFonts w:ascii="Symbol" w:hAnsi="Symbol" w:cs="Symbol"/>
                        <w:color w:val="000000"/>
                        <w:kern w:val="0"/>
                        <w:sz w:val="24"/>
                        <w:szCs w:val="24"/>
                      </w:rPr>
                      <w:t></w:t>
                    </w:r>
                  </w:p>
                </w:txbxContent>
              </v:textbox>
            </v:rect>
            <v:rect id="Rectangle 63" o:spid="_x0000_s1061" o:spt="1" style="position:absolute;left:3422;top:1714;height:1867;width:839;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v:path/>
              <v:fill on="f" focussize="0,0"/>
              <v:stroke on="f"/>
              <v:imagedata o:title=""/>
              <o:lock v:ext="edit" aspectratio="f"/>
              <v:textbox inset="0mm,0mm,0mm,0mm" style="mso-fit-shape-to-text:t;">
                <w:txbxContent>
                  <w:p>
                    <w:r>
                      <w:rPr>
                        <w:rFonts w:ascii="Symbol" w:hAnsi="Symbol" w:cs="Symbol"/>
                        <w:color w:val="000000"/>
                        <w:kern w:val="0"/>
                        <w:sz w:val="24"/>
                        <w:szCs w:val="24"/>
                      </w:rPr>
                      <w:t></w:t>
                    </w:r>
                  </w:p>
                </w:txbxContent>
              </v:textbox>
            </v:rect>
            <w10:wrap type="none"/>
            <w10:anchorlock/>
          </v:group>
        </w:pict>
      </w:r>
    </w:p>
    <w:p>
      <w:pPr>
        <w:spacing w:line="360" w:lineRule="auto"/>
        <w:ind w:firstLine="31680" w:firstLineChars="200"/>
        <w:rPr>
          <w:kern w:val="0"/>
          <w:sz w:val="24"/>
        </w:rPr>
      </w:pPr>
      <w:r>
        <w:rPr>
          <w:rFonts w:hint="eastAsia"/>
          <w:kern w:val="0"/>
          <w:sz w:val="24"/>
        </w:rPr>
        <w:t>式中：</w:t>
      </w:r>
      <w:r>
        <w:rPr>
          <w:kern w:val="0"/>
          <w:sz w:val="24"/>
        </w:rPr>
        <w:pict>
          <v:shape id="_x0000_i1068" o:spt="75" type="#_x0000_t75" style="height:19.5pt;width:24pt;" filled="f" o:preferrelative="t" stroked="f" coordsize="21600,21600">
            <v:path/>
            <v:fill on="f" focussize="0,0"/>
            <v:stroke on="f" joinstyle="miter"/>
            <v:imagedata r:id="rId48" o:title=""/>
            <o:lock v:ext="edit" aspectratio="t"/>
            <w10:wrap type="none"/>
            <w10:anchorlock/>
          </v:shape>
        </w:pict>
      </w:r>
      <w:r>
        <w:rPr>
          <w:kern w:val="0"/>
          <w:sz w:val="24"/>
        </w:rPr>
        <w:t>——</w:t>
      </w:r>
      <w:r>
        <w:rPr>
          <w:rFonts w:hint="eastAsia"/>
          <w:kern w:val="0"/>
          <w:sz w:val="24"/>
        </w:rPr>
        <w:t>预测点的环境噪声值，</w:t>
      </w:r>
      <w:r>
        <w:rPr>
          <w:kern w:val="0"/>
          <w:sz w:val="24"/>
        </w:rPr>
        <w:t>dB</w:t>
      </w:r>
      <w:r>
        <w:rPr>
          <w:rFonts w:hint="eastAsia"/>
          <w:kern w:val="0"/>
          <w:sz w:val="24"/>
        </w:rPr>
        <w:t>；</w:t>
      </w:r>
    </w:p>
    <w:p>
      <w:pPr>
        <w:spacing w:line="360" w:lineRule="auto"/>
        <w:ind w:firstLine="31680" w:firstLineChars="500"/>
        <w:rPr>
          <w:kern w:val="0"/>
          <w:sz w:val="24"/>
        </w:rPr>
      </w:pPr>
      <w:r>
        <w:rPr>
          <w:kern w:val="0"/>
          <w:sz w:val="24"/>
        </w:rPr>
        <w:pict>
          <v:shape id="_x0000_i1069" o:spt="75" type="#_x0000_t75" style="height:19.5pt;width:24pt;" filled="f" o:preferrelative="t" stroked="f" coordsize="21600,21600">
            <v:path/>
            <v:fill on="f" focussize="0,0"/>
            <v:stroke on="f" joinstyle="miter"/>
            <v:imagedata r:id="rId49" o:title=""/>
            <o:lock v:ext="edit" aspectratio="t"/>
            <w10:wrap type="none"/>
            <w10:anchorlock/>
          </v:shape>
        </w:pict>
      </w:r>
      <w:r>
        <w:rPr>
          <w:kern w:val="0"/>
          <w:sz w:val="24"/>
        </w:rPr>
        <w:t>——</w:t>
      </w:r>
      <w:r>
        <w:rPr>
          <w:rFonts w:hint="eastAsia"/>
          <w:kern w:val="0"/>
          <w:sz w:val="24"/>
        </w:rPr>
        <w:t>预测点的公路交通噪声预测值，</w:t>
      </w:r>
      <w:r>
        <w:rPr>
          <w:kern w:val="0"/>
          <w:sz w:val="24"/>
        </w:rPr>
        <w:t>dB</w:t>
      </w:r>
      <w:r>
        <w:rPr>
          <w:rFonts w:hint="eastAsia"/>
          <w:kern w:val="0"/>
          <w:sz w:val="24"/>
        </w:rPr>
        <w:t>；</w:t>
      </w:r>
    </w:p>
    <w:p>
      <w:pPr>
        <w:spacing w:line="360" w:lineRule="auto"/>
        <w:ind w:firstLine="31680" w:firstLineChars="500"/>
        <w:rPr>
          <w:kern w:val="0"/>
          <w:sz w:val="24"/>
        </w:rPr>
      </w:pPr>
      <w:r>
        <w:rPr>
          <w:kern w:val="0"/>
          <w:sz w:val="24"/>
        </w:rPr>
        <w:pict>
          <v:shape id="_x0000_i1070" o:spt="75" type="#_x0000_t75" style="height:19.5pt;width:24pt;" filled="f" o:preferrelative="t" stroked="f" coordsize="21600,21600">
            <v:path/>
            <v:fill on="f" focussize="0,0"/>
            <v:stroke on="f" joinstyle="miter"/>
            <v:imagedata r:id="rId50" o:title=""/>
            <o:lock v:ext="edit" aspectratio="t"/>
            <w10:wrap type="none"/>
            <w10:anchorlock/>
          </v:shape>
        </w:pict>
      </w:r>
      <w:r>
        <w:rPr>
          <w:kern w:val="0"/>
          <w:sz w:val="24"/>
        </w:rPr>
        <w:t>——</w:t>
      </w:r>
      <w:r>
        <w:rPr>
          <w:rFonts w:hint="eastAsia"/>
          <w:kern w:val="0"/>
          <w:sz w:val="24"/>
        </w:rPr>
        <w:t>预测点的环境背景噪声值，</w:t>
      </w:r>
      <w:r>
        <w:rPr>
          <w:kern w:val="0"/>
          <w:sz w:val="24"/>
        </w:rPr>
        <w:t>dB</w:t>
      </w:r>
      <w:r>
        <w:rPr>
          <w:rFonts w:hint="eastAsia"/>
          <w:kern w:val="0"/>
          <w:sz w:val="24"/>
        </w:rPr>
        <w:t>。</w:t>
      </w:r>
    </w:p>
    <w:p>
      <w:pPr>
        <w:pStyle w:val="6"/>
        <w:ind w:left="567" w:hanging="567"/>
      </w:pPr>
      <w:r>
        <w:rPr>
          <w:rFonts w:hint="eastAsia"/>
        </w:rPr>
        <w:t>修正量和衰减量的计算</w:t>
      </w:r>
    </w:p>
    <w:p>
      <w:pPr>
        <w:spacing w:line="360" w:lineRule="auto"/>
        <w:ind w:firstLine="31680" w:firstLineChars="200"/>
        <w:rPr>
          <w:sz w:val="24"/>
        </w:rPr>
      </w:pPr>
      <w:r>
        <w:rPr>
          <w:sz w:val="24"/>
        </w:rPr>
        <w:t>a</w:t>
      </w:r>
      <w:r>
        <w:rPr>
          <w:rFonts w:hint="eastAsia"/>
          <w:sz w:val="24"/>
        </w:rPr>
        <w:t>）</w:t>
      </w:r>
      <w:r>
        <w:rPr>
          <w:rFonts w:hint="eastAsia"/>
          <w:kern w:val="0"/>
          <w:sz w:val="24"/>
        </w:rPr>
        <w:t>线</w:t>
      </w:r>
      <w:r>
        <w:rPr>
          <w:rFonts w:hint="eastAsia"/>
          <w:spacing w:val="-1"/>
          <w:kern w:val="0"/>
          <w:sz w:val="24"/>
        </w:rPr>
        <w:t>路</w:t>
      </w:r>
      <w:r>
        <w:rPr>
          <w:rFonts w:hint="eastAsia"/>
          <w:kern w:val="0"/>
          <w:sz w:val="24"/>
        </w:rPr>
        <w:t>因素引起的修正量（</w:t>
      </w:r>
      <w:r>
        <w:rPr>
          <w:kern w:val="0"/>
          <w:sz w:val="24"/>
        </w:rPr>
        <w:pict>
          <v:shape id="_x0000_i1071" o:spt="75" type="#_x0000_t75" style="height:12.75pt;width:21pt;" filled="f" o:preferrelative="t" stroked="f" coordsize="21600,21600">
            <v:path/>
            <v:fill on="f" focussize="0,0"/>
            <v:stroke on="f" joinstyle="miter"/>
            <v:imagedata r:id="rId46" o:title=""/>
            <o:lock v:ext="edit" aspectratio="t"/>
            <w10:wrap type="none"/>
            <w10:anchorlock/>
          </v:shape>
        </w:pict>
      </w:r>
      <w:r>
        <w:rPr>
          <w:kern w:val="0"/>
          <w:sz w:val="24"/>
          <w:vertAlign w:val="subscript"/>
        </w:rPr>
        <w:t>1</w:t>
      </w:r>
      <w:r>
        <w:rPr>
          <w:rFonts w:hint="eastAsia"/>
          <w:kern w:val="0"/>
          <w:sz w:val="24"/>
        </w:rPr>
        <w:t>）</w:t>
      </w:r>
    </w:p>
    <w:p>
      <w:pPr>
        <w:tabs>
          <w:tab w:val="left" w:pos="918"/>
          <w:tab w:val="left" w:pos="3240"/>
        </w:tabs>
        <w:autoSpaceDE w:val="0"/>
        <w:autoSpaceDN w:val="0"/>
        <w:spacing w:line="360" w:lineRule="auto"/>
        <w:ind w:right="857" w:firstLine="31680" w:firstLineChars="200"/>
        <w:jc w:val="left"/>
        <w:rPr>
          <w:kern w:val="0"/>
          <w:sz w:val="24"/>
          <w:szCs w:val="24"/>
        </w:rPr>
      </w:pPr>
      <w:r>
        <w:rPr>
          <w:kern w:val="0"/>
          <w:sz w:val="24"/>
          <w:szCs w:val="24"/>
        </w:rPr>
        <w:t>1</w:t>
      </w:r>
      <w:r>
        <w:rPr>
          <w:rFonts w:hint="eastAsia"/>
          <w:kern w:val="0"/>
          <w:sz w:val="24"/>
          <w:szCs w:val="24"/>
        </w:rPr>
        <w:t>）纵坡修</w:t>
      </w:r>
      <w:r>
        <w:rPr>
          <w:rFonts w:hint="eastAsia"/>
          <w:spacing w:val="-1"/>
          <w:kern w:val="0"/>
          <w:sz w:val="24"/>
          <w:szCs w:val="24"/>
        </w:rPr>
        <w:t>正</w:t>
      </w:r>
      <w:r>
        <w:rPr>
          <w:rFonts w:hint="eastAsia"/>
          <w:kern w:val="0"/>
          <w:sz w:val="24"/>
          <w:szCs w:val="24"/>
        </w:rPr>
        <w:t>量（</w:t>
      </w:r>
      <w:r>
        <w:rPr>
          <w:spacing w:val="1"/>
          <w:kern w:val="0"/>
          <w:sz w:val="24"/>
          <w:szCs w:val="24"/>
        </w:rPr>
        <w:t>Δ</w:t>
      </w:r>
      <w:r>
        <w:rPr>
          <w:i/>
          <w:iCs/>
          <w:kern w:val="0"/>
          <w:sz w:val="24"/>
          <w:szCs w:val="24"/>
        </w:rPr>
        <w:t>L</w:t>
      </w:r>
      <w:r>
        <w:rPr>
          <w:rFonts w:hint="eastAsia"/>
          <w:kern w:val="0"/>
          <w:position w:val="-2"/>
          <w:sz w:val="24"/>
          <w:szCs w:val="24"/>
          <w:vertAlign w:val="subscript"/>
        </w:rPr>
        <w:t>坡度</w:t>
      </w:r>
      <w:r>
        <w:rPr>
          <w:rFonts w:hint="eastAsia"/>
          <w:kern w:val="0"/>
          <w:sz w:val="24"/>
          <w:szCs w:val="24"/>
        </w:rPr>
        <w:t>）</w:t>
      </w:r>
    </w:p>
    <w:p>
      <w:pPr>
        <w:spacing w:line="360" w:lineRule="auto"/>
        <w:ind w:firstLine="31680" w:firstLineChars="200"/>
        <w:rPr>
          <w:kern w:val="0"/>
          <w:sz w:val="24"/>
        </w:rPr>
      </w:pPr>
      <w:r>
        <w:rPr>
          <w:rFonts w:hint="eastAsia"/>
          <w:kern w:val="0"/>
          <w:sz w:val="24"/>
        </w:rPr>
        <w:t>公路纵坡修正量（</w:t>
      </w:r>
      <w:r>
        <w:rPr>
          <w:spacing w:val="1"/>
          <w:kern w:val="0"/>
          <w:sz w:val="24"/>
          <w:szCs w:val="24"/>
        </w:rPr>
        <w:t>Δ</w:t>
      </w:r>
      <w:r>
        <w:rPr>
          <w:i/>
          <w:iCs/>
          <w:kern w:val="0"/>
          <w:sz w:val="24"/>
          <w:szCs w:val="24"/>
        </w:rPr>
        <w:t>L</w:t>
      </w:r>
      <w:r>
        <w:rPr>
          <w:rFonts w:hint="eastAsia"/>
          <w:kern w:val="0"/>
          <w:position w:val="-2"/>
          <w:sz w:val="24"/>
          <w:szCs w:val="24"/>
          <w:vertAlign w:val="subscript"/>
        </w:rPr>
        <w:t>坡度</w:t>
      </w:r>
      <w:r>
        <w:rPr>
          <w:rFonts w:hint="eastAsia"/>
          <w:kern w:val="0"/>
          <w:sz w:val="24"/>
        </w:rPr>
        <w:t>）按导则附录</w:t>
      </w:r>
      <w:r>
        <w:rPr>
          <w:kern w:val="0"/>
          <w:sz w:val="24"/>
        </w:rPr>
        <w:t>A</w:t>
      </w:r>
      <w:r>
        <w:rPr>
          <w:rFonts w:hint="eastAsia"/>
          <w:kern w:val="0"/>
          <w:sz w:val="24"/>
        </w:rPr>
        <w:t>中（</w:t>
      </w:r>
      <w:r>
        <w:rPr>
          <w:kern w:val="0"/>
          <w:sz w:val="24"/>
        </w:rPr>
        <w:t>A.17</w:t>
      </w:r>
      <w:r>
        <w:rPr>
          <w:rFonts w:hint="eastAsia"/>
          <w:kern w:val="0"/>
          <w:sz w:val="24"/>
        </w:rPr>
        <w:t>）式计算，即：</w:t>
      </w:r>
    </w:p>
    <w:p>
      <w:pPr>
        <w:tabs>
          <w:tab w:val="left" w:pos="3240"/>
        </w:tabs>
        <w:autoSpaceDE w:val="0"/>
        <w:autoSpaceDN w:val="0"/>
        <w:spacing w:line="360" w:lineRule="auto"/>
        <w:ind w:firstLine="31680" w:firstLineChars="1100"/>
        <w:rPr>
          <w:kern w:val="0"/>
          <w:sz w:val="24"/>
          <w:szCs w:val="24"/>
        </w:rPr>
      </w:pPr>
      <w:r>
        <w:rPr>
          <w:rFonts w:hint="eastAsia"/>
          <w:kern w:val="0"/>
          <w:sz w:val="24"/>
          <w:szCs w:val="24"/>
        </w:rPr>
        <w:t>大型车：</w:t>
      </w:r>
      <w:r>
        <w:rPr>
          <w:spacing w:val="1"/>
          <w:kern w:val="0"/>
          <w:sz w:val="24"/>
          <w:szCs w:val="24"/>
        </w:rPr>
        <w:t>Δ</w:t>
      </w:r>
      <w:r>
        <w:rPr>
          <w:i/>
          <w:iCs/>
          <w:kern w:val="0"/>
          <w:sz w:val="24"/>
          <w:szCs w:val="24"/>
        </w:rPr>
        <w:t>L</w:t>
      </w:r>
      <w:r>
        <w:rPr>
          <w:rFonts w:hint="eastAsia"/>
          <w:kern w:val="0"/>
          <w:position w:val="-2"/>
          <w:sz w:val="24"/>
          <w:szCs w:val="24"/>
          <w:vertAlign w:val="subscript"/>
        </w:rPr>
        <w:t>坡度</w:t>
      </w:r>
      <w:r>
        <w:rPr>
          <w:spacing w:val="1"/>
          <w:kern w:val="0"/>
          <w:sz w:val="24"/>
          <w:szCs w:val="24"/>
        </w:rPr>
        <w:t>=98</w:t>
      </w:r>
      <w:r>
        <w:rPr>
          <w:kern w:val="0"/>
          <w:sz w:val="24"/>
          <w:szCs w:val="24"/>
        </w:rPr>
        <w:t>×</w:t>
      </w:r>
      <w:r>
        <w:rPr>
          <w:spacing w:val="-67"/>
          <w:kern w:val="0"/>
          <w:sz w:val="24"/>
          <w:szCs w:val="24"/>
        </w:rPr>
        <w:t xml:space="preserve"> </w:t>
      </w:r>
      <w:r>
        <w:rPr>
          <w:rFonts w:hint="eastAsia" w:ascii="宋体" w:hAnsi="宋体"/>
          <w:spacing w:val="-67"/>
          <w:kern w:val="0"/>
          <w:sz w:val="24"/>
          <w:szCs w:val="24"/>
        </w:rPr>
        <w:t>β</w:t>
      </w:r>
      <w:r>
        <w:rPr>
          <w:kern w:val="0"/>
          <w:sz w:val="24"/>
          <w:szCs w:val="24"/>
        </w:rPr>
        <w:t>  dB(A)</w:t>
      </w:r>
    </w:p>
    <w:p>
      <w:pPr>
        <w:tabs>
          <w:tab w:val="left" w:pos="3240"/>
        </w:tabs>
        <w:autoSpaceDE w:val="0"/>
        <w:autoSpaceDN w:val="0"/>
        <w:spacing w:line="360" w:lineRule="auto"/>
        <w:ind w:firstLine="31680" w:firstLineChars="1100"/>
        <w:rPr>
          <w:kern w:val="0"/>
          <w:sz w:val="24"/>
          <w:szCs w:val="24"/>
        </w:rPr>
      </w:pPr>
      <w:r>
        <w:rPr>
          <w:rFonts w:hint="eastAsia"/>
          <w:kern w:val="0"/>
          <w:sz w:val="24"/>
          <w:szCs w:val="24"/>
        </w:rPr>
        <w:t>中型车：</w:t>
      </w:r>
      <w:r>
        <w:rPr>
          <w:spacing w:val="1"/>
          <w:kern w:val="0"/>
          <w:sz w:val="24"/>
          <w:szCs w:val="24"/>
        </w:rPr>
        <w:t>Δ</w:t>
      </w:r>
      <w:r>
        <w:rPr>
          <w:i/>
          <w:iCs/>
          <w:kern w:val="0"/>
          <w:sz w:val="24"/>
          <w:szCs w:val="24"/>
        </w:rPr>
        <w:t>L</w:t>
      </w:r>
      <w:r>
        <w:rPr>
          <w:rFonts w:hint="eastAsia"/>
          <w:kern w:val="0"/>
          <w:position w:val="-2"/>
          <w:sz w:val="24"/>
          <w:szCs w:val="24"/>
          <w:vertAlign w:val="subscript"/>
        </w:rPr>
        <w:t>坡度</w:t>
      </w:r>
      <w:r>
        <w:rPr>
          <w:spacing w:val="1"/>
          <w:kern w:val="0"/>
          <w:sz w:val="24"/>
          <w:szCs w:val="24"/>
        </w:rPr>
        <w:t>=73</w:t>
      </w:r>
      <w:r>
        <w:rPr>
          <w:kern w:val="0"/>
          <w:sz w:val="24"/>
          <w:szCs w:val="24"/>
        </w:rPr>
        <w:t>×</w:t>
      </w:r>
      <w:r>
        <w:rPr>
          <w:rFonts w:hint="eastAsia" w:ascii="宋体" w:hAnsi="宋体"/>
          <w:spacing w:val="-67"/>
          <w:kern w:val="0"/>
          <w:sz w:val="24"/>
          <w:szCs w:val="24"/>
        </w:rPr>
        <w:t>β</w:t>
      </w:r>
      <w:r>
        <w:rPr>
          <w:kern w:val="0"/>
          <w:sz w:val="24"/>
          <w:szCs w:val="24"/>
        </w:rPr>
        <w:t xml:space="preserve"> </w:t>
      </w:r>
      <w:r>
        <w:rPr>
          <w:spacing w:val="-48"/>
          <w:kern w:val="0"/>
          <w:sz w:val="24"/>
          <w:szCs w:val="24"/>
        </w:rPr>
        <w:t xml:space="preserve"> </w:t>
      </w:r>
      <w:r>
        <w:rPr>
          <w:kern w:val="0"/>
          <w:sz w:val="24"/>
          <w:szCs w:val="24"/>
        </w:rPr>
        <w:t>dB(A)</w:t>
      </w:r>
    </w:p>
    <w:p>
      <w:pPr>
        <w:spacing w:line="360" w:lineRule="auto"/>
        <w:ind w:firstLine="31680" w:firstLineChars="1100"/>
        <w:rPr>
          <w:sz w:val="24"/>
        </w:rPr>
      </w:pPr>
      <w:r>
        <w:rPr>
          <w:rFonts w:hint="eastAsia"/>
          <w:kern w:val="0"/>
          <w:sz w:val="24"/>
        </w:rPr>
        <w:t>小型车</w:t>
      </w:r>
      <w:r>
        <w:rPr>
          <w:rFonts w:hint="eastAsia"/>
          <w:spacing w:val="-38"/>
          <w:kern w:val="0"/>
          <w:sz w:val="24"/>
        </w:rPr>
        <w:t>：</w:t>
      </w:r>
      <w:r>
        <w:rPr>
          <w:spacing w:val="1"/>
          <w:kern w:val="0"/>
          <w:sz w:val="24"/>
          <w:szCs w:val="24"/>
        </w:rPr>
        <w:t>Δ</w:t>
      </w:r>
      <w:r>
        <w:rPr>
          <w:i/>
          <w:iCs/>
          <w:kern w:val="0"/>
          <w:sz w:val="24"/>
          <w:szCs w:val="24"/>
        </w:rPr>
        <w:t>L</w:t>
      </w:r>
      <w:r>
        <w:rPr>
          <w:rFonts w:hint="eastAsia"/>
          <w:kern w:val="0"/>
          <w:position w:val="-2"/>
          <w:sz w:val="24"/>
          <w:szCs w:val="24"/>
          <w:vertAlign w:val="subscript"/>
        </w:rPr>
        <w:t>坡度</w:t>
      </w:r>
      <w:r>
        <w:rPr>
          <w:kern w:val="0"/>
          <w:sz w:val="24"/>
        </w:rPr>
        <w:t>=50×</w:t>
      </w:r>
      <w:r>
        <w:rPr>
          <w:rFonts w:hint="eastAsia" w:ascii="宋体" w:hAnsi="宋体"/>
          <w:spacing w:val="-67"/>
          <w:kern w:val="0"/>
          <w:sz w:val="24"/>
        </w:rPr>
        <w:t>β</w:t>
      </w:r>
      <w:r>
        <w:rPr>
          <w:kern w:val="0"/>
          <w:sz w:val="24"/>
        </w:rPr>
        <w:t xml:space="preserve">  </w:t>
      </w:r>
      <w:r>
        <w:rPr>
          <w:spacing w:val="1"/>
          <w:kern w:val="0"/>
          <w:sz w:val="24"/>
        </w:rPr>
        <w:t>d</w:t>
      </w:r>
      <w:r>
        <w:rPr>
          <w:kern w:val="0"/>
          <w:sz w:val="24"/>
        </w:rPr>
        <w:t>B(A)</w:t>
      </w:r>
    </w:p>
    <w:p>
      <w:pPr>
        <w:tabs>
          <w:tab w:val="left" w:pos="3200"/>
          <w:tab w:val="left" w:pos="7680"/>
        </w:tabs>
        <w:autoSpaceDE w:val="0"/>
        <w:autoSpaceDN w:val="0"/>
        <w:spacing w:line="360" w:lineRule="auto"/>
        <w:ind w:left="31680" w:leftChars="51" w:right="357" w:firstLine="31680" w:firstLineChars="300"/>
        <w:jc w:val="left"/>
        <w:rPr>
          <w:kern w:val="0"/>
          <w:sz w:val="24"/>
          <w:szCs w:val="24"/>
        </w:rPr>
      </w:pPr>
      <w:r>
        <w:rPr>
          <w:rFonts w:hint="eastAsia"/>
          <w:kern w:val="0"/>
          <w:sz w:val="24"/>
          <w:szCs w:val="24"/>
        </w:rPr>
        <w:t>式中：β</w:t>
      </w:r>
      <w:r>
        <w:rPr>
          <w:kern w:val="0"/>
          <w:sz w:val="24"/>
          <w:szCs w:val="24"/>
        </w:rPr>
        <w:t>—</w:t>
      </w:r>
      <w:r>
        <w:rPr>
          <w:rFonts w:hint="eastAsia"/>
          <w:kern w:val="0"/>
          <w:sz w:val="24"/>
          <w:szCs w:val="24"/>
        </w:rPr>
        <w:t>公路纵坡坡度，</w:t>
      </w:r>
      <w:r>
        <w:rPr>
          <w:kern w:val="0"/>
          <w:sz w:val="24"/>
          <w:szCs w:val="24"/>
        </w:rPr>
        <w:t>%</w:t>
      </w:r>
      <w:r>
        <w:rPr>
          <w:rFonts w:hint="eastAsia"/>
          <w:kern w:val="0"/>
          <w:sz w:val="24"/>
          <w:szCs w:val="24"/>
        </w:rPr>
        <w:t>。</w:t>
      </w:r>
    </w:p>
    <w:p>
      <w:pPr>
        <w:autoSpaceDE w:val="0"/>
        <w:autoSpaceDN w:val="0"/>
        <w:spacing w:line="360" w:lineRule="auto"/>
        <w:ind w:left="528" w:right="245"/>
        <w:jc w:val="left"/>
        <w:rPr>
          <w:kern w:val="0"/>
          <w:position w:val="1"/>
          <w:sz w:val="24"/>
          <w:szCs w:val="24"/>
        </w:rPr>
      </w:pPr>
      <w:r>
        <w:rPr>
          <w:kern w:val="0"/>
          <w:position w:val="1"/>
          <w:sz w:val="24"/>
          <w:szCs w:val="24"/>
        </w:rPr>
        <w:t>2</w:t>
      </w:r>
      <w:r>
        <w:rPr>
          <w:rFonts w:hint="eastAsia"/>
          <w:kern w:val="0"/>
          <w:position w:val="1"/>
          <w:sz w:val="24"/>
          <w:szCs w:val="24"/>
        </w:rPr>
        <w:t>）路面修正量（</w:t>
      </w:r>
      <w:r>
        <w:rPr>
          <w:kern w:val="0"/>
          <w:position w:val="1"/>
          <w:sz w:val="24"/>
          <w:szCs w:val="24"/>
        </w:rPr>
        <w:t>ΔL</w:t>
      </w:r>
      <w:r>
        <w:rPr>
          <w:rFonts w:hint="eastAsia"/>
          <w:kern w:val="0"/>
          <w:position w:val="1"/>
          <w:sz w:val="24"/>
          <w:szCs w:val="24"/>
          <w:vertAlign w:val="subscript"/>
        </w:rPr>
        <w:t>路面</w:t>
      </w:r>
      <w:r>
        <w:rPr>
          <w:rFonts w:hint="eastAsia"/>
          <w:kern w:val="0"/>
          <w:position w:val="1"/>
          <w:sz w:val="24"/>
          <w:szCs w:val="24"/>
        </w:rPr>
        <w:t>）</w:t>
      </w:r>
    </w:p>
    <w:p>
      <w:pPr>
        <w:pStyle w:val="3"/>
        <w:ind w:firstLine="31680"/>
        <w:rPr>
          <w:position w:val="1"/>
          <w:szCs w:val="24"/>
        </w:rPr>
      </w:pPr>
      <w:r>
        <w:rPr>
          <w:rFonts w:hint="eastAsia"/>
          <w:position w:val="1"/>
          <w:szCs w:val="24"/>
        </w:rPr>
        <w:t>不同路面的噪声修正量</w:t>
      </w:r>
      <w:r>
        <w:rPr>
          <w:rFonts w:hint="eastAsia"/>
        </w:rPr>
        <w:t>按导则附录</w:t>
      </w:r>
      <w:r>
        <w:t>A</w:t>
      </w:r>
      <w:r>
        <w:rPr>
          <w:rFonts w:hint="eastAsia"/>
        </w:rPr>
        <w:t>中表</w:t>
      </w:r>
      <w:r>
        <w:t xml:space="preserve"> A.2</w:t>
      </w:r>
      <w:r>
        <w:rPr>
          <w:rFonts w:hint="eastAsia"/>
        </w:rPr>
        <w:t>取值，即表</w:t>
      </w:r>
      <w:r>
        <w:t>6.1-4</w:t>
      </w:r>
      <w:r>
        <w:rPr>
          <w:rFonts w:hint="eastAsia"/>
        </w:rPr>
        <w:t>。</w:t>
      </w:r>
    </w:p>
    <w:p>
      <w:pPr>
        <w:pStyle w:val="19"/>
        <w:jc w:val="center"/>
      </w:pPr>
      <w:r>
        <w:rPr>
          <w:rFonts w:hint="eastAsia"/>
        </w:rPr>
        <w:t>表</w:t>
      </w:r>
      <w:r>
        <w:t xml:space="preserve">7.1-4  </w:t>
      </w:r>
      <w:r>
        <w:rPr>
          <w:rFonts w:hint="eastAsia"/>
        </w:rPr>
        <w:t>不同路面的噪声修正量</w:t>
      </w:r>
      <w:r>
        <w:tab/>
      </w:r>
      <w:r>
        <w:rPr>
          <w:rFonts w:hint="eastAsia"/>
        </w:rPr>
        <w:t>单位：</w:t>
      </w:r>
      <w:r>
        <w:t>dB</w:t>
      </w:r>
      <w:r>
        <w:rPr>
          <w:rFonts w:hint="eastAsia"/>
        </w:rPr>
        <w:t>（</w:t>
      </w:r>
      <w:r>
        <w:t>A</w:t>
      </w:r>
      <w:r>
        <w:rPr>
          <w:rFonts w:hint="eastAsia"/>
        </w:rPr>
        <w:t>）</w:t>
      </w:r>
    </w:p>
    <w:tbl>
      <w:tblPr>
        <w:tblStyle w:val="65"/>
        <w:tblW w:w="9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93"/>
        <w:gridCol w:w="2475"/>
        <w:gridCol w:w="1901"/>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093" w:type="dxa"/>
            <w:vMerge w:val="restart"/>
            <w:vAlign w:val="center"/>
          </w:tcPr>
          <w:p>
            <w:pPr>
              <w:jc w:val="center"/>
              <w:rPr>
                <w:sz w:val="21"/>
                <w:szCs w:val="21"/>
              </w:rPr>
            </w:pPr>
            <w:r>
              <w:rPr>
                <w:rFonts w:hint="eastAsia"/>
                <w:sz w:val="21"/>
                <w:szCs w:val="21"/>
              </w:rPr>
              <w:t>路面类型</w:t>
            </w:r>
          </w:p>
        </w:tc>
        <w:tc>
          <w:tcPr>
            <w:tcW w:w="6081" w:type="dxa"/>
            <w:gridSpan w:val="3"/>
            <w:vAlign w:val="center"/>
          </w:tcPr>
          <w:p>
            <w:pPr>
              <w:jc w:val="center"/>
              <w:rPr>
                <w:sz w:val="21"/>
                <w:szCs w:val="21"/>
              </w:rPr>
            </w:pPr>
            <w:r>
              <w:rPr>
                <w:rFonts w:hint="eastAsia"/>
                <w:sz w:val="21"/>
                <w:szCs w:val="21"/>
              </w:rPr>
              <w:t>不同行驶速度修正量（</w:t>
            </w:r>
            <w:r>
              <w:rPr>
                <w:sz w:val="21"/>
                <w:szCs w:val="21"/>
              </w:rPr>
              <w:t>km/h</w:t>
            </w:r>
            <w:r>
              <w:rPr>
                <w:rFonts w:hint="eastAsia"/>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093" w:type="dxa"/>
            <w:vMerge w:val="continue"/>
            <w:vAlign w:val="center"/>
          </w:tcPr>
          <w:p>
            <w:pPr>
              <w:jc w:val="center"/>
              <w:rPr>
                <w:sz w:val="21"/>
                <w:szCs w:val="21"/>
              </w:rPr>
            </w:pPr>
          </w:p>
        </w:tc>
        <w:tc>
          <w:tcPr>
            <w:tcW w:w="2475" w:type="dxa"/>
            <w:vAlign w:val="center"/>
          </w:tcPr>
          <w:p>
            <w:pPr>
              <w:jc w:val="center"/>
              <w:rPr>
                <w:sz w:val="21"/>
                <w:szCs w:val="21"/>
              </w:rPr>
            </w:pPr>
            <w:r>
              <w:rPr>
                <w:sz w:val="21"/>
                <w:szCs w:val="21"/>
              </w:rPr>
              <w:t>30</w:t>
            </w:r>
          </w:p>
        </w:tc>
        <w:tc>
          <w:tcPr>
            <w:tcW w:w="1901" w:type="dxa"/>
            <w:vAlign w:val="center"/>
          </w:tcPr>
          <w:p>
            <w:pPr>
              <w:jc w:val="center"/>
              <w:rPr>
                <w:sz w:val="21"/>
                <w:szCs w:val="21"/>
              </w:rPr>
            </w:pPr>
            <w:r>
              <w:rPr>
                <w:sz w:val="21"/>
                <w:szCs w:val="21"/>
              </w:rPr>
              <w:t>40</w:t>
            </w:r>
          </w:p>
        </w:tc>
        <w:tc>
          <w:tcPr>
            <w:tcW w:w="1705" w:type="dxa"/>
            <w:vAlign w:val="center"/>
          </w:tcPr>
          <w:p>
            <w:pPr>
              <w:jc w:val="center"/>
              <w:rPr>
                <w:sz w:val="21"/>
                <w:szCs w:val="21"/>
              </w:rPr>
            </w:pPr>
            <w:r>
              <w:rPr>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093" w:type="dxa"/>
            <w:vAlign w:val="center"/>
          </w:tcPr>
          <w:p>
            <w:pPr>
              <w:jc w:val="center"/>
              <w:rPr>
                <w:sz w:val="21"/>
                <w:szCs w:val="21"/>
              </w:rPr>
            </w:pPr>
            <w:r>
              <w:rPr>
                <w:rFonts w:hint="eastAsia"/>
                <w:sz w:val="21"/>
                <w:szCs w:val="21"/>
              </w:rPr>
              <w:t>沥青混凝土路面</w:t>
            </w:r>
          </w:p>
        </w:tc>
        <w:tc>
          <w:tcPr>
            <w:tcW w:w="2475" w:type="dxa"/>
            <w:vAlign w:val="center"/>
          </w:tcPr>
          <w:p>
            <w:pPr>
              <w:jc w:val="center"/>
              <w:rPr>
                <w:sz w:val="21"/>
                <w:szCs w:val="21"/>
              </w:rPr>
            </w:pPr>
            <w:r>
              <w:rPr>
                <w:sz w:val="21"/>
                <w:szCs w:val="21"/>
              </w:rPr>
              <w:t>0</w:t>
            </w:r>
          </w:p>
        </w:tc>
        <w:tc>
          <w:tcPr>
            <w:tcW w:w="1901" w:type="dxa"/>
            <w:vAlign w:val="center"/>
          </w:tcPr>
          <w:p>
            <w:pPr>
              <w:jc w:val="center"/>
              <w:rPr>
                <w:sz w:val="21"/>
                <w:szCs w:val="21"/>
              </w:rPr>
            </w:pPr>
            <w:r>
              <w:rPr>
                <w:sz w:val="21"/>
                <w:szCs w:val="21"/>
              </w:rPr>
              <w:t>0</w:t>
            </w:r>
          </w:p>
        </w:tc>
        <w:tc>
          <w:tcPr>
            <w:tcW w:w="1705" w:type="dxa"/>
            <w:vAlign w:val="center"/>
          </w:tcPr>
          <w:p>
            <w:pPr>
              <w:jc w:val="center"/>
              <w:rPr>
                <w:sz w:val="21"/>
                <w:szCs w:val="21"/>
              </w:rPr>
            </w:pPr>
            <w:r>
              <w:rPr>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3093" w:type="dxa"/>
            <w:vAlign w:val="center"/>
          </w:tcPr>
          <w:p>
            <w:pPr>
              <w:jc w:val="center"/>
              <w:rPr>
                <w:sz w:val="21"/>
                <w:szCs w:val="21"/>
              </w:rPr>
            </w:pPr>
            <w:r>
              <w:rPr>
                <w:rFonts w:hint="eastAsia"/>
                <w:sz w:val="21"/>
                <w:szCs w:val="21"/>
              </w:rPr>
              <w:t>水泥混凝土</w:t>
            </w:r>
          </w:p>
        </w:tc>
        <w:tc>
          <w:tcPr>
            <w:tcW w:w="2475" w:type="dxa"/>
            <w:vAlign w:val="center"/>
          </w:tcPr>
          <w:p>
            <w:pPr>
              <w:jc w:val="center"/>
              <w:rPr>
                <w:sz w:val="21"/>
                <w:szCs w:val="21"/>
              </w:rPr>
            </w:pPr>
            <w:r>
              <w:rPr>
                <w:sz w:val="21"/>
                <w:szCs w:val="21"/>
              </w:rPr>
              <w:t>1.0</w:t>
            </w:r>
          </w:p>
        </w:tc>
        <w:tc>
          <w:tcPr>
            <w:tcW w:w="1901" w:type="dxa"/>
            <w:vAlign w:val="center"/>
          </w:tcPr>
          <w:p>
            <w:pPr>
              <w:jc w:val="center"/>
              <w:rPr>
                <w:sz w:val="21"/>
                <w:szCs w:val="21"/>
              </w:rPr>
            </w:pPr>
            <w:r>
              <w:rPr>
                <w:sz w:val="21"/>
                <w:szCs w:val="21"/>
              </w:rPr>
              <w:t>1.5</w:t>
            </w:r>
          </w:p>
        </w:tc>
        <w:tc>
          <w:tcPr>
            <w:tcW w:w="1705" w:type="dxa"/>
            <w:vAlign w:val="center"/>
          </w:tcPr>
          <w:p>
            <w:pPr>
              <w:jc w:val="center"/>
              <w:rPr>
                <w:sz w:val="21"/>
                <w:szCs w:val="21"/>
              </w:rPr>
            </w:pPr>
            <w:r>
              <w:rPr>
                <w:sz w:val="21"/>
                <w:szCs w:val="21"/>
              </w:rPr>
              <w:t>2.0</w:t>
            </w:r>
          </w:p>
        </w:tc>
      </w:tr>
    </w:tbl>
    <w:p>
      <w:pPr>
        <w:autoSpaceDE w:val="0"/>
        <w:autoSpaceDN w:val="0"/>
        <w:spacing w:line="360" w:lineRule="auto"/>
        <w:ind w:left="528" w:right="245"/>
        <w:jc w:val="left"/>
        <w:rPr>
          <w:kern w:val="0"/>
          <w:position w:val="1"/>
          <w:sz w:val="24"/>
          <w:szCs w:val="24"/>
        </w:rPr>
      </w:pPr>
      <w:r>
        <w:rPr>
          <w:kern w:val="0"/>
          <w:position w:val="1"/>
          <w:sz w:val="24"/>
          <w:szCs w:val="24"/>
        </w:rPr>
        <w:t>b</w:t>
      </w:r>
      <w:r>
        <w:rPr>
          <w:rFonts w:hint="eastAsia"/>
          <w:kern w:val="0"/>
          <w:position w:val="1"/>
          <w:sz w:val="24"/>
          <w:szCs w:val="24"/>
        </w:rPr>
        <w:t>）声波传播途径中引起的衰减量</w:t>
      </w:r>
      <w:r>
        <w:rPr>
          <w:kern w:val="0"/>
          <w:position w:val="1"/>
          <w:sz w:val="24"/>
          <w:szCs w:val="24"/>
        </w:rPr>
        <w:t>(ΔL</w:t>
      </w:r>
      <w:r>
        <w:rPr>
          <w:kern w:val="0"/>
          <w:position w:val="1"/>
          <w:sz w:val="24"/>
          <w:szCs w:val="24"/>
          <w:vertAlign w:val="subscript"/>
        </w:rPr>
        <w:t>2</w:t>
      </w:r>
      <w:r>
        <w:rPr>
          <w:kern w:val="0"/>
          <w:position w:val="1"/>
          <w:sz w:val="24"/>
          <w:szCs w:val="24"/>
        </w:rPr>
        <w:t>)</w:t>
      </w:r>
    </w:p>
    <w:p>
      <w:pPr>
        <w:autoSpaceDE w:val="0"/>
        <w:autoSpaceDN w:val="0"/>
        <w:spacing w:line="360" w:lineRule="auto"/>
        <w:ind w:left="528" w:right="245"/>
        <w:jc w:val="left"/>
        <w:rPr>
          <w:kern w:val="0"/>
          <w:position w:val="1"/>
          <w:sz w:val="24"/>
          <w:szCs w:val="24"/>
        </w:rPr>
      </w:pPr>
      <w:r>
        <w:rPr>
          <w:kern w:val="0"/>
          <w:position w:val="1"/>
          <w:sz w:val="24"/>
          <w:szCs w:val="24"/>
        </w:rPr>
        <w:t>1</w:t>
      </w:r>
      <w:r>
        <w:rPr>
          <w:rFonts w:hint="eastAsia"/>
          <w:kern w:val="0"/>
          <w:position w:val="1"/>
          <w:sz w:val="24"/>
          <w:szCs w:val="24"/>
        </w:rPr>
        <w:t>）高路堤或低路堑两侧声影区衰减量计算</w:t>
      </w:r>
    </w:p>
    <w:p>
      <w:pPr>
        <w:pStyle w:val="3"/>
        <w:ind w:firstLine="31680"/>
        <w:rPr>
          <w:position w:val="1"/>
          <w:szCs w:val="24"/>
        </w:rPr>
      </w:pPr>
      <w:r>
        <w:rPr>
          <w:rFonts w:hint="eastAsia"/>
        </w:rPr>
        <w:t>高路堤或低路堑两侧声影区衰减量</w:t>
      </w:r>
      <w:r>
        <w:t>Abar</w:t>
      </w:r>
      <w:r>
        <w:rPr>
          <w:rFonts w:hint="eastAsia"/>
        </w:rPr>
        <w:t>为预测点在高路堤或低路堑两侧声影区内引起的附加衰减量。</w:t>
      </w:r>
      <w:r>
        <w:rPr>
          <w:rFonts w:hint="eastAsia"/>
          <w:position w:val="1"/>
          <w:szCs w:val="24"/>
        </w:rPr>
        <w:t>当预测点处于声照区时，</w:t>
      </w:r>
      <w:r>
        <w:rPr>
          <w:position w:val="1"/>
          <w:szCs w:val="24"/>
        </w:rPr>
        <w:t>Abar=0</w:t>
      </w:r>
      <w:r>
        <w:rPr>
          <w:rFonts w:hint="eastAsia"/>
          <w:position w:val="1"/>
          <w:szCs w:val="24"/>
        </w:rPr>
        <w:t>；当预测点处于声影区，</w:t>
      </w:r>
      <w:r>
        <w:rPr>
          <w:position w:val="1"/>
          <w:szCs w:val="24"/>
        </w:rPr>
        <w:t>Abar</w:t>
      </w:r>
      <w:r>
        <w:rPr>
          <w:rFonts w:hint="eastAsia"/>
          <w:position w:val="1"/>
          <w:szCs w:val="24"/>
        </w:rPr>
        <w:t>决定于声程差</w:t>
      </w:r>
      <w:r>
        <w:rPr>
          <w:position w:val="1"/>
          <w:szCs w:val="24"/>
        </w:rPr>
        <w:t>δ</w:t>
      </w:r>
      <w:r>
        <w:rPr>
          <w:rFonts w:hint="eastAsia"/>
          <w:position w:val="1"/>
          <w:szCs w:val="24"/>
        </w:rPr>
        <w:t>。由</w:t>
      </w:r>
      <w:r>
        <w:rPr>
          <w:rFonts w:hint="eastAsia"/>
        </w:rPr>
        <w:t>图</w:t>
      </w:r>
      <w:r>
        <w:t>7.1-2</w:t>
      </w:r>
      <w:r>
        <w:rPr>
          <w:rFonts w:hint="eastAsia"/>
          <w:position w:val="1"/>
          <w:szCs w:val="24"/>
        </w:rPr>
        <w:t>计算</w:t>
      </w:r>
      <w:r>
        <w:rPr>
          <w:position w:val="1"/>
          <w:szCs w:val="24"/>
        </w:rPr>
        <w:t>δ</w:t>
      </w:r>
      <w:r>
        <w:rPr>
          <w:rFonts w:hint="eastAsia"/>
          <w:position w:val="1"/>
          <w:szCs w:val="24"/>
        </w:rPr>
        <w:t>，</w:t>
      </w:r>
      <w:r>
        <w:rPr>
          <w:position w:val="1"/>
          <w:szCs w:val="24"/>
        </w:rPr>
        <w:t>δ=a+b-c</w:t>
      </w:r>
      <w:r>
        <w:rPr>
          <w:rFonts w:hint="eastAsia"/>
          <w:position w:val="1"/>
          <w:szCs w:val="24"/>
        </w:rPr>
        <w:t>，再由</w:t>
      </w:r>
      <w:r>
        <w:rPr>
          <w:rFonts w:hint="eastAsia"/>
        </w:rPr>
        <w:t>图</w:t>
      </w:r>
      <w:r>
        <w:t>7.1-3</w:t>
      </w:r>
      <w:r>
        <w:rPr>
          <w:rFonts w:hint="eastAsia"/>
          <w:position w:val="1"/>
          <w:szCs w:val="24"/>
        </w:rPr>
        <w:t>查出</w:t>
      </w:r>
      <w:r>
        <w:rPr>
          <w:position w:val="1"/>
          <w:szCs w:val="24"/>
        </w:rPr>
        <w:t xml:space="preserve">Abar </w:t>
      </w:r>
      <w:r>
        <w:rPr>
          <w:rFonts w:hint="eastAsia"/>
          <w:position w:val="1"/>
          <w:szCs w:val="24"/>
        </w:rPr>
        <w:t>。</w:t>
      </w:r>
    </w:p>
    <w:tbl>
      <w:tblPr>
        <w:tblStyle w:val="65"/>
        <w:tblW w:w="9174" w:type="dxa"/>
        <w:tblInd w:w="0" w:type="dxa"/>
        <w:tblLayout w:type="fixed"/>
        <w:tblCellMar>
          <w:top w:w="0" w:type="dxa"/>
          <w:left w:w="108" w:type="dxa"/>
          <w:bottom w:w="0" w:type="dxa"/>
          <w:right w:w="108" w:type="dxa"/>
        </w:tblCellMar>
      </w:tblPr>
      <w:tblGrid>
        <w:gridCol w:w="4587"/>
        <w:gridCol w:w="4587"/>
      </w:tblGrid>
      <w:tr>
        <w:tblPrEx>
          <w:tblLayout w:type="fixed"/>
          <w:tblCellMar>
            <w:top w:w="0" w:type="dxa"/>
            <w:left w:w="108" w:type="dxa"/>
            <w:bottom w:w="0" w:type="dxa"/>
            <w:right w:w="108" w:type="dxa"/>
          </w:tblCellMar>
        </w:tblPrEx>
        <w:tc>
          <w:tcPr>
            <w:tcW w:w="4587" w:type="dxa"/>
            <w:vAlign w:val="center"/>
          </w:tcPr>
          <w:p>
            <w:pPr>
              <w:pStyle w:val="112"/>
              <w:rPr>
                <w:kern w:val="2"/>
              </w:rPr>
            </w:pPr>
            <w:r>
              <w:rPr>
                <w:kern w:val="2"/>
              </w:rPr>
              <w:pict>
                <v:shape id="_x0000_i1072" o:spt="75" type="#_x0000_t75" style="height:170.25pt;width:223.5pt;" filled="f" o:preferrelative="t" stroked="f" coordsize="21600,21600">
                  <v:path/>
                  <v:fill on="f" focussize="0,0"/>
                  <v:stroke on="f" joinstyle="miter"/>
                  <v:imagedata r:id="rId51" o:title=""/>
                  <o:lock v:ext="edit" aspectratio="t"/>
                  <w10:wrap type="none"/>
                  <w10:anchorlock/>
                </v:shape>
              </w:pict>
            </w:r>
          </w:p>
          <w:p>
            <w:pPr>
              <w:pStyle w:val="112"/>
              <w:rPr>
                <w:kern w:val="2"/>
              </w:rPr>
            </w:pPr>
            <w:r>
              <w:rPr>
                <w:rFonts w:hint="eastAsia"/>
                <w:kern w:val="2"/>
              </w:rPr>
              <w:t>图</w:t>
            </w:r>
            <w:r>
              <w:rPr>
                <w:kern w:val="2"/>
              </w:rPr>
              <w:t xml:space="preserve">7.1-2     </w:t>
            </w:r>
            <w:r>
              <w:rPr>
                <w:rFonts w:hint="eastAsia"/>
                <w:kern w:val="2"/>
              </w:rPr>
              <w:t>声程差δ计算示意图</w:t>
            </w:r>
          </w:p>
        </w:tc>
        <w:tc>
          <w:tcPr>
            <w:tcW w:w="4587" w:type="dxa"/>
            <w:vAlign w:val="center"/>
          </w:tcPr>
          <w:p>
            <w:pPr>
              <w:pStyle w:val="112"/>
              <w:rPr>
                <w:kern w:val="2"/>
              </w:rPr>
            </w:pPr>
            <w:r>
              <w:rPr>
                <w:kern w:val="2"/>
              </w:rPr>
              <w:pict>
                <v:shape id="_x0000_i1073" o:spt="75" type="#_x0000_t75" style="height:168.75pt;width:227.25pt;" filled="f" o:preferrelative="t" stroked="f" coordsize="21600,21600">
                  <v:path/>
                  <v:fill on="f" focussize="0,0"/>
                  <v:stroke on="f" joinstyle="miter"/>
                  <v:imagedata r:id="rId52" o:title=""/>
                  <o:lock v:ext="edit" aspectratio="t"/>
                  <w10:wrap type="none"/>
                  <w10:anchorlock/>
                </v:shape>
              </w:pict>
            </w:r>
          </w:p>
          <w:p>
            <w:pPr>
              <w:pStyle w:val="112"/>
              <w:rPr>
                <w:kern w:val="2"/>
              </w:rPr>
            </w:pPr>
            <w:r>
              <w:rPr>
                <w:rFonts w:hint="eastAsia"/>
                <w:kern w:val="2"/>
              </w:rPr>
              <w:t>图</w:t>
            </w:r>
            <w:r>
              <w:rPr>
                <w:kern w:val="2"/>
              </w:rPr>
              <w:t xml:space="preserve">7.1-3   </w:t>
            </w:r>
            <w:r>
              <w:rPr>
                <w:rFonts w:hint="eastAsia"/>
                <w:kern w:val="2"/>
              </w:rPr>
              <w:t>噪声衰减量</w:t>
            </w:r>
            <w:r>
              <w:rPr>
                <w:kern w:val="2"/>
              </w:rPr>
              <w:t>Abar</w:t>
            </w:r>
            <w:r>
              <w:rPr>
                <w:rFonts w:hint="eastAsia"/>
                <w:kern w:val="2"/>
              </w:rPr>
              <w:t>与声程差δ关系曲线（</w:t>
            </w:r>
            <w:r>
              <w:rPr>
                <w:kern w:val="2"/>
              </w:rPr>
              <w:t xml:space="preserve">f=500Hzbar </w:t>
            </w:r>
            <w:r>
              <w:rPr>
                <w:rFonts w:hint="eastAsia"/>
                <w:kern w:val="2"/>
              </w:rPr>
              <w:t>）</w:t>
            </w:r>
          </w:p>
        </w:tc>
      </w:tr>
    </w:tbl>
    <w:p>
      <w:pPr>
        <w:autoSpaceDE w:val="0"/>
        <w:autoSpaceDN w:val="0"/>
        <w:spacing w:line="360" w:lineRule="auto"/>
        <w:ind w:left="528" w:right="245"/>
        <w:jc w:val="left"/>
        <w:rPr>
          <w:kern w:val="0"/>
          <w:position w:val="1"/>
          <w:sz w:val="24"/>
          <w:szCs w:val="24"/>
        </w:rPr>
      </w:pPr>
      <w:r>
        <w:rPr>
          <w:kern w:val="0"/>
          <w:position w:val="1"/>
          <w:sz w:val="24"/>
          <w:szCs w:val="24"/>
        </w:rPr>
        <w:t>2</w:t>
      </w:r>
      <w:r>
        <w:rPr>
          <w:rFonts w:hint="eastAsia"/>
          <w:kern w:val="0"/>
          <w:position w:val="1"/>
          <w:sz w:val="24"/>
          <w:szCs w:val="24"/>
        </w:rPr>
        <w:t>）农村房屋附加衰减量估算值</w:t>
      </w:r>
    </w:p>
    <w:p>
      <w:pPr>
        <w:pStyle w:val="3"/>
        <w:ind w:firstLine="31680"/>
      </w:pPr>
      <w:r>
        <w:rPr>
          <w:rFonts w:hint="eastAsia"/>
        </w:rPr>
        <w:t>农村房屋衰减量可参照</w:t>
      </w:r>
      <w:r>
        <w:t xml:space="preserve">GB/T17247.2 </w:t>
      </w:r>
      <w:r>
        <w:rPr>
          <w:rFonts w:hint="eastAsia"/>
        </w:rPr>
        <w:t>附录</w:t>
      </w:r>
      <w:r>
        <w:t xml:space="preserve">A </w:t>
      </w:r>
      <w:r>
        <w:rPr>
          <w:rFonts w:hint="eastAsia"/>
        </w:rPr>
        <w:t>进行计算，在沿公路第一排房屋影声区范围内，近似计算可按</w:t>
      </w:r>
      <w:r>
        <w:t>3dB(A)</w:t>
      </w:r>
      <w:r>
        <w:rPr>
          <w:rFonts w:hint="eastAsia"/>
        </w:rPr>
        <w:t>取值。</w:t>
      </w:r>
    </w:p>
    <w:p>
      <w:pPr>
        <w:pStyle w:val="6"/>
        <w:ind w:left="567" w:hanging="567"/>
        <w:rPr>
          <w:u w:val="single"/>
        </w:rPr>
      </w:pPr>
      <w:r>
        <w:rPr>
          <w:rFonts w:hint="eastAsia"/>
          <w:u w:val="single"/>
        </w:rPr>
        <w:t>噪声预测结果与评价</w:t>
      </w:r>
    </w:p>
    <w:p>
      <w:pPr>
        <w:spacing w:line="360" w:lineRule="auto"/>
        <w:ind w:firstLine="31680" w:firstLineChars="200"/>
        <w:rPr>
          <w:sz w:val="24"/>
          <w:u w:val="single"/>
        </w:rPr>
      </w:pPr>
      <w:r>
        <w:rPr>
          <w:sz w:val="24"/>
          <w:u w:val="single"/>
        </w:rPr>
        <w:t>a</w:t>
      </w:r>
      <w:r>
        <w:rPr>
          <w:rFonts w:hint="eastAsia"/>
          <w:sz w:val="24"/>
          <w:u w:val="single"/>
        </w:rPr>
        <w:t>）不同营运期、不同时间段、距路</w:t>
      </w:r>
      <w:r>
        <w:rPr>
          <w:rFonts w:hint="eastAsia"/>
          <w:sz w:val="24"/>
          <w:u w:val="single"/>
          <w:lang w:val="en-US" w:eastAsia="zh-CN"/>
        </w:rPr>
        <w:t>红</w:t>
      </w:r>
      <w:r>
        <w:rPr>
          <w:rFonts w:hint="eastAsia"/>
          <w:sz w:val="24"/>
          <w:u w:val="single"/>
        </w:rPr>
        <w:t>线不同距离处的交通噪声预测与评价</w:t>
      </w:r>
    </w:p>
    <w:p>
      <w:pPr>
        <w:pStyle w:val="3"/>
        <w:ind w:firstLine="31680"/>
        <w:rPr>
          <w:szCs w:val="24"/>
          <w:u w:val="single"/>
        </w:rPr>
      </w:pPr>
      <w:r>
        <w:rPr>
          <w:rFonts w:hint="eastAsia"/>
          <w:u w:val="single"/>
        </w:rPr>
        <w:t>由于本工程纵面线形有起伏，路面与地面之间的高差不断变化，出于预测的可行性考虑，预测基于每个路段零路基高度这一假定，预测点高度取距地面</w:t>
      </w:r>
      <w:r>
        <w:rPr>
          <w:u w:val="single"/>
        </w:rPr>
        <w:t>1.2m</w:t>
      </w:r>
      <w:r>
        <w:rPr>
          <w:rFonts w:hint="eastAsia"/>
          <w:u w:val="single"/>
        </w:rPr>
        <w:t>；考虑到拟建公路各断面建筑物的分布差异，为了简化预测，在不考虑建筑物隔声效果的前提下，采用上述预测模式，不同营运期、不同时间段公路两侧距路</w:t>
      </w:r>
      <w:r>
        <w:rPr>
          <w:rFonts w:hint="eastAsia"/>
          <w:u w:val="single"/>
          <w:lang w:val="en-US" w:eastAsia="zh-CN"/>
        </w:rPr>
        <w:t>中心</w:t>
      </w:r>
      <w:r>
        <w:rPr>
          <w:rFonts w:hint="eastAsia"/>
          <w:u w:val="single"/>
        </w:rPr>
        <w:t>线</w:t>
      </w:r>
      <w:r>
        <w:rPr>
          <w:u w:val="single"/>
        </w:rPr>
        <w:t>200m</w:t>
      </w:r>
      <w:r>
        <w:rPr>
          <w:rFonts w:hint="eastAsia"/>
          <w:u w:val="single"/>
        </w:rPr>
        <w:t>范围内交通噪声预测结果</w:t>
      </w:r>
      <w:r>
        <w:rPr>
          <w:rFonts w:hint="eastAsia"/>
          <w:szCs w:val="24"/>
          <w:u w:val="single"/>
        </w:rPr>
        <w:t>见表</w:t>
      </w:r>
      <w:r>
        <w:rPr>
          <w:szCs w:val="24"/>
          <w:u w:val="single"/>
        </w:rPr>
        <w:t>7.1-5</w:t>
      </w:r>
      <w:r>
        <w:rPr>
          <w:rFonts w:hint="eastAsia"/>
          <w:szCs w:val="24"/>
          <w:u w:val="single"/>
        </w:rPr>
        <w:t>。</w:t>
      </w:r>
    </w:p>
    <w:p>
      <w:pPr>
        <w:pStyle w:val="19"/>
        <w:jc w:val="center"/>
        <w:rPr>
          <w:u w:val="single"/>
        </w:rPr>
      </w:pPr>
      <w:bookmarkStart w:id="219" w:name="_Ref401618125"/>
      <w:r>
        <w:rPr>
          <w:rFonts w:hint="eastAsia"/>
          <w:u w:val="single"/>
        </w:rPr>
        <w:t>表</w:t>
      </w:r>
      <w:bookmarkEnd w:id="219"/>
      <w:r>
        <w:rPr>
          <w:u w:val="single"/>
        </w:rPr>
        <w:t xml:space="preserve">7.1-5  </w:t>
      </w:r>
      <w:r>
        <w:rPr>
          <w:rFonts w:hint="eastAsia"/>
          <w:u w:val="single"/>
        </w:rPr>
        <w:t>距路</w:t>
      </w:r>
      <w:r>
        <w:rPr>
          <w:rFonts w:hint="eastAsia"/>
          <w:u w:val="single"/>
          <w:lang w:val="en-US" w:eastAsia="zh-CN"/>
        </w:rPr>
        <w:t>中心</w:t>
      </w:r>
      <w:r>
        <w:rPr>
          <w:rFonts w:hint="eastAsia"/>
          <w:u w:val="single"/>
        </w:rPr>
        <w:t>线不同距离交通噪声预测结果</w:t>
      </w:r>
    </w:p>
    <w:tbl>
      <w:tblPr>
        <w:tblStyle w:val="6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620"/>
        <w:gridCol w:w="667"/>
        <w:gridCol w:w="610"/>
        <w:gridCol w:w="610"/>
        <w:gridCol w:w="611"/>
        <w:gridCol w:w="611"/>
        <w:gridCol w:w="611"/>
        <w:gridCol w:w="664"/>
        <w:gridCol w:w="767"/>
        <w:gridCol w:w="768"/>
        <w:gridCol w:w="694"/>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9060" w:type="dxa"/>
            <w:gridSpan w:val="13"/>
            <w:vAlign w:val="center"/>
          </w:tcPr>
          <w:p>
            <w:pPr>
              <w:pStyle w:val="112"/>
              <w:rPr>
                <w:rFonts w:hint="eastAsia" w:hAnsi="宋体"/>
                <w:kern w:val="2"/>
                <w:sz w:val="18"/>
                <w:szCs w:val="18"/>
                <w:u w:val="single"/>
              </w:rPr>
            </w:pPr>
            <w:r>
              <w:rPr>
                <w:rFonts w:hint="eastAsia" w:hAnsi="宋体"/>
                <w:kern w:val="2"/>
                <w:sz w:val="18"/>
                <w:szCs w:val="18"/>
                <w:u w:val="single"/>
              </w:rPr>
              <w:t>全线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156" w:type="dxa"/>
            <w:vMerge w:val="restart"/>
            <w:vAlign w:val="center"/>
          </w:tcPr>
          <w:p>
            <w:pPr>
              <w:pStyle w:val="112"/>
              <w:rPr>
                <w:kern w:val="2"/>
                <w:sz w:val="18"/>
                <w:szCs w:val="18"/>
                <w:u w:val="single"/>
              </w:rPr>
            </w:pPr>
            <w:r>
              <w:rPr>
                <w:rFonts w:hint="eastAsia" w:hAnsi="宋体"/>
                <w:kern w:val="2"/>
                <w:sz w:val="18"/>
                <w:szCs w:val="18"/>
                <w:u w:val="single"/>
              </w:rPr>
              <w:t>评价年</w:t>
            </w:r>
          </w:p>
        </w:tc>
        <w:tc>
          <w:tcPr>
            <w:tcW w:w="620" w:type="dxa"/>
            <w:vMerge w:val="restart"/>
            <w:vAlign w:val="center"/>
          </w:tcPr>
          <w:p>
            <w:pPr>
              <w:pStyle w:val="112"/>
              <w:rPr>
                <w:kern w:val="2"/>
                <w:sz w:val="18"/>
                <w:szCs w:val="18"/>
                <w:u w:val="single"/>
              </w:rPr>
            </w:pPr>
            <w:r>
              <w:rPr>
                <w:rFonts w:hint="eastAsia" w:hAnsi="宋体"/>
                <w:kern w:val="2"/>
                <w:sz w:val="18"/>
                <w:szCs w:val="18"/>
                <w:u w:val="single"/>
              </w:rPr>
              <w:t>评价</w:t>
            </w:r>
          </w:p>
          <w:p>
            <w:pPr>
              <w:pStyle w:val="112"/>
              <w:rPr>
                <w:kern w:val="2"/>
                <w:sz w:val="18"/>
                <w:szCs w:val="18"/>
                <w:u w:val="single"/>
              </w:rPr>
            </w:pPr>
            <w:r>
              <w:rPr>
                <w:rFonts w:hint="eastAsia" w:hAnsi="宋体"/>
                <w:kern w:val="2"/>
                <w:sz w:val="18"/>
                <w:szCs w:val="18"/>
                <w:u w:val="single"/>
              </w:rPr>
              <w:t>时段</w:t>
            </w:r>
          </w:p>
        </w:tc>
        <w:tc>
          <w:tcPr>
            <w:tcW w:w="7284" w:type="dxa"/>
            <w:gridSpan w:val="11"/>
            <w:vAlign w:val="center"/>
          </w:tcPr>
          <w:p>
            <w:pPr>
              <w:pStyle w:val="112"/>
              <w:rPr>
                <w:rFonts w:hint="eastAsia" w:hAnsi="宋体"/>
                <w:kern w:val="2"/>
                <w:sz w:val="18"/>
                <w:szCs w:val="18"/>
                <w:u w:val="single"/>
              </w:rPr>
            </w:pPr>
            <w:r>
              <w:rPr>
                <w:rFonts w:hint="eastAsia" w:hAnsi="宋体"/>
                <w:kern w:val="2"/>
                <w:sz w:val="18"/>
                <w:szCs w:val="18"/>
                <w:u w:val="single"/>
              </w:rPr>
              <w:t>路</w:t>
            </w:r>
            <w:r>
              <w:rPr>
                <w:rFonts w:hint="eastAsia" w:hAnsi="宋体"/>
                <w:kern w:val="2"/>
                <w:sz w:val="18"/>
                <w:szCs w:val="18"/>
                <w:u w:val="single"/>
                <w:lang w:val="en-US" w:eastAsia="zh-CN"/>
              </w:rPr>
              <w:t>中心线</w:t>
            </w:r>
            <w:r>
              <w:rPr>
                <w:rFonts w:hint="eastAsia" w:hAnsi="宋体"/>
                <w:kern w:val="2"/>
                <w:sz w:val="18"/>
                <w:szCs w:val="18"/>
                <w:u w:val="single"/>
              </w:rPr>
              <w:t>外不同水平距离处的交通噪声预测值（</w:t>
            </w:r>
            <w:r>
              <w:rPr>
                <w:kern w:val="2"/>
                <w:sz w:val="18"/>
                <w:szCs w:val="18"/>
                <w:u w:val="single"/>
              </w:rPr>
              <w:t>dB</w:t>
            </w:r>
            <w:r>
              <w:rPr>
                <w:rFonts w:hint="eastAsia" w:hAnsi="宋体"/>
                <w:kern w:val="2"/>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156" w:type="dxa"/>
            <w:vMerge w:val="continue"/>
            <w:vAlign w:val="center"/>
          </w:tcPr>
          <w:p>
            <w:pPr>
              <w:pStyle w:val="112"/>
              <w:rPr>
                <w:kern w:val="2"/>
                <w:sz w:val="18"/>
                <w:szCs w:val="18"/>
                <w:u w:val="single"/>
              </w:rPr>
            </w:pPr>
          </w:p>
        </w:tc>
        <w:tc>
          <w:tcPr>
            <w:tcW w:w="620" w:type="dxa"/>
            <w:vMerge w:val="continue"/>
            <w:vAlign w:val="center"/>
          </w:tcPr>
          <w:p>
            <w:pPr>
              <w:pStyle w:val="112"/>
              <w:rPr>
                <w:kern w:val="2"/>
                <w:sz w:val="18"/>
                <w:szCs w:val="18"/>
                <w:u w:val="single"/>
              </w:rPr>
            </w:pPr>
          </w:p>
        </w:tc>
        <w:tc>
          <w:tcPr>
            <w:tcW w:w="667" w:type="dxa"/>
            <w:vAlign w:val="center"/>
          </w:tcPr>
          <w:p>
            <w:pPr>
              <w:jc w:val="center"/>
              <w:rPr>
                <w:sz w:val="18"/>
                <w:szCs w:val="18"/>
                <w:u w:val="single"/>
              </w:rPr>
            </w:pPr>
            <w:r>
              <w:rPr>
                <w:rFonts w:hint="eastAsia"/>
                <w:sz w:val="18"/>
                <w:szCs w:val="18"/>
                <w:u w:val="single"/>
                <w:lang w:val="en-US" w:eastAsia="zh-CN"/>
              </w:rPr>
              <w:t>15</w:t>
            </w:r>
            <w:r>
              <w:rPr>
                <w:sz w:val="18"/>
                <w:szCs w:val="18"/>
                <w:u w:val="single"/>
              </w:rPr>
              <w:t>m</w:t>
            </w:r>
          </w:p>
        </w:tc>
        <w:tc>
          <w:tcPr>
            <w:tcW w:w="610" w:type="dxa"/>
            <w:vAlign w:val="center"/>
          </w:tcPr>
          <w:p>
            <w:pPr>
              <w:jc w:val="center"/>
              <w:rPr>
                <w:sz w:val="18"/>
                <w:szCs w:val="18"/>
                <w:u w:val="single"/>
              </w:rPr>
            </w:pPr>
            <w:r>
              <w:rPr>
                <w:sz w:val="18"/>
                <w:szCs w:val="18"/>
                <w:u w:val="single"/>
              </w:rPr>
              <w:t>20m</w:t>
            </w:r>
          </w:p>
        </w:tc>
        <w:tc>
          <w:tcPr>
            <w:tcW w:w="610" w:type="dxa"/>
            <w:vAlign w:val="center"/>
          </w:tcPr>
          <w:p>
            <w:pPr>
              <w:jc w:val="center"/>
              <w:rPr>
                <w:sz w:val="18"/>
                <w:szCs w:val="18"/>
                <w:u w:val="single"/>
              </w:rPr>
            </w:pPr>
            <w:r>
              <w:rPr>
                <w:sz w:val="18"/>
                <w:szCs w:val="18"/>
                <w:u w:val="single"/>
              </w:rPr>
              <w:t>30m</w:t>
            </w:r>
          </w:p>
        </w:tc>
        <w:tc>
          <w:tcPr>
            <w:tcW w:w="611" w:type="dxa"/>
            <w:vAlign w:val="center"/>
          </w:tcPr>
          <w:p>
            <w:pPr>
              <w:jc w:val="center"/>
              <w:rPr>
                <w:sz w:val="18"/>
                <w:szCs w:val="18"/>
                <w:u w:val="single"/>
              </w:rPr>
            </w:pPr>
            <w:r>
              <w:rPr>
                <w:sz w:val="18"/>
                <w:szCs w:val="18"/>
                <w:u w:val="single"/>
              </w:rPr>
              <w:t>40m</w:t>
            </w:r>
          </w:p>
        </w:tc>
        <w:tc>
          <w:tcPr>
            <w:tcW w:w="611" w:type="dxa"/>
            <w:vAlign w:val="center"/>
          </w:tcPr>
          <w:p>
            <w:pPr>
              <w:jc w:val="center"/>
              <w:rPr>
                <w:sz w:val="18"/>
                <w:szCs w:val="18"/>
                <w:u w:val="single"/>
              </w:rPr>
            </w:pPr>
            <w:r>
              <w:rPr>
                <w:sz w:val="18"/>
                <w:szCs w:val="18"/>
                <w:u w:val="single"/>
              </w:rPr>
              <w:t>60m</w:t>
            </w:r>
          </w:p>
        </w:tc>
        <w:tc>
          <w:tcPr>
            <w:tcW w:w="611" w:type="dxa"/>
            <w:vAlign w:val="center"/>
          </w:tcPr>
          <w:p>
            <w:pPr>
              <w:jc w:val="center"/>
              <w:rPr>
                <w:sz w:val="18"/>
                <w:szCs w:val="18"/>
                <w:u w:val="single"/>
              </w:rPr>
            </w:pPr>
            <w:r>
              <w:rPr>
                <w:sz w:val="18"/>
                <w:szCs w:val="18"/>
                <w:u w:val="single"/>
              </w:rPr>
              <w:t>80m</w:t>
            </w:r>
          </w:p>
        </w:tc>
        <w:tc>
          <w:tcPr>
            <w:tcW w:w="664" w:type="dxa"/>
            <w:vAlign w:val="center"/>
          </w:tcPr>
          <w:p>
            <w:pPr>
              <w:jc w:val="center"/>
              <w:rPr>
                <w:sz w:val="18"/>
                <w:szCs w:val="18"/>
                <w:u w:val="single"/>
              </w:rPr>
            </w:pPr>
            <w:r>
              <w:rPr>
                <w:sz w:val="18"/>
                <w:szCs w:val="18"/>
                <w:u w:val="single"/>
              </w:rPr>
              <w:t>110m</w:t>
            </w:r>
          </w:p>
        </w:tc>
        <w:tc>
          <w:tcPr>
            <w:tcW w:w="767" w:type="dxa"/>
            <w:vAlign w:val="center"/>
          </w:tcPr>
          <w:p>
            <w:pPr>
              <w:jc w:val="center"/>
              <w:rPr>
                <w:sz w:val="18"/>
                <w:szCs w:val="18"/>
                <w:u w:val="single"/>
              </w:rPr>
            </w:pPr>
            <w:r>
              <w:rPr>
                <w:sz w:val="18"/>
                <w:szCs w:val="18"/>
                <w:u w:val="single"/>
              </w:rPr>
              <w:t>130m</w:t>
            </w:r>
          </w:p>
        </w:tc>
        <w:tc>
          <w:tcPr>
            <w:tcW w:w="768" w:type="dxa"/>
            <w:vAlign w:val="center"/>
          </w:tcPr>
          <w:p>
            <w:pPr>
              <w:jc w:val="center"/>
              <w:rPr>
                <w:sz w:val="18"/>
                <w:szCs w:val="18"/>
                <w:u w:val="single"/>
              </w:rPr>
            </w:pPr>
            <w:r>
              <w:rPr>
                <w:sz w:val="18"/>
                <w:szCs w:val="18"/>
                <w:u w:val="single"/>
              </w:rPr>
              <w:t>150m</w:t>
            </w:r>
          </w:p>
        </w:tc>
        <w:tc>
          <w:tcPr>
            <w:tcW w:w="694" w:type="dxa"/>
            <w:vAlign w:val="center"/>
          </w:tcPr>
          <w:p>
            <w:pPr>
              <w:jc w:val="center"/>
              <w:rPr>
                <w:sz w:val="18"/>
                <w:szCs w:val="18"/>
                <w:u w:val="single"/>
              </w:rPr>
            </w:pPr>
            <w:r>
              <w:rPr>
                <w:sz w:val="18"/>
                <w:szCs w:val="18"/>
                <w:u w:val="single"/>
              </w:rPr>
              <w:t>180m</w:t>
            </w:r>
          </w:p>
        </w:tc>
        <w:tc>
          <w:tcPr>
            <w:tcW w:w="671" w:type="dxa"/>
            <w:vAlign w:val="center"/>
          </w:tcPr>
          <w:p>
            <w:pPr>
              <w:jc w:val="center"/>
              <w:rPr>
                <w:sz w:val="18"/>
                <w:szCs w:val="18"/>
                <w:u w:val="single"/>
              </w:rPr>
            </w:pPr>
            <w:r>
              <w:rPr>
                <w:sz w:val="18"/>
                <w:szCs w:val="18"/>
                <w:u w:val="single"/>
              </w:rPr>
              <w:t>230m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156" w:type="dxa"/>
            <w:vMerge w:val="restart"/>
            <w:vAlign w:val="center"/>
          </w:tcPr>
          <w:p>
            <w:pPr>
              <w:pStyle w:val="112"/>
              <w:rPr>
                <w:rFonts w:hAnsi="宋体"/>
                <w:kern w:val="2"/>
                <w:sz w:val="18"/>
                <w:szCs w:val="18"/>
                <w:u w:val="single"/>
              </w:rPr>
            </w:pPr>
            <w:r>
              <w:rPr>
                <w:rFonts w:hint="eastAsia" w:hAnsi="宋体"/>
                <w:kern w:val="2"/>
                <w:sz w:val="18"/>
                <w:szCs w:val="18"/>
                <w:u w:val="single"/>
              </w:rPr>
              <w:t>近期</w:t>
            </w:r>
          </w:p>
          <w:p>
            <w:pPr>
              <w:pStyle w:val="112"/>
              <w:rPr>
                <w:kern w:val="2"/>
                <w:sz w:val="18"/>
                <w:szCs w:val="18"/>
                <w:u w:val="single"/>
              </w:rPr>
            </w:pPr>
            <w:r>
              <w:rPr>
                <w:rFonts w:hint="eastAsia" w:hAnsi="宋体"/>
                <w:kern w:val="2"/>
                <w:sz w:val="18"/>
                <w:szCs w:val="18"/>
                <w:u w:val="single"/>
              </w:rPr>
              <w:t>（</w:t>
            </w:r>
            <w:r>
              <w:rPr>
                <w:rFonts w:hAnsi="宋体"/>
                <w:kern w:val="2"/>
                <w:sz w:val="18"/>
                <w:szCs w:val="18"/>
                <w:u w:val="single"/>
              </w:rPr>
              <w:t>2019</w:t>
            </w:r>
            <w:r>
              <w:rPr>
                <w:rFonts w:hint="eastAsia" w:hAnsi="宋体"/>
                <w:kern w:val="2"/>
                <w:sz w:val="18"/>
                <w:szCs w:val="18"/>
                <w:u w:val="single"/>
              </w:rPr>
              <w:t>年）</w:t>
            </w:r>
          </w:p>
        </w:tc>
        <w:tc>
          <w:tcPr>
            <w:tcW w:w="620" w:type="dxa"/>
            <w:vAlign w:val="center"/>
          </w:tcPr>
          <w:p>
            <w:pPr>
              <w:pStyle w:val="112"/>
              <w:rPr>
                <w:kern w:val="2"/>
                <w:sz w:val="18"/>
                <w:szCs w:val="18"/>
                <w:u w:val="single"/>
              </w:rPr>
            </w:pPr>
            <w:r>
              <w:rPr>
                <w:rFonts w:hint="eastAsia" w:hAnsi="宋体"/>
                <w:kern w:val="2"/>
                <w:sz w:val="18"/>
                <w:szCs w:val="18"/>
                <w:u w:val="single"/>
              </w:rPr>
              <w:t>昼间</w:t>
            </w:r>
          </w:p>
        </w:tc>
        <w:tc>
          <w:tcPr>
            <w:tcW w:w="667" w:type="dxa"/>
            <w:vAlign w:val="center"/>
          </w:tcPr>
          <w:p>
            <w:pPr>
              <w:jc w:val="center"/>
              <w:rPr>
                <w:rFonts w:hint="eastAsia" w:eastAsia="宋体"/>
                <w:sz w:val="18"/>
                <w:szCs w:val="18"/>
                <w:u w:val="single"/>
                <w:lang w:val="en-US" w:eastAsia="zh-CN"/>
              </w:rPr>
            </w:pPr>
            <w:r>
              <w:rPr>
                <w:rFonts w:hint="eastAsia"/>
                <w:sz w:val="18"/>
                <w:szCs w:val="18"/>
                <w:u w:val="single"/>
                <w:lang w:val="en-US" w:eastAsia="zh-CN"/>
              </w:rPr>
              <w:t>67.1</w:t>
            </w:r>
          </w:p>
        </w:tc>
        <w:tc>
          <w:tcPr>
            <w:tcW w:w="610" w:type="dxa"/>
            <w:textDirection w:val="lrTb"/>
            <w:vAlign w:val="center"/>
          </w:tcPr>
          <w:p>
            <w:pPr>
              <w:jc w:val="center"/>
              <w:rPr>
                <w:rFonts w:hint="eastAsia" w:eastAsia="宋体"/>
                <w:sz w:val="18"/>
                <w:szCs w:val="18"/>
                <w:u w:val="single"/>
                <w:lang w:eastAsia="zh-CN"/>
              </w:rPr>
            </w:pPr>
            <w:r>
              <w:rPr>
                <w:rFonts w:hint="eastAsia"/>
                <w:sz w:val="18"/>
                <w:szCs w:val="18"/>
                <w:u w:val="single"/>
                <w:lang w:val="en-US" w:eastAsia="zh-CN"/>
              </w:rPr>
              <w:t>64.5</w:t>
            </w:r>
          </w:p>
        </w:tc>
        <w:tc>
          <w:tcPr>
            <w:tcW w:w="610" w:type="dxa"/>
            <w:textDirection w:val="lrTb"/>
            <w:vAlign w:val="center"/>
          </w:tcPr>
          <w:p>
            <w:pPr>
              <w:jc w:val="center"/>
              <w:rPr>
                <w:sz w:val="18"/>
                <w:szCs w:val="18"/>
                <w:u w:val="single"/>
              </w:rPr>
            </w:pPr>
            <w:r>
              <w:rPr>
                <w:sz w:val="18"/>
                <w:szCs w:val="18"/>
                <w:u w:val="single"/>
              </w:rPr>
              <w:t>5</w:t>
            </w:r>
            <w:r>
              <w:rPr>
                <w:rFonts w:hint="eastAsia"/>
                <w:sz w:val="18"/>
                <w:szCs w:val="18"/>
                <w:u w:val="single"/>
                <w:lang w:val="en-US" w:eastAsia="zh-CN"/>
              </w:rPr>
              <w:t>9</w:t>
            </w:r>
            <w:r>
              <w:rPr>
                <w:sz w:val="18"/>
                <w:szCs w:val="18"/>
                <w:u w:val="single"/>
              </w:rPr>
              <w:t>.2</w:t>
            </w:r>
          </w:p>
        </w:tc>
        <w:tc>
          <w:tcPr>
            <w:tcW w:w="611" w:type="dxa"/>
            <w:textDirection w:val="lrTb"/>
            <w:vAlign w:val="center"/>
          </w:tcPr>
          <w:p>
            <w:pPr>
              <w:jc w:val="center"/>
              <w:rPr>
                <w:sz w:val="18"/>
                <w:szCs w:val="18"/>
                <w:u w:val="single"/>
              </w:rPr>
            </w:pPr>
            <w:r>
              <w:rPr>
                <w:sz w:val="18"/>
                <w:szCs w:val="18"/>
                <w:u w:val="single"/>
              </w:rPr>
              <w:t>5</w:t>
            </w:r>
            <w:r>
              <w:rPr>
                <w:rFonts w:hint="eastAsia"/>
                <w:sz w:val="18"/>
                <w:szCs w:val="18"/>
                <w:u w:val="single"/>
                <w:lang w:val="en-US" w:eastAsia="zh-CN"/>
              </w:rPr>
              <w:t>4</w:t>
            </w:r>
            <w:r>
              <w:rPr>
                <w:sz w:val="18"/>
                <w:szCs w:val="18"/>
                <w:u w:val="single"/>
              </w:rPr>
              <w:t>.6</w:t>
            </w:r>
          </w:p>
        </w:tc>
        <w:tc>
          <w:tcPr>
            <w:tcW w:w="611" w:type="dxa"/>
            <w:textDirection w:val="lrTb"/>
            <w:vAlign w:val="center"/>
          </w:tcPr>
          <w:p>
            <w:pPr>
              <w:jc w:val="center"/>
              <w:rPr>
                <w:sz w:val="18"/>
                <w:szCs w:val="18"/>
                <w:u w:val="single"/>
              </w:rPr>
            </w:pPr>
            <w:r>
              <w:rPr>
                <w:sz w:val="18"/>
                <w:szCs w:val="18"/>
                <w:u w:val="single"/>
              </w:rPr>
              <w:t>47.7</w:t>
            </w:r>
          </w:p>
        </w:tc>
        <w:tc>
          <w:tcPr>
            <w:tcW w:w="611" w:type="dxa"/>
            <w:textDirection w:val="lrTb"/>
            <w:vAlign w:val="center"/>
          </w:tcPr>
          <w:p>
            <w:pPr>
              <w:jc w:val="center"/>
              <w:rPr>
                <w:sz w:val="18"/>
                <w:szCs w:val="18"/>
                <w:u w:val="single"/>
              </w:rPr>
            </w:pPr>
            <w:r>
              <w:rPr>
                <w:sz w:val="18"/>
                <w:szCs w:val="18"/>
                <w:u w:val="single"/>
              </w:rPr>
              <w:t>46.0</w:t>
            </w:r>
          </w:p>
        </w:tc>
        <w:tc>
          <w:tcPr>
            <w:tcW w:w="664" w:type="dxa"/>
            <w:textDirection w:val="lrTb"/>
            <w:vAlign w:val="center"/>
          </w:tcPr>
          <w:p>
            <w:pPr>
              <w:jc w:val="center"/>
              <w:rPr>
                <w:sz w:val="18"/>
                <w:szCs w:val="18"/>
                <w:u w:val="single"/>
              </w:rPr>
            </w:pPr>
            <w:r>
              <w:rPr>
                <w:sz w:val="18"/>
                <w:szCs w:val="18"/>
                <w:u w:val="single"/>
              </w:rPr>
              <w:t>43.8</w:t>
            </w:r>
          </w:p>
        </w:tc>
        <w:tc>
          <w:tcPr>
            <w:tcW w:w="767" w:type="dxa"/>
            <w:textDirection w:val="lrTb"/>
            <w:vAlign w:val="center"/>
          </w:tcPr>
          <w:p>
            <w:pPr>
              <w:jc w:val="center"/>
              <w:rPr>
                <w:sz w:val="18"/>
                <w:szCs w:val="18"/>
                <w:u w:val="single"/>
              </w:rPr>
            </w:pPr>
            <w:r>
              <w:rPr>
                <w:sz w:val="18"/>
                <w:szCs w:val="18"/>
                <w:u w:val="single"/>
              </w:rPr>
              <w:t>42.3</w:t>
            </w:r>
          </w:p>
        </w:tc>
        <w:tc>
          <w:tcPr>
            <w:tcW w:w="768" w:type="dxa"/>
            <w:textDirection w:val="lrTb"/>
            <w:vAlign w:val="center"/>
          </w:tcPr>
          <w:p>
            <w:pPr>
              <w:jc w:val="center"/>
              <w:rPr>
                <w:sz w:val="18"/>
                <w:szCs w:val="18"/>
                <w:u w:val="single"/>
              </w:rPr>
            </w:pPr>
            <w:r>
              <w:rPr>
                <w:sz w:val="18"/>
                <w:szCs w:val="18"/>
                <w:u w:val="single"/>
              </w:rPr>
              <w:t>40.8</w:t>
            </w:r>
          </w:p>
        </w:tc>
        <w:tc>
          <w:tcPr>
            <w:tcW w:w="694" w:type="dxa"/>
            <w:textDirection w:val="lrTb"/>
            <w:vAlign w:val="center"/>
          </w:tcPr>
          <w:p>
            <w:pPr>
              <w:jc w:val="center"/>
              <w:rPr>
                <w:sz w:val="18"/>
                <w:szCs w:val="18"/>
                <w:u w:val="single"/>
              </w:rPr>
            </w:pPr>
            <w:r>
              <w:rPr>
                <w:sz w:val="18"/>
                <w:szCs w:val="18"/>
                <w:u w:val="single"/>
              </w:rPr>
              <w:t>39.9</w:t>
            </w:r>
          </w:p>
        </w:tc>
        <w:tc>
          <w:tcPr>
            <w:tcW w:w="671" w:type="dxa"/>
            <w:textDirection w:val="lrTb"/>
            <w:vAlign w:val="center"/>
          </w:tcPr>
          <w:p>
            <w:pPr>
              <w:jc w:val="center"/>
              <w:rPr>
                <w:sz w:val="18"/>
                <w:szCs w:val="18"/>
                <w:u w:val="single"/>
              </w:rPr>
            </w:pPr>
            <w:r>
              <w:rPr>
                <w:sz w:val="18"/>
                <w:szCs w:val="18"/>
                <w:u w:val="single"/>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156" w:type="dxa"/>
            <w:vMerge w:val="continue"/>
            <w:vAlign w:val="center"/>
          </w:tcPr>
          <w:p>
            <w:pPr>
              <w:pStyle w:val="112"/>
              <w:rPr>
                <w:kern w:val="2"/>
                <w:sz w:val="18"/>
                <w:szCs w:val="18"/>
                <w:u w:val="single"/>
              </w:rPr>
            </w:pPr>
          </w:p>
        </w:tc>
        <w:tc>
          <w:tcPr>
            <w:tcW w:w="620" w:type="dxa"/>
            <w:vAlign w:val="center"/>
          </w:tcPr>
          <w:p>
            <w:pPr>
              <w:pStyle w:val="112"/>
              <w:rPr>
                <w:kern w:val="2"/>
                <w:sz w:val="18"/>
                <w:szCs w:val="18"/>
                <w:u w:val="single"/>
              </w:rPr>
            </w:pPr>
            <w:r>
              <w:rPr>
                <w:rFonts w:hint="eastAsia" w:hAnsi="宋体"/>
                <w:kern w:val="2"/>
                <w:sz w:val="18"/>
                <w:szCs w:val="18"/>
                <w:u w:val="single"/>
              </w:rPr>
              <w:t>夜间</w:t>
            </w:r>
          </w:p>
        </w:tc>
        <w:tc>
          <w:tcPr>
            <w:tcW w:w="667" w:type="dxa"/>
            <w:vAlign w:val="center"/>
          </w:tcPr>
          <w:p>
            <w:pPr>
              <w:jc w:val="center"/>
              <w:rPr>
                <w:rFonts w:hint="eastAsia" w:eastAsia="宋体"/>
                <w:sz w:val="18"/>
                <w:szCs w:val="18"/>
                <w:u w:val="single"/>
                <w:lang w:val="en-US" w:eastAsia="zh-CN"/>
              </w:rPr>
            </w:pPr>
            <w:r>
              <w:rPr>
                <w:rFonts w:hint="eastAsia"/>
                <w:sz w:val="18"/>
                <w:szCs w:val="18"/>
                <w:u w:val="single"/>
                <w:lang w:val="en-US" w:eastAsia="zh-CN"/>
              </w:rPr>
              <w:t>54.9</w:t>
            </w:r>
          </w:p>
        </w:tc>
        <w:tc>
          <w:tcPr>
            <w:tcW w:w="610" w:type="dxa"/>
            <w:textDirection w:val="lrTb"/>
            <w:vAlign w:val="center"/>
          </w:tcPr>
          <w:p>
            <w:pPr>
              <w:jc w:val="center"/>
              <w:rPr>
                <w:sz w:val="18"/>
                <w:szCs w:val="18"/>
                <w:u w:val="single"/>
              </w:rPr>
            </w:pPr>
            <w:r>
              <w:rPr>
                <w:sz w:val="18"/>
                <w:szCs w:val="18"/>
                <w:u w:val="single"/>
              </w:rPr>
              <w:t>52.1</w:t>
            </w:r>
          </w:p>
        </w:tc>
        <w:tc>
          <w:tcPr>
            <w:tcW w:w="610" w:type="dxa"/>
            <w:textDirection w:val="lrTb"/>
            <w:vAlign w:val="center"/>
          </w:tcPr>
          <w:p>
            <w:pPr>
              <w:jc w:val="center"/>
              <w:rPr>
                <w:sz w:val="18"/>
                <w:szCs w:val="18"/>
                <w:u w:val="single"/>
              </w:rPr>
            </w:pPr>
            <w:r>
              <w:rPr>
                <w:sz w:val="18"/>
                <w:szCs w:val="18"/>
                <w:u w:val="single"/>
              </w:rPr>
              <w:t>49.1</w:t>
            </w:r>
          </w:p>
        </w:tc>
        <w:tc>
          <w:tcPr>
            <w:tcW w:w="611" w:type="dxa"/>
            <w:textDirection w:val="lrTb"/>
            <w:vAlign w:val="center"/>
          </w:tcPr>
          <w:p>
            <w:pPr>
              <w:jc w:val="center"/>
              <w:rPr>
                <w:sz w:val="18"/>
                <w:szCs w:val="18"/>
                <w:u w:val="single"/>
              </w:rPr>
            </w:pPr>
            <w:r>
              <w:rPr>
                <w:sz w:val="18"/>
                <w:szCs w:val="18"/>
                <w:u w:val="single"/>
              </w:rPr>
              <w:t>44.4</w:t>
            </w:r>
          </w:p>
        </w:tc>
        <w:tc>
          <w:tcPr>
            <w:tcW w:w="611" w:type="dxa"/>
            <w:textDirection w:val="lrTb"/>
            <w:vAlign w:val="center"/>
          </w:tcPr>
          <w:p>
            <w:pPr>
              <w:jc w:val="center"/>
              <w:rPr>
                <w:sz w:val="18"/>
                <w:szCs w:val="18"/>
                <w:u w:val="single"/>
              </w:rPr>
            </w:pPr>
            <w:r>
              <w:rPr>
                <w:sz w:val="18"/>
                <w:szCs w:val="18"/>
                <w:u w:val="single"/>
              </w:rPr>
              <w:t>41.5</w:t>
            </w:r>
          </w:p>
        </w:tc>
        <w:tc>
          <w:tcPr>
            <w:tcW w:w="611" w:type="dxa"/>
            <w:textDirection w:val="lrTb"/>
            <w:vAlign w:val="center"/>
          </w:tcPr>
          <w:p>
            <w:pPr>
              <w:jc w:val="center"/>
              <w:rPr>
                <w:sz w:val="18"/>
                <w:szCs w:val="18"/>
                <w:u w:val="single"/>
              </w:rPr>
            </w:pPr>
            <w:r>
              <w:rPr>
                <w:sz w:val="18"/>
                <w:szCs w:val="18"/>
                <w:u w:val="single"/>
              </w:rPr>
              <w:t>39.8</w:t>
            </w:r>
          </w:p>
        </w:tc>
        <w:tc>
          <w:tcPr>
            <w:tcW w:w="664" w:type="dxa"/>
            <w:textDirection w:val="lrTb"/>
            <w:vAlign w:val="center"/>
          </w:tcPr>
          <w:p>
            <w:pPr>
              <w:jc w:val="center"/>
              <w:rPr>
                <w:sz w:val="18"/>
                <w:szCs w:val="18"/>
                <w:u w:val="single"/>
              </w:rPr>
            </w:pPr>
            <w:r>
              <w:rPr>
                <w:sz w:val="18"/>
                <w:szCs w:val="18"/>
                <w:u w:val="single"/>
              </w:rPr>
              <w:t>37.6</w:t>
            </w:r>
          </w:p>
        </w:tc>
        <w:tc>
          <w:tcPr>
            <w:tcW w:w="767" w:type="dxa"/>
            <w:textDirection w:val="lrTb"/>
            <w:vAlign w:val="center"/>
          </w:tcPr>
          <w:p>
            <w:pPr>
              <w:jc w:val="center"/>
              <w:rPr>
                <w:sz w:val="18"/>
                <w:szCs w:val="18"/>
                <w:u w:val="single"/>
              </w:rPr>
            </w:pPr>
            <w:r>
              <w:rPr>
                <w:sz w:val="18"/>
                <w:szCs w:val="18"/>
                <w:u w:val="single"/>
              </w:rPr>
              <w:t>36.1</w:t>
            </w:r>
          </w:p>
        </w:tc>
        <w:tc>
          <w:tcPr>
            <w:tcW w:w="768" w:type="dxa"/>
            <w:textDirection w:val="lrTb"/>
            <w:vAlign w:val="center"/>
          </w:tcPr>
          <w:p>
            <w:pPr>
              <w:jc w:val="center"/>
              <w:rPr>
                <w:sz w:val="18"/>
                <w:szCs w:val="18"/>
                <w:u w:val="single"/>
              </w:rPr>
            </w:pPr>
            <w:r>
              <w:rPr>
                <w:sz w:val="18"/>
                <w:szCs w:val="18"/>
                <w:u w:val="single"/>
              </w:rPr>
              <w:t>34.5</w:t>
            </w:r>
          </w:p>
        </w:tc>
        <w:tc>
          <w:tcPr>
            <w:tcW w:w="694" w:type="dxa"/>
            <w:textDirection w:val="lrTb"/>
            <w:vAlign w:val="center"/>
          </w:tcPr>
          <w:p>
            <w:pPr>
              <w:jc w:val="center"/>
              <w:rPr>
                <w:sz w:val="18"/>
                <w:szCs w:val="18"/>
                <w:u w:val="single"/>
              </w:rPr>
            </w:pPr>
            <w:r>
              <w:rPr>
                <w:sz w:val="18"/>
                <w:szCs w:val="18"/>
                <w:u w:val="single"/>
              </w:rPr>
              <w:t>33.7</w:t>
            </w:r>
          </w:p>
        </w:tc>
        <w:tc>
          <w:tcPr>
            <w:tcW w:w="671" w:type="dxa"/>
            <w:textDirection w:val="lrTb"/>
            <w:vAlign w:val="center"/>
          </w:tcPr>
          <w:p>
            <w:pPr>
              <w:jc w:val="center"/>
              <w:rPr>
                <w:sz w:val="18"/>
                <w:szCs w:val="18"/>
                <w:u w:val="single"/>
              </w:rPr>
            </w:pPr>
            <w:r>
              <w:rPr>
                <w:sz w:val="18"/>
                <w:szCs w:val="18"/>
                <w:u w:val="single"/>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156" w:type="dxa"/>
            <w:vMerge w:val="restart"/>
            <w:vAlign w:val="center"/>
          </w:tcPr>
          <w:p>
            <w:pPr>
              <w:pStyle w:val="112"/>
              <w:rPr>
                <w:rFonts w:hAnsi="宋体"/>
                <w:kern w:val="2"/>
                <w:sz w:val="18"/>
                <w:szCs w:val="18"/>
                <w:u w:val="single"/>
              </w:rPr>
            </w:pPr>
            <w:r>
              <w:rPr>
                <w:rFonts w:hint="eastAsia" w:hAnsi="宋体"/>
                <w:kern w:val="2"/>
                <w:sz w:val="18"/>
                <w:szCs w:val="18"/>
                <w:u w:val="single"/>
              </w:rPr>
              <w:t>中期</w:t>
            </w:r>
          </w:p>
          <w:p>
            <w:pPr>
              <w:pStyle w:val="112"/>
              <w:rPr>
                <w:kern w:val="2"/>
                <w:sz w:val="18"/>
                <w:szCs w:val="18"/>
                <w:u w:val="single"/>
              </w:rPr>
            </w:pPr>
            <w:r>
              <w:rPr>
                <w:rFonts w:hint="eastAsia" w:hAnsi="宋体"/>
                <w:kern w:val="2"/>
                <w:sz w:val="18"/>
                <w:szCs w:val="18"/>
                <w:u w:val="single"/>
              </w:rPr>
              <w:t>（</w:t>
            </w:r>
            <w:r>
              <w:rPr>
                <w:rFonts w:hAnsi="宋体"/>
                <w:kern w:val="2"/>
                <w:sz w:val="18"/>
                <w:szCs w:val="18"/>
                <w:u w:val="single"/>
              </w:rPr>
              <w:t>2025</w:t>
            </w:r>
            <w:r>
              <w:rPr>
                <w:rFonts w:hint="eastAsia" w:hAnsi="宋体"/>
                <w:kern w:val="2"/>
                <w:sz w:val="18"/>
                <w:szCs w:val="18"/>
                <w:u w:val="single"/>
              </w:rPr>
              <w:t>年）</w:t>
            </w:r>
          </w:p>
        </w:tc>
        <w:tc>
          <w:tcPr>
            <w:tcW w:w="620" w:type="dxa"/>
            <w:vAlign w:val="center"/>
          </w:tcPr>
          <w:p>
            <w:pPr>
              <w:pStyle w:val="112"/>
              <w:rPr>
                <w:kern w:val="2"/>
                <w:sz w:val="18"/>
                <w:szCs w:val="18"/>
                <w:u w:val="single"/>
              </w:rPr>
            </w:pPr>
            <w:r>
              <w:rPr>
                <w:rFonts w:hint="eastAsia" w:hAnsi="宋体"/>
                <w:kern w:val="2"/>
                <w:sz w:val="18"/>
                <w:szCs w:val="18"/>
                <w:u w:val="single"/>
              </w:rPr>
              <w:t>昼间</w:t>
            </w:r>
          </w:p>
        </w:tc>
        <w:tc>
          <w:tcPr>
            <w:tcW w:w="667" w:type="dxa"/>
            <w:vAlign w:val="center"/>
          </w:tcPr>
          <w:p>
            <w:pPr>
              <w:jc w:val="center"/>
              <w:rPr>
                <w:rFonts w:hint="eastAsia" w:eastAsia="宋体"/>
                <w:sz w:val="18"/>
                <w:szCs w:val="18"/>
                <w:u w:val="single"/>
                <w:lang w:val="en-US" w:eastAsia="zh-CN"/>
              </w:rPr>
            </w:pPr>
            <w:r>
              <w:rPr>
                <w:rFonts w:hint="eastAsia"/>
                <w:sz w:val="18"/>
                <w:szCs w:val="18"/>
                <w:u w:val="single"/>
                <w:lang w:val="en-US" w:eastAsia="zh-CN"/>
              </w:rPr>
              <w:t>68.8</w:t>
            </w:r>
          </w:p>
        </w:tc>
        <w:tc>
          <w:tcPr>
            <w:tcW w:w="610" w:type="dxa"/>
            <w:textDirection w:val="lrTb"/>
            <w:vAlign w:val="center"/>
          </w:tcPr>
          <w:p>
            <w:pPr>
              <w:jc w:val="center"/>
              <w:rPr>
                <w:rFonts w:hint="eastAsia" w:eastAsia="宋体"/>
                <w:sz w:val="18"/>
                <w:szCs w:val="18"/>
                <w:u w:val="single"/>
                <w:lang w:eastAsia="zh-CN"/>
              </w:rPr>
            </w:pPr>
            <w:r>
              <w:rPr>
                <w:rFonts w:hint="eastAsia"/>
                <w:sz w:val="18"/>
                <w:szCs w:val="18"/>
                <w:u w:val="single"/>
                <w:lang w:val="en-US" w:eastAsia="zh-CN"/>
              </w:rPr>
              <w:t>65.9</w:t>
            </w:r>
          </w:p>
        </w:tc>
        <w:tc>
          <w:tcPr>
            <w:tcW w:w="610" w:type="dxa"/>
            <w:textDirection w:val="lrTb"/>
            <w:vAlign w:val="center"/>
          </w:tcPr>
          <w:p>
            <w:pPr>
              <w:jc w:val="center"/>
              <w:rPr>
                <w:rFonts w:hint="eastAsia" w:eastAsia="宋体"/>
                <w:sz w:val="18"/>
                <w:szCs w:val="18"/>
                <w:u w:val="single"/>
                <w:lang w:eastAsia="zh-CN"/>
              </w:rPr>
            </w:pPr>
            <w:r>
              <w:rPr>
                <w:rFonts w:hint="eastAsia"/>
                <w:sz w:val="18"/>
                <w:szCs w:val="18"/>
                <w:u w:val="single"/>
                <w:lang w:val="en-US" w:eastAsia="zh-CN"/>
              </w:rPr>
              <w:t>61.3</w:t>
            </w:r>
          </w:p>
        </w:tc>
        <w:tc>
          <w:tcPr>
            <w:tcW w:w="611" w:type="dxa"/>
            <w:textDirection w:val="lrTb"/>
            <w:vAlign w:val="center"/>
          </w:tcPr>
          <w:p>
            <w:pPr>
              <w:jc w:val="center"/>
              <w:rPr>
                <w:sz w:val="18"/>
                <w:szCs w:val="18"/>
                <w:u w:val="single"/>
              </w:rPr>
            </w:pPr>
            <w:r>
              <w:rPr>
                <w:sz w:val="18"/>
                <w:szCs w:val="18"/>
                <w:u w:val="single"/>
              </w:rPr>
              <w:t>5</w:t>
            </w:r>
            <w:r>
              <w:rPr>
                <w:rFonts w:hint="eastAsia"/>
                <w:sz w:val="18"/>
                <w:szCs w:val="18"/>
                <w:u w:val="single"/>
                <w:lang w:val="en-US" w:eastAsia="zh-CN"/>
              </w:rPr>
              <w:t>8.7</w:t>
            </w:r>
          </w:p>
        </w:tc>
        <w:tc>
          <w:tcPr>
            <w:tcW w:w="611" w:type="dxa"/>
            <w:textDirection w:val="lrTb"/>
            <w:vAlign w:val="center"/>
          </w:tcPr>
          <w:p>
            <w:pPr>
              <w:jc w:val="center"/>
              <w:rPr>
                <w:sz w:val="18"/>
                <w:szCs w:val="18"/>
                <w:u w:val="single"/>
              </w:rPr>
            </w:pPr>
            <w:r>
              <w:rPr>
                <w:sz w:val="18"/>
                <w:szCs w:val="18"/>
                <w:u w:val="single"/>
              </w:rPr>
              <w:t>49.3</w:t>
            </w:r>
          </w:p>
        </w:tc>
        <w:tc>
          <w:tcPr>
            <w:tcW w:w="611" w:type="dxa"/>
            <w:textDirection w:val="lrTb"/>
            <w:vAlign w:val="center"/>
          </w:tcPr>
          <w:p>
            <w:pPr>
              <w:jc w:val="center"/>
              <w:rPr>
                <w:sz w:val="18"/>
                <w:szCs w:val="18"/>
                <w:u w:val="single"/>
              </w:rPr>
            </w:pPr>
            <w:r>
              <w:rPr>
                <w:sz w:val="18"/>
                <w:szCs w:val="18"/>
                <w:u w:val="single"/>
              </w:rPr>
              <w:t>47.6</w:t>
            </w:r>
          </w:p>
        </w:tc>
        <w:tc>
          <w:tcPr>
            <w:tcW w:w="664" w:type="dxa"/>
            <w:textDirection w:val="lrTb"/>
            <w:vAlign w:val="center"/>
          </w:tcPr>
          <w:p>
            <w:pPr>
              <w:jc w:val="center"/>
              <w:rPr>
                <w:sz w:val="18"/>
                <w:szCs w:val="18"/>
                <w:u w:val="single"/>
              </w:rPr>
            </w:pPr>
            <w:r>
              <w:rPr>
                <w:sz w:val="18"/>
                <w:szCs w:val="18"/>
                <w:u w:val="single"/>
              </w:rPr>
              <w:t>45.4</w:t>
            </w:r>
          </w:p>
        </w:tc>
        <w:tc>
          <w:tcPr>
            <w:tcW w:w="767" w:type="dxa"/>
            <w:textDirection w:val="lrTb"/>
            <w:vAlign w:val="center"/>
          </w:tcPr>
          <w:p>
            <w:pPr>
              <w:jc w:val="center"/>
              <w:rPr>
                <w:sz w:val="18"/>
                <w:szCs w:val="18"/>
                <w:u w:val="single"/>
              </w:rPr>
            </w:pPr>
            <w:r>
              <w:rPr>
                <w:sz w:val="18"/>
                <w:szCs w:val="18"/>
                <w:u w:val="single"/>
              </w:rPr>
              <w:t>43.9</w:t>
            </w:r>
          </w:p>
        </w:tc>
        <w:tc>
          <w:tcPr>
            <w:tcW w:w="768" w:type="dxa"/>
            <w:textDirection w:val="lrTb"/>
            <w:vAlign w:val="center"/>
          </w:tcPr>
          <w:p>
            <w:pPr>
              <w:jc w:val="center"/>
              <w:rPr>
                <w:sz w:val="18"/>
                <w:szCs w:val="18"/>
                <w:u w:val="single"/>
              </w:rPr>
            </w:pPr>
            <w:r>
              <w:rPr>
                <w:sz w:val="18"/>
                <w:szCs w:val="18"/>
                <w:u w:val="single"/>
              </w:rPr>
              <w:t>42.4</w:t>
            </w:r>
          </w:p>
        </w:tc>
        <w:tc>
          <w:tcPr>
            <w:tcW w:w="694" w:type="dxa"/>
            <w:textDirection w:val="lrTb"/>
            <w:vAlign w:val="center"/>
          </w:tcPr>
          <w:p>
            <w:pPr>
              <w:jc w:val="center"/>
              <w:rPr>
                <w:sz w:val="18"/>
                <w:szCs w:val="18"/>
                <w:u w:val="single"/>
              </w:rPr>
            </w:pPr>
            <w:r>
              <w:rPr>
                <w:sz w:val="18"/>
                <w:szCs w:val="18"/>
                <w:u w:val="single"/>
              </w:rPr>
              <w:t>41.6</w:t>
            </w:r>
          </w:p>
        </w:tc>
        <w:tc>
          <w:tcPr>
            <w:tcW w:w="671" w:type="dxa"/>
            <w:textDirection w:val="lrTb"/>
            <w:vAlign w:val="center"/>
          </w:tcPr>
          <w:p>
            <w:pPr>
              <w:jc w:val="center"/>
              <w:rPr>
                <w:sz w:val="18"/>
                <w:szCs w:val="18"/>
                <w:u w:val="single"/>
              </w:rPr>
            </w:pPr>
            <w:r>
              <w:rPr>
                <w:sz w:val="18"/>
                <w:szCs w:val="18"/>
                <w:u w:val="single"/>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156" w:type="dxa"/>
            <w:vMerge w:val="continue"/>
            <w:vAlign w:val="center"/>
          </w:tcPr>
          <w:p>
            <w:pPr>
              <w:pStyle w:val="112"/>
              <w:rPr>
                <w:kern w:val="2"/>
                <w:sz w:val="18"/>
                <w:szCs w:val="18"/>
                <w:u w:val="single"/>
              </w:rPr>
            </w:pPr>
          </w:p>
        </w:tc>
        <w:tc>
          <w:tcPr>
            <w:tcW w:w="620" w:type="dxa"/>
            <w:vAlign w:val="center"/>
          </w:tcPr>
          <w:p>
            <w:pPr>
              <w:pStyle w:val="112"/>
              <w:rPr>
                <w:kern w:val="2"/>
                <w:sz w:val="18"/>
                <w:szCs w:val="18"/>
                <w:u w:val="single"/>
              </w:rPr>
            </w:pPr>
            <w:r>
              <w:rPr>
                <w:rFonts w:hint="eastAsia" w:hAnsi="宋体"/>
                <w:kern w:val="2"/>
                <w:sz w:val="18"/>
                <w:szCs w:val="18"/>
                <w:u w:val="single"/>
              </w:rPr>
              <w:t>夜间</w:t>
            </w:r>
          </w:p>
        </w:tc>
        <w:tc>
          <w:tcPr>
            <w:tcW w:w="667" w:type="dxa"/>
            <w:vAlign w:val="center"/>
          </w:tcPr>
          <w:p>
            <w:pPr>
              <w:jc w:val="center"/>
              <w:rPr>
                <w:rFonts w:hint="eastAsia" w:eastAsia="宋体"/>
                <w:sz w:val="18"/>
                <w:szCs w:val="18"/>
                <w:u w:val="single"/>
                <w:lang w:val="en-US" w:eastAsia="zh-CN"/>
              </w:rPr>
            </w:pPr>
            <w:r>
              <w:rPr>
                <w:rFonts w:hint="eastAsia"/>
                <w:sz w:val="18"/>
                <w:szCs w:val="18"/>
                <w:u w:val="single"/>
                <w:lang w:val="en-US" w:eastAsia="zh-CN"/>
              </w:rPr>
              <w:t>56.9</w:t>
            </w:r>
          </w:p>
        </w:tc>
        <w:tc>
          <w:tcPr>
            <w:tcW w:w="610" w:type="dxa"/>
            <w:textDirection w:val="lrTb"/>
            <w:vAlign w:val="center"/>
          </w:tcPr>
          <w:p>
            <w:pPr>
              <w:jc w:val="center"/>
              <w:rPr>
                <w:sz w:val="18"/>
                <w:szCs w:val="18"/>
                <w:u w:val="single"/>
              </w:rPr>
            </w:pPr>
            <w:r>
              <w:rPr>
                <w:sz w:val="18"/>
                <w:szCs w:val="18"/>
                <w:u w:val="single"/>
              </w:rPr>
              <w:t>5</w:t>
            </w:r>
            <w:r>
              <w:rPr>
                <w:rFonts w:hint="eastAsia"/>
                <w:sz w:val="18"/>
                <w:szCs w:val="18"/>
                <w:u w:val="single"/>
                <w:lang w:val="en-US" w:eastAsia="zh-CN"/>
              </w:rPr>
              <w:t>4.9</w:t>
            </w:r>
          </w:p>
        </w:tc>
        <w:tc>
          <w:tcPr>
            <w:tcW w:w="610" w:type="dxa"/>
            <w:textDirection w:val="lrTb"/>
            <w:vAlign w:val="center"/>
          </w:tcPr>
          <w:p>
            <w:pPr>
              <w:jc w:val="center"/>
              <w:rPr>
                <w:sz w:val="18"/>
                <w:szCs w:val="18"/>
                <w:u w:val="single"/>
              </w:rPr>
            </w:pPr>
            <w:r>
              <w:rPr>
                <w:sz w:val="18"/>
                <w:szCs w:val="18"/>
                <w:u w:val="single"/>
              </w:rPr>
              <w:t>5</w:t>
            </w:r>
            <w:r>
              <w:rPr>
                <w:rFonts w:hint="eastAsia"/>
                <w:sz w:val="18"/>
                <w:szCs w:val="18"/>
                <w:u w:val="single"/>
                <w:lang w:val="en-US" w:eastAsia="zh-CN"/>
              </w:rPr>
              <w:t>2.8</w:t>
            </w:r>
          </w:p>
        </w:tc>
        <w:tc>
          <w:tcPr>
            <w:tcW w:w="611" w:type="dxa"/>
            <w:textDirection w:val="lrTb"/>
            <w:vAlign w:val="center"/>
          </w:tcPr>
          <w:p>
            <w:pPr>
              <w:jc w:val="center"/>
              <w:rPr>
                <w:sz w:val="18"/>
                <w:szCs w:val="18"/>
                <w:u w:val="single"/>
              </w:rPr>
            </w:pPr>
            <w:r>
              <w:rPr>
                <w:sz w:val="18"/>
                <w:szCs w:val="18"/>
                <w:u w:val="single"/>
              </w:rPr>
              <w:t>4</w:t>
            </w:r>
            <w:r>
              <w:rPr>
                <w:rFonts w:hint="eastAsia"/>
                <w:sz w:val="18"/>
                <w:szCs w:val="18"/>
                <w:u w:val="single"/>
                <w:lang w:val="en-US" w:eastAsia="zh-CN"/>
              </w:rPr>
              <w:t>9.1</w:t>
            </w:r>
          </w:p>
        </w:tc>
        <w:tc>
          <w:tcPr>
            <w:tcW w:w="611" w:type="dxa"/>
            <w:textDirection w:val="lrTb"/>
            <w:vAlign w:val="center"/>
          </w:tcPr>
          <w:p>
            <w:pPr>
              <w:jc w:val="center"/>
              <w:rPr>
                <w:sz w:val="18"/>
                <w:szCs w:val="18"/>
                <w:u w:val="single"/>
              </w:rPr>
            </w:pPr>
            <w:r>
              <w:rPr>
                <w:sz w:val="18"/>
                <w:szCs w:val="18"/>
                <w:u w:val="single"/>
              </w:rPr>
              <w:t>43.3</w:t>
            </w:r>
          </w:p>
        </w:tc>
        <w:tc>
          <w:tcPr>
            <w:tcW w:w="611" w:type="dxa"/>
            <w:textDirection w:val="lrTb"/>
            <w:vAlign w:val="center"/>
          </w:tcPr>
          <w:p>
            <w:pPr>
              <w:jc w:val="center"/>
              <w:rPr>
                <w:sz w:val="18"/>
                <w:szCs w:val="18"/>
                <w:u w:val="single"/>
              </w:rPr>
            </w:pPr>
            <w:r>
              <w:rPr>
                <w:sz w:val="18"/>
                <w:szCs w:val="18"/>
                <w:u w:val="single"/>
              </w:rPr>
              <w:t>41.6</w:t>
            </w:r>
          </w:p>
        </w:tc>
        <w:tc>
          <w:tcPr>
            <w:tcW w:w="664" w:type="dxa"/>
            <w:textDirection w:val="lrTb"/>
            <w:vAlign w:val="center"/>
          </w:tcPr>
          <w:p>
            <w:pPr>
              <w:jc w:val="center"/>
              <w:rPr>
                <w:sz w:val="18"/>
                <w:szCs w:val="18"/>
                <w:u w:val="single"/>
              </w:rPr>
            </w:pPr>
            <w:r>
              <w:rPr>
                <w:sz w:val="18"/>
                <w:szCs w:val="18"/>
                <w:u w:val="single"/>
              </w:rPr>
              <w:t>39.4</w:t>
            </w:r>
          </w:p>
        </w:tc>
        <w:tc>
          <w:tcPr>
            <w:tcW w:w="767" w:type="dxa"/>
            <w:textDirection w:val="lrTb"/>
            <w:vAlign w:val="center"/>
          </w:tcPr>
          <w:p>
            <w:pPr>
              <w:jc w:val="center"/>
              <w:rPr>
                <w:sz w:val="18"/>
                <w:szCs w:val="18"/>
                <w:u w:val="single"/>
              </w:rPr>
            </w:pPr>
            <w:r>
              <w:rPr>
                <w:sz w:val="18"/>
                <w:szCs w:val="18"/>
                <w:u w:val="single"/>
              </w:rPr>
              <w:t>38.0</w:t>
            </w:r>
          </w:p>
        </w:tc>
        <w:tc>
          <w:tcPr>
            <w:tcW w:w="768" w:type="dxa"/>
            <w:textDirection w:val="lrTb"/>
            <w:vAlign w:val="center"/>
          </w:tcPr>
          <w:p>
            <w:pPr>
              <w:jc w:val="center"/>
              <w:rPr>
                <w:sz w:val="18"/>
                <w:szCs w:val="18"/>
                <w:u w:val="single"/>
              </w:rPr>
            </w:pPr>
            <w:r>
              <w:rPr>
                <w:sz w:val="18"/>
                <w:szCs w:val="18"/>
                <w:u w:val="single"/>
              </w:rPr>
              <w:t>36.4</w:t>
            </w:r>
          </w:p>
        </w:tc>
        <w:tc>
          <w:tcPr>
            <w:tcW w:w="694" w:type="dxa"/>
            <w:textDirection w:val="lrTb"/>
            <w:vAlign w:val="center"/>
          </w:tcPr>
          <w:p>
            <w:pPr>
              <w:jc w:val="center"/>
              <w:rPr>
                <w:sz w:val="18"/>
                <w:szCs w:val="18"/>
                <w:u w:val="single"/>
              </w:rPr>
            </w:pPr>
            <w:r>
              <w:rPr>
                <w:sz w:val="18"/>
                <w:szCs w:val="18"/>
                <w:u w:val="single"/>
              </w:rPr>
              <w:t>35.6</w:t>
            </w:r>
          </w:p>
        </w:tc>
        <w:tc>
          <w:tcPr>
            <w:tcW w:w="671" w:type="dxa"/>
            <w:textDirection w:val="lrTb"/>
            <w:vAlign w:val="center"/>
          </w:tcPr>
          <w:p>
            <w:pPr>
              <w:jc w:val="center"/>
              <w:rPr>
                <w:sz w:val="18"/>
                <w:szCs w:val="18"/>
                <w:u w:val="single"/>
              </w:rPr>
            </w:pPr>
            <w:r>
              <w:rPr>
                <w:sz w:val="18"/>
                <w:szCs w:val="18"/>
                <w:u w:val="single"/>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156" w:type="dxa"/>
            <w:vMerge w:val="restart"/>
            <w:vAlign w:val="center"/>
          </w:tcPr>
          <w:p>
            <w:pPr>
              <w:pStyle w:val="112"/>
              <w:rPr>
                <w:rFonts w:hAnsi="宋体"/>
                <w:kern w:val="2"/>
                <w:sz w:val="18"/>
                <w:szCs w:val="18"/>
                <w:u w:val="single"/>
              </w:rPr>
            </w:pPr>
            <w:r>
              <w:rPr>
                <w:rFonts w:hint="eastAsia" w:hAnsi="宋体"/>
                <w:kern w:val="2"/>
                <w:sz w:val="18"/>
                <w:szCs w:val="18"/>
                <w:u w:val="single"/>
              </w:rPr>
              <w:t>远期</w:t>
            </w:r>
          </w:p>
          <w:p>
            <w:pPr>
              <w:pStyle w:val="112"/>
              <w:rPr>
                <w:kern w:val="2"/>
                <w:sz w:val="18"/>
                <w:szCs w:val="18"/>
                <w:u w:val="single"/>
              </w:rPr>
            </w:pPr>
            <w:r>
              <w:rPr>
                <w:rFonts w:hint="eastAsia" w:hAnsi="宋体"/>
                <w:kern w:val="2"/>
                <w:sz w:val="18"/>
                <w:szCs w:val="18"/>
                <w:u w:val="single"/>
              </w:rPr>
              <w:t>（</w:t>
            </w:r>
            <w:r>
              <w:rPr>
                <w:rFonts w:hAnsi="宋体"/>
                <w:kern w:val="2"/>
                <w:sz w:val="18"/>
                <w:szCs w:val="18"/>
                <w:u w:val="single"/>
              </w:rPr>
              <w:t>2033</w:t>
            </w:r>
            <w:r>
              <w:rPr>
                <w:rFonts w:hint="eastAsia" w:hAnsi="宋体"/>
                <w:kern w:val="2"/>
                <w:sz w:val="18"/>
                <w:szCs w:val="18"/>
                <w:u w:val="single"/>
              </w:rPr>
              <w:t>年）</w:t>
            </w:r>
          </w:p>
        </w:tc>
        <w:tc>
          <w:tcPr>
            <w:tcW w:w="620" w:type="dxa"/>
            <w:vAlign w:val="center"/>
          </w:tcPr>
          <w:p>
            <w:pPr>
              <w:pStyle w:val="112"/>
              <w:rPr>
                <w:kern w:val="2"/>
                <w:sz w:val="18"/>
                <w:szCs w:val="18"/>
                <w:u w:val="single"/>
              </w:rPr>
            </w:pPr>
            <w:r>
              <w:rPr>
                <w:rFonts w:hint="eastAsia" w:hAnsi="宋体"/>
                <w:kern w:val="2"/>
                <w:sz w:val="18"/>
                <w:szCs w:val="18"/>
                <w:u w:val="single"/>
              </w:rPr>
              <w:t>昼间</w:t>
            </w:r>
          </w:p>
        </w:tc>
        <w:tc>
          <w:tcPr>
            <w:tcW w:w="667" w:type="dxa"/>
            <w:vAlign w:val="center"/>
          </w:tcPr>
          <w:p>
            <w:pPr>
              <w:jc w:val="center"/>
              <w:rPr>
                <w:rFonts w:hint="eastAsia" w:eastAsia="宋体"/>
                <w:sz w:val="18"/>
                <w:szCs w:val="18"/>
                <w:u w:val="single"/>
                <w:lang w:val="en-US" w:eastAsia="zh-CN"/>
              </w:rPr>
            </w:pPr>
            <w:r>
              <w:rPr>
                <w:rFonts w:hint="eastAsia"/>
                <w:sz w:val="18"/>
                <w:szCs w:val="18"/>
                <w:u w:val="single"/>
                <w:lang w:val="en-US" w:eastAsia="zh-CN"/>
              </w:rPr>
              <w:t>69.5</w:t>
            </w:r>
          </w:p>
        </w:tc>
        <w:tc>
          <w:tcPr>
            <w:tcW w:w="610" w:type="dxa"/>
            <w:textDirection w:val="lrTb"/>
            <w:vAlign w:val="center"/>
          </w:tcPr>
          <w:p>
            <w:pPr>
              <w:jc w:val="center"/>
              <w:rPr>
                <w:sz w:val="18"/>
                <w:szCs w:val="18"/>
                <w:u w:val="single"/>
              </w:rPr>
            </w:pPr>
            <w:r>
              <w:rPr>
                <w:sz w:val="18"/>
                <w:szCs w:val="18"/>
                <w:u w:val="single"/>
              </w:rPr>
              <w:t>6</w:t>
            </w:r>
            <w:r>
              <w:rPr>
                <w:rFonts w:hint="eastAsia"/>
                <w:sz w:val="18"/>
                <w:szCs w:val="18"/>
                <w:u w:val="single"/>
                <w:lang w:val="en-US" w:eastAsia="zh-CN"/>
              </w:rPr>
              <w:t>6</w:t>
            </w:r>
            <w:r>
              <w:rPr>
                <w:sz w:val="18"/>
                <w:szCs w:val="18"/>
                <w:u w:val="single"/>
              </w:rPr>
              <w:t>.3</w:t>
            </w:r>
          </w:p>
        </w:tc>
        <w:tc>
          <w:tcPr>
            <w:tcW w:w="610" w:type="dxa"/>
            <w:textDirection w:val="lrTb"/>
            <w:vAlign w:val="center"/>
          </w:tcPr>
          <w:p>
            <w:pPr>
              <w:jc w:val="center"/>
              <w:rPr>
                <w:sz w:val="18"/>
                <w:szCs w:val="18"/>
                <w:u w:val="single"/>
              </w:rPr>
            </w:pPr>
            <w:r>
              <w:rPr>
                <w:rFonts w:hint="eastAsia"/>
                <w:sz w:val="18"/>
                <w:szCs w:val="18"/>
                <w:u w:val="single"/>
                <w:lang w:val="en-US" w:eastAsia="zh-CN"/>
              </w:rPr>
              <w:t>64.1</w:t>
            </w:r>
          </w:p>
        </w:tc>
        <w:tc>
          <w:tcPr>
            <w:tcW w:w="611" w:type="dxa"/>
            <w:textDirection w:val="lrTb"/>
            <w:vAlign w:val="center"/>
          </w:tcPr>
          <w:p>
            <w:pPr>
              <w:jc w:val="center"/>
              <w:rPr>
                <w:rFonts w:hint="eastAsia" w:eastAsia="宋体"/>
                <w:sz w:val="18"/>
                <w:szCs w:val="18"/>
                <w:u w:val="single"/>
                <w:lang w:val="en-US" w:eastAsia="zh-CN"/>
              </w:rPr>
            </w:pPr>
            <w:r>
              <w:rPr>
                <w:rFonts w:hint="eastAsia"/>
                <w:sz w:val="18"/>
                <w:szCs w:val="18"/>
                <w:u w:val="single"/>
                <w:lang w:val="en-US" w:eastAsia="zh-CN"/>
              </w:rPr>
              <w:t>62.6</w:t>
            </w:r>
          </w:p>
        </w:tc>
        <w:tc>
          <w:tcPr>
            <w:tcW w:w="611" w:type="dxa"/>
            <w:textDirection w:val="lrTb"/>
            <w:vAlign w:val="center"/>
          </w:tcPr>
          <w:p>
            <w:pPr>
              <w:jc w:val="center"/>
              <w:rPr>
                <w:rFonts w:hint="eastAsia" w:eastAsia="宋体"/>
                <w:sz w:val="18"/>
                <w:szCs w:val="18"/>
                <w:u w:val="single"/>
                <w:lang w:eastAsia="zh-CN"/>
              </w:rPr>
            </w:pPr>
            <w:r>
              <w:rPr>
                <w:rFonts w:hint="eastAsia"/>
                <w:sz w:val="18"/>
                <w:szCs w:val="18"/>
                <w:u w:val="single"/>
                <w:lang w:val="en-US" w:eastAsia="zh-CN"/>
              </w:rPr>
              <w:t>58.9</w:t>
            </w:r>
          </w:p>
        </w:tc>
        <w:tc>
          <w:tcPr>
            <w:tcW w:w="611" w:type="dxa"/>
            <w:textDirection w:val="lrTb"/>
            <w:vAlign w:val="center"/>
          </w:tcPr>
          <w:p>
            <w:pPr>
              <w:jc w:val="center"/>
              <w:rPr>
                <w:sz w:val="18"/>
                <w:szCs w:val="18"/>
                <w:u w:val="single"/>
              </w:rPr>
            </w:pPr>
            <w:r>
              <w:rPr>
                <w:sz w:val="18"/>
                <w:szCs w:val="18"/>
                <w:u w:val="single"/>
              </w:rPr>
              <w:t>48.9</w:t>
            </w:r>
          </w:p>
        </w:tc>
        <w:tc>
          <w:tcPr>
            <w:tcW w:w="664" w:type="dxa"/>
            <w:textDirection w:val="lrTb"/>
            <w:vAlign w:val="center"/>
          </w:tcPr>
          <w:p>
            <w:pPr>
              <w:jc w:val="center"/>
              <w:rPr>
                <w:sz w:val="18"/>
                <w:szCs w:val="18"/>
                <w:u w:val="single"/>
              </w:rPr>
            </w:pPr>
            <w:r>
              <w:rPr>
                <w:sz w:val="18"/>
                <w:szCs w:val="18"/>
                <w:u w:val="single"/>
              </w:rPr>
              <w:t>46.7</w:t>
            </w:r>
          </w:p>
        </w:tc>
        <w:tc>
          <w:tcPr>
            <w:tcW w:w="767" w:type="dxa"/>
            <w:textDirection w:val="lrTb"/>
            <w:vAlign w:val="center"/>
          </w:tcPr>
          <w:p>
            <w:pPr>
              <w:jc w:val="center"/>
              <w:rPr>
                <w:sz w:val="18"/>
                <w:szCs w:val="18"/>
                <w:u w:val="single"/>
              </w:rPr>
            </w:pPr>
            <w:r>
              <w:rPr>
                <w:sz w:val="18"/>
                <w:szCs w:val="18"/>
                <w:u w:val="single"/>
              </w:rPr>
              <w:t>45.3</w:t>
            </w:r>
          </w:p>
        </w:tc>
        <w:tc>
          <w:tcPr>
            <w:tcW w:w="768" w:type="dxa"/>
            <w:textDirection w:val="lrTb"/>
            <w:vAlign w:val="center"/>
          </w:tcPr>
          <w:p>
            <w:pPr>
              <w:jc w:val="center"/>
              <w:rPr>
                <w:sz w:val="18"/>
                <w:szCs w:val="18"/>
                <w:u w:val="single"/>
              </w:rPr>
            </w:pPr>
            <w:r>
              <w:rPr>
                <w:sz w:val="18"/>
                <w:szCs w:val="18"/>
                <w:u w:val="single"/>
              </w:rPr>
              <w:t>43.7</w:t>
            </w:r>
          </w:p>
        </w:tc>
        <w:tc>
          <w:tcPr>
            <w:tcW w:w="694" w:type="dxa"/>
            <w:textDirection w:val="lrTb"/>
            <w:vAlign w:val="center"/>
          </w:tcPr>
          <w:p>
            <w:pPr>
              <w:jc w:val="center"/>
              <w:rPr>
                <w:sz w:val="18"/>
                <w:szCs w:val="18"/>
                <w:u w:val="single"/>
              </w:rPr>
            </w:pPr>
            <w:r>
              <w:rPr>
                <w:sz w:val="18"/>
                <w:szCs w:val="18"/>
                <w:u w:val="single"/>
              </w:rPr>
              <w:t>42.9</w:t>
            </w:r>
          </w:p>
        </w:tc>
        <w:tc>
          <w:tcPr>
            <w:tcW w:w="671" w:type="dxa"/>
            <w:textDirection w:val="lrTb"/>
            <w:vAlign w:val="center"/>
          </w:tcPr>
          <w:p>
            <w:pPr>
              <w:jc w:val="center"/>
              <w:rPr>
                <w:sz w:val="18"/>
                <w:szCs w:val="18"/>
                <w:u w:val="single"/>
              </w:rPr>
            </w:pPr>
            <w:r>
              <w:rPr>
                <w:sz w:val="18"/>
                <w:szCs w:val="18"/>
                <w:u w:val="single"/>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1156" w:type="dxa"/>
            <w:vMerge w:val="continue"/>
            <w:vAlign w:val="center"/>
          </w:tcPr>
          <w:p>
            <w:pPr>
              <w:pStyle w:val="112"/>
              <w:rPr>
                <w:kern w:val="2"/>
                <w:sz w:val="18"/>
                <w:szCs w:val="18"/>
                <w:u w:val="single"/>
              </w:rPr>
            </w:pPr>
          </w:p>
        </w:tc>
        <w:tc>
          <w:tcPr>
            <w:tcW w:w="620" w:type="dxa"/>
            <w:vAlign w:val="center"/>
          </w:tcPr>
          <w:p>
            <w:pPr>
              <w:pStyle w:val="112"/>
              <w:rPr>
                <w:kern w:val="2"/>
                <w:sz w:val="18"/>
                <w:szCs w:val="18"/>
                <w:u w:val="single"/>
              </w:rPr>
            </w:pPr>
            <w:r>
              <w:rPr>
                <w:rFonts w:hint="eastAsia" w:hAnsi="宋体"/>
                <w:kern w:val="2"/>
                <w:sz w:val="18"/>
                <w:szCs w:val="18"/>
                <w:u w:val="single"/>
              </w:rPr>
              <w:t>夜间</w:t>
            </w:r>
          </w:p>
        </w:tc>
        <w:tc>
          <w:tcPr>
            <w:tcW w:w="667" w:type="dxa"/>
            <w:vAlign w:val="center"/>
          </w:tcPr>
          <w:p>
            <w:pPr>
              <w:jc w:val="center"/>
              <w:rPr>
                <w:rFonts w:hint="eastAsia" w:eastAsia="宋体"/>
                <w:sz w:val="18"/>
                <w:szCs w:val="18"/>
                <w:u w:val="single"/>
                <w:lang w:val="en-US" w:eastAsia="zh-CN"/>
              </w:rPr>
            </w:pPr>
            <w:r>
              <w:rPr>
                <w:rFonts w:hint="eastAsia"/>
                <w:sz w:val="18"/>
                <w:szCs w:val="18"/>
                <w:u w:val="single"/>
                <w:lang w:val="en-US" w:eastAsia="zh-CN"/>
              </w:rPr>
              <w:t>59.3</w:t>
            </w:r>
          </w:p>
        </w:tc>
        <w:tc>
          <w:tcPr>
            <w:tcW w:w="610" w:type="dxa"/>
            <w:textDirection w:val="lrTb"/>
            <w:vAlign w:val="center"/>
          </w:tcPr>
          <w:p>
            <w:pPr>
              <w:jc w:val="center"/>
              <w:rPr>
                <w:rFonts w:hint="eastAsia" w:eastAsia="宋体"/>
                <w:sz w:val="18"/>
                <w:szCs w:val="18"/>
                <w:u w:val="single"/>
                <w:lang w:eastAsia="zh-CN"/>
              </w:rPr>
            </w:pPr>
            <w:r>
              <w:rPr>
                <w:rFonts w:hint="eastAsia"/>
                <w:sz w:val="18"/>
                <w:szCs w:val="18"/>
                <w:u w:val="single"/>
                <w:lang w:val="en-US" w:eastAsia="zh-CN"/>
              </w:rPr>
              <w:t>56.9</w:t>
            </w:r>
          </w:p>
        </w:tc>
        <w:tc>
          <w:tcPr>
            <w:tcW w:w="610" w:type="dxa"/>
            <w:textDirection w:val="lrTb"/>
            <w:vAlign w:val="center"/>
          </w:tcPr>
          <w:p>
            <w:pPr>
              <w:jc w:val="center"/>
              <w:rPr>
                <w:rFonts w:hint="eastAsia" w:eastAsia="宋体"/>
                <w:sz w:val="18"/>
                <w:szCs w:val="18"/>
                <w:u w:val="single"/>
                <w:lang w:eastAsia="zh-CN"/>
              </w:rPr>
            </w:pPr>
            <w:r>
              <w:rPr>
                <w:rFonts w:hint="eastAsia"/>
                <w:sz w:val="18"/>
                <w:szCs w:val="18"/>
                <w:u w:val="single"/>
                <w:lang w:val="en-US" w:eastAsia="zh-CN"/>
              </w:rPr>
              <w:t>54.3</w:t>
            </w:r>
          </w:p>
        </w:tc>
        <w:tc>
          <w:tcPr>
            <w:tcW w:w="611" w:type="dxa"/>
            <w:textDirection w:val="lrTb"/>
            <w:vAlign w:val="center"/>
          </w:tcPr>
          <w:p>
            <w:pPr>
              <w:jc w:val="center"/>
              <w:rPr>
                <w:rFonts w:hint="eastAsia" w:eastAsia="宋体"/>
                <w:sz w:val="18"/>
                <w:szCs w:val="18"/>
                <w:u w:val="single"/>
                <w:lang w:val="en-US" w:eastAsia="zh-CN"/>
              </w:rPr>
            </w:pPr>
            <w:r>
              <w:rPr>
                <w:rFonts w:hint="eastAsia"/>
                <w:sz w:val="18"/>
                <w:szCs w:val="18"/>
                <w:u w:val="single"/>
                <w:lang w:val="en-US" w:eastAsia="zh-CN"/>
              </w:rPr>
              <w:t>51.1</w:t>
            </w:r>
          </w:p>
        </w:tc>
        <w:tc>
          <w:tcPr>
            <w:tcW w:w="611" w:type="dxa"/>
            <w:textDirection w:val="lrTb"/>
            <w:vAlign w:val="center"/>
          </w:tcPr>
          <w:p>
            <w:pPr>
              <w:jc w:val="center"/>
              <w:rPr>
                <w:rFonts w:hint="eastAsia" w:eastAsia="宋体"/>
                <w:sz w:val="18"/>
                <w:szCs w:val="18"/>
                <w:u w:val="single"/>
                <w:lang w:eastAsia="zh-CN"/>
              </w:rPr>
            </w:pPr>
            <w:r>
              <w:rPr>
                <w:rFonts w:hint="eastAsia"/>
                <w:sz w:val="18"/>
                <w:szCs w:val="18"/>
                <w:u w:val="single"/>
                <w:lang w:val="en-US" w:eastAsia="zh-CN"/>
              </w:rPr>
              <w:t>49.0</w:t>
            </w:r>
          </w:p>
        </w:tc>
        <w:tc>
          <w:tcPr>
            <w:tcW w:w="611" w:type="dxa"/>
            <w:textDirection w:val="lrTb"/>
            <w:vAlign w:val="center"/>
          </w:tcPr>
          <w:p>
            <w:pPr>
              <w:jc w:val="center"/>
              <w:rPr>
                <w:sz w:val="18"/>
                <w:szCs w:val="18"/>
                <w:u w:val="single"/>
              </w:rPr>
            </w:pPr>
            <w:r>
              <w:rPr>
                <w:sz w:val="18"/>
                <w:szCs w:val="18"/>
                <w:u w:val="single"/>
              </w:rPr>
              <w:t>42.6</w:t>
            </w:r>
          </w:p>
        </w:tc>
        <w:tc>
          <w:tcPr>
            <w:tcW w:w="664" w:type="dxa"/>
            <w:textDirection w:val="lrTb"/>
            <w:vAlign w:val="center"/>
          </w:tcPr>
          <w:p>
            <w:pPr>
              <w:jc w:val="center"/>
              <w:rPr>
                <w:sz w:val="18"/>
                <w:szCs w:val="18"/>
                <w:u w:val="single"/>
              </w:rPr>
            </w:pPr>
            <w:r>
              <w:rPr>
                <w:sz w:val="18"/>
                <w:szCs w:val="18"/>
                <w:u w:val="single"/>
              </w:rPr>
              <w:t>40.4</w:t>
            </w:r>
          </w:p>
        </w:tc>
        <w:tc>
          <w:tcPr>
            <w:tcW w:w="767" w:type="dxa"/>
            <w:textDirection w:val="lrTb"/>
            <w:vAlign w:val="center"/>
          </w:tcPr>
          <w:p>
            <w:pPr>
              <w:jc w:val="center"/>
              <w:rPr>
                <w:sz w:val="18"/>
                <w:szCs w:val="18"/>
                <w:u w:val="single"/>
              </w:rPr>
            </w:pPr>
            <w:r>
              <w:rPr>
                <w:sz w:val="18"/>
                <w:szCs w:val="18"/>
                <w:u w:val="single"/>
              </w:rPr>
              <w:t>39.0</w:t>
            </w:r>
          </w:p>
        </w:tc>
        <w:tc>
          <w:tcPr>
            <w:tcW w:w="768" w:type="dxa"/>
            <w:textDirection w:val="lrTb"/>
            <w:vAlign w:val="center"/>
          </w:tcPr>
          <w:p>
            <w:pPr>
              <w:jc w:val="center"/>
              <w:rPr>
                <w:sz w:val="18"/>
                <w:szCs w:val="18"/>
                <w:u w:val="single"/>
              </w:rPr>
            </w:pPr>
            <w:r>
              <w:rPr>
                <w:sz w:val="18"/>
                <w:szCs w:val="18"/>
                <w:u w:val="single"/>
              </w:rPr>
              <w:t>37.4</w:t>
            </w:r>
          </w:p>
        </w:tc>
        <w:tc>
          <w:tcPr>
            <w:tcW w:w="694" w:type="dxa"/>
            <w:textDirection w:val="lrTb"/>
            <w:vAlign w:val="center"/>
          </w:tcPr>
          <w:p>
            <w:pPr>
              <w:jc w:val="center"/>
              <w:rPr>
                <w:sz w:val="18"/>
                <w:szCs w:val="18"/>
                <w:u w:val="single"/>
              </w:rPr>
            </w:pPr>
            <w:r>
              <w:rPr>
                <w:sz w:val="18"/>
                <w:szCs w:val="18"/>
                <w:u w:val="single"/>
              </w:rPr>
              <w:t>36.6</w:t>
            </w:r>
          </w:p>
        </w:tc>
        <w:tc>
          <w:tcPr>
            <w:tcW w:w="671" w:type="dxa"/>
            <w:textDirection w:val="lrTb"/>
            <w:vAlign w:val="center"/>
          </w:tcPr>
          <w:p>
            <w:pPr>
              <w:jc w:val="center"/>
              <w:rPr>
                <w:sz w:val="18"/>
                <w:szCs w:val="18"/>
                <w:u w:val="single"/>
              </w:rPr>
            </w:pPr>
            <w:r>
              <w:rPr>
                <w:sz w:val="18"/>
                <w:szCs w:val="18"/>
                <w:u w:val="single"/>
              </w:rPr>
              <w:t>35.9</w:t>
            </w:r>
          </w:p>
        </w:tc>
      </w:tr>
    </w:tbl>
    <w:p>
      <w:pPr>
        <w:pStyle w:val="3"/>
        <w:ind w:firstLine="31680"/>
        <w:rPr>
          <w:color w:val="FF0000"/>
          <w:u w:val="single"/>
        </w:rPr>
      </w:pPr>
      <w:r>
        <w:rPr>
          <w:rFonts w:hint="eastAsia"/>
          <w:u w:val="single"/>
        </w:rPr>
        <w:t>根据</w:t>
      </w:r>
      <w:r>
        <w:rPr>
          <w:u w:val="single"/>
        </w:rPr>
        <w:t>GB3096-2008</w:t>
      </w:r>
      <w:r>
        <w:rPr>
          <w:rFonts w:hint="eastAsia"/>
          <w:u w:val="single"/>
        </w:rPr>
        <w:t>中</w:t>
      </w:r>
      <w:r>
        <w:rPr>
          <w:u w:val="single"/>
        </w:rPr>
        <w:t>2</w:t>
      </w:r>
      <w:r>
        <w:rPr>
          <w:rFonts w:hint="eastAsia"/>
          <w:u w:val="single"/>
        </w:rPr>
        <w:t>类标准（即昼间</w:t>
      </w:r>
      <w:r>
        <w:rPr>
          <w:u w:val="single"/>
        </w:rPr>
        <w:t>60dB</w:t>
      </w:r>
      <w:r>
        <w:rPr>
          <w:rFonts w:hint="eastAsia"/>
          <w:u w:val="single"/>
        </w:rPr>
        <w:t>、夜间</w:t>
      </w:r>
      <w:r>
        <w:rPr>
          <w:u w:val="single"/>
        </w:rPr>
        <w:t>50dB</w:t>
      </w:r>
      <w:r>
        <w:rPr>
          <w:rFonts w:hint="eastAsia"/>
          <w:u w:val="single"/>
        </w:rPr>
        <w:t>）和</w:t>
      </w:r>
      <w:r>
        <w:rPr>
          <w:u w:val="single"/>
        </w:rPr>
        <w:t>4a</w:t>
      </w:r>
      <w:r>
        <w:rPr>
          <w:rFonts w:hint="eastAsia"/>
          <w:u w:val="single"/>
        </w:rPr>
        <w:t>类标准（即昼间</w:t>
      </w:r>
      <w:r>
        <w:rPr>
          <w:u w:val="single"/>
        </w:rPr>
        <w:t>70dB</w:t>
      </w:r>
      <w:r>
        <w:rPr>
          <w:rFonts w:hint="eastAsia"/>
          <w:u w:val="single"/>
        </w:rPr>
        <w:t>、夜间</w:t>
      </w:r>
      <w:r>
        <w:rPr>
          <w:u w:val="single"/>
        </w:rPr>
        <w:t>55dB</w:t>
      </w:r>
      <w:r>
        <w:rPr>
          <w:rFonts w:hint="eastAsia"/>
          <w:u w:val="single"/>
        </w:rPr>
        <w:t>）限值，评价本公路交通噪声达标距离见表</w:t>
      </w:r>
      <w:r>
        <w:rPr>
          <w:u w:val="single"/>
        </w:rPr>
        <w:t>7.1-6</w:t>
      </w:r>
      <w:r>
        <w:rPr>
          <w:rFonts w:hint="eastAsia"/>
          <w:u w:val="single"/>
        </w:rPr>
        <w:t>。</w:t>
      </w:r>
    </w:p>
    <w:p>
      <w:pPr>
        <w:widowControl/>
        <w:jc w:val="left"/>
        <w:rPr>
          <w:rFonts w:eastAsia="黑体"/>
          <w:color w:val="FF0000"/>
          <w:kern w:val="0"/>
          <w:sz w:val="24"/>
          <w:u w:val="single"/>
        </w:rPr>
      </w:pPr>
      <w:bookmarkStart w:id="220" w:name="_Ref401618152"/>
      <w:r>
        <w:rPr>
          <w:color w:val="FF0000"/>
          <w:u w:val="single"/>
        </w:rPr>
        <w:br w:type="page"/>
      </w:r>
    </w:p>
    <w:p>
      <w:pPr>
        <w:pStyle w:val="19"/>
        <w:jc w:val="center"/>
        <w:rPr>
          <w:u w:val="single"/>
        </w:rPr>
      </w:pPr>
      <w:r>
        <w:rPr>
          <w:rFonts w:hint="eastAsia"/>
          <w:u w:val="single"/>
        </w:rPr>
        <w:t>表</w:t>
      </w:r>
      <w:r>
        <w:rPr>
          <w:u w:val="single"/>
        </w:rPr>
        <w:t>7.1</w:t>
      </w:r>
      <w:bookmarkEnd w:id="220"/>
      <w:r>
        <w:rPr>
          <w:u w:val="single"/>
        </w:rPr>
        <w:t xml:space="preserve">-6   </w:t>
      </w:r>
      <w:r>
        <w:rPr>
          <w:rFonts w:hint="eastAsia"/>
          <w:u w:val="single"/>
        </w:rPr>
        <w:t>拟建公路</w:t>
      </w:r>
      <w:r>
        <w:rPr>
          <w:rFonts w:hint="eastAsia"/>
          <w:u w:val="single"/>
          <w:lang w:val="en-US" w:eastAsia="zh-CN"/>
        </w:rPr>
        <w:t>中心</w:t>
      </w:r>
      <w:r>
        <w:rPr>
          <w:rFonts w:hint="eastAsia"/>
          <w:u w:val="single"/>
        </w:rPr>
        <w:t>线两侧噪声标准声级界限距离</w:t>
      </w:r>
      <w:r>
        <w:rPr>
          <w:u w:val="single"/>
        </w:rPr>
        <w:t xml:space="preserve">       </w:t>
      </w:r>
      <w:r>
        <w:rPr>
          <w:rFonts w:hint="eastAsia"/>
          <w:u w:val="single"/>
        </w:rPr>
        <w:t>单位：</w:t>
      </w:r>
      <w:r>
        <w:rPr>
          <w:u w:val="single"/>
        </w:rPr>
        <w:t>m</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071"/>
        <w:gridCol w:w="794"/>
        <w:gridCol w:w="1169"/>
        <w:gridCol w:w="1169"/>
        <w:gridCol w:w="116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242" w:type="dxa"/>
            <w:vAlign w:val="center"/>
          </w:tcPr>
          <w:p>
            <w:pPr>
              <w:pStyle w:val="112"/>
              <w:rPr>
                <w:kern w:val="2"/>
                <w:u w:val="single"/>
              </w:rPr>
            </w:pPr>
            <w:r>
              <w:rPr>
                <w:rFonts w:hint="eastAsia"/>
                <w:kern w:val="2"/>
                <w:u w:val="single"/>
              </w:rPr>
              <w:t>路段</w:t>
            </w:r>
          </w:p>
        </w:tc>
        <w:tc>
          <w:tcPr>
            <w:tcW w:w="2071" w:type="dxa"/>
            <w:vAlign w:val="center"/>
          </w:tcPr>
          <w:p>
            <w:pPr>
              <w:pStyle w:val="112"/>
              <w:rPr>
                <w:kern w:val="2"/>
                <w:u w:val="single"/>
              </w:rPr>
            </w:pPr>
            <w:r>
              <w:rPr>
                <w:rFonts w:hint="eastAsia"/>
                <w:kern w:val="2"/>
                <w:u w:val="single"/>
              </w:rPr>
              <w:t>区域</w:t>
            </w:r>
          </w:p>
        </w:tc>
        <w:tc>
          <w:tcPr>
            <w:tcW w:w="794" w:type="dxa"/>
            <w:vAlign w:val="center"/>
          </w:tcPr>
          <w:p>
            <w:pPr>
              <w:pStyle w:val="112"/>
              <w:rPr>
                <w:kern w:val="2"/>
                <w:u w:val="single"/>
              </w:rPr>
            </w:pPr>
            <w:r>
              <w:rPr>
                <w:rFonts w:hint="eastAsia"/>
                <w:kern w:val="2"/>
                <w:u w:val="single"/>
              </w:rPr>
              <w:t>时间</w:t>
            </w:r>
          </w:p>
        </w:tc>
        <w:tc>
          <w:tcPr>
            <w:tcW w:w="1169" w:type="dxa"/>
            <w:vAlign w:val="center"/>
          </w:tcPr>
          <w:p>
            <w:pPr>
              <w:pStyle w:val="112"/>
              <w:rPr>
                <w:kern w:val="2"/>
                <w:u w:val="single"/>
              </w:rPr>
            </w:pPr>
            <w:r>
              <w:rPr>
                <w:rFonts w:hint="eastAsia"/>
                <w:kern w:val="2"/>
                <w:u w:val="single"/>
              </w:rPr>
              <w:t>近期</w:t>
            </w:r>
          </w:p>
          <w:p>
            <w:pPr>
              <w:pStyle w:val="112"/>
              <w:rPr>
                <w:kern w:val="2"/>
                <w:u w:val="single"/>
              </w:rPr>
            </w:pPr>
            <w:r>
              <w:rPr>
                <w:kern w:val="2"/>
                <w:u w:val="single"/>
              </w:rPr>
              <w:t>2019</w:t>
            </w:r>
            <w:r>
              <w:rPr>
                <w:rFonts w:hint="eastAsia"/>
                <w:kern w:val="2"/>
                <w:u w:val="single"/>
              </w:rPr>
              <w:t>年</w:t>
            </w:r>
          </w:p>
        </w:tc>
        <w:tc>
          <w:tcPr>
            <w:tcW w:w="1169" w:type="dxa"/>
            <w:vAlign w:val="center"/>
          </w:tcPr>
          <w:p>
            <w:pPr>
              <w:pStyle w:val="112"/>
              <w:rPr>
                <w:kern w:val="2"/>
                <w:u w:val="single"/>
              </w:rPr>
            </w:pPr>
            <w:r>
              <w:rPr>
                <w:rFonts w:hint="eastAsia"/>
                <w:kern w:val="2"/>
                <w:u w:val="single"/>
              </w:rPr>
              <w:t>中期</w:t>
            </w:r>
          </w:p>
          <w:p>
            <w:pPr>
              <w:pStyle w:val="112"/>
              <w:rPr>
                <w:kern w:val="2"/>
                <w:u w:val="single"/>
              </w:rPr>
            </w:pPr>
            <w:r>
              <w:rPr>
                <w:kern w:val="2"/>
                <w:u w:val="single"/>
              </w:rPr>
              <w:t>2025</w:t>
            </w:r>
            <w:r>
              <w:rPr>
                <w:rFonts w:hint="eastAsia"/>
                <w:kern w:val="2"/>
                <w:u w:val="single"/>
              </w:rPr>
              <w:t>年</w:t>
            </w:r>
          </w:p>
        </w:tc>
        <w:tc>
          <w:tcPr>
            <w:tcW w:w="1169" w:type="dxa"/>
            <w:vAlign w:val="center"/>
          </w:tcPr>
          <w:p>
            <w:pPr>
              <w:pStyle w:val="112"/>
              <w:rPr>
                <w:kern w:val="2"/>
                <w:u w:val="single"/>
              </w:rPr>
            </w:pPr>
            <w:r>
              <w:rPr>
                <w:rFonts w:hint="eastAsia"/>
                <w:kern w:val="2"/>
                <w:u w:val="single"/>
              </w:rPr>
              <w:t>远期</w:t>
            </w:r>
          </w:p>
          <w:p>
            <w:pPr>
              <w:pStyle w:val="112"/>
              <w:rPr>
                <w:kern w:val="2"/>
                <w:u w:val="single"/>
              </w:rPr>
            </w:pPr>
            <w:r>
              <w:rPr>
                <w:kern w:val="2"/>
                <w:u w:val="single"/>
              </w:rPr>
              <w:t>2033</w:t>
            </w:r>
            <w:r>
              <w:rPr>
                <w:rFonts w:hint="eastAsia"/>
                <w:kern w:val="2"/>
                <w:u w:val="single"/>
              </w:rPr>
              <w:t>年</w:t>
            </w:r>
          </w:p>
        </w:tc>
        <w:tc>
          <w:tcPr>
            <w:tcW w:w="1560" w:type="dxa"/>
            <w:vAlign w:val="center"/>
          </w:tcPr>
          <w:p>
            <w:pPr>
              <w:pStyle w:val="112"/>
              <w:rPr>
                <w:kern w:val="2"/>
                <w:u w:val="single"/>
              </w:rPr>
            </w:pPr>
            <w:r>
              <w:rPr>
                <w:rFonts w:hint="eastAsia"/>
                <w:kern w:val="2"/>
                <w:u w:val="single"/>
              </w:rPr>
              <w:t>标准值</w:t>
            </w:r>
            <w:r>
              <w:rPr>
                <w:kern w:val="2"/>
                <w:u w:val="single"/>
              </w:rPr>
              <w:br w:type="textWrapping"/>
            </w:r>
            <w:r>
              <w:rPr>
                <w:rFonts w:hint="eastAsia"/>
                <w:kern w:val="2"/>
                <w:u w:val="single"/>
              </w:rPr>
              <w:t>（</w:t>
            </w:r>
            <w:r>
              <w:rPr>
                <w:kern w:val="2"/>
                <w:u w:val="single"/>
              </w:rPr>
              <w:t>dB(A)</w:t>
            </w:r>
            <w:r>
              <w:rPr>
                <w:rFonts w:hint="eastAsia"/>
                <w:kern w:val="2"/>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2" w:type="dxa"/>
            <w:vMerge w:val="restart"/>
            <w:vAlign w:val="center"/>
          </w:tcPr>
          <w:p>
            <w:pPr>
              <w:pStyle w:val="112"/>
              <w:rPr>
                <w:kern w:val="2"/>
                <w:szCs w:val="18"/>
                <w:u w:val="single"/>
              </w:rPr>
            </w:pPr>
            <w:r>
              <w:rPr>
                <w:rFonts w:hint="eastAsia" w:hAnsi="宋体"/>
                <w:kern w:val="2"/>
                <w:sz w:val="18"/>
                <w:szCs w:val="18"/>
                <w:u w:val="single"/>
              </w:rPr>
              <w:t>全线</w:t>
            </w:r>
          </w:p>
        </w:tc>
        <w:tc>
          <w:tcPr>
            <w:tcW w:w="2071" w:type="dxa"/>
            <w:vMerge w:val="restart"/>
            <w:vAlign w:val="center"/>
          </w:tcPr>
          <w:p>
            <w:pPr>
              <w:pStyle w:val="112"/>
              <w:rPr>
                <w:kern w:val="2"/>
                <w:szCs w:val="18"/>
                <w:u w:val="single"/>
              </w:rPr>
            </w:pPr>
            <w:r>
              <w:rPr>
                <w:kern w:val="2"/>
                <w:szCs w:val="18"/>
                <w:u w:val="single"/>
              </w:rPr>
              <w:t>4a</w:t>
            </w:r>
            <w:r>
              <w:rPr>
                <w:rFonts w:hint="eastAsia"/>
                <w:kern w:val="2"/>
                <w:szCs w:val="18"/>
                <w:u w:val="single"/>
              </w:rPr>
              <w:t>类</w:t>
            </w:r>
          </w:p>
          <w:p>
            <w:pPr>
              <w:pStyle w:val="112"/>
              <w:rPr>
                <w:kern w:val="2"/>
                <w:szCs w:val="18"/>
                <w:u w:val="single"/>
              </w:rPr>
            </w:pPr>
            <w:r>
              <w:rPr>
                <w:rFonts w:hint="eastAsia"/>
                <w:kern w:val="2"/>
                <w:szCs w:val="18"/>
                <w:u w:val="single"/>
              </w:rPr>
              <w:t>标准区</w:t>
            </w:r>
          </w:p>
        </w:tc>
        <w:tc>
          <w:tcPr>
            <w:tcW w:w="794" w:type="dxa"/>
            <w:vAlign w:val="center"/>
          </w:tcPr>
          <w:p>
            <w:pPr>
              <w:pStyle w:val="112"/>
              <w:rPr>
                <w:kern w:val="2"/>
                <w:szCs w:val="18"/>
                <w:u w:val="single"/>
              </w:rPr>
            </w:pPr>
            <w:r>
              <w:rPr>
                <w:rFonts w:hint="eastAsia"/>
                <w:kern w:val="2"/>
                <w:szCs w:val="18"/>
                <w:u w:val="single"/>
              </w:rPr>
              <w:t>昼间</w:t>
            </w:r>
          </w:p>
        </w:tc>
        <w:tc>
          <w:tcPr>
            <w:tcW w:w="1169" w:type="dxa"/>
            <w:vAlign w:val="center"/>
          </w:tcPr>
          <w:p>
            <w:pPr>
              <w:pStyle w:val="112"/>
              <w:rPr>
                <w:rFonts w:hint="eastAsia" w:eastAsia="宋体"/>
                <w:kern w:val="2"/>
                <w:szCs w:val="18"/>
                <w:u w:val="single"/>
                <w:lang w:eastAsia="zh-CN"/>
              </w:rPr>
            </w:pPr>
            <w:r>
              <w:rPr>
                <w:rFonts w:hint="eastAsia"/>
                <w:kern w:val="2"/>
                <w:szCs w:val="18"/>
                <w:u w:val="single"/>
                <w:lang w:val="en-US" w:eastAsia="zh-CN"/>
              </w:rPr>
              <w:t>15</w:t>
            </w:r>
          </w:p>
        </w:tc>
        <w:tc>
          <w:tcPr>
            <w:tcW w:w="1169" w:type="dxa"/>
            <w:vAlign w:val="center"/>
          </w:tcPr>
          <w:p>
            <w:pPr>
              <w:pStyle w:val="112"/>
              <w:rPr>
                <w:kern w:val="2"/>
                <w:szCs w:val="18"/>
                <w:u w:val="single"/>
              </w:rPr>
            </w:pPr>
            <w:r>
              <w:rPr>
                <w:rFonts w:hint="eastAsia"/>
                <w:kern w:val="2"/>
                <w:szCs w:val="18"/>
                <w:u w:val="single"/>
                <w:lang w:val="en-US" w:eastAsia="zh-CN"/>
              </w:rPr>
              <w:t>15</w:t>
            </w:r>
          </w:p>
        </w:tc>
        <w:tc>
          <w:tcPr>
            <w:tcW w:w="1169" w:type="dxa"/>
            <w:vAlign w:val="center"/>
          </w:tcPr>
          <w:p>
            <w:pPr>
              <w:pStyle w:val="112"/>
              <w:rPr>
                <w:kern w:val="2"/>
                <w:szCs w:val="18"/>
                <w:u w:val="single"/>
              </w:rPr>
            </w:pPr>
            <w:r>
              <w:rPr>
                <w:rFonts w:hint="eastAsia"/>
                <w:kern w:val="2"/>
                <w:szCs w:val="18"/>
                <w:u w:val="single"/>
                <w:lang w:val="en-US" w:eastAsia="zh-CN"/>
              </w:rPr>
              <w:t>15</w:t>
            </w:r>
          </w:p>
        </w:tc>
        <w:tc>
          <w:tcPr>
            <w:tcW w:w="1560" w:type="dxa"/>
            <w:vAlign w:val="center"/>
          </w:tcPr>
          <w:p>
            <w:pPr>
              <w:pStyle w:val="112"/>
              <w:rPr>
                <w:kern w:val="2"/>
                <w:szCs w:val="18"/>
                <w:u w:val="single"/>
              </w:rPr>
            </w:pPr>
            <w:r>
              <w:rPr>
                <w:kern w:val="2"/>
                <w:szCs w:val="18"/>
                <w:u w:val="singl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2" w:type="dxa"/>
            <w:vMerge w:val="continue"/>
            <w:vAlign w:val="center"/>
          </w:tcPr>
          <w:p>
            <w:pPr>
              <w:pStyle w:val="112"/>
              <w:rPr>
                <w:kern w:val="2"/>
                <w:szCs w:val="18"/>
                <w:u w:val="single"/>
              </w:rPr>
            </w:pPr>
          </w:p>
        </w:tc>
        <w:tc>
          <w:tcPr>
            <w:tcW w:w="2071" w:type="dxa"/>
            <w:vMerge w:val="continue"/>
            <w:vAlign w:val="center"/>
          </w:tcPr>
          <w:p>
            <w:pPr>
              <w:pStyle w:val="112"/>
              <w:rPr>
                <w:kern w:val="2"/>
                <w:szCs w:val="18"/>
                <w:u w:val="single"/>
              </w:rPr>
            </w:pPr>
          </w:p>
        </w:tc>
        <w:tc>
          <w:tcPr>
            <w:tcW w:w="794" w:type="dxa"/>
            <w:vAlign w:val="center"/>
          </w:tcPr>
          <w:p>
            <w:pPr>
              <w:pStyle w:val="112"/>
              <w:rPr>
                <w:kern w:val="2"/>
                <w:szCs w:val="18"/>
                <w:u w:val="single"/>
              </w:rPr>
            </w:pPr>
            <w:r>
              <w:rPr>
                <w:rFonts w:hint="eastAsia"/>
                <w:kern w:val="2"/>
                <w:szCs w:val="18"/>
                <w:u w:val="single"/>
              </w:rPr>
              <w:t>夜间</w:t>
            </w:r>
          </w:p>
        </w:tc>
        <w:tc>
          <w:tcPr>
            <w:tcW w:w="1169" w:type="dxa"/>
            <w:vAlign w:val="center"/>
          </w:tcPr>
          <w:p>
            <w:pPr>
              <w:pStyle w:val="112"/>
              <w:rPr>
                <w:kern w:val="2"/>
                <w:szCs w:val="18"/>
                <w:u w:val="single"/>
              </w:rPr>
            </w:pPr>
            <w:r>
              <w:rPr>
                <w:rFonts w:hint="eastAsia"/>
                <w:kern w:val="2"/>
                <w:szCs w:val="18"/>
                <w:u w:val="single"/>
                <w:lang w:val="en-US" w:eastAsia="zh-CN"/>
              </w:rPr>
              <w:t>15</w:t>
            </w:r>
          </w:p>
        </w:tc>
        <w:tc>
          <w:tcPr>
            <w:tcW w:w="1169" w:type="dxa"/>
            <w:vAlign w:val="center"/>
          </w:tcPr>
          <w:p>
            <w:pPr>
              <w:pStyle w:val="112"/>
              <w:rPr>
                <w:kern w:val="2"/>
                <w:szCs w:val="18"/>
                <w:u w:val="single"/>
              </w:rPr>
            </w:pPr>
            <w:r>
              <w:rPr>
                <w:rFonts w:hint="eastAsia"/>
                <w:kern w:val="2"/>
                <w:szCs w:val="18"/>
                <w:u w:val="single"/>
                <w:lang w:val="en-US" w:eastAsia="zh-CN"/>
              </w:rPr>
              <w:t>20</w:t>
            </w:r>
          </w:p>
        </w:tc>
        <w:tc>
          <w:tcPr>
            <w:tcW w:w="1169" w:type="dxa"/>
            <w:vAlign w:val="center"/>
          </w:tcPr>
          <w:p>
            <w:pPr>
              <w:pStyle w:val="112"/>
              <w:rPr>
                <w:kern w:val="2"/>
                <w:szCs w:val="18"/>
                <w:u w:val="single"/>
              </w:rPr>
            </w:pPr>
            <w:r>
              <w:rPr>
                <w:rFonts w:hint="eastAsia"/>
                <w:kern w:val="2"/>
                <w:szCs w:val="18"/>
                <w:u w:val="single"/>
                <w:lang w:val="en-US" w:eastAsia="zh-CN"/>
              </w:rPr>
              <w:t>30</w:t>
            </w:r>
          </w:p>
        </w:tc>
        <w:tc>
          <w:tcPr>
            <w:tcW w:w="1560" w:type="dxa"/>
            <w:vAlign w:val="center"/>
          </w:tcPr>
          <w:p>
            <w:pPr>
              <w:pStyle w:val="112"/>
              <w:rPr>
                <w:kern w:val="2"/>
                <w:szCs w:val="18"/>
                <w:u w:val="single"/>
              </w:rPr>
            </w:pPr>
            <w:r>
              <w:rPr>
                <w:kern w:val="2"/>
                <w:szCs w:val="18"/>
                <w:u w:val="singl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2" w:type="dxa"/>
            <w:vMerge w:val="continue"/>
            <w:vAlign w:val="center"/>
          </w:tcPr>
          <w:p>
            <w:pPr>
              <w:pStyle w:val="112"/>
              <w:rPr>
                <w:kern w:val="2"/>
                <w:szCs w:val="18"/>
                <w:u w:val="single"/>
              </w:rPr>
            </w:pPr>
          </w:p>
        </w:tc>
        <w:tc>
          <w:tcPr>
            <w:tcW w:w="2071" w:type="dxa"/>
            <w:vMerge w:val="restart"/>
            <w:vAlign w:val="center"/>
          </w:tcPr>
          <w:p>
            <w:pPr>
              <w:pStyle w:val="112"/>
              <w:rPr>
                <w:kern w:val="2"/>
                <w:szCs w:val="18"/>
                <w:u w:val="single"/>
              </w:rPr>
            </w:pPr>
            <w:r>
              <w:rPr>
                <w:kern w:val="2"/>
                <w:szCs w:val="18"/>
                <w:u w:val="single"/>
              </w:rPr>
              <w:t>2</w:t>
            </w:r>
            <w:r>
              <w:rPr>
                <w:rFonts w:hint="eastAsia"/>
                <w:kern w:val="2"/>
                <w:szCs w:val="18"/>
                <w:u w:val="single"/>
              </w:rPr>
              <w:t>类</w:t>
            </w:r>
          </w:p>
          <w:p>
            <w:pPr>
              <w:pStyle w:val="112"/>
              <w:rPr>
                <w:kern w:val="2"/>
                <w:szCs w:val="18"/>
                <w:u w:val="single"/>
              </w:rPr>
            </w:pPr>
            <w:r>
              <w:rPr>
                <w:rFonts w:hint="eastAsia"/>
                <w:kern w:val="2"/>
                <w:szCs w:val="18"/>
                <w:u w:val="single"/>
              </w:rPr>
              <w:t>标准区</w:t>
            </w:r>
          </w:p>
        </w:tc>
        <w:tc>
          <w:tcPr>
            <w:tcW w:w="794" w:type="dxa"/>
            <w:vAlign w:val="center"/>
          </w:tcPr>
          <w:p>
            <w:pPr>
              <w:pStyle w:val="112"/>
              <w:rPr>
                <w:kern w:val="2"/>
                <w:szCs w:val="18"/>
                <w:u w:val="single"/>
              </w:rPr>
            </w:pPr>
            <w:r>
              <w:rPr>
                <w:rFonts w:hint="eastAsia"/>
                <w:kern w:val="2"/>
                <w:szCs w:val="18"/>
                <w:u w:val="single"/>
              </w:rPr>
              <w:t>昼间</w:t>
            </w:r>
          </w:p>
        </w:tc>
        <w:tc>
          <w:tcPr>
            <w:tcW w:w="1169" w:type="dxa"/>
            <w:vAlign w:val="center"/>
          </w:tcPr>
          <w:p>
            <w:pPr>
              <w:pStyle w:val="112"/>
              <w:rPr>
                <w:kern w:val="2"/>
                <w:szCs w:val="18"/>
                <w:u w:val="single"/>
              </w:rPr>
            </w:pPr>
            <w:r>
              <w:rPr>
                <w:rFonts w:hint="eastAsia"/>
                <w:kern w:val="2"/>
                <w:szCs w:val="18"/>
                <w:u w:val="single"/>
                <w:lang w:val="en-US" w:eastAsia="zh-CN"/>
              </w:rPr>
              <w:t>30</w:t>
            </w:r>
          </w:p>
        </w:tc>
        <w:tc>
          <w:tcPr>
            <w:tcW w:w="1169" w:type="dxa"/>
            <w:vAlign w:val="center"/>
          </w:tcPr>
          <w:p>
            <w:pPr>
              <w:pStyle w:val="112"/>
              <w:rPr>
                <w:kern w:val="2"/>
                <w:szCs w:val="18"/>
                <w:u w:val="single"/>
              </w:rPr>
            </w:pPr>
            <w:r>
              <w:rPr>
                <w:rFonts w:hint="eastAsia"/>
                <w:kern w:val="2"/>
                <w:szCs w:val="18"/>
                <w:u w:val="single"/>
                <w:lang w:val="en-US" w:eastAsia="zh-CN"/>
              </w:rPr>
              <w:t>40</w:t>
            </w:r>
          </w:p>
        </w:tc>
        <w:tc>
          <w:tcPr>
            <w:tcW w:w="1169" w:type="dxa"/>
            <w:vAlign w:val="center"/>
          </w:tcPr>
          <w:p>
            <w:pPr>
              <w:pStyle w:val="112"/>
              <w:rPr>
                <w:rFonts w:hint="eastAsia" w:eastAsia="宋体"/>
                <w:kern w:val="2"/>
                <w:szCs w:val="18"/>
                <w:u w:val="single"/>
                <w:lang w:eastAsia="zh-CN"/>
              </w:rPr>
            </w:pPr>
            <w:r>
              <w:rPr>
                <w:rFonts w:hint="eastAsia"/>
                <w:kern w:val="2"/>
                <w:szCs w:val="18"/>
                <w:u w:val="single"/>
                <w:lang w:val="en-US" w:eastAsia="zh-CN"/>
              </w:rPr>
              <w:t>60</w:t>
            </w:r>
          </w:p>
        </w:tc>
        <w:tc>
          <w:tcPr>
            <w:tcW w:w="1560" w:type="dxa"/>
            <w:vAlign w:val="center"/>
          </w:tcPr>
          <w:p>
            <w:pPr>
              <w:pStyle w:val="112"/>
              <w:rPr>
                <w:kern w:val="2"/>
                <w:szCs w:val="18"/>
                <w:u w:val="single"/>
              </w:rPr>
            </w:pPr>
            <w:r>
              <w:rPr>
                <w:kern w:val="2"/>
                <w:szCs w:val="18"/>
                <w:u w:val="singl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2" w:type="dxa"/>
            <w:vMerge w:val="continue"/>
            <w:vAlign w:val="center"/>
          </w:tcPr>
          <w:p>
            <w:pPr>
              <w:pStyle w:val="112"/>
              <w:rPr>
                <w:kern w:val="2"/>
                <w:szCs w:val="18"/>
                <w:u w:val="single"/>
              </w:rPr>
            </w:pPr>
          </w:p>
        </w:tc>
        <w:tc>
          <w:tcPr>
            <w:tcW w:w="2071" w:type="dxa"/>
            <w:vMerge w:val="continue"/>
            <w:vAlign w:val="center"/>
          </w:tcPr>
          <w:p>
            <w:pPr>
              <w:pStyle w:val="112"/>
              <w:rPr>
                <w:kern w:val="2"/>
                <w:szCs w:val="18"/>
                <w:u w:val="single"/>
              </w:rPr>
            </w:pPr>
          </w:p>
        </w:tc>
        <w:tc>
          <w:tcPr>
            <w:tcW w:w="794" w:type="dxa"/>
            <w:vAlign w:val="center"/>
          </w:tcPr>
          <w:p>
            <w:pPr>
              <w:pStyle w:val="112"/>
              <w:rPr>
                <w:kern w:val="2"/>
                <w:szCs w:val="18"/>
                <w:u w:val="single"/>
              </w:rPr>
            </w:pPr>
            <w:r>
              <w:rPr>
                <w:rFonts w:hint="eastAsia"/>
                <w:kern w:val="2"/>
                <w:szCs w:val="18"/>
                <w:u w:val="single"/>
              </w:rPr>
              <w:t>夜间</w:t>
            </w:r>
          </w:p>
        </w:tc>
        <w:tc>
          <w:tcPr>
            <w:tcW w:w="1169" w:type="dxa"/>
            <w:vAlign w:val="center"/>
          </w:tcPr>
          <w:p>
            <w:pPr>
              <w:pStyle w:val="112"/>
              <w:rPr>
                <w:rFonts w:hint="eastAsia" w:eastAsia="宋体"/>
                <w:kern w:val="2"/>
                <w:szCs w:val="18"/>
                <w:u w:val="single"/>
                <w:lang w:eastAsia="zh-CN"/>
              </w:rPr>
            </w:pPr>
            <w:r>
              <w:rPr>
                <w:rFonts w:hint="eastAsia"/>
                <w:kern w:val="2"/>
                <w:szCs w:val="18"/>
                <w:u w:val="single"/>
                <w:lang w:val="en-US" w:eastAsia="zh-CN"/>
              </w:rPr>
              <w:t>30</w:t>
            </w:r>
          </w:p>
        </w:tc>
        <w:tc>
          <w:tcPr>
            <w:tcW w:w="1169" w:type="dxa"/>
            <w:vAlign w:val="center"/>
          </w:tcPr>
          <w:p>
            <w:pPr>
              <w:pStyle w:val="112"/>
              <w:rPr>
                <w:rFonts w:hint="eastAsia" w:eastAsia="宋体"/>
                <w:kern w:val="2"/>
                <w:szCs w:val="18"/>
                <w:u w:val="single"/>
                <w:lang w:eastAsia="zh-CN"/>
              </w:rPr>
            </w:pPr>
            <w:r>
              <w:rPr>
                <w:rFonts w:hint="eastAsia"/>
                <w:kern w:val="2"/>
                <w:szCs w:val="18"/>
                <w:u w:val="single"/>
                <w:lang w:val="en-US" w:eastAsia="zh-CN"/>
              </w:rPr>
              <w:t>40</w:t>
            </w:r>
          </w:p>
        </w:tc>
        <w:tc>
          <w:tcPr>
            <w:tcW w:w="1169" w:type="dxa"/>
            <w:vAlign w:val="center"/>
          </w:tcPr>
          <w:p>
            <w:pPr>
              <w:pStyle w:val="112"/>
              <w:rPr>
                <w:rFonts w:hint="eastAsia" w:eastAsia="宋体"/>
                <w:kern w:val="2"/>
                <w:szCs w:val="18"/>
                <w:u w:val="single"/>
                <w:lang w:eastAsia="zh-CN"/>
              </w:rPr>
            </w:pPr>
            <w:r>
              <w:rPr>
                <w:rFonts w:hint="eastAsia"/>
                <w:kern w:val="2"/>
                <w:szCs w:val="18"/>
                <w:u w:val="single"/>
                <w:lang w:val="en-US" w:eastAsia="zh-CN"/>
              </w:rPr>
              <w:t>60</w:t>
            </w:r>
          </w:p>
        </w:tc>
        <w:tc>
          <w:tcPr>
            <w:tcW w:w="1560" w:type="dxa"/>
            <w:vAlign w:val="center"/>
          </w:tcPr>
          <w:p>
            <w:pPr>
              <w:pStyle w:val="112"/>
              <w:rPr>
                <w:kern w:val="2"/>
                <w:szCs w:val="18"/>
                <w:u w:val="single"/>
              </w:rPr>
            </w:pPr>
            <w:r>
              <w:rPr>
                <w:kern w:val="2"/>
                <w:szCs w:val="18"/>
                <w:u w:val="single"/>
              </w:rPr>
              <w:t>50</w:t>
            </w:r>
          </w:p>
        </w:tc>
      </w:tr>
    </w:tbl>
    <w:p>
      <w:pPr>
        <w:spacing w:line="360" w:lineRule="auto"/>
        <w:ind w:firstLine="31680" w:firstLineChars="200"/>
        <w:rPr>
          <w:rFonts w:eastAsia="仿宋"/>
          <w:sz w:val="18"/>
          <w:szCs w:val="18"/>
          <w:u w:val="single"/>
        </w:rPr>
      </w:pPr>
      <w:r>
        <w:rPr>
          <w:rFonts w:hint="eastAsia" w:hAnsi="仿宋" w:eastAsia="仿宋"/>
          <w:sz w:val="18"/>
          <w:szCs w:val="18"/>
          <w:u w:val="single"/>
        </w:rPr>
        <w:t>注：拟建公路红线距路中心线</w:t>
      </w:r>
      <w:r>
        <w:rPr>
          <w:rFonts w:hint="eastAsia" w:eastAsia="仿宋"/>
          <w:sz w:val="18"/>
          <w:szCs w:val="18"/>
          <w:u w:val="single"/>
          <w:lang w:val="en-US" w:eastAsia="zh-CN"/>
        </w:rPr>
        <w:t>13</w:t>
      </w:r>
      <w:r>
        <w:rPr>
          <w:rFonts w:eastAsia="仿宋"/>
          <w:sz w:val="18"/>
          <w:szCs w:val="18"/>
          <w:u w:val="single"/>
        </w:rPr>
        <w:t>.75m</w:t>
      </w:r>
      <w:r>
        <w:rPr>
          <w:rFonts w:hint="eastAsia" w:hAnsi="仿宋" w:eastAsia="仿宋"/>
          <w:sz w:val="18"/>
          <w:szCs w:val="18"/>
          <w:u w:val="single"/>
        </w:rPr>
        <w:t>。</w:t>
      </w:r>
    </w:p>
    <w:p>
      <w:pPr>
        <w:spacing w:line="360" w:lineRule="auto"/>
        <w:ind w:firstLine="31680" w:firstLineChars="200"/>
        <w:rPr>
          <w:sz w:val="24"/>
          <w:u w:val="single"/>
        </w:rPr>
      </w:pPr>
      <w:r>
        <w:rPr>
          <w:rFonts w:hint="eastAsia"/>
          <w:sz w:val="24"/>
          <w:u w:val="single"/>
        </w:rPr>
        <w:t>以上预测结果是基于每个路段零路基高度这一假定，并且不考虑建筑物隔声、林带吸声等效果的前提下，由以上预测结果由可见：</w:t>
      </w:r>
    </w:p>
    <w:p>
      <w:pPr>
        <w:pStyle w:val="3"/>
        <w:ind w:firstLine="31680"/>
        <w:rPr>
          <w:kern w:val="2"/>
          <w:u w:val="single"/>
        </w:rPr>
      </w:pPr>
      <w:r>
        <w:rPr>
          <w:rFonts w:hint="eastAsia"/>
          <w:kern w:val="2"/>
          <w:u w:val="single"/>
        </w:rPr>
        <w:t>①按</w:t>
      </w:r>
      <w:r>
        <w:rPr>
          <w:kern w:val="2"/>
          <w:u w:val="single"/>
        </w:rPr>
        <w:t>4a</w:t>
      </w:r>
      <w:r>
        <w:rPr>
          <w:rFonts w:hint="eastAsia"/>
          <w:kern w:val="2"/>
          <w:u w:val="single"/>
        </w:rPr>
        <w:t>类标准，营运近期、中期、远期交通噪声昼间达标距离分别为距路</w:t>
      </w:r>
      <w:r>
        <w:rPr>
          <w:rFonts w:hint="eastAsia"/>
          <w:kern w:val="2"/>
          <w:u w:val="single"/>
          <w:lang w:val="en-US" w:eastAsia="zh-CN"/>
        </w:rPr>
        <w:t>中心</w:t>
      </w:r>
      <w:r>
        <w:rPr>
          <w:rFonts w:hint="eastAsia"/>
          <w:kern w:val="2"/>
          <w:u w:val="single"/>
        </w:rPr>
        <w:t>线</w:t>
      </w:r>
      <w:r>
        <w:rPr>
          <w:rFonts w:hint="eastAsia"/>
          <w:kern w:val="2"/>
          <w:u w:val="single"/>
          <w:lang w:val="en-US" w:eastAsia="zh-CN"/>
        </w:rPr>
        <w:t>15</w:t>
      </w:r>
      <w:r>
        <w:rPr>
          <w:kern w:val="2"/>
          <w:u w:val="single"/>
        </w:rPr>
        <w:t>m</w:t>
      </w:r>
      <w:r>
        <w:rPr>
          <w:rFonts w:hint="eastAsia"/>
          <w:kern w:val="2"/>
          <w:u w:val="single"/>
        </w:rPr>
        <w:t>、</w:t>
      </w:r>
      <w:r>
        <w:rPr>
          <w:rFonts w:hint="eastAsia"/>
          <w:kern w:val="2"/>
          <w:u w:val="single"/>
          <w:lang w:val="en-US" w:eastAsia="zh-CN"/>
        </w:rPr>
        <w:t>15</w:t>
      </w:r>
      <w:r>
        <w:rPr>
          <w:kern w:val="2"/>
          <w:u w:val="single"/>
        </w:rPr>
        <w:t>m</w:t>
      </w:r>
      <w:r>
        <w:rPr>
          <w:rFonts w:hint="eastAsia"/>
          <w:kern w:val="2"/>
          <w:u w:val="single"/>
        </w:rPr>
        <w:t>和</w:t>
      </w:r>
      <w:r>
        <w:rPr>
          <w:rFonts w:hint="eastAsia"/>
          <w:kern w:val="2"/>
          <w:u w:val="single"/>
          <w:lang w:val="en-US" w:eastAsia="zh-CN"/>
        </w:rPr>
        <w:t>15</w:t>
      </w:r>
      <w:r>
        <w:rPr>
          <w:kern w:val="2"/>
          <w:u w:val="single"/>
        </w:rPr>
        <w:t>m</w:t>
      </w:r>
      <w:r>
        <w:rPr>
          <w:rFonts w:hint="eastAsia"/>
          <w:kern w:val="2"/>
          <w:u w:val="single"/>
        </w:rPr>
        <w:t>，夜间近、中、远期达标距离为距路中心线</w:t>
      </w:r>
      <w:r>
        <w:rPr>
          <w:rFonts w:hint="eastAsia"/>
          <w:kern w:val="2"/>
          <w:u w:val="single"/>
          <w:lang w:val="en-US" w:eastAsia="zh-CN"/>
        </w:rPr>
        <w:t>15</w:t>
      </w:r>
      <w:r>
        <w:rPr>
          <w:kern w:val="2"/>
          <w:u w:val="single"/>
        </w:rPr>
        <w:t>m</w:t>
      </w:r>
      <w:r>
        <w:rPr>
          <w:rFonts w:hint="eastAsia"/>
          <w:kern w:val="2"/>
          <w:u w:val="single"/>
        </w:rPr>
        <w:t>、</w:t>
      </w:r>
      <w:r>
        <w:rPr>
          <w:rFonts w:hint="eastAsia"/>
          <w:kern w:val="2"/>
          <w:u w:val="single"/>
          <w:lang w:val="en-US" w:eastAsia="zh-CN"/>
        </w:rPr>
        <w:t>20</w:t>
      </w:r>
      <w:r>
        <w:rPr>
          <w:kern w:val="2"/>
          <w:u w:val="single"/>
        </w:rPr>
        <w:t>m</w:t>
      </w:r>
      <w:r>
        <w:rPr>
          <w:rFonts w:hint="eastAsia"/>
          <w:kern w:val="2"/>
          <w:u w:val="single"/>
        </w:rPr>
        <w:t>和</w:t>
      </w:r>
      <w:r>
        <w:rPr>
          <w:rFonts w:hint="eastAsia"/>
          <w:kern w:val="2"/>
          <w:u w:val="single"/>
          <w:lang w:val="en-US" w:eastAsia="zh-CN"/>
        </w:rPr>
        <w:t>30</w:t>
      </w:r>
      <w:r>
        <w:rPr>
          <w:kern w:val="2"/>
          <w:u w:val="single"/>
        </w:rPr>
        <w:t>m</w:t>
      </w:r>
      <w:r>
        <w:rPr>
          <w:rFonts w:hint="eastAsia"/>
          <w:kern w:val="2"/>
          <w:u w:val="single"/>
        </w:rPr>
        <w:t>。</w:t>
      </w:r>
    </w:p>
    <w:p>
      <w:pPr>
        <w:pStyle w:val="3"/>
        <w:ind w:firstLine="31680"/>
        <w:rPr>
          <w:kern w:val="2"/>
          <w:u w:val="single"/>
        </w:rPr>
      </w:pPr>
      <w:r>
        <w:rPr>
          <w:rFonts w:hint="eastAsia"/>
          <w:kern w:val="2"/>
          <w:u w:val="single"/>
        </w:rPr>
        <w:t>②按</w:t>
      </w:r>
      <w:r>
        <w:rPr>
          <w:kern w:val="2"/>
          <w:u w:val="single"/>
        </w:rPr>
        <w:t>2</w:t>
      </w:r>
      <w:r>
        <w:rPr>
          <w:rFonts w:hint="eastAsia"/>
          <w:kern w:val="2"/>
          <w:u w:val="single"/>
        </w:rPr>
        <w:t>类标准，营运近期、中期、远期交通噪声昼间达标距离为距路中心线</w:t>
      </w:r>
      <w:r>
        <w:rPr>
          <w:rFonts w:hint="eastAsia"/>
          <w:kern w:val="2"/>
          <w:szCs w:val="18"/>
          <w:u w:val="single"/>
          <w:lang w:val="en-US" w:eastAsia="zh-CN"/>
        </w:rPr>
        <w:t>30</w:t>
      </w:r>
      <w:r>
        <w:rPr>
          <w:kern w:val="2"/>
          <w:u w:val="single"/>
        </w:rPr>
        <w:t>m</w:t>
      </w:r>
      <w:r>
        <w:rPr>
          <w:rFonts w:hint="eastAsia"/>
          <w:kern w:val="2"/>
          <w:u w:val="single"/>
        </w:rPr>
        <w:t>、</w:t>
      </w:r>
      <w:r>
        <w:rPr>
          <w:rFonts w:hint="eastAsia"/>
          <w:kern w:val="2"/>
          <w:u w:val="single"/>
          <w:lang w:val="en-US" w:eastAsia="zh-CN"/>
        </w:rPr>
        <w:t>40</w:t>
      </w:r>
      <w:r>
        <w:rPr>
          <w:kern w:val="2"/>
          <w:u w:val="single"/>
        </w:rPr>
        <w:t>m</w:t>
      </w:r>
      <w:r>
        <w:rPr>
          <w:rFonts w:hint="eastAsia"/>
          <w:kern w:val="2"/>
          <w:u w:val="single"/>
        </w:rPr>
        <w:t>和</w:t>
      </w:r>
      <w:r>
        <w:rPr>
          <w:rFonts w:hint="eastAsia"/>
          <w:kern w:val="2"/>
          <w:u w:val="single"/>
          <w:lang w:val="en-US" w:eastAsia="zh-CN"/>
        </w:rPr>
        <w:t>60</w:t>
      </w:r>
      <w:r>
        <w:rPr>
          <w:kern w:val="2"/>
          <w:u w:val="single"/>
        </w:rPr>
        <w:t>m</w:t>
      </w:r>
      <w:r>
        <w:rPr>
          <w:rFonts w:hint="eastAsia"/>
          <w:kern w:val="2"/>
          <w:u w:val="single"/>
        </w:rPr>
        <w:t>，夜间近、中、远期达标距离为距路中心线</w:t>
      </w:r>
      <w:r>
        <w:rPr>
          <w:rFonts w:hint="eastAsia"/>
          <w:kern w:val="2"/>
          <w:u w:val="single"/>
          <w:lang w:val="en-US" w:eastAsia="zh-CN"/>
        </w:rPr>
        <w:t>30</w:t>
      </w:r>
      <w:r>
        <w:rPr>
          <w:kern w:val="2"/>
          <w:u w:val="single"/>
        </w:rPr>
        <w:t>m</w:t>
      </w:r>
      <w:r>
        <w:rPr>
          <w:rFonts w:hint="eastAsia"/>
          <w:kern w:val="2"/>
          <w:u w:val="single"/>
        </w:rPr>
        <w:t>、</w:t>
      </w:r>
      <w:r>
        <w:rPr>
          <w:rFonts w:hint="eastAsia"/>
          <w:kern w:val="2"/>
          <w:u w:val="single"/>
          <w:lang w:val="en-US" w:eastAsia="zh-CN"/>
        </w:rPr>
        <w:t>40</w:t>
      </w:r>
      <w:r>
        <w:rPr>
          <w:kern w:val="2"/>
          <w:u w:val="single"/>
        </w:rPr>
        <w:t>m</w:t>
      </w:r>
      <w:r>
        <w:rPr>
          <w:rFonts w:hint="eastAsia"/>
          <w:kern w:val="2"/>
          <w:u w:val="single"/>
        </w:rPr>
        <w:t>和</w:t>
      </w:r>
      <w:r>
        <w:rPr>
          <w:rFonts w:hint="eastAsia"/>
          <w:kern w:val="2"/>
          <w:u w:val="single"/>
          <w:lang w:val="en-US" w:eastAsia="zh-CN"/>
        </w:rPr>
        <w:t>60</w:t>
      </w:r>
      <w:r>
        <w:rPr>
          <w:kern w:val="2"/>
          <w:u w:val="single"/>
        </w:rPr>
        <w:t>m</w:t>
      </w:r>
      <w:r>
        <w:rPr>
          <w:rFonts w:hint="eastAsia"/>
          <w:kern w:val="2"/>
          <w:u w:val="single"/>
        </w:rPr>
        <w:t>。</w:t>
      </w:r>
    </w:p>
    <w:p>
      <w:pPr>
        <w:spacing w:line="360" w:lineRule="auto"/>
        <w:ind w:firstLine="31680" w:firstLineChars="200"/>
        <w:rPr>
          <w:sz w:val="24"/>
          <w:u w:val="single"/>
        </w:rPr>
      </w:pPr>
      <w:r>
        <w:rPr>
          <w:sz w:val="24"/>
          <w:u w:val="single"/>
        </w:rPr>
        <w:t>b</w:t>
      </w:r>
      <w:r>
        <w:rPr>
          <w:rFonts w:hint="eastAsia"/>
          <w:sz w:val="24"/>
          <w:u w:val="single"/>
        </w:rPr>
        <w:t>）主要敏感点环境噪声预测与评价</w:t>
      </w:r>
    </w:p>
    <w:p>
      <w:pPr>
        <w:pStyle w:val="3"/>
        <w:ind w:firstLine="31680"/>
        <w:rPr>
          <w:u w:val="single"/>
        </w:rPr>
      </w:pPr>
      <w:r>
        <w:rPr>
          <w:rFonts w:hint="eastAsia"/>
          <w:u w:val="single"/>
        </w:rPr>
        <w:t>敏感点环境噪声预测应考虑其所处的路段及所对应的地面覆盖状况、公路结构、路堤或路堑高度、公路有限长声源、地形地物等因素修正，由交通噪声预测值迭加相应的声环境背景值得到。</w:t>
      </w:r>
    </w:p>
    <w:p>
      <w:pPr>
        <w:pStyle w:val="3"/>
        <w:ind w:firstLine="31680"/>
        <w:rPr>
          <w:u w:val="single"/>
        </w:rPr>
      </w:pPr>
      <w:r>
        <w:rPr>
          <w:rFonts w:hint="eastAsia"/>
          <w:u w:val="single"/>
        </w:rPr>
        <w:t>环境背景噪声的确定分两种情况：</w:t>
      </w:r>
    </w:p>
    <w:p>
      <w:pPr>
        <w:pStyle w:val="3"/>
        <w:ind w:firstLine="31680"/>
        <w:rPr>
          <w:u w:val="single"/>
        </w:rPr>
      </w:pPr>
      <w:r>
        <w:rPr>
          <w:u w:val="single"/>
        </w:rPr>
        <w:t>1</w:t>
      </w:r>
      <w:r>
        <w:rPr>
          <w:rFonts w:hint="eastAsia"/>
          <w:u w:val="single"/>
        </w:rPr>
        <w:t>）对已进行了现状环境噪声背景值监测的区域，其背景噪声按监测值最大确定；</w:t>
      </w:r>
    </w:p>
    <w:p>
      <w:pPr>
        <w:pStyle w:val="3"/>
        <w:ind w:firstLine="31680"/>
        <w:rPr>
          <w:u w:val="single"/>
        </w:rPr>
      </w:pPr>
      <w:r>
        <w:rPr>
          <w:u w:val="single"/>
        </w:rPr>
        <w:t>2</w:t>
      </w:r>
      <w:r>
        <w:rPr>
          <w:rFonts w:hint="eastAsia"/>
          <w:u w:val="single"/>
        </w:rPr>
        <w:t>）对于未进行实地测量现状噪声背景值的区域，以同一路段距离较近的、环境特征类似且车流量较接近的现状监测点的监测值作为该敏感点的背景值。</w:t>
      </w:r>
    </w:p>
    <w:p>
      <w:pPr>
        <w:pStyle w:val="3"/>
        <w:ind w:firstLine="31680"/>
        <w:rPr>
          <w:u w:val="single"/>
        </w:rPr>
      </w:pPr>
      <w:r>
        <w:rPr>
          <w:rFonts w:hint="eastAsia"/>
          <w:u w:val="single"/>
        </w:rPr>
        <w:t>本次评价采用实测确定环境背景噪声，各敏感点的噪声背景取值见表</w:t>
      </w:r>
      <w:r>
        <w:rPr>
          <w:u w:val="single"/>
        </w:rPr>
        <w:t>7.1-7</w:t>
      </w:r>
      <w:r>
        <w:rPr>
          <w:rFonts w:hint="eastAsia"/>
          <w:u w:val="single"/>
        </w:rPr>
        <w:t>，预测结果详见表</w:t>
      </w:r>
      <w:r>
        <w:rPr>
          <w:u w:val="single"/>
        </w:rPr>
        <w:t>7.1-8</w:t>
      </w:r>
      <w:r>
        <w:rPr>
          <w:rFonts w:hint="eastAsia"/>
          <w:u w:val="single"/>
        </w:rPr>
        <w:t>。</w:t>
      </w:r>
    </w:p>
    <w:p>
      <w:pPr>
        <w:pStyle w:val="3"/>
        <w:ind w:firstLine="31680"/>
        <w:jc w:val="center"/>
        <w:rPr>
          <w:u w:val="single"/>
        </w:rPr>
      </w:pPr>
      <w:r>
        <w:rPr>
          <w:rFonts w:hint="eastAsia"/>
          <w:u w:val="single"/>
        </w:rPr>
        <w:t>表</w:t>
      </w:r>
      <w:r>
        <w:rPr>
          <w:u w:val="single"/>
        </w:rPr>
        <w:t xml:space="preserve">7.1-7      </w:t>
      </w:r>
      <w:r>
        <w:rPr>
          <w:rFonts w:hint="eastAsia"/>
          <w:u w:val="single"/>
        </w:rPr>
        <w:t>本项目各敏感点背景噪声取值情况一览表</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711"/>
        <w:gridCol w:w="1700"/>
        <w:gridCol w:w="1418"/>
        <w:gridCol w:w="2925"/>
        <w:gridCol w:w="944"/>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532" w:type="dxa"/>
            <w:vMerge w:val="restart"/>
            <w:vAlign w:val="center"/>
          </w:tcPr>
          <w:p>
            <w:pPr>
              <w:pStyle w:val="112"/>
              <w:rPr>
                <w:rFonts w:hAnsi="宋体"/>
                <w:kern w:val="2"/>
                <w:szCs w:val="21"/>
                <w:u w:val="single"/>
              </w:rPr>
            </w:pPr>
            <w:r>
              <w:rPr>
                <w:rFonts w:hint="eastAsia" w:hAnsi="宋体"/>
                <w:kern w:val="2"/>
                <w:szCs w:val="21"/>
                <w:u w:val="single"/>
              </w:rPr>
              <w:t>序号</w:t>
            </w:r>
          </w:p>
        </w:tc>
        <w:tc>
          <w:tcPr>
            <w:tcW w:w="2411" w:type="dxa"/>
            <w:gridSpan w:val="2"/>
            <w:vMerge w:val="restart"/>
            <w:vAlign w:val="center"/>
          </w:tcPr>
          <w:p>
            <w:pPr>
              <w:pStyle w:val="112"/>
              <w:rPr>
                <w:rFonts w:hAnsi="宋体"/>
                <w:kern w:val="2"/>
                <w:szCs w:val="21"/>
                <w:u w:val="single"/>
              </w:rPr>
            </w:pPr>
            <w:r>
              <w:rPr>
                <w:rFonts w:hint="eastAsia" w:hAnsi="宋体"/>
                <w:kern w:val="2"/>
                <w:szCs w:val="21"/>
                <w:u w:val="single"/>
              </w:rPr>
              <w:t>敏感点名称</w:t>
            </w:r>
          </w:p>
        </w:tc>
        <w:tc>
          <w:tcPr>
            <w:tcW w:w="1418" w:type="dxa"/>
            <w:vMerge w:val="restart"/>
            <w:vAlign w:val="center"/>
          </w:tcPr>
          <w:p>
            <w:pPr>
              <w:pStyle w:val="112"/>
              <w:rPr>
                <w:rFonts w:hAnsi="宋体"/>
                <w:kern w:val="2"/>
                <w:szCs w:val="21"/>
                <w:u w:val="single"/>
              </w:rPr>
            </w:pPr>
            <w:r>
              <w:rPr>
                <w:rFonts w:hint="eastAsia" w:hAnsi="宋体"/>
                <w:kern w:val="2"/>
                <w:szCs w:val="21"/>
                <w:u w:val="single"/>
              </w:rPr>
              <w:t>桩号</w:t>
            </w:r>
          </w:p>
        </w:tc>
        <w:tc>
          <w:tcPr>
            <w:tcW w:w="2925" w:type="dxa"/>
            <w:vMerge w:val="restart"/>
            <w:vAlign w:val="center"/>
          </w:tcPr>
          <w:p>
            <w:pPr>
              <w:pStyle w:val="112"/>
              <w:rPr>
                <w:rFonts w:hAnsi="宋体"/>
                <w:kern w:val="2"/>
                <w:szCs w:val="21"/>
                <w:u w:val="single"/>
              </w:rPr>
            </w:pPr>
            <w:r>
              <w:rPr>
                <w:rFonts w:hint="eastAsia" w:hAnsi="宋体"/>
                <w:kern w:val="2"/>
                <w:szCs w:val="21"/>
                <w:u w:val="single"/>
              </w:rPr>
              <w:t>噪声值</w:t>
            </w:r>
          </w:p>
        </w:tc>
        <w:tc>
          <w:tcPr>
            <w:tcW w:w="1888" w:type="dxa"/>
            <w:gridSpan w:val="2"/>
            <w:vAlign w:val="center"/>
          </w:tcPr>
          <w:p>
            <w:pPr>
              <w:pStyle w:val="112"/>
              <w:rPr>
                <w:rFonts w:hAnsi="宋体"/>
                <w:kern w:val="2"/>
                <w:szCs w:val="21"/>
                <w:u w:val="single"/>
              </w:rPr>
            </w:pPr>
            <w:r>
              <w:rPr>
                <w:rFonts w:hint="eastAsia" w:hAnsi="宋体"/>
                <w:kern w:val="2"/>
                <w:szCs w:val="21"/>
                <w:u w:val="single"/>
              </w:rPr>
              <w:t>背景值</w:t>
            </w:r>
            <w:r>
              <w:rPr>
                <w:rFonts w:hAnsi="宋体"/>
                <w:kern w:val="2"/>
                <w:szCs w:val="21"/>
                <w:u w:val="single"/>
              </w:rPr>
              <w:t>/dB</w:t>
            </w:r>
            <w:r>
              <w:rPr>
                <w:rFonts w:hint="eastAsia" w:hAnsi="宋体"/>
                <w:kern w:val="2"/>
                <w:szCs w:val="21"/>
                <w:u w:val="single"/>
              </w:rPr>
              <w:t>（</w:t>
            </w:r>
            <w:r>
              <w:rPr>
                <w:rFonts w:hAnsi="宋体"/>
                <w:kern w:val="2"/>
                <w:szCs w:val="21"/>
                <w:u w:val="single"/>
              </w:rPr>
              <w:t>A</w:t>
            </w:r>
            <w:r>
              <w:rPr>
                <w:rFonts w:hint="eastAsia" w:hAnsi="宋体"/>
                <w:kern w:val="2"/>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532" w:type="dxa"/>
            <w:vMerge w:val="continue"/>
            <w:vAlign w:val="center"/>
          </w:tcPr>
          <w:p>
            <w:pPr>
              <w:pStyle w:val="112"/>
              <w:rPr>
                <w:kern w:val="2"/>
                <w:szCs w:val="21"/>
                <w:u w:val="single"/>
              </w:rPr>
            </w:pPr>
          </w:p>
        </w:tc>
        <w:tc>
          <w:tcPr>
            <w:tcW w:w="2411" w:type="dxa"/>
            <w:gridSpan w:val="2"/>
            <w:vMerge w:val="continue"/>
            <w:vAlign w:val="center"/>
          </w:tcPr>
          <w:p>
            <w:pPr>
              <w:pStyle w:val="112"/>
              <w:rPr>
                <w:kern w:val="2"/>
                <w:szCs w:val="21"/>
                <w:u w:val="single"/>
              </w:rPr>
            </w:pPr>
          </w:p>
        </w:tc>
        <w:tc>
          <w:tcPr>
            <w:tcW w:w="1418" w:type="dxa"/>
            <w:vMerge w:val="continue"/>
            <w:vAlign w:val="center"/>
          </w:tcPr>
          <w:p>
            <w:pPr>
              <w:pStyle w:val="112"/>
              <w:rPr>
                <w:kern w:val="2"/>
                <w:szCs w:val="21"/>
                <w:u w:val="single"/>
              </w:rPr>
            </w:pPr>
          </w:p>
        </w:tc>
        <w:tc>
          <w:tcPr>
            <w:tcW w:w="2925" w:type="dxa"/>
            <w:vMerge w:val="continue"/>
            <w:vAlign w:val="center"/>
          </w:tcPr>
          <w:p>
            <w:pPr>
              <w:pStyle w:val="112"/>
              <w:rPr>
                <w:kern w:val="2"/>
                <w:szCs w:val="21"/>
                <w:u w:val="single"/>
              </w:rPr>
            </w:pPr>
          </w:p>
        </w:tc>
        <w:tc>
          <w:tcPr>
            <w:tcW w:w="944" w:type="dxa"/>
            <w:vAlign w:val="center"/>
          </w:tcPr>
          <w:p>
            <w:pPr>
              <w:pStyle w:val="112"/>
              <w:rPr>
                <w:kern w:val="2"/>
                <w:szCs w:val="21"/>
                <w:u w:val="single"/>
              </w:rPr>
            </w:pPr>
            <w:r>
              <w:rPr>
                <w:rFonts w:hint="eastAsia" w:hAnsi="宋体"/>
                <w:kern w:val="2"/>
                <w:szCs w:val="21"/>
                <w:u w:val="single"/>
              </w:rPr>
              <w:t>昼间</w:t>
            </w:r>
          </w:p>
        </w:tc>
        <w:tc>
          <w:tcPr>
            <w:tcW w:w="944" w:type="dxa"/>
            <w:vAlign w:val="center"/>
          </w:tcPr>
          <w:p>
            <w:pPr>
              <w:pStyle w:val="112"/>
              <w:rPr>
                <w:kern w:val="2"/>
                <w:szCs w:val="21"/>
                <w:u w:val="single"/>
              </w:rPr>
            </w:pPr>
            <w:r>
              <w:rPr>
                <w:rFonts w:hint="eastAsia" w:hAnsi="宋体"/>
                <w:kern w:val="2"/>
                <w:szCs w:val="21"/>
                <w:u w:val="singl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532" w:type="dxa"/>
            <w:vAlign w:val="center"/>
          </w:tcPr>
          <w:p>
            <w:pPr>
              <w:pStyle w:val="112"/>
              <w:rPr>
                <w:kern w:val="2"/>
                <w:szCs w:val="21"/>
                <w:u w:val="single"/>
              </w:rPr>
            </w:pPr>
            <w:r>
              <w:rPr>
                <w:kern w:val="2"/>
                <w:szCs w:val="21"/>
                <w:u w:val="single"/>
              </w:rPr>
              <w:t>1</w:t>
            </w:r>
          </w:p>
        </w:tc>
        <w:tc>
          <w:tcPr>
            <w:tcW w:w="711" w:type="dxa"/>
            <w:vMerge w:val="restart"/>
            <w:vAlign w:val="center"/>
          </w:tcPr>
          <w:p>
            <w:pPr>
              <w:jc w:val="center"/>
              <w:rPr>
                <w:sz w:val="21"/>
                <w:szCs w:val="21"/>
                <w:u w:val="single"/>
              </w:rPr>
            </w:pPr>
            <w:r>
              <w:rPr>
                <w:rFonts w:hint="eastAsia"/>
                <w:sz w:val="21"/>
                <w:szCs w:val="21"/>
                <w:u w:val="single"/>
              </w:rPr>
              <w:t>弼时镇</w:t>
            </w:r>
          </w:p>
        </w:tc>
        <w:tc>
          <w:tcPr>
            <w:tcW w:w="1700" w:type="dxa"/>
            <w:vAlign w:val="center"/>
          </w:tcPr>
          <w:p>
            <w:pPr>
              <w:jc w:val="center"/>
              <w:rPr>
                <w:sz w:val="21"/>
                <w:szCs w:val="21"/>
                <w:u w:val="single"/>
              </w:rPr>
            </w:pPr>
            <w:r>
              <w:rPr>
                <w:rFonts w:hint="eastAsia"/>
                <w:sz w:val="21"/>
                <w:szCs w:val="21"/>
                <w:u w:val="single"/>
              </w:rPr>
              <w:t>铜盆村居民点</w:t>
            </w:r>
          </w:p>
        </w:tc>
        <w:tc>
          <w:tcPr>
            <w:tcW w:w="1418" w:type="dxa"/>
            <w:vAlign w:val="center"/>
          </w:tcPr>
          <w:p>
            <w:pPr>
              <w:jc w:val="center"/>
              <w:rPr>
                <w:sz w:val="21"/>
                <w:szCs w:val="21"/>
                <w:u w:val="single"/>
              </w:rPr>
            </w:pPr>
            <w:r>
              <w:rPr>
                <w:sz w:val="18"/>
                <w:szCs w:val="18"/>
                <w:u w:val="single"/>
              </w:rPr>
              <w:t>K0+000~K0+850</w:t>
            </w:r>
          </w:p>
        </w:tc>
        <w:tc>
          <w:tcPr>
            <w:tcW w:w="2925" w:type="dxa"/>
            <w:vAlign w:val="center"/>
          </w:tcPr>
          <w:p>
            <w:pPr>
              <w:pStyle w:val="112"/>
              <w:rPr>
                <w:kern w:val="2"/>
                <w:szCs w:val="21"/>
                <w:u w:val="single"/>
              </w:rPr>
            </w:pPr>
            <w:r>
              <w:rPr>
                <w:rFonts w:hint="eastAsia" w:hAnsi="宋体"/>
                <w:kern w:val="2"/>
                <w:szCs w:val="21"/>
                <w:u w:val="single"/>
              </w:rPr>
              <w:t>采用实测背景值</w:t>
            </w:r>
          </w:p>
        </w:tc>
        <w:tc>
          <w:tcPr>
            <w:tcW w:w="944" w:type="dxa"/>
            <w:vAlign w:val="center"/>
          </w:tcPr>
          <w:p>
            <w:pPr>
              <w:pStyle w:val="112"/>
              <w:rPr>
                <w:kern w:val="2"/>
                <w:szCs w:val="21"/>
                <w:u w:val="single"/>
              </w:rPr>
            </w:pPr>
            <w:r>
              <w:rPr>
                <w:kern w:val="2"/>
                <w:szCs w:val="21"/>
                <w:u w:val="single"/>
              </w:rPr>
              <w:t>58.1</w:t>
            </w:r>
          </w:p>
        </w:tc>
        <w:tc>
          <w:tcPr>
            <w:tcW w:w="944" w:type="dxa"/>
            <w:vAlign w:val="center"/>
          </w:tcPr>
          <w:p>
            <w:pPr>
              <w:pStyle w:val="112"/>
              <w:rPr>
                <w:kern w:val="2"/>
                <w:szCs w:val="21"/>
                <w:u w:val="single"/>
              </w:rPr>
            </w:pPr>
            <w:r>
              <w:rPr>
                <w:kern w:val="2"/>
                <w:szCs w:val="21"/>
                <w:u w:val="single"/>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532" w:type="dxa"/>
            <w:vAlign w:val="center"/>
          </w:tcPr>
          <w:p>
            <w:pPr>
              <w:pStyle w:val="112"/>
              <w:rPr>
                <w:kern w:val="2"/>
                <w:szCs w:val="21"/>
                <w:u w:val="single"/>
              </w:rPr>
            </w:pPr>
            <w:r>
              <w:rPr>
                <w:kern w:val="2"/>
                <w:szCs w:val="21"/>
                <w:u w:val="single"/>
              </w:rPr>
              <w:t>2</w:t>
            </w:r>
          </w:p>
        </w:tc>
        <w:tc>
          <w:tcPr>
            <w:tcW w:w="711" w:type="dxa"/>
            <w:vMerge w:val="continue"/>
            <w:vAlign w:val="center"/>
          </w:tcPr>
          <w:p>
            <w:pPr>
              <w:jc w:val="center"/>
              <w:rPr>
                <w:sz w:val="21"/>
                <w:szCs w:val="21"/>
                <w:u w:val="single"/>
              </w:rPr>
            </w:pPr>
          </w:p>
        </w:tc>
        <w:tc>
          <w:tcPr>
            <w:tcW w:w="1700" w:type="dxa"/>
            <w:vAlign w:val="center"/>
          </w:tcPr>
          <w:p>
            <w:pPr>
              <w:pStyle w:val="3"/>
              <w:spacing w:line="240" w:lineRule="auto"/>
              <w:ind w:firstLine="0" w:firstLineChars="0"/>
              <w:jc w:val="center"/>
              <w:rPr>
                <w:kern w:val="2"/>
                <w:sz w:val="21"/>
                <w:szCs w:val="21"/>
                <w:u w:val="single"/>
              </w:rPr>
            </w:pPr>
            <w:r>
              <w:rPr>
                <w:rFonts w:hint="eastAsia"/>
                <w:sz w:val="21"/>
                <w:szCs w:val="21"/>
                <w:u w:val="single"/>
              </w:rPr>
              <w:t>桃花村居民点</w:t>
            </w:r>
          </w:p>
        </w:tc>
        <w:tc>
          <w:tcPr>
            <w:tcW w:w="1418" w:type="dxa"/>
            <w:vAlign w:val="center"/>
          </w:tcPr>
          <w:p>
            <w:pPr>
              <w:jc w:val="center"/>
              <w:rPr>
                <w:sz w:val="21"/>
                <w:szCs w:val="21"/>
                <w:u w:val="single"/>
              </w:rPr>
            </w:pPr>
            <w:r>
              <w:rPr>
                <w:sz w:val="18"/>
                <w:szCs w:val="18"/>
                <w:u w:val="single"/>
              </w:rPr>
              <w:t>K0+850~K3+956</w:t>
            </w:r>
          </w:p>
        </w:tc>
        <w:tc>
          <w:tcPr>
            <w:tcW w:w="2925" w:type="dxa"/>
            <w:vAlign w:val="center"/>
          </w:tcPr>
          <w:p>
            <w:pPr>
              <w:pStyle w:val="112"/>
              <w:rPr>
                <w:rFonts w:hAnsi="宋体"/>
                <w:kern w:val="2"/>
                <w:szCs w:val="21"/>
                <w:u w:val="single"/>
              </w:rPr>
            </w:pPr>
            <w:r>
              <w:rPr>
                <w:rFonts w:hint="eastAsia" w:hAnsi="宋体"/>
                <w:kern w:val="2"/>
                <w:szCs w:val="21"/>
                <w:u w:val="single"/>
              </w:rPr>
              <w:t>采用实测背景值</w:t>
            </w:r>
          </w:p>
        </w:tc>
        <w:tc>
          <w:tcPr>
            <w:tcW w:w="944" w:type="dxa"/>
            <w:vAlign w:val="center"/>
          </w:tcPr>
          <w:p>
            <w:pPr>
              <w:pStyle w:val="112"/>
              <w:rPr>
                <w:kern w:val="2"/>
                <w:szCs w:val="21"/>
                <w:u w:val="single"/>
              </w:rPr>
            </w:pPr>
            <w:r>
              <w:rPr>
                <w:kern w:val="2"/>
                <w:szCs w:val="21"/>
                <w:u w:val="single"/>
              </w:rPr>
              <w:t>59.8</w:t>
            </w:r>
          </w:p>
        </w:tc>
        <w:tc>
          <w:tcPr>
            <w:tcW w:w="944" w:type="dxa"/>
            <w:vAlign w:val="center"/>
          </w:tcPr>
          <w:p>
            <w:pPr>
              <w:pStyle w:val="112"/>
              <w:rPr>
                <w:kern w:val="2"/>
                <w:szCs w:val="21"/>
                <w:u w:val="single"/>
              </w:rPr>
            </w:pPr>
            <w:r>
              <w:rPr>
                <w:kern w:val="2"/>
                <w:szCs w:val="21"/>
                <w:u w:val="single"/>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532" w:type="dxa"/>
            <w:vAlign w:val="center"/>
          </w:tcPr>
          <w:p>
            <w:pPr>
              <w:pStyle w:val="112"/>
              <w:rPr>
                <w:kern w:val="2"/>
                <w:szCs w:val="21"/>
                <w:u w:val="single"/>
              </w:rPr>
            </w:pPr>
            <w:r>
              <w:rPr>
                <w:kern w:val="2"/>
                <w:szCs w:val="21"/>
                <w:u w:val="single"/>
              </w:rPr>
              <w:t>3</w:t>
            </w:r>
          </w:p>
        </w:tc>
        <w:tc>
          <w:tcPr>
            <w:tcW w:w="711" w:type="dxa"/>
            <w:vMerge w:val="continue"/>
            <w:vAlign w:val="center"/>
          </w:tcPr>
          <w:p>
            <w:pPr>
              <w:jc w:val="center"/>
              <w:rPr>
                <w:sz w:val="21"/>
                <w:szCs w:val="21"/>
                <w:u w:val="single"/>
              </w:rPr>
            </w:pPr>
          </w:p>
        </w:tc>
        <w:tc>
          <w:tcPr>
            <w:tcW w:w="1700" w:type="dxa"/>
            <w:vAlign w:val="center"/>
          </w:tcPr>
          <w:p>
            <w:pPr>
              <w:pStyle w:val="3"/>
              <w:spacing w:line="240" w:lineRule="auto"/>
              <w:ind w:firstLine="0" w:firstLineChars="0"/>
              <w:jc w:val="center"/>
              <w:rPr>
                <w:kern w:val="2"/>
                <w:sz w:val="21"/>
                <w:szCs w:val="21"/>
                <w:u w:val="single"/>
              </w:rPr>
            </w:pPr>
            <w:r>
              <w:rPr>
                <w:rFonts w:hint="eastAsia"/>
                <w:sz w:val="21"/>
                <w:szCs w:val="21"/>
                <w:u w:val="single"/>
              </w:rPr>
              <w:t>大陆村居民点</w:t>
            </w:r>
          </w:p>
        </w:tc>
        <w:tc>
          <w:tcPr>
            <w:tcW w:w="1418" w:type="dxa"/>
            <w:vAlign w:val="center"/>
          </w:tcPr>
          <w:p>
            <w:pPr>
              <w:jc w:val="center"/>
              <w:rPr>
                <w:sz w:val="21"/>
                <w:szCs w:val="21"/>
                <w:u w:val="single"/>
              </w:rPr>
            </w:pPr>
            <w:r>
              <w:rPr>
                <w:sz w:val="18"/>
                <w:szCs w:val="18"/>
                <w:u w:val="single"/>
              </w:rPr>
              <w:t>K3+956~K4+960</w:t>
            </w:r>
          </w:p>
        </w:tc>
        <w:tc>
          <w:tcPr>
            <w:tcW w:w="2925" w:type="dxa"/>
            <w:vAlign w:val="center"/>
          </w:tcPr>
          <w:p>
            <w:pPr>
              <w:pStyle w:val="112"/>
              <w:rPr>
                <w:kern w:val="2"/>
                <w:szCs w:val="21"/>
                <w:u w:val="single"/>
              </w:rPr>
            </w:pPr>
            <w:r>
              <w:rPr>
                <w:rFonts w:hint="eastAsia" w:hAnsi="宋体"/>
                <w:kern w:val="2"/>
                <w:szCs w:val="21"/>
                <w:u w:val="single"/>
              </w:rPr>
              <w:t>采用实测背景值</w:t>
            </w:r>
          </w:p>
        </w:tc>
        <w:tc>
          <w:tcPr>
            <w:tcW w:w="944" w:type="dxa"/>
            <w:vAlign w:val="center"/>
          </w:tcPr>
          <w:p>
            <w:pPr>
              <w:pStyle w:val="112"/>
              <w:rPr>
                <w:kern w:val="2"/>
                <w:szCs w:val="21"/>
                <w:u w:val="single"/>
              </w:rPr>
            </w:pPr>
            <w:r>
              <w:rPr>
                <w:kern w:val="2"/>
                <w:szCs w:val="21"/>
                <w:u w:val="single"/>
              </w:rPr>
              <w:t>59.3</w:t>
            </w:r>
          </w:p>
        </w:tc>
        <w:tc>
          <w:tcPr>
            <w:tcW w:w="944" w:type="dxa"/>
            <w:vAlign w:val="center"/>
          </w:tcPr>
          <w:p>
            <w:pPr>
              <w:pStyle w:val="112"/>
              <w:rPr>
                <w:kern w:val="2"/>
                <w:szCs w:val="21"/>
                <w:u w:val="single"/>
              </w:rPr>
            </w:pPr>
            <w:r>
              <w:rPr>
                <w:kern w:val="2"/>
                <w:szCs w:val="21"/>
                <w:u w:val="single"/>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 w:hRule="atLeast"/>
        </w:trPr>
        <w:tc>
          <w:tcPr>
            <w:tcW w:w="532" w:type="dxa"/>
            <w:vAlign w:val="center"/>
          </w:tcPr>
          <w:p>
            <w:pPr>
              <w:pStyle w:val="112"/>
              <w:rPr>
                <w:kern w:val="2"/>
                <w:szCs w:val="21"/>
                <w:u w:val="single"/>
              </w:rPr>
            </w:pPr>
            <w:r>
              <w:rPr>
                <w:kern w:val="2"/>
                <w:szCs w:val="21"/>
                <w:u w:val="single"/>
              </w:rPr>
              <w:t>4</w:t>
            </w:r>
          </w:p>
        </w:tc>
        <w:tc>
          <w:tcPr>
            <w:tcW w:w="711" w:type="dxa"/>
            <w:vMerge w:val="continue"/>
            <w:vAlign w:val="center"/>
          </w:tcPr>
          <w:p>
            <w:pPr>
              <w:jc w:val="center"/>
              <w:rPr>
                <w:sz w:val="21"/>
                <w:szCs w:val="21"/>
                <w:u w:val="single"/>
              </w:rPr>
            </w:pPr>
          </w:p>
        </w:tc>
        <w:tc>
          <w:tcPr>
            <w:tcW w:w="1700" w:type="dxa"/>
            <w:vAlign w:val="center"/>
          </w:tcPr>
          <w:p>
            <w:pPr>
              <w:pStyle w:val="3"/>
              <w:spacing w:line="240" w:lineRule="auto"/>
              <w:ind w:firstLine="0" w:firstLineChars="0"/>
              <w:jc w:val="center"/>
              <w:rPr>
                <w:sz w:val="21"/>
                <w:szCs w:val="21"/>
                <w:u w:val="single"/>
              </w:rPr>
            </w:pPr>
            <w:r>
              <w:rPr>
                <w:rFonts w:hint="eastAsia"/>
                <w:sz w:val="21"/>
                <w:szCs w:val="21"/>
                <w:u w:val="single"/>
              </w:rPr>
              <w:t>莲花村中学</w:t>
            </w:r>
          </w:p>
        </w:tc>
        <w:tc>
          <w:tcPr>
            <w:tcW w:w="1418" w:type="dxa"/>
            <w:vAlign w:val="center"/>
          </w:tcPr>
          <w:p>
            <w:pPr>
              <w:jc w:val="center"/>
              <w:rPr>
                <w:sz w:val="21"/>
                <w:szCs w:val="21"/>
                <w:u w:val="single"/>
              </w:rPr>
            </w:pPr>
            <w:r>
              <w:rPr>
                <w:sz w:val="18"/>
                <w:szCs w:val="18"/>
                <w:u w:val="single"/>
              </w:rPr>
              <w:t>K4+960~K7+190</w:t>
            </w:r>
          </w:p>
        </w:tc>
        <w:tc>
          <w:tcPr>
            <w:tcW w:w="2925" w:type="dxa"/>
            <w:vAlign w:val="center"/>
          </w:tcPr>
          <w:p>
            <w:pPr>
              <w:pStyle w:val="112"/>
              <w:rPr>
                <w:rFonts w:hAnsi="宋体"/>
                <w:kern w:val="2"/>
                <w:szCs w:val="21"/>
                <w:u w:val="single"/>
              </w:rPr>
            </w:pPr>
            <w:r>
              <w:rPr>
                <w:rFonts w:hint="eastAsia" w:hAnsi="宋体"/>
                <w:kern w:val="2"/>
                <w:szCs w:val="21"/>
                <w:u w:val="single"/>
              </w:rPr>
              <w:t>采用实测背景值</w:t>
            </w:r>
          </w:p>
        </w:tc>
        <w:tc>
          <w:tcPr>
            <w:tcW w:w="944" w:type="dxa"/>
            <w:vAlign w:val="center"/>
          </w:tcPr>
          <w:p>
            <w:pPr>
              <w:pStyle w:val="112"/>
              <w:rPr>
                <w:kern w:val="2"/>
                <w:szCs w:val="21"/>
                <w:u w:val="single"/>
              </w:rPr>
            </w:pPr>
            <w:r>
              <w:rPr>
                <w:kern w:val="2"/>
                <w:szCs w:val="21"/>
                <w:u w:val="single"/>
              </w:rPr>
              <w:t>58.2</w:t>
            </w:r>
          </w:p>
        </w:tc>
        <w:tc>
          <w:tcPr>
            <w:tcW w:w="944" w:type="dxa"/>
            <w:vAlign w:val="center"/>
          </w:tcPr>
          <w:p>
            <w:pPr>
              <w:pStyle w:val="112"/>
              <w:rPr>
                <w:kern w:val="2"/>
                <w:szCs w:val="21"/>
                <w:u w:val="single"/>
              </w:rPr>
            </w:pPr>
            <w:r>
              <w:rPr>
                <w:kern w:val="2"/>
                <w:szCs w:val="21"/>
                <w:u w:val="single"/>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532" w:type="dxa"/>
            <w:vAlign w:val="center"/>
          </w:tcPr>
          <w:p>
            <w:pPr>
              <w:pStyle w:val="112"/>
              <w:rPr>
                <w:kern w:val="2"/>
                <w:szCs w:val="21"/>
                <w:u w:val="single"/>
              </w:rPr>
            </w:pPr>
            <w:r>
              <w:rPr>
                <w:kern w:val="2"/>
                <w:szCs w:val="21"/>
                <w:u w:val="single"/>
              </w:rPr>
              <w:t>5</w:t>
            </w:r>
          </w:p>
        </w:tc>
        <w:tc>
          <w:tcPr>
            <w:tcW w:w="711" w:type="dxa"/>
            <w:vMerge w:val="continue"/>
            <w:vAlign w:val="center"/>
          </w:tcPr>
          <w:p>
            <w:pPr>
              <w:jc w:val="center"/>
              <w:rPr>
                <w:sz w:val="21"/>
                <w:szCs w:val="21"/>
                <w:u w:val="single"/>
              </w:rPr>
            </w:pPr>
          </w:p>
        </w:tc>
        <w:tc>
          <w:tcPr>
            <w:tcW w:w="1700" w:type="dxa"/>
            <w:vAlign w:val="center"/>
          </w:tcPr>
          <w:p>
            <w:pPr>
              <w:jc w:val="center"/>
              <w:rPr>
                <w:sz w:val="21"/>
                <w:szCs w:val="21"/>
                <w:u w:val="single"/>
              </w:rPr>
            </w:pPr>
            <w:r>
              <w:rPr>
                <w:rFonts w:hint="eastAsia"/>
                <w:sz w:val="21"/>
                <w:szCs w:val="21"/>
                <w:u w:val="single"/>
              </w:rPr>
              <w:t>大里塘村居民点</w:t>
            </w:r>
          </w:p>
        </w:tc>
        <w:tc>
          <w:tcPr>
            <w:tcW w:w="1418" w:type="dxa"/>
            <w:vAlign w:val="center"/>
          </w:tcPr>
          <w:p>
            <w:pPr>
              <w:jc w:val="center"/>
              <w:rPr>
                <w:sz w:val="21"/>
                <w:szCs w:val="21"/>
                <w:u w:val="single"/>
              </w:rPr>
            </w:pPr>
            <w:r>
              <w:rPr>
                <w:sz w:val="18"/>
                <w:szCs w:val="18"/>
                <w:u w:val="single"/>
              </w:rPr>
              <w:t>K7+190~K8+369</w:t>
            </w:r>
          </w:p>
        </w:tc>
        <w:tc>
          <w:tcPr>
            <w:tcW w:w="2925" w:type="dxa"/>
            <w:vAlign w:val="center"/>
          </w:tcPr>
          <w:p>
            <w:pPr>
              <w:pStyle w:val="112"/>
              <w:rPr>
                <w:kern w:val="2"/>
                <w:szCs w:val="21"/>
                <w:u w:val="single"/>
              </w:rPr>
            </w:pPr>
            <w:r>
              <w:rPr>
                <w:rFonts w:hint="eastAsia" w:hAnsi="宋体"/>
                <w:kern w:val="2"/>
                <w:szCs w:val="21"/>
                <w:u w:val="single"/>
              </w:rPr>
              <w:t>采用实测背景值</w:t>
            </w:r>
          </w:p>
        </w:tc>
        <w:tc>
          <w:tcPr>
            <w:tcW w:w="944" w:type="dxa"/>
            <w:vAlign w:val="center"/>
          </w:tcPr>
          <w:p>
            <w:pPr>
              <w:pStyle w:val="112"/>
              <w:rPr>
                <w:kern w:val="2"/>
                <w:szCs w:val="21"/>
                <w:u w:val="single"/>
              </w:rPr>
            </w:pPr>
            <w:r>
              <w:rPr>
                <w:kern w:val="2"/>
                <w:szCs w:val="21"/>
                <w:u w:val="single"/>
              </w:rPr>
              <w:t>59.5</w:t>
            </w:r>
          </w:p>
        </w:tc>
        <w:tc>
          <w:tcPr>
            <w:tcW w:w="944" w:type="dxa"/>
            <w:vAlign w:val="center"/>
          </w:tcPr>
          <w:p>
            <w:pPr>
              <w:pStyle w:val="112"/>
              <w:rPr>
                <w:kern w:val="2"/>
                <w:szCs w:val="21"/>
                <w:u w:val="single"/>
              </w:rPr>
            </w:pPr>
            <w:r>
              <w:rPr>
                <w:kern w:val="2"/>
                <w:szCs w:val="21"/>
                <w:u w:val="single"/>
              </w:rPr>
              <w:t>49.2</w:t>
            </w:r>
          </w:p>
        </w:tc>
      </w:tr>
    </w:tbl>
    <w:p>
      <w:pPr>
        <w:pStyle w:val="3"/>
        <w:ind w:firstLine="31680"/>
        <w:rPr>
          <w:u w:val="single"/>
        </w:rPr>
      </w:pPr>
      <w:r>
        <w:rPr>
          <w:rFonts w:hint="eastAsia"/>
          <w:u w:val="single"/>
        </w:rPr>
        <w:t>从敏感点预测结果可以得出：</w:t>
      </w:r>
    </w:p>
    <w:p>
      <w:pPr>
        <w:pStyle w:val="3"/>
        <w:ind w:firstLine="31680"/>
        <w:rPr>
          <w:u w:val="single"/>
        </w:rPr>
      </w:pPr>
      <w:r>
        <w:rPr>
          <w:u w:val="single"/>
        </w:rPr>
        <w:t>1</w:t>
      </w:r>
      <w:r>
        <w:rPr>
          <w:rFonts w:hint="eastAsia"/>
          <w:u w:val="single"/>
        </w:rPr>
        <w:t>）本公路建成通车后，随着交通量的增加，交通噪声增大，随着距离公路中心线距离的增远，交通噪声逐渐减小，对环境的影响减小。</w:t>
      </w:r>
    </w:p>
    <w:p>
      <w:pPr>
        <w:pStyle w:val="3"/>
        <w:ind w:firstLine="31680"/>
        <w:rPr>
          <w:u w:val="single"/>
        </w:rPr>
      </w:pPr>
      <w:r>
        <w:rPr>
          <w:u w:val="single"/>
        </w:rPr>
        <w:t>2</w:t>
      </w:r>
      <w:r>
        <w:rPr>
          <w:rFonts w:hint="eastAsia"/>
          <w:u w:val="single"/>
        </w:rPr>
        <w:t>）营运期叠加背景值后，</w:t>
      </w:r>
      <w:r>
        <w:rPr>
          <w:rFonts w:hint="eastAsia"/>
          <w:u w:val="single"/>
          <w:lang w:val="en-US" w:eastAsia="zh-CN"/>
        </w:rPr>
        <w:t>受交通噪声的影响，铜盆村居民点中期夜间超标0.87</w:t>
      </w:r>
      <w:r>
        <w:rPr>
          <w:rFonts w:hAnsi="宋体"/>
          <w:kern w:val="2"/>
          <w:szCs w:val="21"/>
          <w:u w:val="single"/>
        </w:rPr>
        <w:t>dB</w:t>
      </w:r>
      <w:r>
        <w:rPr>
          <w:rFonts w:hint="eastAsia" w:hAnsi="宋体"/>
          <w:kern w:val="2"/>
          <w:szCs w:val="21"/>
          <w:u w:val="single"/>
        </w:rPr>
        <w:t>（</w:t>
      </w:r>
      <w:r>
        <w:rPr>
          <w:rFonts w:hAnsi="宋体"/>
          <w:kern w:val="2"/>
          <w:szCs w:val="21"/>
          <w:u w:val="single"/>
        </w:rPr>
        <w:t>A</w:t>
      </w:r>
      <w:r>
        <w:rPr>
          <w:rFonts w:hint="eastAsia" w:hAnsi="宋体"/>
          <w:kern w:val="2"/>
          <w:szCs w:val="21"/>
          <w:u w:val="single"/>
        </w:rPr>
        <w:t>）</w:t>
      </w:r>
      <w:r>
        <w:rPr>
          <w:rFonts w:hint="eastAsia"/>
          <w:u w:val="single"/>
          <w:lang w:eastAsia="zh-CN"/>
        </w:rPr>
        <w:t>，</w:t>
      </w:r>
      <w:r>
        <w:rPr>
          <w:rFonts w:hint="eastAsia"/>
          <w:u w:val="single"/>
          <w:lang w:val="en-US" w:eastAsia="zh-CN"/>
        </w:rPr>
        <w:t>远期夜间超标2.72</w:t>
      </w:r>
      <w:r>
        <w:rPr>
          <w:rFonts w:hAnsi="宋体"/>
          <w:kern w:val="2"/>
          <w:szCs w:val="21"/>
          <w:u w:val="single"/>
        </w:rPr>
        <w:t>dB</w:t>
      </w:r>
      <w:r>
        <w:rPr>
          <w:rFonts w:hint="eastAsia" w:hAnsi="宋体"/>
          <w:kern w:val="2"/>
          <w:szCs w:val="21"/>
          <w:u w:val="single"/>
        </w:rPr>
        <w:t>（</w:t>
      </w:r>
      <w:r>
        <w:rPr>
          <w:rFonts w:hAnsi="宋体"/>
          <w:kern w:val="2"/>
          <w:szCs w:val="21"/>
          <w:u w:val="single"/>
        </w:rPr>
        <w:t>A</w:t>
      </w:r>
      <w:r>
        <w:rPr>
          <w:rFonts w:hint="eastAsia" w:hAnsi="宋体"/>
          <w:kern w:val="2"/>
          <w:szCs w:val="21"/>
          <w:u w:val="single"/>
        </w:rPr>
        <w:t>）</w:t>
      </w:r>
      <w:r>
        <w:rPr>
          <w:rFonts w:hint="eastAsia" w:hAnsi="宋体"/>
          <w:kern w:val="2"/>
          <w:szCs w:val="21"/>
          <w:u w:val="single"/>
          <w:lang w:eastAsia="zh-CN"/>
        </w:rPr>
        <w:t>，</w:t>
      </w:r>
      <w:r>
        <w:rPr>
          <w:rFonts w:hint="eastAsia" w:hAnsi="宋体"/>
          <w:kern w:val="2"/>
          <w:szCs w:val="21"/>
          <w:u w:val="single"/>
          <w:lang w:val="en-US" w:eastAsia="zh-CN"/>
        </w:rPr>
        <w:t>桃花村中期夜间超标0.55</w:t>
      </w:r>
      <w:r>
        <w:rPr>
          <w:rFonts w:hAnsi="宋体"/>
          <w:kern w:val="2"/>
          <w:szCs w:val="21"/>
          <w:u w:val="single"/>
        </w:rPr>
        <w:t>dB</w:t>
      </w:r>
      <w:r>
        <w:rPr>
          <w:rFonts w:hint="eastAsia" w:hAnsi="宋体"/>
          <w:kern w:val="2"/>
          <w:szCs w:val="21"/>
          <w:u w:val="single"/>
        </w:rPr>
        <w:t>（</w:t>
      </w:r>
      <w:r>
        <w:rPr>
          <w:rFonts w:hAnsi="宋体"/>
          <w:kern w:val="2"/>
          <w:szCs w:val="21"/>
          <w:u w:val="single"/>
        </w:rPr>
        <w:t>A</w:t>
      </w:r>
      <w:r>
        <w:rPr>
          <w:rFonts w:hint="eastAsia" w:hAnsi="宋体"/>
          <w:kern w:val="2"/>
          <w:szCs w:val="21"/>
          <w:u w:val="single"/>
        </w:rPr>
        <w:t>）</w:t>
      </w:r>
      <w:r>
        <w:rPr>
          <w:rFonts w:hint="eastAsia" w:hAnsi="宋体"/>
          <w:kern w:val="2"/>
          <w:szCs w:val="21"/>
          <w:u w:val="single"/>
          <w:lang w:eastAsia="zh-CN"/>
        </w:rPr>
        <w:t>，</w:t>
      </w:r>
      <w:r>
        <w:rPr>
          <w:rFonts w:hint="eastAsia" w:hAnsi="宋体"/>
          <w:kern w:val="2"/>
          <w:szCs w:val="21"/>
          <w:u w:val="single"/>
          <w:lang w:val="en-US" w:eastAsia="zh-CN"/>
        </w:rPr>
        <w:t>远期夜间超标2.52</w:t>
      </w:r>
      <w:r>
        <w:rPr>
          <w:rFonts w:hAnsi="宋体"/>
          <w:kern w:val="2"/>
          <w:szCs w:val="21"/>
          <w:u w:val="single"/>
        </w:rPr>
        <w:t>dB</w:t>
      </w:r>
      <w:r>
        <w:rPr>
          <w:rFonts w:hint="eastAsia" w:hAnsi="宋体"/>
          <w:kern w:val="2"/>
          <w:szCs w:val="21"/>
          <w:u w:val="single"/>
        </w:rPr>
        <w:t>（</w:t>
      </w:r>
      <w:r>
        <w:rPr>
          <w:rFonts w:hAnsi="宋体"/>
          <w:kern w:val="2"/>
          <w:szCs w:val="21"/>
          <w:u w:val="single"/>
        </w:rPr>
        <w:t>A</w:t>
      </w:r>
      <w:r>
        <w:rPr>
          <w:rFonts w:hint="eastAsia" w:hAnsi="宋体"/>
          <w:kern w:val="2"/>
          <w:szCs w:val="21"/>
          <w:u w:val="single"/>
        </w:rPr>
        <w:t>）</w:t>
      </w:r>
      <w:r>
        <w:rPr>
          <w:rFonts w:hint="eastAsia" w:hAnsi="宋体"/>
          <w:kern w:val="2"/>
          <w:szCs w:val="21"/>
          <w:u w:val="single"/>
          <w:lang w:eastAsia="zh-CN"/>
        </w:rPr>
        <w:t>，</w:t>
      </w:r>
      <w:r>
        <w:rPr>
          <w:rFonts w:hint="eastAsia" w:hAnsi="宋体"/>
          <w:kern w:val="2"/>
          <w:szCs w:val="21"/>
          <w:u w:val="single"/>
          <w:lang w:val="en-US" w:eastAsia="zh-CN"/>
        </w:rPr>
        <w:t>大陆村居民点中期夜间超标0.4</w:t>
      </w:r>
      <w:r>
        <w:rPr>
          <w:rFonts w:hAnsi="宋体"/>
          <w:kern w:val="2"/>
          <w:szCs w:val="21"/>
          <w:u w:val="single"/>
        </w:rPr>
        <w:t>dB</w:t>
      </w:r>
      <w:r>
        <w:rPr>
          <w:rFonts w:hint="eastAsia" w:hAnsi="宋体"/>
          <w:kern w:val="2"/>
          <w:szCs w:val="21"/>
          <w:u w:val="single"/>
        </w:rPr>
        <w:t>（</w:t>
      </w:r>
      <w:r>
        <w:rPr>
          <w:rFonts w:hAnsi="宋体"/>
          <w:kern w:val="2"/>
          <w:szCs w:val="21"/>
          <w:u w:val="single"/>
        </w:rPr>
        <w:t>A</w:t>
      </w:r>
      <w:r>
        <w:rPr>
          <w:rFonts w:hint="eastAsia" w:hAnsi="宋体"/>
          <w:kern w:val="2"/>
          <w:szCs w:val="21"/>
          <w:u w:val="single"/>
        </w:rPr>
        <w:t>）</w:t>
      </w:r>
      <w:r>
        <w:rPr>
          <w:rFonts w:hint="eastAsia" w:hAnsi="宋体"/>
          <w:kern w:val="2"/>
          <w:szCs w:val="21"/>
          <w:u w:val="single"/>
          <w:lang w:eastAsia="zh-CN"/>
        </w:rPr>
        <w:t>，</w:t>
      </w:r>
      <w:r>
        <w:rPr>
          <w:rFonts w:hint="eastAsia" w:hAnsi="宋体"/>
          <w:kern w:val="2"/>
          <w:szCs w:val="21"/>
          <w:u w:val="single"/>
          <w:lang w:val="en-US" w:eastAsia="zh-CN"/>
        </w:rPr>
        <w:t>远期夜间超标2.25</w:t>
      </w:r>
      <w:r>
        <w:rPr>
          <w:rFonts w:hAnsi="宋体"/>
          <w:kern w:val="2"/>
          <w:szCs w:val="21"/>
          <w:u w:val="single"/>
        </w:rPr>
        <w:t>dB</w:t>
      </w:r>
      <w:r>
        <w:rPr>
          <w:rFonts w:hint="eastAsia" w:hAnsi="宋体"/>
          <w:kern w:val="2"/>
          <w:szCs w:val="21"/>
          <w:u w:val="single"/>
        </w:rPr>
        <w:t>（</w:t>
      </w:r>
      <w:r>
        <w:rPr>
          <w:rFonts w:hAnsi="宋体"/>
          <w:kern w:val="2"/>
          <w:szCs w:val="21"/>
          <w:u w:val="single"/>
        </w:rPr>
        <w:t>A</w:t>
      </w:r>
      <w:r>
        <w:rPr>
          <w:rFonts w:hint="eastAsia" w:hAnsi="宋体"/>
          <w:kern w:val="2"/>
          <w:szCs w:val="21"/>
          <w:u w:val="single"/>
        </w:rPr>
        <w:t>）</w:t>
      </w:r>
      <w:r>
        <w:rPr>
          <w:rFonts w:hint="eastAsia" w:hAnsi="宋体"/>
          <w:kern w:val="2"/>
          <w:szCs w:val="21"/>
          <w:u w:val="single"/>
          <w:lang w:eastAsia="zh-CN"/>
        </w:rPr>
        <w:t>，</w:t>
      </w:r>
      <w:r>
        <w:rPr>
          <w:rFonts w:hint="eastAsia" w:hAnsi="宋体"/>
          <w:kern w:val="2"/>
          <w:szCs w:val="21"/>
          <w:u w:val="single"/>
          <w:lang w:val="en-US" w:eastAsia="zh-CN"/>
        </w:rPr>
        <w:t>莲花村中期夜间超标0.2</w:t>
      </w:r>
      <w:r>
        <w:rPr>
          <w:rFonts w:hAnsi="宋体"/>
          <w:kern w:val="2"/>
          <w:szCs w:val="21"/>
          <w:u w:val="single"/>
        </w:rPr>
        <w:t>dB</w:t>
      </w:r>
      <w:r>
        <w:rPr>
          <w:rFonts w:hint="eastAsia" w:hAnsi="宋体"/>
          <w:kern w:val="2"/>
          <w:szCs w:val="21"/>
          <w:u w:val="single"/>
        </w:rPr>
        <w:t>（</w:t>
      </w:r>
      <w:r>
        <w:rPr>
          <w:rFonts w:hAnsi="宋体"/>
          <w:kern w:val="2"/>
          <w:szCs w:val="21"/>
          <w:u w:val="single"/>
        </w:rPr>
        <w:t>A</w:t>
      </w:r>
      <w:r>
        <w:rPr>
          <w:rFonts w:hint="eastAsia" w:hAnsi="宋体"/>
          <w:kern w:val="2"/>
          <w:szCs w:val="21"/>
          <w:u w:val="single"/>
        </w:rPr>
        <w:t>）</w:t>
      </w:r>
      <w:r>
        <w:rPr>
          <w:rFonts w:hint="eastAsia" w:hAnsi="宋体"/>
          <w:kern w:val="2"/>
          <w:szCs w:val="21"/>
          <w:u w:val="single"/>
          <w:lang w:eastAsia="zh-CN"/>
        </w:rPr>
        <w:t>，</w:t>
      </w:r>
      <w:r>
        <w:rPr>
          <w:rFonts w:hint="eastAsia" w:hAnsi="宋体"/>
          <w:kern w:val="2"/>
          <w:szCs w:val="21"/>
          <w:u w:val="single"/>
          <w:lang w:val="en-US" w:eastAsia="zh-CN"/>
        </w:rPr>
        <w:t>远期夜间超标1.11</w:t>
      </w:r>
      <w:r>
        <w:rPr>
          <w:rFonts w:hAnsi="宋体"/>
          <w:kern w:val="2"/>
          <w:szCs w:val="21"/>
          <w:u w:val="single"/>
        </w:rPr>
        <w:t>dB</w:t>
      </w:r>
      <w:r>
        <w:rPr>
          <w:rFonts w:hint="eastAsia" w:hAnsi="宋体"/>
          <w:kern w:val="2"/>
          <w:szCs w:val="21"/>
          <w:u w:val="single"/>
        </w:rPr>
        <w:t>（</w:t>
      </w:r>
      <w:r>
        <w:rPr>
          <w:rFonts w:hAnsi="宋体"/>
          <w:kern w:val="2"/>
          <w:szCs w:val="21"/>
          <w:u w:val="single"/>
        </w:rPr>
        <w:t>A</w:t>
      </w:r>
      <w:r>
        <w:rPr>
          <w:rFonts w:hint="eastAsia" w:hAnsi="宋体"/>
          <w:kern w:val="2"/>
          <w:szCs w:val="21"/>
          <w:u w:val="single"/>
        </w:rPr>
        <w:t>）</w:t>
      </w:r>
      <w:r>
        <w:rPr>
          <w:rFonts w:hint="eastAsia" w:hAnsi="宋体"/>
          <w:kern w:val="2"/>
          <w:szCs w:val="21"/>
          <w:u w:val="single"/>
          <w:lang w:eastAsia="zh-CN"/>
        </w:rPr>
        <w:t>，</w:t>
      </w:r>
      <w:r>
        <w:rPr>
          <w:rFonts w:hint="eastAsia" w:hAnsi="宋体"/>
          <w:kern w:val="2"/>
          <w:szCs w:val="21"/>
          <w:u w:val="single"/>
          <w:lang w:val="en-US" w:eastAsia="zh-CN"/>
        </w:rPr>
        <w:t>大里塘村远期夜间超标0.94</w:t>
      </w:r>
      <w:r>
        <w:rPr>
          <w:rFonts w:hAnsi="宋体"/>
          <w:kern w:val="2"/>
          <w:szCs w:val="21"/>
          <w:u w:val="single"/>
        </w:rPr>
        <w:t>dB</w:t>
      </w:r>
      <w:r>
        <w:rPr>
          <w:rFonts w:hint="eastAsia" w:hAnsi="宋体"/>
          <w:kern w:val="2"/>
          <w:szCs w:val="21"/>
          <w:u w:val="single"/>
        </w:rPr>
        <w:t>（</w:t>
      </w:r>
      <w:r>
        <w:rPr>
          <w:rFonts w:hAnsi="宋体"/>
          <w:kern w:val="2"/>
          <w:szCs w:val="21"/>
          <w:u w:val="single"/>
        </w:rPr>
        <w:t>A</w:t>
      </w:r>
      <w:r>
        <w:rPr>
          <w:rFonts w:hint="eastAsia" w:hAnsi="宋体"/>
          <w:kern w:val="2"/>
          <w:szCs w:val="21"/>
          <w:u w:val="single"/>
        </w:rPr>
        <w:t>）</w:t>
      </w:r>
      <w:r>
        <w:rPr>
          <w:rFonts w:hint="eastAsia" w:hAnsi="宋体"/>
          <w:kern w:val="2"/>
          <w:szCs w:val="21"/>
          <w:u w:val="single"/>
          <w:lang w:val="en-US" w:eastAsia="zh-CN"/>
        </w:rPr>
        <w:t>。本报告针对上述噪声超标敏感点及其环境特点，提出降噪措施，详见表7.1-9。</w:t>
      </w:r>
    </w:p>
    <w:p>
      <w:pPr>
        <w:pStyle w:val="3"/>
        <w:ind w:firstLine="31680"/>
        <w:jc w:val="left"/>
        <w:rPr>
          <w:color w:val="000000"/>
          <w:u w:val="single"/>
        </w:rPr>
      </w:pPr>
      <w:r>
        <w:rPr>
          <w:rFonts w:hint="eastAsia"/>
          <w:color w:val="000000"/>
          <w:u w:val="single"/>
        </w:rPr>
        <w:t>根据推荐线各段路况以及各敏感点预测结果，本项目选取以弼时镇桃花村</w:t>
      </w:r>
      <w:r>
        <w:rPr>
          <w:rFonts w:hint="eastAsia"/>
          <w:color w:val="000000"/>
          <w:szCs w:val="24"/>
          <w:u w:val="single"/>
        </w:rPr>
        <w:t>居民点作为典型敏感路段，其远期昼夜</w:t>
      </w:r>
      <w:r>
        <w:rPr>
          <w:rFonts w:hint="eastAsia"/>
          <w:color w:val="000000"/>
          <w:u w:val="single"/>
        </w:rPr>
        <w:t>等声级线见图</w:t>
      </w:r>
      <w:r>
        <w:rPr>
          <w:color w:val="000000"/>
          <w:u w:val="single"/>
        </w:rPr>
        <w:t>7.1-4~7.1-5</w:t>
      </w:r>
      <w:r>
        <w:rPr>
          <w:rFonts w:hint="eastAsia"/>
          <w:color w:val="000000"/>
          <w:u w:val="single"/>
        </w:rPr>
        <w:t>。</w:t>
      </w:r>
    </w:p>
    <w:p>
      <w:pPr>
        <w:pStyle w:val="3"/>
        <w:ind w:firstLine="0" w:firstLineChars="0"/>
        <w:jc w:val="left"/>
        <w:rPr>
          <w:u w:val="single"/>
        </w:rPr>
      </w:pPr>
      <w:r>
        <w:rPr>
          <w:u w:val="single"/>
        </w:rPr>
        <w:pict>
          <v:shape id="_x0000_s1062" o:spid="_x0000_s1062" o:spt="109" type="#_x0000_t109" style="position:absolute;left:0pt;margin-left:0.2pt;margin-top:242.05pt;height:18.6pt;width:39.8pt;z-index:25167155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DmQIAADsFAAAOAAAAZHJzL2Uyb0RvYy54bWysVNtuGyEQfa/Uf0C8O3vJ+rKrrKM0qatK&#10;aRsp7QdgYL2oLFDAXqdV/70D2IndvlRV94FlGDgzZzjD1fV+kGjHrRNatbi4yDHiimom1KbFXz6v&#10;JguMnCeKEakVb/ETd/h6+frV1WgaXupeS8YtAhDlmtG0uPfeNFnmaM8H4i604QqcnbYD8WDaTcYs&#10;GQF9kFmZ57Ns1JYZqyl3DlbvkhMvI37Xceo/dZ3jHskWQ24+jjaO6zBmyyvSbCwxvaCHNMg/ZDEQ&#10;oSDoM9Qd8QRtrfgDahDUaqc7f0H1kOmuE5RHDsCmyH9j89gTwyMXKI4zz2Vy/w+Wftw9WCRYi8u8&#10;wkiRAS7pZut1jI3Ky1ii0bgGdj6aBxtIOnOv6VeHlL7tidrwG2v12HPCILEilDQ7OxAMB0fRevyg&#10;GeATwI/V2nd2CIBQB7SPl/L0fCl87xGFxSKvp5fzKUYUfNViVhUxpYw0x9PGOv+O6wGFSYs7qUfI&#10;y/qHJIsYiezunQ+Zkea4PTLRUrCVkDIadrO+lRbtCIhlFb90VpqepNVjaJe2Rjx3iiFVQFI6YKZw&#10;aQXYQALBF3hFZfyoi7LK35T1ZDVbzCfVqppO6nm+mORF/aae5VVd3a1+hgyKqukFY1zdC8WPKi2q&#10;v1PBoV+SvqJO0djielpOI7mz7A+0ziqQWJxtG4SHppViaPEiD19qo6CAt4rBAdJ4ImSaZ+fpx5JB&#10;DY7/WJWolyCR0Leu8fv1PmlyHpDD0lqzJ1CQ1XDB0Mfw4sCk1/Y7RiN0b4vdty2xHCP5XoEK66Kq&#10;QrtHo5rOSzDsqWd96iGKAlSLPUZpeuvTE7E1Vmx6iFTEWikdOqMTUUgvWQGVYECHRlKH1yQ8Aad2&#10;3PXy5i1/AQAA//8DAFBLAwQUAAYACAAAACEAp2iubOAAAAALAQAADwAAAGRycy9kb3ducmV2Lnht&#10;bEyPy07DMBBF90j8gzVIbFBrN82jDXEqRMWCJQF17SbTJKo9jmy3DX+PWcFydI/uPVPtZqPZFZ0f&#10;LUlYLQUwpNZ2I/USvj7fFhtgPijqlLaEEr7Rw66+v6tU2dkbfeC1CT2LJeRLJWEIYSo59+2ARvml&#10;nZBidrLOqBBP1/POqVssN5onQuTcqJHiwqAmfB2wPTcXE0eadI8ie9IHPqz228KdD/QupHx8mF+e&#10;gQWcwx8Mv/pRHerodLQX6jzTEvJCFBGVkOTZFlgkNuk6AXaUsE6TDHhd8f8/1D8AAAD//wMAUEsB&#10;Ai0AFAAGAAgAAAAhALaDOJL+AAAA4QEAABMAAAAAAAAAAAAAAAAAAAAAAFtDb250ZW50X1R5cGVz&#10;XS54bWxQSwECLQAUAAYACAAAACEAOP0h/9YAAACUAQAACwAAAAAAAAAAAAAAAAAvAQAAX3JlbHMv&#10;LnJlbHNQSwECLQAUAAYACAAAACEADhv7Q5kCAAA7BQAADgAAAAAAAAAAAAAAAAAuAgAAZHJzL2Uy&#10;b0RvYy54bWxQSwECLQAUAAYACAAAACEAp2iubOAAAAALAQAADwAAAAAAAAAAAAAAAADzBAAAZHJz&#10;L2Rvd25yZXYueG1sUEsFBgAAAAAEAAQA8wAAAAAGAAAAAA==&#10;">
            <v:path/>
            <v:fill opacity="0f" focussize="0,0"/>
            <v:stroke on="f" joinstyle="miter"/>
            <v:imagedata o:title=""/>
            <o:lock v:ext="edit"/>
            <v:textbox>
              <w:txbxContent>
                <w:p>
                  <w:pPr>
                    <w:jc w:val="center"/>
                    <w:rPr>
                      <w:b/>
                      <w:color w:val="000000"/>
                      <w:sz w:val="21"/>
                      <w:szCs w:val="21"/>
                    </w:rPr>
                  </w:pPr>
                  <w:r>
                    <w:rPr>
                      <w:b/>
                      <w:color w:val="000000"/>
                      <w:sz w:val="21"/>
                      <w:szCs w:val="21"/>
                    </w:rPr>
                    <w:t>100m</w:t>
                  </w:r>
                </w:p>
              </w:txbxContent>
            </v:textbox>
          </v:shape>
        </w:pict>
      </w:r>
      <w:r>
        <w:rPr>
          <w:u w:val="single"/>
        </w:rPr>
        <w:pict>
          <v:line id="_x0000_s1063" o:spid="_x0000_s1063" o:spt="20" style="position:absolute;left:0pt;flip:y;margin-left:5.1pt;margin-top:256.8pt;height:2.85pt;width:0.05pt;z-index:251674624;mso-width-relative:page;mso-height-relative:page;" filled="t" coordsize="21600,21600">
            <v:path arrowok="t"/>
            <v:fill on="t" focussize="0,0"/>
            <v:stroke weight="1.5pt"/>
            <v:imagedata o:title=""/>
            <o:lock v:ext="edit"/>
          </v:line>
        </w:pict>
      </w:r>
      <w:r>
        <w:rPr>
          <w:u w:val="single"/>
        </w:rPr>
        <w:pict>
          <v:line id="_x0000_s1064" o:spid="_x0000_s1064" o:spt="20" style="position:absolute;left:0pt;flip:y;margin-left:51.55pt;margin-top:256pt;height:2.85pt;width:0.05pt;z-index:251673600;mso-width-relative:page;mso-height-relative:page;" filled="t" coordsize="21600,21600">
            <v:path arrowok="t"/>
            <v:fill on="t" focussize="0,0"/>
            <v:stroke weight="1.5pt"/>
            <v:imagedata o:title=""/>
            <o:lock v:ext="edit"/>
          </v:line>
        </w:pict>
      </w:r>
      <w:r>
        <w:rPr>
          <w:u w:val="single"/>
        </w:rPr>
        <w:pict>
          <v:shape id="_x0000_i1074" o:spt="75" type="#_x0000_t75" style="height:263.25pt;width:444pt;" filled="f" o:preferrelative="t" stroked="f" coordsize="21600,21600">
            <v:path/>
            <v:fill on="f" focussize="0,0"/>
            <v:stroke on="f" joinstyle="miter"/>
            <v:imagedata r:id="rId53" croptop="1841f" cropbottom="6396f" o:title=""/>
            <o:lock v:ext="edit" aspectratio="t"/>
            <w10:wrap type="none"/>
            <w10:anchorlock/>
          </v:shape>
        </w:pict>
      </w:r>
      <w:r>
        <w:rPr>
          <w:u w:val="single"/>
        </w:rPr>
        <w:pict>
          <v:line id="_x0000_s1065" o:spid="_x0000_s1065" o:spt="20" style="position:absolute;left:0pt;flip:y;margin-left:4.6pt;margin-top:259.2pt;height:0.5pt;width:47.8pt;z-index:251672576;mso-width-relative:page;mso-height-relative:page;" filled="t" coordsize="21600,21600">
            <v:path arrowok="t"/>
            <v:fill on="t" focussize="0,0"/>
            <v:stroke weight="1.5pt"/>
            <v:imagedata o:title=""/>
            <o:lock v:ext="edit"/>
          </v:line>
        </w:pict>
      </w:r>
      <w:r>
        <w:rPr>
          <w:u w:val="single"/>
        </w:rPr>
        <w:pict>
          <v:shape id="AutoShape 226" o:spid="_x0000_s1066" style="position:absolute;left:0pt;margin-left:190pt;margin-top:134.35pt;height:10.45pt;width:16.05pt;z-index:251655168;mso-width-relative:page;mso-height-relative:page;" fillcolor="#00B0F0" filled="t" coordsize="20383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LMJgIAAEAEAAAOAAAAZHJzL2Uyb0RvYy54bWysU9tu2zAMfR+wfxD0vviSpE2NOEWXLsOA&#10;bivQ7QMUWY6F6TZKidN9fSnZzZLtbZgfBNGkDsnDw+XtUStyEOClNTUtJjklwnDbSLOr6fdvm3cL&#10;SnxgpmHKGlHTZ+Hp7ertm2XvKlHazqpGAEEQ46ve1bQLwVVZ5nknNPMT64RBZ2tBs4Am7LIGWI/o&#10;WmVlnl9lvYXGgeXCe/x7PzjpKuG3reDha9t6EYiqKdYW0gnp3MYzWy1ZtQPmOsnHMtg/VKGZNJj0&#10;BHXPAiN7kH9BacnBetuGCbc6s20ruUg9YDdF/kc3Tx1zIvWC5Hh3osn/P1j+5fAIRDY1LQvkxzCN&#10;Q7rbB5tyk7K8ihT1zlcY+eQeITbp3YPlPzwxdt0xsxN3ALbvBGuwsCLGZxcPouHxKdn2n22D+Azx&#10;E1vHFnQERB7IMQ3l+TQUcQyE488yny6mc0o4uoppeV3MUwZWvT524MNHYTWJl5qi2mCe0NnhwYdY&#10;DateY1L1VslmI5VKBuy2awXkwKJA8vf5JmkCn/jzMGVIX9ObeTkgX/j8JUSO31jhRZiWAZWupK7p&#10;IsaM2ou0fTBN0mFgUg13zK/MyGOkbhjB1jbPSCPYQca4dnjpLPyipEcJY+8/9wwEJeqTwVHcFLNZ&#10;1HwyZvPrEg0492zPPcxwhKppoGS4rsOwJ3sHctdhpiKxamyURysTs3G0Q1VjsSjTRPi4UnEPzu0U&#10;9XvxVy8AAAD//wMAUEsDBBQABgAIAAAAIQAiLh/S4AAAAAsBAAAPAAAAZHJzL2Rvd25yZXYueG1s&#10;TI/PToQwEIfvJr5DMyZejFsERETKZuPGxMSDcfEBunQEsnRKaGHx7R1Peps/X37zTbld7SAWnHzv&#10;SMHdJgKB1DjTU6vgs365zUH4oMnowREq+EYP2+ryotSFcWf6wOUQWsEh5AutoAthLKT0TYdW+40b&#10;kXj35SarA7dTK82kzxxuBxlHUSat7okvdHrE5w6b02G2Cm4a87rUpz7J3992yb6e98mY1kpdX627&#10;JxAB1/AHw68+q0PFTkc3k/FiUJAm9zGjCuI0T0AwkWYPXBx5kj3GIKtS/v+h+gEAAP//AwBQSwEC&#10;LQAUAAYACAAAACEAtoM4kv4AAADhAQAAEwAAAAAAAAAAAAAAAAAAAAAAW0NvbnRlbnRfVHlwZXNd&#10;LnhtbFBLAQItABQABgAIAAAAIQA4/SH/1gAAAJQBAAALAAAAAAAAAAAAAAAAAC8BAABfcmVscy8u&#10;cmVsc1BLAQItABQABgAIAAAAIQCT7fLMJgIAAEAEAAAOAAAAAAAAAAAAAAAAAC4CAABkcnMvZTJv&#10;RG9jLnhtbFBLAQItABQABgAIAAAAIQAiLh/S4AAAAAsBAAAPAAAAAAAAAAAAAAAAAIAEAABkcnMv&#10;ZG93bnJldi54bWxQSwUGAAAAAAQABADzAAAAjQUAAAAA&#10;" path="m0,50692l77858,50693,101918,0,125977,50693,203835,50692,140846,82022,164906,132715,101918,101385,38929,132715,62989,82022,0,50692xe">
            <v:path o:connecttype="custom" o:connectlocs="0,50692;77858,50693;101918,0;125977,50693;203835,50692;140846,82022;164906,132715;101918,101385;38929,132715;62989,82022;0,50692" o:connectangles="0,0,0,0,0,0,0,0,0,0,0"/>
            <v:fill on="t" focussize="0,0"/>
            <v:stroke joinstyle="miter"/>
            <v:imagedata o:title=""/>
            <o:lock v:ext="edit"/>
          </v:shape>
        </w:pict>
      </w:r>
      <w:r>
        <w:rPr>
          <w:u w:val="single"/>
        </w:rPr>
        <w:pict>
          <v:shape id="AutoShape 225" o:spid="_x0000_s1067" style="position:absolute;left:0pt;margin-left:192.75pt;margin-top:116.2pt;height:9.2pt;width:15.35pt;z-index:251654144;mso-width-relative:page;mso-height-relative:page;" fillcolor="#00B0F0" filled="t" coordsize="194945,1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iAJAIAAEAEAAAOAAAAZHJzL2Uyb0RvYy54bWysU9uO0zAQfUfiHyy/01zU7rZR09XSpQhp&#10;WVZa+ADXcRIL3xi7TcvXM3baUuABCZEHayYzPp45c2Z5d9CK7AV4aU1Ni0lOiTDcNtJ0Nf3yefNm&#10;TokPzDRMWSNqehSe3q1ev1oOrhKl7a1qBBAEMb4aXE37EFyVZZ73QjM/sU4YDLYWNAvoQpc1wAZE&#10;1yor8/wmGyw0DiwX3uPfhzFIVwm/bQUPn9rWi0BUTbG2kE5I5zae2WrJqg6Y6yU/lcH+oQrNpMFH&#10;L1APLDCyA/kHlJYcrLdtmHCrM9u2kovUA3ZT5L9189IzJ1IvSI53F5r8/4PlT/tnILKpaZnfUmKY&#10;xiHd74JNb5OynEWKBucrzHxxzxCb9O7R8q+eGLvumenEPYAdesEaLKyI+dkvF6Lj8SrZDh9tg/gM&#10;8RNbhxZ0BEQeyCEN5XgZijgEwvFnsZgupjNKOIaK4mY+TUPLWHW+7MCH98JqEo2aotpgltDZ/tGH&#10;WA2rzjmpeqtks5FKJQe67VoB2bMokPxtvjnD++s0ZchQ08UM6fgbRI5f4gB5uobQMqDSldQ1ncec&#10;k/Yibe9Mk3QYmFSjjSUrc+IxUjeOYGubI9IIdpQxrh0avYXvlAwoYez9246BoER9MDiKRTFFskhI&#10;znR2W6ID15HtdYQZjlA1DZSM5jqMe7JzILseXypS78ZGebQyMRtHO1Z1KhZlmgg/rVTcg2s/Zf1c&#10;/NUPAAAA//8DAFBLAwQUAAYACAAAACEA5jBEGuMAAAANAQAADwAAAGRycy9kb3ducmV2LnhtbEyP&#10;wU7DMAyG70i8Q2QkblvaEk1daTqNSVyQENAhIW5ZY9qKxqmSrCt7erITHG1/+v395WY2A5vQ+d6S&#10;hHSZAENqrO6plfC+f1zkwHxQpNVgCSX8oIdNdX1VqkLbE73hVIeWxRDyhZLQhTAWnPumQ6P80o5I&#10;8fZlnVEhjq7l2qlTDDcDz5JkxY3qKX7o1Ii7Dpvv+mgkfE7b5/O5edg/1XZ8ER+vudvVuZS3N/P2&#10;HljAOfzBcNGP6lBFp4M9kvZskCBSkUVUwiIT6xWwiAgh1sAOl9VdmgGvSv6/RfULAAD//wMAUEsB&#10;Ai0AFAAGAAgAAAAhALaDOJL+AAAA4QEAABMAAAAAAAAAAAAAAAAAAAAAAFtDb250ZW50X1R5cGVz&#10;XS54bWxQSwECLQAUAAYACAAAACEAOP0h/9YAAACUAQAACwAAAAAAAAAAAAAAAAAvAQAAX3JlbHMv&#10;LnJlbHNQSwECLQAUAAYACAAAACEAIMcYgCQCAABABAAADgAAAAAAAAAAAAAAAAAuAgAAZHJzL2Uy&#10;b0RvYy54bWxQSwECLQAUAAYACAAAACEA5jBEGuMAAAANAQAADwAAAAAAAAAAAAAAAAB+BAAAZHJz&#10;L2Rvd25yZXYueG1sUEsFBgAAAAAEAAQA8wAAAI4FAAAAAA==&#10;" path="m0,44629l74463,44629,97473,0,120482,44629,194945,44629,134703,72211,157714,116840,97473,89257,37231,116840,60242,72211,0,44629xe">
            <v:path o:connecttype="custom" o:connectlocs="0,44629;74463,44629;97473,0;120482,44629;194945,44629;134703,72211;157714,116840;97473,89257;37231,116840;60242,72211;0,44629" o:connectangles="0,0,0,0,0,0,0,0,0,0,0"/>
            <v:fill on="t" focussize="0,0"/>
            <v:stroke joinstyle="miter"/>
            <v:imagedata o:title=""/>
            <o:lock v:ext="edit"/>
          </v:shape>
        </w:pict>
      </w:r>
      <w:r>
        <w:rPr>
          <w:u w:val="single"/>
        </w:rPr>
        <w:pict>
          <v:shape id="_x0000_s1068" o:spid="_x0000_s1068" o:spt="3" type="#_x0000_t3" style="position:absolute;left:0pt;margin-left:203pt;margin-top:124pt;height:12.65pt;width:10.35pt;z-index:251657216;mso-width-relative:page;mso-height-relative:page;" fillcolor="#000000" filled="t" coordsize="21600,21600">
            <v:path/>
            <v:fill on="t" focussize="0,0"/>
            <v:stroke/>
            <v:imagedata o:title=""/>
            <o:lock v:ext="edit"/>
          </v:shape>
        </w:pict>
      </w:r>
      <w:r>
        <w:rPr>
          <w:u w:val="single"/>
        </w:rPr>
        <w:pict>
          <v:shape id="_x0000_s1069" o:spid="_x0000_s1069" o:spt="109" type="#_x0000_t109" style="position:absolute;left:0pt;margin-left:195.65pt;margin-top:112.4pt;height:18.75pt;width:39.8pt;z-index:251660288;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DmQIAADsFAAAOAAAAZHJzL2Uyb0RvYy54bWysVNtuGyEQfa/Uf0C8O3vJ+rKrrKM0qatK&#10;aRsp7QdgYL2oLFDAXqdV/70D2IndvlRV94FlGDgzZzjD1fV+kGjHrRNatbi4yDHiimom1KbFXz6v&#10;JguMnCeKEakVb/ETd/h6+frV1WgaXupeS8YtAhDlmtG0uPfeNFnmaM8H4i604QqcnbYD8WDaTcYs&#10;GQF9kFmZ57Ns1JYZqyl3DlbvkhMvI37Xceo/dZ3jHskWQ24+jjaO6zBmyyvSbCwxvaCHNMg/ZDEQ&#10;oSDoM9Qd8QRtrfgDahDUaqc7f0H1kOmuE5RHDsCmyH9j89gTwyMXKI4zz2Vy/w+Wftw9WCRYi8u8&#10;wkiRAS7pZut1jI3Ky1ii0bgGdj6aBxtIOnOv6VeHlL7tidrwG2v12HPCILEilDQ7OxAMB0fRevyg&#10;GeATwI/V2nd2CIBQB7SPl/L0fCl87xGFxSKvp5fzKUYUfNViVhUxpYw0x9PGOv+O6wGFSYs7qUfI&#10;y/qHJIsYiezunQ+Zkea4PTLRUrCVkDIadrO+lRbtCIhlFb90VpqepNVjaJe2Rjx3iiFVQFI6YKZw&#10;aQXYQALBF3hFZfyoi7LK35T1ZDVbzCfVqppO6nm+mORF/aae5VVd3a1+hgyKqukFY1zdC8WPKi2q&#10;v1PBoV+SvqJO0djielpOI7mz7A+0ziqQWJxtG4SHppViaPEiD19qo6CAt4rBAdJ4ImSaZ+fpx5JB&#10;DY7/WJWolyCR0Leu8fv1PmlyHpDD0lqzJ1CQ1XDB0Mfw4sCk1/Y7RiN0b4vdty2xHCP5XoEK66Kq&#10;QrtHo5rOSzDsqWd96iGKAlSLPUZpeuvTE7E1Vmx6iFTEWikdOqMTUUgvWQGVYECHRlKH1yQ8Aad2&#10;3PXy5i1/AQAA//8DAFBLAwQUAAYACAAAACEAp2iubOAAAAALAQAADwAAAGRycy9kb3ducmV2Lnht&#10;bEyPy07DMBBF90j8gzVIbFBrN82jDXEqRMWCJQF17SbTJKo9jmy3DX+PWcFydI/uPVPtZqPZFZ0f&#10;LUlYLQUwpNZ2I/USvj7fFhtgPijqlLaEEr7Rw66+v6tU2dkbfeC1CT2LJeRLJWEIYSo59+2ARvml&#10;nZBidrLOqBBP1/POqVssN5onQuTcqJHiwqAmfB2wPTcXE0eadI8ie9IHPqz228KdD/QupHx8mF+e&#10;gQWcwx8Mv/pRHerodLQX6jzTEvJCFBGVkOTZFlgkNuk6AXaUsE6TDHhd8f8/1D8AAAD//wMAUEsB&#10;Ai0AFAAGAAgAAAAhALaDOJL+AAAA4QEAABMAAAAAAAAAAAAAAAAAAAAAAFtDb250ZW50X1R5cGVz&#10;XS54bWxQSwECLQAUAAYACAAAACEAOP0h/9YAAACUAQAACwAAAAAAAAAAAAAAAAAvAQAAX3JlbHMv&#10;LnJlbHNQSwECLQAUAAYACAAAACEADhv7Q5kCAAA7BQAADgAAAAAAAAAAAAAAAAAuAgAAZHJzL2Uy&#10;b0RvYy54bWxQSwECLQAUAAYACAAAACEAp2iubOAAAAALAQAADwAAAAAAAAAAAAAAAADzBAAAZHJz&#10;L2Rvd25yZXYueG1sUEsFBgAAAAAEAAQA8wAAAAAGAAAAAA==&#10;">
            <v:path/>
            <v:fill opacity="0f" focussize="0,0"/>
            <v:stroke on="f" joinstyle="miter"/>
            <v:imagedata o:title=""/>
            <o:lock v:ext="edit"/>
            <v:textbox>
              <w:txbxContent>
                <w:p>
                  <w:pPr>
                    <w:jc w:val="center"/>
                    <w:rPr>
                      <w:b/>
                      <w:color w:val="000000"/>
                      <w:sz w:val="21"/>
                      <w:szCs w:val="21"/>
                    </w:rPr>
                  </w:pPr>
                  <w:r>
                    <w:rPr>
                      <w:b/>
                      <w:color w:val="000000"/>
                      <w:sz w:val="21"/>
                      <w:szCs w:val="21"/>
                    </w:rPr>
                    <w:t>1</w:t>
                  </w:r>
                </w:p>
              </w:txbxContent>
            </v:textbox>
          </v:shape>
        </w:pict>
      </w:r>
      <w:r>
        <w:rPr>
          <w:u w:val="single"/>
        </w:rPr>
        <w:pict>
          <v:shape id="_x0000_s1070" o:spid="_x0000_s1070" o:spt="109" type="#_x0000_t109" style="position:absolute;left:0pt;margin-left:344.05pt;margin-top:238.1pt;height:18.75pt;width:111.85pt;z-index:25166131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DmQIAADsFAAAOAAAAZHJzL2Uyb0RvYy54bWysVNtuGyEQfa/Uf0C8O3vJ+rKrrKM0qatK&#10;aRsp7QdgYL2oLFDAXqdV/70D2IndvlRV94FlGDgzZzjD1fV+kGjHrRNatbi4yDHiimom1KbFXz6v&#10;JguMnCeKEakVb/ETd/h6+frV1WgaXupeS8YtAhDlmtG0uPfeNFnmaM8H4i604QqcnbYD8WDaTcYs&#10;GQF9kFmZ57Ns1JYZqyl3DlbvkhMvI37Xceo/dZ3jHskWQ24+jjaO6zBmyyvSbCwxvaCHNMg/ZDEQ&#10;oSDoM9Qd8QRtrfgDahDUaqc7f0H1kOmuE5RHDsCmyH9j89gTwyMXKI4zz2Vy/w+Wftw9WCRYi8u8&#10;wkiRAS7pZut1jI3Ky1ii0bgGdj6aBxtIOnOv6VeHlL7tidrwG2v12HPCILEilDQ7OxAMB0fRevyg&#10;GeATwI/V2nd2CIBQB7SPl/L0fCl87xGFxSKvp5fzKUYUfNViVhUxpYw0x9PGOv+O6wGFSYs7qUfI&#10;y/qHJIsYiezunQ+Zkea4PTLRUrCVkDIadrO+lRbtCIhlFb90VpqepNVjaJe2Rjx3iiFVQFI6YKZw&#10;aQXYQALBF3hFZfyoi7LK35T1ZDVbzCfVqppO6nm+mORF/aae5VVd3a1+hgyKqukFY1zdC8WPKi2q&#10;v1PBoV+SvqJO0djielpOI7mz7A+0ziqQWJxtG4SHppViaPEiD19qo6CAt4rBAdJ4ImSaZ+fpx5JB&#10;DY7/WJWolyCR0Leu8fv1PmlyHpDD0lqzJ1CQ1XDB0Mfw4sCk1/Y7RiN0b4vdty2xHCP5XoEK66Kq&#10;QrtHo5rOSzDsqWd96iGKAlSLPUZpeuvTE7E1Vmx6iFTEWikdOqMTUUgvWQGVYECHRlKH1yQ8Aad2&#10;3PXy5i1/AQAA//8DAFBLAwQUAAYACAAAACEAp2iubOAAAAALAQAADwAAAGRycy9kb3ducmV2Lnht&#10;bEyPy07DMBBF90j8gzVIbFBrN82jDXEqRMWCJQF17SbTJKo9jmy3DX+PWcFydI/uPVPtZqPZFZ0f&#10;LUlYLQUwpNZ2I/USvj7fFhtgPijqlLaEEr7Rw66+v6tU2dkbfeC1CT2LJeRLJWEIYSo59+2ARvml&#10;nZBidrLOqBBP1/POqVssN5onQuTcqJHiwqAmfB2wPTcXE0eadI8ie9IHPqz228KdD/QupHx8mF+e&#10;gQWcwx8Mv/pRHerodLQX6jzTEvJCFBGVkOTZFlgkNuk6AXaUsE6TDHhd8f8/1D8AAAD//wMAUEsB&#10;Ai0AFAAGAAgAAAAhALaDOJL+AAAA4QEAABMAAAAAAAAAAAAAAAAAAAAAAFtDb250ZW50X1R5cGVz&#10;XS54bWxQSwECLQAUAAYACAAAACEAOP0h/9YAAACUAQAACwAAAAAAAAAAAAAAAAAvAQAAX3JlbHMv&#10;LnJlbHNQSwECLQAUAAYACAAAACEADhv7Q5kCAAA7BQAADgAAAAAAAAAAAAAAAAAuAgAAZHJzL2Uy&#10;b0RvYy54bWxQSwECLQAUAAYACAAAACEAp2iubOAAAAALAQAADwAAAAAAAAAAAAAAAADzBAAAZHJz&#10;L2Rvd25yZXYueG1sUEsFBgAAAAAEAAQA8wAAAAAGAAAAAA==&#10;">
            <v:path/>
            <v:fill opacity="0f" focussize="0,0"/>
            <v:stroke on="f" joinstyle="miter"/>
            <v:imagedata o:title=""/>
            <o:lock v:ext="edit"/>
            <v:textbox>
              <w:txbxContent>
                <w:p>
                  <w:pPr>
                    <w:rPr>
                      <w:b/>
                      <w:color w:val="FF0000"/>
                      <w:sz w:val="21"/>
                      <w:szCs w:val="21"/>
                    </w:rPr>
                  </w:pPr>
                  <w:r>
                    <w:rPr>
                      <w:b/>
                      <w:color w:val="FF0000"/>
                      <w:sz w:val="21"/>
                      <w:szCs w:val="21"/>
                    </w:rPr>
                    <w:t xml:space="preserve"> </w:t>
                  </w:r>
                  <w:r>
                    <w:rPr>
                      <w:b/>
                      <w:color w:val="000000"/>
                      <w:sz w:val="21"/>
                      <w:szCs w:val="21"/>
                    </w:rPr>
                    <w:t>1</w:t>
                  </w:r>
                  <w:r>
                    <w:rPr>
                      <w:b/>
                      <w:color w:val="FF0000"/>
                      <w:sz w:val="21"/>
                      <w:szCs w:val="21"/>
                    </w:rPr>
                    <w:t xml:space="preserve">   </w:t>
                  </w:r>
                  <w:r>
                    <w:rPr>
                      <w:rFonts w:hint="eastAsia"/>
                      <w:b/>
                      <w:color w:val="FF0000"/>
                      <w:sz w:val="21"/>
                      <w:szCs w:val="21"/>
                    </w:rPr>
                    <w:t>声源</w:t>
                  </w:r>
                  <w:r>
                    <w:rPr>
                      <w:b/>
                      <w:color w:val="FF0000"/>
                      <w:sz w:val="21"/>
                      <w:szCs w:val="21"/>
                    </w:rPr>
                    <w:t>-</w:t>
                  </w:r>
                  <w:r>
                    <w:rPr>
                      <w:rFonts w:hint="eastAsia"/>
                      <w:b/>
                      <w:color w:val="FF0000"/>
                      <w:sz w:val="21"/>
                      <w:szCs w:val="21"/>
                    </w:rPr>
                    <w:t>远期</w:t>
                  </w:r>
                </w:p>
              </w:txbxContent>
            </v:textbox>
          </v:shape>
        </w:pict>
      </w:r>
      <w:r>
        <w:rPr>
          <w:u w:val="single"/>
        </w:rPr>
        <w:pict>
          <v:shape id="_x0000_s1071" o:spid="_x0000_s1071" o:spt="109" type="#_x0000_t109" style="position:absolute;left:0pt;margin-left:361.25pt;margin-top:204.65pt;height:38.3pt;width:95.2pt;z-index:25165312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DmQIAADsFAAAOAAAAZHJzL2Uyb0RvYy54bWysVNtuGyEQfa/Uf0C8O3vJ+rKrrKM0qatK&#10;aRsp7QdgYL2oLFDAXqdV/70D2IndvlRV94FlGDgzZzjD1fV+kGjHrRNatbi4yDHiimom1KbFXz6v&#10;JguMnCeKEakVb/ETd/h6+frV1WgaXupeS8YtAhDlmtG0uPfeNFnmaM8H4i604QqcnbYD8WDaTcYs&#10;GQF9kFmZ57Ns1JYZqyl3DlbvkhMvI37Xceo/dZ3jHskWQ24+jjaO6zBmyyvSbCwxvaCHNMg/ZDEQ&#10;oSDoM9Qd8QRtrfgDahDUaqc7f0H1kOmuE5RHDsCmyH9j89gTwyMXKI4zz2Vy/w+Wftw9WCRYi8u8&#10;wkiRAS7pZut1jI3Ky1ii0bgGdj6aBxtIOnOv6VeHlL7tidrwG2v12HPCILEilDQ7OxAMB0fRevyg&#10;GeATwI/V2nd2CIBQB7SPl/L0fCl87xGFxSKvp5fzKUYUfNViVhUxpYw0x9PGOv+O6wGFSYs7qUfI&#10;y/qHJIsYiezunQ+Zkea4PTLRUrCVkDIadrO+lRbtCIhlFb90VpqepNVjaJe2Rjx3iiFVQFI6YKZw&#10;aQXYQALBF3hFZfyoi7LK35T1ZDVbzCfVqppO6nm+mORF/aae5VVd3a1+hgyKqukFY1zdC8WPKi2q&#10;v1PBoV+SvqJO0djielpOI7mz7A+0ziqQWJxtG4SHppViaPEiD19qo6CAt4rBAdJ4ImSaZ+fpx5JB&#10;DY7/WJWolyCR0Leu8fv1PmlyHpDD0lqzJ1CQ1XDB0Mfw4sCk1/Y7RiN0b4vdty2xHCP5XoEK66Kq&#10;QrtHo5rOSzDsqWd96iGKAlSLPUZpeuvTE7E1Vmx6iFTEWikdOqMTUUgvWQGVYECHRlKH1yQ8Aad2&#10;3PXy5i1/AQAA//8DAFBLAwQUAAYACAAAACEAp2iubOAAAAALAQAADwAAAGRycy9kb3ducmV2Lnht&#10;bEyPy07DMBBF90j8gzVIbFBrN82jDXEqRMWCJQF17SbTJKo9jmy3DX+PWcFydI/uPVPtZqPZFZ0f&#10;LUlYLQUwpNZ2I/USvj7fFhtgPijqlLaEEr7Rw66+v6tU2dkbfeC1CT2LJeRLJWEIYSo59+2ARvml&#10;nZBidrLOqBBP1/POqVssN5onQuTcqJHiwqAmfB2wPTcXE0eadI8ie9IHPqz228KdD/QupHx8mF+e&#10;gQWcwx8Mv/pRHerodLQX6jzTEvJCFBGVkOTZFlgkNuk6AXaUsE6TDHhd8f8/1D8AAAD//wMAUEsB&#10;Ai0AFAAGAAgAAAAhALaDOJL+AAAA4QEAABMAAAAAAAAAAAAAAAAAAAAAAFtDb250ZW50X1R5cGVz&#10;XS54bWxQSwECLQAUAAYACAAAACEAOP0h/9YAAACUAQAACwAAAAAAAAAAAAAAAAAvAQAAX3JlbHMv&#10;LnJlbHNQSwECLQAUAAYACAAAACEADhv7Q5kCAAA7BQAADgAAAAAAAAAAAAAAAAAuAgAAZHJzL2Uy&#10;b0RvYy54bWxQSwECLQAUAAYACAAAACEAp2iubOAAAAALAQAADwAAAAAAAAAAAAAAAADzBAAAZHJz&#10;L2Rvd25yZXYueG1sUEsFBgAAAAAEAAQA8wAAAAAGAAAAAA==&#10;">
            <v:path/>
            <v:fill opacity="0f" focussize="0,0"/>
            <v:stroke on="f" color="#FFFFFF" joinstyle="miter"/>
            <v:imagedata o:title=""/>
            <o:lock v:ext="edit"/>
            <v:textbox>
              <w:txbxContent>
                <w:p>
                  <w:pPr>
                    <w:jc w:val="center"/>
                    <w:rPr>
                      <w:b/>
                      <w:color w:val="FF0000"/>
                      <w:sz w:val="21"/>
                      <w:szCs w:val="21"/>
                    </w:rPr>
                  </w:pPr>
                  <w:r>
                    <w:rPr>
                      <w:rFonts w:hint="eastAsia"/>
                      <w:b/>
                      <w:color w:val="FF0000"/>
                      <w:sz w:val="21"/>
                      <w:szCs w:val="21"/>
                    </w:rPr>
                    <w:t>弼时镇桃花村</w:t>
                  </w:r>
                </w:p>
                <w:p>
                  <w:pPr>
                    <w:jc w:val="center"/>
                    <w:rPr>
                      <w:b/>
                      <w:color w:val="FF0000"/>
                      <w:sz w:val="21"/>
                      <w:szCs w:val="21"/>
                    </w:rPr>
                  </w:pPr>
                  <w:r>
                    <w:rPr>
                      <w:rFonts w:hint="eastAsia"/>
                      <w:b/>
                      <w:color w:val="FF0000"/>
                      <w:sz w:val="21"/>
                      <w:szCs w:val="21"/>
                    </w:rPr>
                    <w:t>居民点</w:t>
                  </w:r>
                </w:p>
                <w:p>
                  <w:pPr>
                    <w:jc w:val="center"/>
                    <w:rPr>
                      <w:b/>
                      <w:color w:val="FF0000"/>
                      <w:sz w:val="21"/>
                      <w:szCs w:val="21"/>
                    </w:rPr>
                  </w:pPr>
                </w:p>
              </w:txbxContent>
            </v:textbox>
          </v:shape>
        </w:pict>
      </w:r>
      <w:r>
        <w:rPr>
          <w:u w:val="single"/>
        </w:rPr>
        <w:pict>
          <v:shape id="AutoShape 224" o:spid="_x0000_s1072" style="position:absolute;left:0pt;margin-left:348.7pt;margin-top:209.85pt;height:15pt;width:16.5pt;z-index:251639808;mso-width-relative:page;mso-height-relative:page;" fillcolor="#00B0F0" filled="t"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GlJAIAAEAEAAAOAAAAZHJzL2Uyb0RvYy54bWysU9uO0zAQfUfiHyy/01zUwDbadLV0KUJa&#10;lpUWPsB1nMTCN8Zu0/L1jJ22tPCGyIPlyYyPz5w5vr3ba0V2Ary0pqHFLKdEGG5bafqGfvu6fnND&#10;iQ/MtExZIxp6EJ7eLV+/uh1dLUo7WNUKIAhifD26hg4huDrLPB+EZn5mnTCY7CxoFjCEPmuBjYiu&#10;VVbm+dtstNA6sFx4j38fpiRdJvyuEzx86TovAlENRW4hrZDWTVyz5S2re2BukPxIg/0DC82kwUvP&#10;UA8sMLIF+ReUlhyst12Ycasz23WSi9QDdlPkf3TzMjAnUi8ojndnmfz/g+VPu2cgsm1omS8oMUzj&#10;kO63waa7SVnOo0Sj8zVWvrhniE1692j5d0+MXQ3M9OIewI6DYC0SK2J9dnUgBh6Pks342baIzxA/&#10;qbXvQEdA1IHs01AO56GIfSAcfyKvqsLRcUwVi7zK09AyVp8OO/Dho7CaxE1D0W1QJXS2e/QhsmH1&#10;qSaxt0q2a6lUCqDfrBSQHYsGyd/n6xO8vyxThowNXVTlhHyV89cQOX5JA9TpEkLLgE5XUjf0JtYc&#10;vRdl+2Da5MPApJr2SFmZo45RumkEG9seUEawk43x2eFmsPCTkhEtjL3/2DIQlKhPBkexKObz6PkU&#10;zKt3JQZwmdlcZpjhCNXQQMm0XYXpnWwdyH7Am4qkqrHRHp1MysbRTqyOZNGmSfDjk4rv4DJOVb8f&#10;/vIXAAAA//8DAFBLAwQUAAYACAAAACEAmVyiBN4AAAALAQAADwAAAGRycy9kb3ducmV2LnhtbEyP&#10;wU7DMAyG70i8Q2QkbixdC6WUptM04LDLxAYPkCWmLTRO1aRbeXvMCY7+/Ov352o1u16ccAydJwXL&#10;RQICyXjbUaPg/e3lpgARoiare0+o4BsDrOrLi0qX1p9pj6dDbASXUCi1gjbGoZQymBadDgs/IPHu&#10;w49ORx7HRtpRn7nc9TJNklw63RFfaPWAmxbN12FyCuTnc4b322Ian3avGzdsDe7XRqnrq3n9CCLi&#10;HP/C8KvP6lCz09FPZIPoFeRZ+sBRBemyyEBwIs/vmByZ3DKRdSX//1D/AAAA//8DAFBLAQItABQA&#10;BgAIAAAAIQC2gziS/gAAAOEBAAATAAAAAAAAAAAAAAAAAAAAAABbQ29udGVudF9UeXBlc10ueG1s&#10;UEsBAi0AFAAGAAgAAAAhADj9If/WAAAAlAEAAAsAAAAAAAAAAAAAAAAALwEAAF9yZWxzLy5yZWxz&#10;UEsBAi0AFAAGAAgAAAAhAGdVAaUkAgAAQAQAAA4AAAAAAAAAAAAAAAAALgIAAGRycy9lMm9Eb2Mu&#10;eG1sUEsBAi0AFAAGAAgAAAAhAJlcogTeAAAACwEAAA8AAAAAAAAAAAAAAAAAfgQAAGRycy9kb3du&#10;cmV2LnhtbFBLBQYAAAAABAAEAPMAAACJBQAAAAA=&#10;" path="m0,72764l80041,72765,104775,0,129509,72765,209550,72764,144795,117735,169529,190500,104775,145528,40021,190500,64755,117735,0,72764xe">
            <v:path o:connecttype="custom" o:connectlocs="0,72764;80041,72765;104775,0;129509,72765;209550,72764;144795,117735;169529,190500;104775,145528;40021,190500;64755,117735;0,72764" o:connectangles="0,0,0,0,0,0,0,0,0,0,0"/>
            <v:fill on="t" focussize="0,0"/>
            <v:stroke joinstyle="miter"/>
            <v:imagedata o:title=""/>
            <o:lock v:ext="edit"/>
          </v:shape>
        </w:pict>
      </w:r>
    </w:p>
    <w:p>
      <w:pPr>
        <w:spacing w:line="360" w:lineRule="auto"/>
        <w:jc w:val="center"/>
        <w:rPr>
          <w:rFonts w:eastAsia="黑体"/>
          <w:color w:val="FF0000"/>
          <w:kern w:val="0"/>
          <w:sz w:val="24"/>
          <w:u w:val="single"/>
        </w:rPr>
      </w:pPr>
      <w:r>
        <w:rPr>
          <w:rFonts w:hint="eastAsia" w:eastAsia="黑体"/>
          <w:color w:val="000000"/>
          <w:kern w:val="0"/>
          <w:sz w:val="24"/>
          <w:u w:val="single"/>
        </w:rPr>
        <w:t>图</w:t>
      </w:r>
      <w:r>
        <w:rPr>
          <w:rFonts w:eastAsia="黑体"/>
          <w:color w:val="000000"/>
          <w:kern w:val="0"/>
          <w:sz w:val="24"/>
          <w:u w:val="single"/>
        </w:rPr>
        <w:t xml:space="preserve">7.1-4  </w:t>
      </w:r>
      <w:r>
        <w:rPr>
          <w:rFonts w:hint="eastAsia" w:eastAsia="黑体"/>
          <w:color w:val="000000"/>
          <w:kern w:val="0"/>
          <w:sz w:val="24"/>
          <w:u w:val="single"/>
        </w:rPr>
        <w:t>弼时镇桃花村居民点路段远期昼间等声级线图</w:t>
      </w:r>
      <w:r>
        <w:rPr>
          <w:u w:val="single"/>
        </w:rPr>
        <w:pict>
          <v:shape id="_x0000_s1073" o:spid="_x0000_s1073" o:spt="109" type="#_x0000_t109" style="position:absolute;left:0pt;margin-left:-2.45pt;margin-top:246.2pt;height:18.6pt;width:39.8pt;z-index:251670528;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DmQIAADsFAAAOAAAAZHJzL2Uyb0RvYy54bWysVNtuGyEQfa/Uf0C8O3vJ+rKrrKM0qatK&#10;aRsp7QdgYL2oLFDAXqdV/70D2IndvlRV94FlGDgzZzjD1fV+kGjHrRNatbi4yDHiimom1KbFXz6v&#10;JguMnCeKEakVb/ETd/h6+frV1WgaXupeS8YtAhDlmtG0uPfeNFnmaM8H4i604QqcnbYD8WDaTcYs&#10;GQF9kFmZ57Ns1JYZqyl3DlbvkhMvI37Xceo/dZ3jHskWQ24+jjaO6zBmyyvSbCwxvaCHNMg/ZDEQ&#10;oSDoM9Qd8QRtrfgDahDUaqc7f0H1kOmuE5RHDsCmyH9j89gTwyMXKI4zz2Vy/w+Wftw9WCRYi8u8&#10;wkiRAS7pZut1jI3Ky1ii0bgGdj6aBxtIOnOv6VeHlL7tidrwG2v12HPCILEilDQ7OxAMB0fRevyg&#10;GeATwI/V2nd2CIBQB7SPl/L0fCl87xGFxSKvp5fzKUYUfNViVhUxpYw0x9PGOv+O6wGFSYs7qUfI&#10;y/qHJIsYiezunQ+Zkea4PTLRUrCVkDIadrO+lRbtCIhlFb90VpqepNVjaJe2Rjx3iiFVQFI6YKZw&#10;aQXYQALBF3hFZfyoi7LK35T1ZDVbzCfVqppO6nm+mORF/aae5VVd3a1+hgyKqukFY1zdC8WPKi2q&#10;v1PBoV+SvqJO0djielpOI7mz7A+0ziqQWJxtG4SHppViaPEiD19qo6CAt4rBAdJ4ImSaZ+fpx5JB&#10;DY7/WJWolyCR0Leu8fv1PmlyHpDD0lqzJ1CQ1XDB0Mfw4sCk1/Y7RiN0b4vdty2xHCP5XoEK66Kq&#10;QrtHo5rOSzDsqWd96iGKAlSLPUZpeuvTE7E1Vmx6iFTEWikdOqMTUUgvWQGVYECHRlKH1yQ8Aad2&#10;3PXy5i1/AQAA//8DAFBLAwQUAAYACAAAACEAp2iubOAAAAALAQAADwAAAGRycy9kb3ducmV2Lnht&#10;bEyPy07DMBBF90j8gzVIbFBrN82jDXEqRMWCJQF17SbTJKo9jmy3DX+PWcFydI/uPVPtZqPZFZ0f&#10;LUlYLQUwpNZ2I/USvj7fFhtgPijqlLaEEr7Rw66+v6tU2dkbfeC1CT2LJeRLJWEIYSo59+2ARvml&#10;nZBidrLOqBBP1/POqVssN5onQuTcqJHiwqAmfB2wPTcXE0eadI8ie9IHPqz228KdD/QupHx8mF+e&#10;gQWcwx8Mv/pRHerodLQX6jzTEvJCFBGVkOTZFlgkNuk6AXaUsE6TDHhd8f8/1D8AAAD//wMAUEsB&#10;Ai0AFAAGAAgAAAAhALaDOJL+AAAA4QEAABMAAAAAAAAAAAAAAAAAAAAAAFtDb250ZW50X1R5cGVz&#10;XS54bWxQSwECLQAUAAYACAAAACEAOP0h/9YAAACUAQAACwAAAAAAAAAAAAAAAAAvAQAAX3JlbHMv&#10;LnJlbHNQSwECLQAUAAYACAAAACEADhv7Q5kCAAA7BQAADgAAAAAAAAAAAAAAAAAuAgAAZHJzL2Uy&#10;b0RvYy54bWxQSwECLQAUAAYACAAAACEAp2iubOAAAAALAQAADwAAAAAAAAAAAAAAAADzBAAAZHJz&#10;L2Rvd25yZXYueG1sUEsFBgAAAAAEAAQA8wAAAAAGAAAAAA==&#10;">
            <v:path/>
            <v:fill opacity="0f" focussize="0,0"/>
            <v:stroke on="f" joinstyle="miter"/>
            <v:imagedata o:title=""/>
            <o:lock v:ext="edit"/>
            <v:textbox>
              <w:txbxContent>
                <w:p>
                  <w:pPr>
                    <w:jc w:val="center"/>
                    <w:rPr>
                      <w:b/>
                      <w:color w:val="000000"/>
                      <w:sz w:val="21"/>
                      <w:szCs w:val="21"/>
                    </w:rPr>
                  </w:pPr>
                  <w:r>
                    <w:rPr>
                      <w:b/>
                      <w:color w:val="000000"/>
                      <w:sz w:val="21"/>
                      <w:szCs w:val="21"/>
                    </w:rPr>
                    <w:t>100m</w:t>
                  </w:r>
                </w:p>
              </w:txbxContent>
            </v:textbox>
          </v:shape>
        </w:pict>
      </w:r>
      <w:r>
        <w:rPr>
          <w:u w:val="single"/>
        </w:rPr>
        <w:pict>
          <v:line id="_x0000_s1074" o:spid="_x0000_s1074" o:spt="20" style="position:absolute;left:0pt;flip:y;margin-left:50.9pt;margin-top:259.8pt;height:2.85pt;width:0.05pt;z-index:251669504;mso-width-relative:page;mso-height-relative:page;" filled="t" coordsize="21600,21600">
            <v:path arrowok="t"/>
            <v:fill on="t" focussize="0,0"/>
            <v:stroke weight="1.5pt"/>
            <v:imagedata o:title=""/>
            <o:lock v:ext="edit"/>
          </v:line>
        </w:pict>
      </w:r>
      <w:r>
        <w:rPr>
          <w:u w:val="single"/>
        </w:rPr>
        <w:pict>
          <v:line id="_x0000_s1075" o:spid="_x0000_s1075" o:spt="20" style="position:absolute;left:0pt;flip:y;margin-left:4.2pt;margin-top:260.35pt;height:2.85pt;width:0.05pt;z-index:251659264;mso-width-relative:page;mso-height-relative:page;" filled="t" coordsize="21600,21600">
            <v:path arrowok="t"/>
            <v:fill on="t" focussize="0,0"/>
            <v:stroke weight="1.5pt"/>
            <v:imagedata o:title=""/>
            <o:lock v:ext="edit"/>
          </v:line>
        </w:pict>
      </w:r>
      <w:r>
        <w:rPr>
          <w:u w:val="single"/>
        </w:rPr>
        <w:pict>
          <v:line id="_x0000_s1076" o:spid="_x0000_s1076" o:spt="20" style="position:absolute;left:0pt;flip:y;margin-left:3.9pt;margin-top:262.6pt;height:0.5pt;width:47.8pt;z-index:251658240;mso-width-relative:page;mso-height-relative:page;" filled="t" coordsize="21600,21600">
            <v:path arrowok="t"/>
            <v:fill on="t" focussize="0,0"/>
            <v:stroke weight="1.5pt"/>
            <v:imagedata o:title=""/>
            <o:lock v:ext="edit"/>
          </v:line>
        </w:pict>
      </w:r>
      <w:r>
        <w:rPr>
          <w:u w:val="single"/>
        </w:rPr>
        <w:pict>
          <v:shape id="_x0000_s1077" o:spid="_x0000_s1077" o:spt="109" type="#_x0000_t109" style="position:absolute;left:0pt;margin-left:328.2pt;margin-top:245.2pt;height:18.75pt;width:111.85pt;z-index:25166848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DmQIAADsFAAAOAAAAZHJzL2Uyb0RvYy54bWysVNtuGyEQfa/Uf0C8O3vJ+rKrrKM0qatK&#10;aRsp7QdgYL2oLFDAXqdV/70D2IndvlRV94FlGDgzZzjD1fV+kGjHrRNatbi4yDHiimom1KbFXz6v&#10;JguMnCeKEakVb/ETd/h6+frV1WgaXupeS8YtAhDlmtG0uPfeNFnmaM8H4i604QqcnbYD8WDaTcYs&#10;GQF9kFmZ57Ns1JYZqyl3DlbvkhMvI37Xceo/dZ3jHskWQ24+jjaO6zBmyyvSbCwxvaCHNMg/ZDEQ&#10;oSDoM9Qd8QRtrfgDahDUaqc7f0H1kOmuE5RHDsCmyH9j89gTwyMXKI4zz2Vy/w+Wftw9WCRYi8u8&#10;wkiRAS7pZut1jI3Ky1ii0bgGdj6aBxtIOnOv6VeHlL7tidrwG2v12HPCILEilDQ7OxAMB0fRevyg&#10;GeATwI/V2nd2CIBQB7SPl/L0fCl87xGFxSKvp5fzKUYUfNViVhUxpYw0x9PGOv+O6wGFSYs7qUfI&#10;y/qHJIsYiezunQ+Zkea4PTLRUrCVkDIadrO+lRbtCIhlFb90VpqepNVjaJe2Rjx3iiFVQFI6YKZw&#10;aQXYQALBF3hFZfyoi7LK35T1ZDVbzCfVqppO6nm+mORF/aae5VVd3a1+hgyKqukFY1zdC8WPKi2q&#10;v1PBoV+SvqJO0djielpOI7mz7A+0ziqQWJxtG4SHppViaPEiD19qo6CAt4rBAdJ4ImSaZ+fpx5JB&#10;DY7/WJWolyCR0Leu8fv1PmlyHpDD0lqzJ1CQ1XDB0Mfw4sCk1/Y7RiN0b4vdty2xHCP5XoEK66Kq&#10;QrtHo5rOSzDsqWd96iGKAlSLPUZpeuvTE7E1Vmx6iFTEWikdOqMTUUgvWQGVYECHRlKH1yQ8Aad2&#10;3PXy5i1/AQAA//8DAFBLAwQUAAYACAAAACEAp2iubOAAAAALAQAADwAAAGRycy9kb3ducmV2Lnht&#10;bEyPy07DMBBF90j8gzVIbFBrN82jDXEqRMWCJQF17SbTJKo9jmy3DX+PWcFydI/uPVPtZqPZFZ0f&#10;LUlYLQUwpNZ2I/USvj7fFhtgPijqlLaEEr7Rw66+v6tU2dkbfeC1CT2LJeRLJWEIYSo59+2ARvml&#10;nZBidrLOqBBP1/POqVssN5onQuTcqJHiwqAmfB2wPTcXE0eadI8ie9IHPqz228KdD/QupHx8mF+e&#10;gQWcwx8Mv/pRHerodLQX6jzTEvJCFBGVkOTZFlgkNuk6AXaUsE6TDHhd8f8/1D8AAAD//wMAUEsB&#10;Ai0AFAAGAAgAAAAhALaDOJL+AAAA4QEAABMAAAAAAAAAAAAAAAAAAAAAAFtDb250ZW50X1R5cGVz&#10;XS54bWxQSwECLQAUAAYACAAAACEAOP0h/9YAAACUAQAACwAAAAAAAAAAAAAAAAAvAQAAX3JlbHMv&#10;LnJlbHNQSwECLQAUAAYACAAAACEADhv7Q5kCAAA7BQAADgAAAAAAAAAAAAAAAAAuAgAAZHJzL2Uy&#10;b0RvYy54bWxQSwECLQAUAAYACAAAACEAp2iubOAAAAALAQAADwAAAAAAAAAAAAAAAADzBAAAZHJz&#10;L2Rvd25yZXYueG1sUEsFBgAAAAAEAAQA8wAAAAAGAAAAAA==&#10;">
            <v:path/>
            <v:fill opacity="0f" focussize="0,0"/>
            <v:stroke on="f" joinstyle="miter"/>
            <v:imagedata o:title=""/>
            <o:lock v:ext="edit"/>
            <v:textbox>
              <w:txbxContent>
                <w:p>
                  <w:pPr>
                    <w:rPr>
                      <w:b/>
                      <w:color w:val="FF0000"/>
                      <w:sz w:val="21"/>
                      <w:szCs w:val="21"/>
                    </w:rPr>
                  </w:pPr>
                  <w:r>
                    <w:rPr>
                      <w:b/>
                      <w:color w:val="FF0000"/>
                      <w:sz w:val="21"/>
                      <w:szCs w:val="21"/>
                    </w:rPr>
                    <w:t xml:space="preserve"> </w:t>
                  </w:r>
                  <w:r>
                    <w:rPr>
                      <w:b/>
                      <w:color w:val="000000"/>
                      <w:sz w:val="21"/>
                      <w:szCs w:val="21"/>
                    </w:rPr>
                    <w:t>1</w:t>
                  </w:r>
                  <w:r>
                    <w:rPr>
                      <w:b/>
                      <w:color w:val="FF0000"/>
                      <w:sz w:val="21"/>
                      <w:szCs w:val="21"/>
                    </w:rPr>
                    <w:t xml:space="preserve">   </w:t>
                  </w:r>
                  <w:r>
                    <w:rPr>
                      <w:rFonts w:hint="eastAsia"/>
                      <w:b/>
                      <w:color w:val="FF0000"/>
                      <w:sz w:val="21"/>
                      <w:szCs w:val="21"/>
                    </w:rPr>
                    <w:t>声源</w:t>
                  </w:r>
                  <w:r>
                    <w:rPr>
                      <w:b/>
                      <w:color w:val="FF0000"/>
                      <w:sz w:val="21"/>
                      <w:szCs w:val="21"/>
                    </w:rPr>
                    <w:t>-</w:t>
                  </w:r>
                  <w:r>
                    <w:rPr>
                      <w:rFonts w:hint="eastAsia"/>
                      <w:b/>
                      <w:color w:val="FF0000"/>
                      <w:sz w:val="21"/>
                      <w:szCs w:val="21"/>
                    </w:rPr>
                    <w:t>远期</w:t>
                  </w:r>
                </w:p>
              </w:txbxContent>
            </v:textbox>
          </v:shape>
        </w:pict>
      </w:r>
      <w:r>
        <w:rPr>
          <w:u w:val="single"/>
        </w:rPr>
        <w:pict>
          <v:shape id="_x0000_s1078" o:spid="_x0000_s1078" o:spt="109" type="#_x0000_t109" style="position:absolute;left:0pt;margin-left:341.65pt;margin-top:213.4pt;height:38.3pt;width:95.2pt;z-index:25166745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DmQIAADsFAAAOAAAAZHJzL2Uyb0RvYy54bWysVNtuGyEQfa/Uf0C8O3vJ+rKrrKM0qatK&#10;aRsp7QdgYL2oLFDAXqdV/70D2IndvlRV94FlGDgzZzjD1fV+kGjHrRNatbi4yDHiimom1KbFXz6v&#10;JguMnCeKEakVb/ETd/h6+frV1WgaXupeS8YtAhDlmtG0uPfeNFnmaM8H4i604QqcnbYD8WDaTcYs&#10;GQF9kFmZ57Ns1JYZqyl3DlbvkhMvI37Xceo/dZ3jHskWQ24+jjaO6zBmyyvSbCwxvaCHNMg/ZDEQ&#10;oSDoM9Qd8QRtrfgDahDUaqc7f0H1kOmuE5RHDsCmyH9j89gTwyMXKI4zz2Vy/w+Wftw9WCRYi8u8&#10;wkiRAS7pZut1jI3Ky1ii0bgGdj6aBxtIOnOv6VeHlL7tidrwG2v12HPCILEilDQ7OxAMB0fRevyg&#10;GeATwI/V2nd2CIBQB7SPl/L0fCl87xGFxSKvp5fzKUYUfNViVhUxpYw0x9PGOv+O6wGFSYs7qUfI&#10;y/qHJIsYiezunQ+Zkea4PTLRUrCVkDIadrO+lRbtCIhlFb90VpqepNVjaJe2Rjx3iiFVQFI6YKZw&#10;aQXYQALBF3hFZfyoi7LK35T1ZDVbzCfVqppO6nm+mORF/aae5VVd3a1+hgyKqukFY1zdC8WPKi2q&#10;v1PBoV+SvqJO0djielpOI7mz7A+0ziqQWJxtG4SHppViaPEiD19qo6CAt4rBAdJ4ImSaZ+fpx5JB&#10;DY7/WJWolyCR0Leu8fv1PmlyHpDD0lqzJ1CQ1XDB0Mfw4sCk1/Y7RiN0b4vdty2xHCP5XoEK66Kq&#10;QrtHo5rOSzDsqWd96iGKAlSLPUZpeuvTE7E1Vmx6iFTEWikdOqMTUUgvWQGVYECHRlKH1yQ8Aad2&#10;3PXy5i1/AQAA//8DAFBLAwQUAAYACAAAACEAp2iubOAAAAALAQAADwAAAGRycy9kb3ducmV2Lnht&#10;bEyPy07DMBBF90j8gzVIbFBrN82jDXEqRMWCJQF17SbTJKo9jmy3DX+PWcFydI/uPVPtZqPZFZ0f&#10;LUlYLQUwpNZ2I/USvj7fFhtgPijqlLaEEr7Rw66+v6tU2dkbfeC1CT2LJeRLJWEIYSo59+2ARvml&#10;nZBidrLOqBBP1/POqVssN5onQuTcqJHiwqAmfB2wPTcXE0eadI8ie9IHPqz228KdD/QupHx8mF+e&#10;gQWcwx8Mv/pRHerodLQX6jzTEvJCFBGVkOTZFlgkNuk6AXaUsE6TDHhd8f8/1D8AAAD//wMAUEsB&#10;Ai0AFAAGAAgAAAAhALaDOJL+AAAA4QEAABMAAAAAAAAAAAAAAAAAAAAAAFtDb250ZW50X1R5cGVz&#10;XS54bWxQSwECLQAUAAYACAAAACEAOP0h/9YAAACUAQAACwAAAAAAAAAAAAAAAAAvAQAAX3JlbHMv&#10;LnJlbHNQSwECLQAUAAYACAAAACEADhv7Q5kCAAA7BQAADgAAAAAAAAAAAAAAAAAuAgAAZHJzL2Uy&#10;b0RvYy54bWxQSwECLQAUAAYACAAAACEAp2iubOAAAAALAQAADwAAAAAAAAAAAAAAAADzBAAAZHJz&#10;L2Rvd25yZXYueG1sUEsFBgAAAAAEAAQA8wAAAAAGAAAAAA==&#10;">
            <v:path/>
            <v:fill opacity="0f" focussize="0,0"/>
            <v:stroke on="f" color="#FFFFFF" joinstyle="miter"/>
            <v:imagedata o:title=""/>
            <o:lock v:ext="edit"/>
            <v:textbox>
              <w:txbxContent>
                <w:p>
                  <w:pPr>
                    <w:jc w:val="center"/>
                    <w:rPr>
                      <w:b/>
                      <w:color w:val="FF0000"/>
                      <w:sz w:val="21"/>
                      <w:szCs w:val="21"/>
                    </w:rPr>
                  </w:pPr>
                  <w:r>
                    <w:rPr>
                      <w:rFonts w:hint="eastAsia"/>
                      <w:b/>
                      <w:color w:val="FF0000"/>
                      <w:sz w:val="21"/>
                      <w:szCs w:val="21"/>
                    </w:rPr>
                    <w:t>弼时镇桃花村</w:t>
                  </w:r>
                </w:p>
                <w:p>
                  <w:pPr>
                    <w:jc w:val="center"/>
                    <w:rPr>
                      <w:b/>
                      <w:color w:val="FF0000"/>
                      <w:sz w:val="21"/>
                      <w:szCs w:val="21"/>
                    </w:rPr>
                  </w:pPr>
                  <w:r>
                    <w:rPr>
                      <w:rFonts w:hint="eastAsia"/>
                      <w:b/>
                      <w:color w:val="FF0000"/>
                      <w:sz w:val="21"/>
                      <w:szCs w:val="21"/>
                    </w:rPr>
                    <w:t>居民点</w:t>
                  </w:r>
                </w:p>
                <w:p>
                  <w:pPr>
                    <w:jc w:val="center"/>
                    <w:rPr>
                      <w:b/>
                      <w:color w:val="FF0000"/>
                      <w:sz w:val="21"/>
                      <w:szCs w:val="21"/>
                    </w:rPr>
                  </w:pPr>
                </w:p>
              </w:txbxContent>
            </v:textbox>
          </v:shape>
        </w:pict>
      </w:r>
      <w:r>
        <w:rPr>
          <w:u w:val="single"/>
        </w:rPr>
        <w:pict>
          <v:shape id="_x0000_s1079" o:spid="_x0000_s1079" style="position:absolute;left:0pt;margin-left:337.15pt;margin-top:218.65pt;height:14.45pt;width:16.5pt;z-index:251665408;mso-width-relative:page;mso-height-relative:page;" fillcolor="#00B0F0" filled="t" coordsize="2095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GlJAIAAEAEAAAOAAAAZHJzL2Uyb0RvYy54bWysU9uO0zAQfUfiHyy/01zUwDbadLV0KUJa&#10;lpUWPsB1nMTCN8Zu0/L1jJ22tPCGyIPlyYyPz5w5vr3ba0V2Ary0pqHFLKdEGG5bafqGfvu6fnND&#10;iQ/MtExZIxp6EJ7eLV+/uh1dLUo7WNUKIAhifD26hg4huDrLPB+EZn5mnTCY7CxoFjCEPmuBjYiu&#10;VVbm+dtstNA6sFx4j38fpiRdJvyuEzx86TovAlENRW4hrZDWTVyz5S2re2BukPxIg/0DC82kwUvP&#10;UA8sMLIF+ReUlhyst12Ycasz23WSi9QDdlPkf3TzMjAnUi8ojndnmfz/g+VPu2cgsm1omS8oMUzj&#10;kO63waa7SVnOo0Sj8zVWvrhniE1692j5d0+MXQ3M9OIewI6DYC0SK2J9dnUgBh6Pks342baIzxA/&#10;qbXvQEdA1IHs01AO56GIfSAcfyKvqsLRcUwVi7zK09AyVp8OO/Dho7CaxE1D0W1QJXS2e/QhsmH1&#10;qSaxt0q2a6lUCqDfrBSQHYsGyd/n6xO8vyxThowNXVTlhHyV89cQOX5JA9TpEkLLgE5XUjf0JtYc&#10;vRdl+2Da5MPApJr2SFmZo45RumkEG9seUEawk43x2eFmsPCTkhEtjL3/2DIQlKhPBkexKObz6PkU&#10;zKt3JQZwmdlcZpjhCNXQQMm0XYXpnWwdyH7Am4qkqrHRHp1MysbRTqyOZNGmSfDjk4rv4DJOVb8f&#10;/vIXAAAA//8DAFBLAwQUAAYACAAAACEAmVyiBN4AAAALAQAADwAAAGRycy9kb3ducmV2LnhtbEyP&#10;wU7DMAyG70i8Q2QkbixdC6WUptM04LDLxAYPkCWmLTRO1aRbeXvMCY7+/Ov352o1u16ccAydJwXL&#10;RQICyXjbUaPg/e3lpgARoiare0+o4BsDrOrLi0qX1p9pj6dDbASXUCi1gjbGoZQymBadDgs/IPHu&#10;w49ORx7HRtpRn7nc9TJNklw63RFfaPWAmxbN12FyCuTnc4b322Ian3avGzdsDe7XRqnrq3n9CCLi&#10;HP/C8KvP6lCz09FPZIPoFeRZ+sBRBemyyEBwIs/vmByZ3DKRdSX//1D/AAAA//8DAFBLAQItABQA&#10;BgAIAAAAIQC2gziS/gAAAOEBAAATAAAAAAAAAAAAAAAAAAAAAABbQ29udGVudF9UeXBlc10ueG1s&#10;UEsBAi0AFAAGAAgAAAAhADj9If/WAAAAlAEAAAsAAAAAAAAAAAAAAAAALwEAAF9yZWxzLy5yZWxz&#10;UEsBAi0AFAAGAAgAAAAhAGdVAaUkAgAAQAQAAA4AAAAAAAAAAAAAAAAALgIAAGRycy9lMm9Eb2Mu&#10;eG1sUEsBAi0AFAAGAAgAAAAhAJlcogTeAAAACwEAAA8AAAAAAAAAAAAAAAAAfgQAAGRycy9kb3du&#10;cmV2LnhtbFBLBQYAAAAABAAEAPMAAACJBQAAAAA=&#10;" path="m0,72764l80041,72765,104775,0,129509,72765,209550,72764,144795,117735,169529,190500,104775,145528,40021,190500,64755,117735,0,72764xe">
            <v:path o:connecttype="custom" o:connectlocs="0,72764;80041,72765;104775,0;129509,72765;209550,72764;144795,117735;169529,190500;104775,145528;40021,190500;64755,117735;0,72764" o:connectangles="0,0,0,0,0,0,0,0,0,0,0"/>
            <v:fill on="t" focussize="0,0"/>
            <v:stroke joinstyle="miter"/>
            <v:imagedata o:title=""/>
            <o:lock v:ext="edit"/>
          </v:shape>
        </w:pict>
      </w:r>
      <w:r>
        <w:rPr>
          <w:u w:val="single"/>
        </w:rPr>
        <w:pict>
          <v:shape id="_x0000_s1080" o:spid="_x0000_s1080" style="position:absolute;left:0pt;margin-left:193.45pt;margin-top:122.35pt;height:10.45pt;width:16.05pt;z-index:251666432;mso-width-relative:page;mso-height-relative:page;" fillcolor="#00B0F0" filled="t" coordsize="20383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LMJgIAAEAEAAAOAAAAZHJzL2Uyb0RvYy54bWysU9tu2zAMfR+wfxD0vviSpE2NOEWXLsOA&#10;bivQ7QMUWY6F6TZKidN9fSnZzZLtbZgfBNGkDsnDw+XtUStyEOClNTUtJjklwnDbSLOr6fdvm3cL&#10;SnxgpmHKGlHTZ+Hp7ertm2XvKlHazqpGAEEQ46ve1bQLwVVZ5nknNPMT64RBZ2tBs4Am7LIGWI/o&#10;WmVlnl9lvYXGgeXCe/x7PzjpKuG3reDha9t6EYiqKdYW0gnp3MYzWy1ZtQPmOsnHMtg/VKGZNJj0&#10;BHXPAiN7kH9BacnBetuGCbc6s20ruUg9YDdF/kc3Tx1zIvWC5Hh3osn/P1j+5fAIRDY1LQvkxzCN&#10;Q7rbB5tyk7K8ihT1zlcY+eQeITbp3YPlPzwxdt0xsxN3ALbvBGuwsCLGZxcPouHxKdn2n22D+Azx&#10;E1vHFnQERB7IMQ3l+TQUcQyE488yny6mc0o4uoppeV3MUwZWvT524MNHYTWJl5qi2mCe0NnhwYdY&#10;DateY1L1VslmI5VKBuy2awXkwKJA8vf5JmkCn/jzMGVIX9ObeTkgX/j8JUSO31jhRZiWAZWupK7p&#10;IsaM2ou0fTBN0mFgUg13zK/MyGOkbhjB1jbPSCPYQca4dnjpLPyipEcJY+8/9wwEJeqTwVHcFLNZ&#10;1HwyZvPrEg0492zPPcxwhKppoGS4rsOwJ3sHctdhpiKxamyURysTs3G0Q1VjsSjTRPi4UnEPzu0U&#10;9XvxVy8AAAD//wMAUEsDBBQABgAIAAAAIQAiLh/S4AAAAAsBAAAPAAAAZHJzL2Rvd25yZXYueG1s&#10;TI/PToQwEIfvJr5DMyZejFsERETKZuPGxMSDcfEBunQEsnRKaGHx7R1Peps/X37zTbld7SAWnHzv&#10;SMHdJgKB1DjTU6vgs365zUH4oMnowREq+EYP2+ryotSFcWf6wOUQWsEh5AutoAthLKT0TYdW+40b&#10;kXj35SarA7dTK82kzxxuBxlHUSat7okvdHrE5w6b02G2Cm4a87rUpz7J3992yb6e98mY1kpdX627&#10;JxAB1/AHw68+q0PFTkc3k/FiUJAm9zGjCuI0T0AwkWYPXBx5kj3GIKtS/v+h+gEAAP//AwBQSwEC&#10;LQAUAAYACAAAACEAtoM4kv4AAADhAQAAEwAAAAAAAAAAAAAAAAAAAAAAW0NvbnRlbnRfVHlwZXNd&#10;LnhtbFBLAQItABQABgAIAAAAIQA4/SH/1gAAAJQBAAALAAAAAAAAAAAAAAAAAC8BAABfcmVscy8u&#10;cmVsc1BLAQItABQABgAIAAAAIQCT7fLMJgIAAEAEAAAOAAAAAAAAAAAAAAAAAC4CAABkcnMvZTJv&#10;RG9jLnhtbFBLAQItABQABgAIAAAAIQAiLh/S4AAAAAsBAAAPAAAAAAAAAAAAAAAAAIAEAABkcnMv&#10;ZG93bnJldi54bWxQSwUGAAAAAAQABADzAAAAjQUAAAAA&#10;" path="m0,50692l77858,50693,101918,0,125977,50693,203835,50692,140846,82022,164906,132715,101918,101385,38929,132715,62989,82022,0,50692xe">
            <v:path o:connecttype="custom" o:connectlocs="0,50692;77858,50693;101918,0;125977,50693;203835,50692;140846,82022;164906,132715;101918,101385;38929,132715;62989,82022;0,50692" o:connectangles="0,0,0,0,0,0,0,0,0,0,0"/>
            <v:fill on="t" focussize="0,0"/>
            <v:stroke joinstyle="miter"/>
            <v:imagedata o:title=""/>
            <o:lock v:ext="edit"/>
          </v:shape>
        </w:pict>
      </w:r>
      <w:r>
        <w:rPr>
          <w:u w:val="single"/>
        </w:rPr>
        <w:pict>
          <v:shape id="_x0000_s1081" o:spid="_x0000_s1081" style="position:absolute;left:0pt;margin-left:193.45pt;margin-top:139.65pt;height:10.45pt;width:16.05pt;z-index:251664384;mso-width-relative:page;mso-height-relative:page;" fillcolor="#00B0F0" filled="t" coordsize="20383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LMJgIAAEAEAAAOAAAAZHJzL2Uyb0RvYy54bWysU9tu2zAMfR+wfxD0vviSpE2NOEWXLsOA&#10;bivQ7QMUWY6F6TZKidN9fSnZzZLtbZgfBNGkDsnDw+XtUStyEOClNTUtJjklwnDbSLOr6fdvm3cL&#10;SnxgpmHKGlHTZ+Hp7ertm2XvKlHazqpGAEEQ46ve1bQLwVVZ5nknNPMT64RBZ2tBs4Am7LIGWI/o&#10;WmVlnl9lvYXGgeXCe/x7PzjpKuG3reDha9t6EYiqKdYW0gnp3MYzWy1ZtQPmOsnHMtg/VKGZNJj0&#10;BHXPAiN7kH9BacnBetuGCbc6s20ruUg9YDdF/kc3Tx1zIvWC5Hh3osn/P1j+5fAIRDY1LQvkxzCN&#10;Q7rbB5tyk7K8ihT1zlcY+eQeITbp3YPlPzwxdt0xsxN3ALbvBGuwsCLGZxcPouHxKdn2n22D+Azx&#10;E1vHFnQERB7IMQ3l+TQUcQyE488yny6mc0o4uoppeV3MUwZWvT524MNHYTWJl5qi2mCe0NnhwYdY&#10;DateY1L1VslmI5VKBuy2awXkwKJA8vf5JmkCn/jzMGVIX9ObeTkgX/j8JUSO31jhRZiWAZWupK7p&#10;IsaM2ou0fTBN0mFgUg13zK/MyGOkbhjB1jbPSCPYQca4dnjpLPyipEcJY+8/9wwEJeqTwVHcFLNZ&#10;1HwyZvPrEg0492zPPcxwhKppoGS4rsOwJ3sHctdhpiKxamyURysTs3G0Q1VjsSjTRPi4UnEPzu0U&#10;9XvxVy8AAAD//wMAUEsDBBQABgAIAAAAIQAiLh/S4AAAAAsBAAAPAAAAZHJzL2Rvd25yZXYueG1s&#10;TI/PToQwEIfvJr5DMyZejFsERETKZuPGxMSDcfEBunQEsnRKaGHx7R1Peps/X37zTbld7SAWnHzv&#10;SMHdJgKB1DjTU6vgs365zUH4oMnowREq+EYP2+ryotSFcWf6wOUQWsEh5AutoAthLKT0TYdW+40b&#10;kXj35SarA7dTK82kzxxuBxlHUSat7okvdHrE5w6b02G2Cm4a87rUpz7J3992yb6e98mY1kpdX627&#10;JxAB1/AHw68+q0PFTkc3k/FiUJAm9zGjCuI0T0AwkWYPXBx5kj3GIKtS/v+h+gEAAP//AwBQSwEC&#10;LQAUAAYACAAAACEAtoM4kv4AAADhAQAAEwAAAAAAAAAAAAAAAAAAAAAAW0NvbnRlbnRfVHlwZXNd&#10;LnhtbFBLAQItABQABgAIAAAAIQA4/SH/1gAAAJQBAAALAAAAAAAAAAAAAAAAAC8BAABfcmVscy8u&#10;cmVsc1BLAQItABQABgAIAAAAIQCT7fLMJgIAAEAEAAAOAAAAAAAAAAAAAAAAAC4CAABkcnMvZTJv&#10;RG9jLnhtbFBLAQItABQABgAIAAAAIQAiLh/S4AAAAAsBAAAPAAAAAAAAAAAAAAAAAIAEAABkcnMv&#10;ZG93bnJldi54bWxQSwUGAAAAAAQABADzAAAAjQUAAAAA&#10;" path="m0,50692l77858,50693,101918,0,125977,50693,203835,50692,140846,82022,164906,132715,101918,101385,38929,132715,62989,82022,0,50692xe">
            <v:path o:connecttype="custom" o:connectlocs="0,50692;77858,50693;101918,0;125977,50693;203835,50692;140846,82022;164906,132715;101918,101385;38929,132715;62989,82022;0,50692" o:connectangles="0,0,0,0,0,0,0,0,0,0,0"/>
            <v:fill on="t" focussize="0,0"/>
            <v:stroke joinstyle="miter"/>
            <v:imagedata o:title=""/>
            <o:lock v:ext="edit"/>
          </v:shape>
        </w:pict>
      </w:r>
      <w:r>
        <w:rPr>
          <w:u w:val="single"/>
        </w:rPr>
        <w:pict>
          <v:shape id="_x0000_s1082" o:spid="_x0000_s1082" o:spt="3" type="#_x0000_t3" style="position:absolute;left:0pt;margin-left:206.5pt;margin-top:130.45pt;height:12.65pt;width:10.35pt;z-index:251662336;mso-width-relative:page;mso-height-relative:page;" fillcolor="#000000" filled="t" coordsize="21600,21600">
            <v:path/>
            <v:fill on="t" focussize="0,0"/>
            <v:stroke/>
            <v:imagedata o:title=""/>
            <o:lock v:ext="edit"/>
          </v:shape>
        </w:pict>
      </w:r>
      <w:r>
        <w:rPr>
          <w:u w:val="single"/>
        </w:rPr>
        <w:pict>
          <v:shape id="_x0000_s1083" o:spid="_x0000_s1083" o:spt="109" type="#_x0000_t109" style="position:absolute;left:0pt;margin-left:192.75pt;margin-top:111.45pt;height:18.75pt;width:39.8pt;z-index:25166336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DmQIAADsFAAAOAAAAZHJzL2Uyb0RvYy54bWysVNtuGyEQfa/Uf0C8O3vJ+rKrrKM0qatK&#10;aRsp7QdgYL2oLFDAXqdV/70D2IndvlRV94FlGDgzZzjD1fV+kGjHrRNatbi4yDHiimom1KbFXz6v&#10;JguMnCeKEakVb/ETd/h6+frV1WgaXupeS8YtAhDlmtG0uPfeNFnmaM8H4i604QqcnbYD8WDaTcYs&#10;GQF9kFmZ57Ns1JYZqyl3DlbvkhMvI37Xceo/dZ3jHskWQ24+jjaO6zBmyyvSbCwxvaCHNMg/ZDEQ&#10;oSDoM9Qd8QRtrfgDahDUaqc7f0H1kOmuE5RHDsCmyH9j89gTwyMXKI4zz2Vy/w+Wftw9WCRYi8u8&#10;wkiRAS7pZut1jI3Ky1ii0bgGdj6aBxtIOnOv6VeHlL7tidrwG2v12HPCILEilDQ7OxAMB0fRevyg&#10;GeATwI/V2nd2CIBQB7SPl/L0fCl87xGFxSKvp5fzKUYUfNViVhUxpYw0x9PGOv+O6wGFSYs7qUfI&#10;y/qHJIsYiezunQ+Zkea4PTLRUrCVkDIadrO+lRbtCIhlFb90VpqepNVjaJe2Rjx3iiFVQFI6YKZw&#10;aQXYQALBF3hFZfyoi7LK35T1ZDVbzCfVqppO6nm+mORF/aae5VVd3a1+hgyKqukFY1zdC8WPKi2q&#10;v1PBoV+SvqJO0djielpOI7mz7A+0ziqQWJxtG4SHppViaPEiD19qo6CAt4rBAdJ4ImSaZ+fpx5JB&#10;DY7/WJWolyCR0Leu8fv1PmlyHpDD0lqzJ1CQ1XDB0Mfw4sCk1/Y7RiN0b4vdty2xHCP5XoEK66Kq&#10;QrtHo5rOSzDsqWd96iGKAlSLPUZpeuvTE7E1Vmx6iFTEWikdOqMTUUgvWQGVYECHRlKH1yQ8Aad2&#10;3PXy5i1/AQAA//8DAFBLAwQUAAYACAAAACEAp2iubOAAAAALAQAADwAAAGRycy9kb3ducmV2Lnht&#10;bEyPy07DMBBF90j8gzVIbFBrN82jDXEqRMWCJQF17SbTJKo9jmy3DX+PWcFydI/uPVPtZqPZFZ0f&#10;LUlYLQUwpNZ2I/USvj7fFhtgPijqlLaEEr7Rw66+v6tU2dkbfeC1CT2LJeRLJWEIYSo59+2ARvml&#10;nZBidrLOqBBP1/POqVssN5onQuTcqJHiwqAmfB2wPTcXE0eadI8ie9IHPqz228KdD/QupHx8mF+e&#10;gQWcwx8Mv/pRHerodLQX6jzTEvJCFBGVkOTZFlgkNuk6AXaUsE6TDHhd8f8/1D8AAAD//wMAUEsB&#10;Ai0AFAAGAAgAAAAhALaDOJL+AAAA4QEAABMAAAAAAAAAAAAAAAAAAAAAAFtDb250ZW50X1R5cGVz&#10;XS54bWxQSwECLQAUAAYACAAAACEAOP0h/9YAAACUAQAACwAAAAAAAAAAAAAAAAAvAQAAX3JlbHMv&#10;LnJlbHNQSwECLQAUAAYACAAAACEADhv7Q5kCAAA7BQAADgAAAAAAAAAAAAAAAAAuAgAAZHJzL2Uy&#10;b0RvYy54bWxQSwECLQAUAAYACAAAACEAp2iubOAAAAALAQAADwAAAAAAAAAAAAAAAADzBAAAZHJz&#10;L2Rvd25yZXYueG1sUEsFBgAAAAAEAAQA8wAAAAAGAAAAAA==&#10;">
            <v:path/>
            <v:fill opacity="0f" focussize="0,0"/>
            <v:stroke on="f" joinstyle="miter"/>
            <v:imagedata o:title=""/>
            <o:lock v:ext="edit"/>
            <v:textbox>
              <w:txbxContent>
                <w:p>
                  <w:pPr>
                    <w:jc w:val="center"/>
                    <w:rPr>
                      <w:b/>
                      <w:color w:val="000000"/>
                      <w:sz w:val="21"/>
                      <w:szCs w:val="21"/>
                    </w:rPr>
                  </w:pPr>
                  <w:r>
                    <w:rPr>
                      <w:b/>
                      <w:color w:val="000000"/>
                      <w:sz w:val="21"/>
                      <w:szCs w:val="21"/>
                    </w:rPr>
                    <w:t>1</w:t>
                  </w:r>
                </w:p>
              </w:txbxContent>
            </v:textbox>
          </v:shape>
        </w:pict>
      </w:r>
      <w:r>
        <w:rPr>
          <w:u w:val="single"/>
        </w:rPr>
        <w:pict>
          <v:shape id="_x0000_i1075" o:spt="75" type="#_x0000_t75" style="height:267pt;width:443.25pt;" filled="f" o:preferrelative="t" stroked="f" coordsize="21600,21600">
            <v:path/>
            <v:fill on="f" focussize="0,0"/>
            <v:stroke on="f" joinstyle="miter"/>
            <v:imagedata r:id="rId54" croptop="1055f" cropbottom="9728f" o:title=""/>
            <o:lock v:ext="edit" aspectratio="t"/>
            <w10:wrap type="none"/>
            <w10:anchorlock/>
          </v:shape>
        </w:pict>
      </w:r>
      <w:r>
        <w:rPr>
          <w:rFonts w:hint="eastAsia" w:eastAsia="黑体"/>
          <w:color w:val="000000"/>
          <w:kern w:val="0"/>
          <w:sz w:val="24"/>
          <w:u w:val="single"/>
        </w:rPr>
        <w:t>图</w:t>
      </w:r>
      <w:r>
        <w:rPr>
          <w:rFonts w:eastAsia="黑体"/>
          <w:color w:val="000000"/>
          <w:kern w:val="0"/>
          <w:sz w:val="24"/>
          <w:u w:val="single"/>
        </w:rPr>
        <w:t xml:space="preserve">7.1-5  </w:t>
      </w:r>
      <w:r>
        <w:rPr>
          <w:rFonts w:hint="eastAsia" w:eastAsia="黑体"/>
          <w:color w:val="000000"/>
          <w:kern w:val="0"/>
          <w:sz w:val="24"/>
          <w:u w:val="single"/>
        </w:rPr>
        <w:t>弼时镇桃花村居民点路段远期夜间等声级线图</w:t>
      </w:r>
    </w:p>
    <w:p>
      <w:pPr>
        <w:pStyle w:val="19"/>
        <w:jc w:val="both"/>
        <w:rPr>
          <w:color w:val="FF0000"/>
          <w:highlight w:val="yellow"/>
          <w:u w:val="single"/>
        </w:rPr>
        <w:sectPr>
          <w:pgSz w:w="11907" w:h="16840"/>
          <w:pgMar w:top="1474" w:right="1361" w:bottom="1474" w:left="1588" w:header="1020" w:footer="851" w:gutter="0"/>
          <w:pgBorders>
            <w:top w:val="none" w:sz="0" w:space="0"/>
            <w:left w:val="none" w:sz="0" w:space="0"/>
            <w:bottom w:val="none" w:sz="0" w:space="0"/>
            <w:right w:val="none" w:sz="0" w:space="0"/>
          </w:pgBorders>
          <w:cols w:space="720" w:num="1"/>
          <w:docGrid w:linePitch="286" w:charSpace="0"/>
        </w:sectPr>
      </w:pPr>
    </w:p>
    <w:p>
      <w:pPr>
        <w:pStyle w:val="19"/>
        <w:jc w:val="center"/>
        <w:rPr>
          <w:u w:val="single"/>
        </w:rPr>
      </w:pPr>
      <w:bookmarkStart w:id="221" w:name="_Ref401618186"/>
      <w:bookmarkStart w:id="222" w:name="_Ref304994896"/>
      <w:r>
        <w:rPr>
          <w:rFonts w:hint="eastAsia"/>
          <w:u w:val="single"/>
        </w:rPr>
        <w:t>表</w:t>
      </w:r>
      <w:bookmarkEnd w:id="221"/>
      <w:r>
        <w:rPr>
          <w:u w:val="single"/>
        </w:rPr>
        <w:t xml:space="preserve">7.1-8  </w:t>
      </w:r>
      <w:r>
        <w:rPr>
          <w:rFonts w:hint="eastAsia"/>
          <w:u w:val="single"/>
        </w:rPr>
        <w:t>拟建公路沿线声环境敏感点近期环境噪声预测结果</w:t>
      </w:r>
      <w:r>
        <w:rPr>
          <w:u w:val="single"/>
        </w:rPr>
        <w:t xml:space="preserve">    </w:t>
      </w:r>
      <w:r>
        <w:rPr>
          <w:rFonts w:hint="eastAsia"/>
          <w:u w:val="single"/>
        </w:rPr>
        <w:t>单位：</w:t>
      </w:r>
      <w:r>
        <w:rPr>
          <w:u w:val="single"/>
        </w:rPr>
        <w:t>dB(A)</w:t>
      </w:r>
    </w:p>
    <w:bookmarkEnd w:id="222"/>
    <w:tbl>
      <w:tblPr>
        <w:tblStyle w:val="65"/>
        <w:tblW w:w="13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930"/>
        <w:gridCol w:w="1655"/>
        <w:gridCol w:w="1142"/>
        <w:gridCol w:w="762"/>
        <w:gridCol w:w="715"/>
        <w:gridCol w:w="670"/>
        <w:gridCol w:w="645"/>
        <w:gridCol w:w="680"/>
        <w:gridCol w:w="681"/>
        <w:gridCol w:w="659"/>
        <w:gridCol w:w="600"/>
        <w:gridCol w:w="646"/>
        <w:gridCol w:w="635"/>
        <w:gridCol w:w="450"/>
        <w:gridCol w:w="807"/>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blHeader/>
        </w:trPr>
        <w:tc>
          <w:tcPr>
            <w:tcW w:w="2533" w:type="dxa"/>
            <w:gridSpan w:val="2"/>
            <w:vMerge w:val="restart"/>
            <w:vAlign w:val="center"/>
          </w:tcPr>
          <w:p>
            <w:pPr>
              <w:pStyle w:val="112"/>
              <w:rPr>
                <w:kern w:val="2"/>
                <w:sz w:val="18"/>
                <w:szCs w:val="18"/>
                <w:u w:val="single"/>
              </w:rPr>
            </w:pPr>
            <w:r>
              <w:rPr>
                <w:rFonts w:hint="eastAsia" w:hAnsi="宋体"/>
                <w:kern w:val="2"/>
                <w:sz w:val="18"/>
                <w:szCs w:val="18"/>
                <w:u w:val="single"/>
              </w:rPr>
              <w:t>敏感点</w:t>
            </w:r>
          </w:p>
        </w:tc>
        <w:tc>
          <w:tcPr>
            <w:tcW w:w="1655" w:type="dxa"/>
            <w:vMerge w:val="restart"/>
            <w:vAlign w:val="center"/>
          </w:tcPr>
          <w:p>
            <w:pPr>
              <w:pStyle w:val="112"/>
              <w:rPr>
                <w:kern w:val="2"/>
                <w:sz w:val="18"/>
                <w:szCs w:val="18"/>
                <w:u w:val="single"/>
              </w:rPr>
            </w:pPr>
            <w:r>
              <w:rPr>
                <w:rFonts w:hint="eastAsia" w:hAnsi="宋体"/>
                <w:kern w:val="2"/>
                <w:sz w:val="18"/>
                <w:szCs w:val="18"/>
                <w:u w:val="single"/>
              </w:rPr>
              <w:t>桩号范围</w:t>
            </w:r>
          </w:p>
        </w:tc>
        <w:tc>
          <w:tcPr>
            <w:tcW w:w="1142" w:type="dxa"/>
            <w:vMerge w:val="restart"/>
            <w:vAlign w:val="center"/>
          </w:tcPr>
          <w:p>
            <w:pPr>
              <w:pStyle w:val="112"/>
              <w:rPr>
                <w:kern w:val="2"/>
                <w:sz w:val="18"/>
                <w:szCs w:val="18"/>
                <w:u w:val="single"/>
              </w:rPr>
            </w:pPr>
            <w:r>
              <w:rPr>
                <w:rFonts w:hint="eastAsia" w:cs="宋体"/>
                <w:sz w:val="18"/>
                <w:szCs w:val="18"/>
                <w:u w:val="single"/>
              </w:rPr>
              <w:t>临路首排房距路中心线最近距离</w:t>
            </w:r>
            <w:r>
              <w:rPr>
                <w:sz w:val="18"/>
                <w:szCs w:val="18"/>
                <w:u w:val="single"/>
              </w:rPr>
              <w:t>/</w:t>
            </w:r>
            <w:r>
              <w:rPr>
                <w:rFonts w:hint="eastAsia" w:cs="宋体"/>
                <w:sz w:val="18"/>
                <w:szCs w:val="18"/>
                <w:u w:val="single"/>
              </w:rPr>
              <w:t>红线距离（</w:t>
            </w:r>
            <w:r>
              <w:rPr>
                <w:sz w:val="18"/>
                <w:szCs w:val="18"/>
                <w:u w:val="single"/>
              </w:rPr>
              <w:t>m</w:t>
            </w:r>
            <w:r>
              <w:rPr>
                <w:rFonts w:hint="eastAsia" w:cs="宋体"/>
                <w:sz w:val="18"/>
                <w:szCs w:val="18"/>
                <w:u w:val="single"/>
              </w:rPr>
              <w:t>）</w:t>
            </w:r>
          </w:p>
        </w:tc>
        <w:tc>
          <w:tcPr>
            <w:tcW w:w="762" w:type="dxa"/>
            <w:vMerge w:val="restart"/>
            <w:vAlign w:val="center"/>
          </w:tcPr>
          <w:p>
            <w:pPr>
              <w:pStyle w:val="112"/>
              <w:rPr>
                <w:kern w:val="2"/>
                <w:sz w:val="18"/>
                <w:szCs w:val="18"/>
                <w:u w:val="single"/>
              </w:rPr>
            </w:pPr>
            <w:r>
              <w:rPr>
                <w:rFonts w:hint="eastAsia" w:hAnsi="宋体"/>
                <w:kern w:val="2"/>
                <w:sz w:val="18"/>
                <w:szCs w:val="18"/>
                <w:u w:val="single"/>
              </w:rPr>
              <w:t>时段</w:t>
            </w:r>
          </w:p>
        </w:tc>
        <w:tc>
          <w:tcPr>
            <w:tcW w:w="2030" w:type="dxa"/>
            <w:gridSpan w:val="3"/>
            <w:vAlign w:val="center"/>
          </w:tcPr>
          <w:p>
            <w:pPr>
              <w:pStyle w:val="112"/>
              <w:rPr>
                <w:kern w:val="2"/>
                <w:sz w:val="18"/>
                <w:szCs w:val="18"/>
                <w:u w:val="single"/>
              </w:rPr>
            </w:pPr>
            <w:r>
              <w:rPr>
                <w:kern w:val="2"/>
                <w:sz w:val="18"/>
                <w:szCs w:val="18"/>
                <w:u w:val="single"/>
              </w:rPr>
              <w:t>2019</w:t>
            </w:r>
            <w:r>
              <w:rPr>
                <w:rFonts w:hint="eastAsia" w:hAnsi="宋体"/>
                <w:kern w:val="2"/>
                <w:sz w:val="18"/>
                <w:szCs w:val="18"/>
                <w:u w:val="single"/>
              </w:rPr>
              <w:t>年（近期）</w:t>
            </w:r>
          </w:p>
        </w:tc>
        <w:tc>
          <w:tcPr>
            <w:tcW w:w="2020" w:type="dxa"/>
            <w:gridSpan w:val="3"/>
            <w:vAlign w:val="center"/>
          </w:tcPr>
          <w:p>
            <w:pPr>
              <w:pStyle w:val="112"/>
              <w:rPr>
                <w:kern w:val="2"/>
                <w:sz w:val="18"/>
                <w:szCs w:val="18"/>
                <w:u w:val="single"/>
              </w:rPr>
            </w:pPr>
            <w:r>
              <w:rPr>
                <w:kern w:val="2"/>
                <w:sz w:val="18"/>
                <w:szCs w:val="18"/>
                <w:u w:val="single"/>
              </w:rPr>
              <w:t>2025</w:t>
            </w:r>
            <w:r>
              <w:rPr>
                <w:rFonts w:hint="eastAsia" w:hAnsi="宋体"/>
                <w:kern w:val="2"/>
                <w:sz w:val="18"/>
                <w:szCs w:val="18"/>
                <w:u w:val="single"/>
              </w:rPr>
              <w:t>年（中期）</w:t>
            </w:r>
          </w:p>
        </w:tc>
        <w:tc>
          <w:tcPr>
            <w:tcW w:w="1881" w:type="dxa"/>
            <w:gridSpan w:val="3"/>
            <w:vAlign w:val="center"/>
          </w:tcPr>
          <w:p>
            <w:pPr>
              <w:pStyle w:val="112"/>
              <w:rPr>
                <w:kern w:val="2"/>
                <w:sz w:val="18"/>
                <w:szCs w:val="18"/>
                <w:u w:val="single"/>
              </w:rPr>
            </w:pPr>
            <w:r>
              <w:rPr>
                <w:kern w:val="2"/>
                <w:sz w:val="18"/>
                <w:szCs w:val="18"/>
                <w:u w:val="single"/>
              </w:rPr>
              <w:t>2033</w:t>
            </w:r>
            <w:r>
              <w:rPr>
                <w:rFonts w:hint="eastAsia" w:hAnsi="宋体"/>
                <w:kern w:val="2"/>
                <w:sz w:val="18"/>
                <w:szCs w:val="18"/>
                <w:u w:val="single"/>
              </w:rPr>
              <w:t>年（远期）</w:t>
            </w:r>
          </w:p>
        </w:tc>
        <w:tc>
          <w:tcPr>
            <w:tcW w:w="450" w:type="dxa"/>
            <w:vMerge w:val="restart"/>
            <w:vAlign w:val="center"/>
          </w:tcPr>
          <w:p>
            <w:pPr>
              <w:pStyle w:val="112"/>
              <w:rPr>
                <w:kern w:val="2"/>
                <w:sz w:val="18"/>
                <w:szCs w:val="18"/>
                <w:u w:val="single"/>
              </w:rPr>
            </w:pPr>
            <w:r>
              <w:rPr>
                <w:rFonts w:hint="eastAsia" w:hAnsi="宋体"/>
                <w:kern w:val="2"/>
                <w:sz w:val="18"/>
                <w:szCs w:val="18"/>
                <w:u w:val="single"/>
              </w:rPr>
              <w:t>评价</w:t>
            </w:r>
          </w:p>
          <w:p>
            <w:pPr>
              <w:pStyle w:val="112"/>
              <w:rPr>
                <w:kern w:val="2"/>
                <w:sz w:val="18"/>
                <w:szCs w:val="18"/>
                <w:u w:val="single"/>
              </w:rPr>
            </w:pPr>
            <w:r>
              <w:rPr>
                <w:rFonts w:hint="eastAsia" w:hAnsi="宋体"/>
                <w:kern w:val="2"/>
                <w:sz w:val="18"/>
                <w:szCs w:val="18"/>
                <w:u w:val="single"/>
              </w:rPr>
              <w:t>标准</w:t>
            </w:r>
          </w:p>
        </w:tc>
        <w:tc>
          <w:tcPr>
            <w:tcW w:w="807" w:type="dxa"/>
            <w:vMerge w:val="restart"/>
            <w:vAlign w:val="center"/>
          </w:tcPr>
          <w:p>
            <w:pPr>
              <w:pStyle w:val="112"/>
              <w:rPr>
                <w:kern w:val="2"/>
                <w:sz w:val="18"/>
                <w:szCs w:val="18"/>
                <w:u w:val="single"/>
              </w:rPr>
            </w:pPr>
            <w:r>
              <w:rPr>
                <w:rFonts w:hint="eastAsia" w:hAnsi="宋体"/>
                <w:kern w:val="2"/>
                <w:sz w:val="18"/>
                <w:szCs w:val="18"/>
                <w:u w:val="single"/>
              </w:rPr>
              <w:t>背景值</w:t>
            </w:r>
          </w:p>
        </w:tc>
        <w:tc>
          <w:tcPr>
            <w:tcW w:w="700" w:type="dxa"/>
            <w:vMerge w:val="restart"/>
            <w:vAlign w:val="center"/>
          </w:tcPr>
          <w:p>
            <w:pPr>
              <w:pStyle w:val="112"/>
              <w:rPr>
                <w:kern w:val="2"/>
                <w:sz w:val="18"/>
                <w:szCs w:val="18"/>
                <w:u w:val="single"/>
              </w:rPr>
            </w:pPr>
            <w:r>
              <w:rPr>
                <w:rFonts w:hint="eastAsia" w:hAnsi="宋体"/>
                <w:kern w:val="2"/>
                <w:sz w:val="18"/>
                <w:szCs w:val="18"/>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5" w:hRule="atLeast"/>
          <w:tblHeader/>
        </w:trPr>
        <w:tc>
          <w:tcPr>
            <w:tcW w:w="2533" w:type="dxa"/>
            <w:gridSpan w:val="2"/>
            <w:vMerge w:val="continue"/>
            <w:vAlign w:val="center"/>
          </w:tcPr>
          <w:p>
            <w:pPr>
              <w:pStyle w:val="112"/>
              <w:rPr>
                <w:kern w:val="2"/>
                <w:sz w:val="18"/>
                <w:szCs w:val="18"/>
                <w:u w:val="single"/>
              </w:rPr>
            </w:pPr>
          </w:p>
        </w:tc>
        <w:tc>
          <w:tcPr>
            <w:tcW w:w="1655" w:type="dxa"/>
            <w:vMerge w:val="continue"/>
            <w:vAlign w:val="center"/>
          </w:tcPr>
          <w:p>
            <w:pPr>
              <w:pStyle w:val="112"/>
              <w:rPr>
                <w:kern w:val="2"/>
                <w:sz w:val="18"/>
                <w:szCs w:val="18"/>
                <w:u w:val="single"/>
              </w:rPr>
            </w:pPr>
          </w:p>
        </w:tc>
        <w:tc>
          <w:tcPr>
            <w:tcW w:w="1142" w:type="dxa"/>
            <w:vMerge w:val="continue"/>
            <w:vAlign w:val="center"/>
          </w:tcPr>
          <w:p>
            <w:pPr>
              <w:pStyle w:val="112"/>
              <w:rPr>
                <w:kern w:val="2"/>
                <w:sz w:val="18"/>
                <w:szCs w:val="18"/>
                <w:u w:val="single"/>
              </w:rPr>
            </w:pPr>
          </w:p>
        </w:tc>
        <w:tc>
          <w:tcPr>
            <w:tcW w:w="762" w:type="dxa"/>
            <w:vMerge w:val="continue"/>
            <w:vAlign w:val="center"/>
          </w:tcPr>
          <w:p>
            <w:pPr>
              <w:pStyle w:val="112"/>
              <w:rPr>
                <w:kern w:val="2"/>
                <w:sz w:val="18"/>
                <w:szCs w:val="18"/>
                <w:u w:val="single"/>
              </w:rPr>
            </w:pPr>
          </w:p>
        </w:tc>
        <w:tc>
          <w:tcPr>
            <w:tcW w:w="715" w:type="dxa"/>
            <w:vAlign w:val="center"/>
          </w:tcPr>
          <w:p>
            <w:pPr>
              <w:pStyle w:val="112"/>
              <w:rPr>
                <w:rFonts w:hAnsi="宋体"/>
                <w:kern w:val="2"/>
                <w:sz w:val="18"/>
                <w:szCs w:val="18"/>
                <w:u w:val="single"/>
              </w:rPr>
            </w:pPr>
            <w:r>
              <w:rPr>
                <w:rFonts w:hint="eastAsia" w:hAnsi="宋体"/>
                <w:kern w:val="2"/>
                <w:sz w:val="18"/>
                <w:szCs w:val="18"/>
                <w:u w:val="single"/>
              </w:rPr>
              <w:t>贡献值</w:t>
            </w:r>
          </w:p>
          <w:p>
            <w:pPr>
              <w:pStyle w:val="112"/>
              <w:rPr>
                <w:kern w:val="2"/>
                <w:sz w:val="18"/>
                <w:szCs w:val="18"/>
                <w:u w:val="single"/>
              </w:rPr>
            </w:pPr>
          </w:p>
        </w:tc>
        <w:tc>
          <w:tcPr>
            <w:tcW w:w="670" w:type="dxa"/>
            <w:vAlign w:val="center"/>
          </w:tcPr>
          <w:p>
            <w:pPr>
              <w:pStyle w:val="112"/>
              <w:rPr>
                <w:rFonts w:hAnsi="宋体"/>
                <w:kern w:val="2"/>
                <w:sz w:val="18"/>
                <w:szCs w:val="18"/>
                <w:u w:val="single"/>
              </w:rPr>
            </w:pPr>
            <w:r>
              <w:rPr>
                <w:rFonts w:hint="eastAsia" w:hAnsi="宋体"/>
                <w:kern w:val="2"/>
                <w:sz w:val="18"/>
                <w:szCs w:val="18"/>
                <w:u w:val="single"/>
              </w:rPr>
              <w:t>预测值</w:t>
            </w:r>
          </w:p>
        </w:tc>
        <w:tc>
          <w:tcPr>
            <w:tcW w:w="645" w:type="dxa"/>
            <w:vAlign w:val="center"/>
          </w:tcPr>
          <w:p>
            <w:pPr>
              <w:pStyle w:val="112"/>
              <w:rPr>
                <w:kern w:val="2"/>
                <w:sz w:val="18"/>
                <w:szCs w:val="18"/>
                <w:u w:val="single"/>
              </w:rPr>
            </w:pPr>
            <w:r>
              <w:rPr>
                <w:rFonts w:hint="eastAsia" w:hAnsi="宋体"/>
                <w:kern w:val="2"/>
                <w:sz w:val="18"/>
                <w:szCs w:val="18"/>
                <w:u w:val="single"/>
              </w:rPr>
              <w:t>超标值</w:t>
            </w:r>
          </w:p>
        </w:tc>
        <w:tc>
          <w:tcPr>
            <w:tcW w:w="680" w:type="dxa"/>
            <w:vAlign w:val="center"/>
          </w:tcPr>
          <w:p>
            <w:pPr>
              <w:pStyle w:val="112"/>
              <w:rPr>
                <w:kern w:val="2"/>
                <w:sz w:val="18"/>
                <w:szCs w:val="18"/>
                <w:u w:val="single"/>
              </w:rPr>
            </w:pPr>
            <w:r>
              <w:rPr>
                <w:rFonts w:hint="eastAsia" w:hAnsi="宋体"/>
                <w:kern w:val="2"/>
                <w:sz w:val="18"/>
                <w:szCs w:val="18"/>
                <w:u w:val="single"/>
              </w:rPr>
              <w:t>贡献值</w:t>
            </w:r>
          </w:p>
        </w:tc>
        <w:tc>
          <w:tcPr>
            <w:tcW w:w="681" w:type="dxa"/>
            <w:vAlign w:val="center"/>
          </w:tcPr>
          <w:p>
            <w:pPr>
              <w:pStyle w:val="112"/>
              <w:rPr>
                <w:rFonts w:hAnsi="宋体"/>
                <w:kern w:val="2"/>
                <w:sz w:val="18"/>
                <w:szCs w:val="18"/>
                <w:u w:val="single"/>
              </w:rPr>
            </w:pPr>
            <w:r>
              <w:rPr>
                <w:rFonts w:hint="eastAsia" w:hAnsi="宋体"/>
                <w:kern w:val="2"/>
                <w:sz w:val="18"/>
                <w:szCs w:val="18"/>
                <w:u w:val="single"/>
              </w:rPr>
              <w:t>预测值</w:t>
            </w:r>
          </w:p>
        </w:tc>
        <w:tc>
          <w:tcPr>
            <w:tcW w:w="659" w:type="dxa"/>
            <w:vAlign w:val="center"/>
          </w:tcPr>
          <w:p>
            <w:pPr>
              <w:pStyle w:val="112"/>
              <w:rPr>
                <w:kern w:val="2"/>
                <w:sz w:val="18"/>
                <w:szCs w:val="18"/>
                <w:u w:val="single"/>
              </w:rPr>
            </w:pPr>
            <w:r>
              <w:rPr>
                <w:rFonts w:hint="eastAsia" w:hAnsi="宋体"/>
                <w:kern w:val="2"/>
                <w:sz w:val="18"/>
                <w:szCs w:val="18"/>
                <w:u w:val="single"/>
              </w:rPr>
              <w:t>超标值</w:t>
            </w:r>
          </w:p>
        </w:tc>
        <w:tc>
          <w:tcPr>
            <w:tcW w:w="600" w:type="dxa"/>
            <w:vAlign w:val="center"/>
          </w:tcPr>
          <w:p>
            <w:pPr>
              <w:pStyle w:val="112"/>
              <w:rPr>
                <w:kern w:val="2"/>
                <w:sz w:val="18"/>
                <w:szCs w:val="18"/>
                <w:u w:val="single"/>
              </w:rPr>
            </w:pPr>
            <w:r>
              <w:rPr>
                <w:rFonts w:hint="eastAsia" w:hAnsi="宋体"/>
                <w:kern w:val="2"/>
                <w:sz w:val="18"/>
                <w:szCs w:val="18"/>
                <w:u w:val="single"/>
              </w:rPr>
              <w:t>贡献值</w:t>
            </w:r>
          </w:p>
        </w:tc>
        <w:tc>
          <w:tcPr>
            <w:tcW w:w="646" w:type="dxa"/>
            <w:vAlign w:val="center"/>
          </w:tcPr>
          <w:p>
            <w:pPr>
              <w:pStyle w:val="112"/>
              <w:rPr>
                <w:rFonts w:hAnsi="宋体"/>
                <w:kern w:val="2"/>
                <w:sz w:val="18"/>
                <w:szCs w:val="18"/>
                <w:u w:val="single"/>
              </w:rPr>
            </w:pPr>
            <w:r>
              <w:rPr>
                <w:rFonts w:hint="eastAsia" w:hAnsi="宋体"/>
                <w:kern w:val="2"/>
                <w:sz w:val="18"/>
                <w:szCs w:val="18"/>
                <w:u w:val="single"/>
              </w:rPr>
              <w:t>预测值</w:t>
            </w:r>
          </w:p>
        </w:tc>
        <w:tc>
          <w:tcPr>
            <w:tcW w:w="635" w:type="dxa"/>
            <w:vAlign w:val="center"/>
          </w:tcPr>
          <w:p>
            <w:pPr>
              <w:pStyle w:val="112"/>
              <w:rPr>
                <w:kern w:val="2"/>
                <w:sz w:val="18"/>
                <w:szCs w:val="18"/>
                <w:u w:val="single"/>
              </w:rPr>
            </w:pPr>
            <w:r>
              <w:rPr>
                <w:rFonts w:hint="eastAsia" w:hAnsi="宋体"/>
                <w:kern w:val="2"/>
                <w:sz w:val="18"/>
                <w:szCs w:val="18"/>
                <w:u w:val="single"/>
              </w:rPr>
              <w:t>超标值</w:t>
            </w:r>
          </w:p>
        </w:tc>
        <w:tc>
          <w:tcPr>
            <w:tcW w:w="450" w:type="dxa"/>
            <w:vMerge w:val="continue"/>
            <w:vAlign w:val="center"/>
          </w:tcPr>
          <w:p>
            <w:pPr>
              <w:pStyle w:val="112"/>
              <w:rPr>
                <w:kern w:val="2"/>
                <w:sz w:val="18"/>
                <w:szCs w:val="18"/>
                <w:u w:val="single"/>
              </w:rPr>
            </w:pPr>
          </w:p>
        </w:tc>
        <w:tc>
          <w:tcPr>
            <w:tcW w:w="807" w:type="dxa"/>
            <w:vMerge w:val="continue"/>
            <w:vAlign w:val="center"/>
          </w:tcPr>
          <w:p>
            <w:pPr>
              <w:pStyle w:val="112"/>
              <w:rPr>
                <w:kern w:val="2"/>
                <w:sz w:val="18"/>
                <w:szCs w:val="18"/>
                <w:u w:val="single"/>
              </w:rPr>
            </w:pPr>
          </w:p>
        </w:tc>
        <w:tc>
          <w:tcPr>
            <w:tcW w:w="700" w:type="dxa"/>
            <w:vMerge w:val="continue"/>
            <w:vAlign w:val="center"/>
          </w:tcPr>
          <w:p>
            <w:pPr>
              <w:pStyle w:val="112"/>
              <w:rPr>
                <w:kern w:val="2"/>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603" w:type="dxa"/>
            <w:vMerge w:val="restart"/>
            <w:vAlign w:val="center"/>
          </w:tcPr>
          <w:p>
            <w:pPr>
              <w:jc w:val="center"/>
              <w:rPr>
                <w:sz w:val="21"/>
                <w:szCs w:val="21"/>
                <w:u w:val="single"/>
              </w:rPr>
            </w:pPr>
            <w:r>
              <w:rPr>
                <w:rFonts w:hint="eastAsia"/>
                <w:sz w:val="21"/>
                <w:szCs w:val="21"/>
                <w:u w:val="single"/>
              </w:rPr>
              <w:t>弼时镇</w:t>
            </w:r>
          </w:p>
        </w:tc>
        <w:tc>
          <w:tcPr>
            <w:tcW w:w="1930" w:type="dxa"/>
            <w:vMerge w:val="restart"/>
            <w:vAlign w:val="center"/>
          </w:tcPr>
          <w:p>
            <w:pPr>
              <w:jc w:val="center"/>
              <w:rPr>
                <w:sz w:val="21"/>
                <w:szCs w:val="21"/>
                <w:u w:val="single"/>
              </w:rPr>
            </w:pPr>
            <w:r>
              <w:rPr>
                <w:rFonts w:hint="eastAsia"/>
                <w:sz w:val="21"/>
                <w:szCs w:val="21"/>
                <w:u w:val="single"/>
              </w:rPr>
              <w:t>铜盆村居民点</w:t>
            </w:r>
          </w:p>
        </w:tc>
        <w:tc>
          <w:tcPr>
            <w:tcW w:w="1655" w:type="dxa"/>
            <w:vMerge w:val="restart"/>
            <w:vAlign w:val="center"/>
          </w:tcPr>
          <w:p>
            <w:pPr>
              <w:jc w:val="center"/>
              <w:rPr>
                <w:sz w:val="18"/>
                <w:szCs w:val="18"/>
                <w:u w:val="single"/>
              </w:rPr>
            </w:pPr>
            <w:r>
              <w:rPr>
                <w:sz w:val="18"/>
                <w:szCs w:val="18"/>
                <w:u w:val="single"/>
              </w:rPr>
              <w:t>K0+000~K0+850</w:t>
            </w:r>
          </w:p>
        </w:tc>
        <w:tc>
          <w:tcPr>
            <w:tcW w:w="1142" w:type="dxa"/>
            <w:vMerge w:val="restart"/>
            <w:vAlign w:val="center"/>
          </w:tcPr>
          <w:p>
            <w:pPr>
              <w:jc w:val="center"/>
              <w:rPr>
                <w:color w:val="FF0000"/>
                <w:sz w:val="18"/>
                <w:szCs w:val="18"/>
                <w:u w:val="single"/>
              </w:rPr>
            </w:pPr>
            <w:r>
              <w:rPr>
                <w:sz w:val="18"/>
                <w:szCs w:val="18"/>
                <w:u w:val="single"/>
              </w:rPr>
              <w:t>18.75/</w:t>
            </w:r>
            <w:r>
              <w:rPr>
                <w:rFonts w:hint="eastAsia"/>
                <w:sz w:val="18"/>
                <w:szCs w:val="18"/>
                <w:u w:val="single"/>
                <w:lang w:val="en-US" w:eastAsia="zh-CN"/>
              </w:rPr>
              <w:t>5</w:t>
            </w:r>
          </w:p>
        </w:tc>
        <w:tc>
          <w:tcPr>
            <w:tcW w:w="762" w:type="dxa"/>
            <w:vAlign w:val="center"/>
          </w:tcPr>
          <w:p>
            <w:pPr>
              <w:jc w:val="center"/>
              <w:rPr>
                <w:sz w:val="18"/>
                <w:szCs w:val="18"/>
                <w:u w:val="single"/>
              </w:rPr>
            </w:pPr>
            <w:r>
              <w:rPr>
                <w:rFonts w:hint="eastAsia"/>
                <w:sz w:val="18"/>
                <w:szCs w:val="18"/>
                <w:u w:val="single"/>
              </w:rPr>
              <w:t>昼间</w:t>
            </w:r>
          </w:p>
        </w:tc>
        <w:tc>
          <w:tcPr>
            <w:tcW w:w="715"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65.0</w:t>
            </w:r>
          </w:p>
        </w:tc>
        <w:tc>
          <w:tcPr>
            <w:tcW w:w="67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65.81</w:t>
            </w:r>
          </w:p>
        </w:tc>
        <w:tc>
          <w:tcPr>
            <w:tcW w:w="645" w:type="dxa"/>
            <w:vAlign w:val="center"/>
          </w:tcPr>
          <w:p>
            <w:pPr>
              <w:pStyle w:val="112"/>
              <w:rPr>
                <w:color w:val="auto"/>
                <w:kern w:val="2"/>
                <w:sz w:val="18"/>
                <w:szCs w:val="18"/>
                <w:u w:val="single"/>
              </w:rPr>
            </w:pPr>
            <w:r>
              <w:rPr>
                <w:color w:val="auto"/>
                <w:kern w:val="2"/>
                <w:sz w:val="18"/>
                <w:szCs w:val="18"/>
                <w:u w:val="single"/>
              </w:rPr>
              <w:t>/</w:t>
            </w:r>
          </w:p>
        </w:tc>
        <w:tc>
          <w:tcPr>
            <w:tcW w:w="68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67.1</w:t>
            </w:r>
          </w:p>
        </w:tc>
        <w:tc>
          <w:tcPr>
            <w:tcW w:w="681" w:type="dxa"/>
            <w:vAlign w:val="center"/>
          </w:tcPr>
          <w:p>
            <w:pPr>
              <w:jc w:val="center"/>
              <w:rPr>
                <w:color w:val="auto"/>
                <w:sz w:val="18"/>
                <w:szCs w:val="18"/>
                <w:u w:val="single"/>
              </w:rPr>
            </w:pPr>
            <w:r>
              <w:rPr>
                <w:color w:val="auto"/>
                <w:sz w:val="18"/>
                <w:szCs w:val="18"/>
                <w:u w:val="single"/>
              </w:rPr>
              <w:t>6</w:t>
            </w:r>
            <w:r>
              <w:rPr>
                <w:rFonts w:hint="eastAsia"/>
                <w:color w:val="auto"/>
                <w:sz w:val="18"/>
                <w:szCs w:val="18"/>
                <w:u w:val="single"/>
                <w:lang w:val="en-US" w:eastAsia="zh-CN"/>
              </w:rPr>
              <w:t>7.61</w:t>
            </w:r>
          </w:p>
        </w:tc>
        <w:tc>
          <w:tcPr>
            <w:tcW w:w="659" w:type="dxa"/>
            <w:vAlign w:val="center"/>
          </w:tcPr>
          <w:p>
            <w:pPr>
              <w:pStyle w:val="112"/>
              <w:rPr>
                <w:color w:val="auto"/>
                <w:kern w:val="2"/>
                <w:sz w:val="18"/>
                <w:szCs w:val="18"/>
                <w:u w:val="single"/>
              </w:rPr>
            </w:pPr>
            <w:r>
              <w:rPr>
                <w:color w:val="auto"/>
                <w:kern w:val="2"/>
                <w:sz w:val="18"/>
                <w:szCs w:val="18"/>
                <w:u w:val="single"/>
              </w:rPr>
              <w:t>/</w:t>
            </w:r>
          </w:p>
        </w:tc>
        <w:tc>
          <w:tcPr>
            <w:tcW w:w="60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68.2</w:t>
            </w:r>
          </w:p>
        </w:tc>
        <w:tc>
          <w:tcPr>
            <w:tcW w:w="646" w:type="dxa"/>
            <w:vAlign w:val="center"/>
          </w:tcPr>
          <w:p>
            <w:pPr>
              <w:jc w:val="center"/>
              <w:rPr>
                <w:color w:val="auto"/>
                <w:sz w:val="18"/>
                <w:szCs w:val="18"/>
                <w:u w:val="single"/>
              </w:rPr>
            </w:pPr>
            <w:r>
              <w:rPr>
                <w:color w:val="auto"/>
                <w:sz w:val="18"/>
                <w:szCs w:val="18"/>
                <w:u w:val="single"/>
              </w:rPr>
              <w:t>6</w:t>
            </w:r>
            <w:r>
              <w:rPr>
                <w:rFonts w:hint="eastAsia"/>
                <w:color w:val="auto"/>
                <w:sz w:val="18"/>
                <w:szCs w:val="18"/>
                <w:u w:val="single"/>
                <w:lang w:val="en-US" w:eastAsia="zh-CN"/>
              </w:rPr>
              <w:t>8.6</w:t>
            </w:r>
          </w:p>
        </w:tc>
        <w:tc>
          <w:tcPr>
            <w:tcW w:w="635" w:type="dxa"/>
            <w:vAlign w:val="center"/>
          </w:tcPr>
          <w:p>
            <w:pPr>
              <w:pStyle w:val="112"/>
              <w:rPr>
                <w:color w:val="auto"/>
                <w:kern w:val="2"/>
                <w:sz w:val="18"/>
                <w:szCs w:val="18"/>
                <w:u w:val="single"/>
              </w:rPr>
            </w:pPr>
            <w:r>
              <w:rPr>
                <w:color w:val="auto"/>
                <w:kern w:val="2"/>
                <w:sz w:val="18"/>
                <w:szCs w:val="18"/>
                <w:u w:val="single"/>
              </w:rPr>
              <w:t>/</w:t>
            </w:r>
          </w:p>
        </w:tc>
        <w:tc>
          <w:tcPr>
            <w:tcW w:w="450" w:type="dxa"/>
            <w:vMerge w:val="restart"/>
            <w:vAlign w:val="center"/>
          </w:tcPr>
          <w:p>
            <w:pPr>
              <w:pStyle w:val="112"/>
              <w:rPr>
                <w:kern w:val="2"/>
                <w:sz w:val="18"/>
                <w:szCs w:val="18"/>
                <w:u w:val="single"/>
              </w:rPr>
            </w:pPr>
            <w:r>
              <w:rPr>
                <w:kern w:val="2"/>
                <w:sz w:val="18"/>
                <w:szCs w:val="18"/>
                <w:u w:val="single"/>
              </w:rPr>
              <w:t>4a</w:t>
            </w:r>
          </w:p>
        </w:tc>
        <w:tc>
          <w:tcPr>
            <w:tcW w:w="807" w:type="dxa"/>
            <w:vAlign w:val="center"/>
          </w:tcPr>
          <w:p>
            <w:pPr>
              <w:pStyle w:val="112"/>
              <w:rPr>
                <w:kern w:val="2"/>
                <w:sz w:val="18"/>
                <w:szCs w:val="18"/>
                <w:u w:val="single"/>
              </w:rPr>
            </w:pPr>
            <w:r>
              <w:rPr>
                <w:kern w:val="2"/>
                <w:sz w:val="18"/>
                <w:szCs w:val="18"/>
                <w:u w:val="single"/>
              </w:rPr>
              <w:t>58.1</w:t>
            </w:r>
          </w:p>
        </w:tc>
        <w:tc>
          <w:tcPr>
            <w:tcW w:w="700" w:type="dxa"/>
            <w:vMerge w:val="restart"/>
            <w:vAlign w:val="center"/>
          </w:tcPr>
          <w:p>
            <w:pPr>
              <w:pStyle w:val="112"/>
              <w:rPr>
                <w:kern w:val="2"/>
                <w:sz w:val="18"/>
                <w:szCs w:val="18"/>
                <w:u w:val="single"/>
              </w:rPr>
            </w:pPr>
            <w:r>
              <w:rPr>
                <w:rFonts w:hint="eastAsia" w:hAnsi="宋体"/>
                <w:kern w:val="2"/>
                <w:sz w:val="18"/>
                <w:szCs w:val="18"/>
                <w:u w:val="single"/>
              </w:rPr>
              <w:t>新建路段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603" w:type="dxa"/>
            <w:vMerge w:val="continue"/>
            <w:vAlign w:val="center"/>
          </w:tcPr>
          <w:p>
            <w:pPr>
              <w:jc w:val="center"/>
              <w:rPr>
                <w:sz w:val="21"/>
                <w:szCs w:val="21"/>
                <w:u w:val="single"/>
              </w:rPr>
            </w:pPr>
          </w:p>
        </w:tc>
        <w:tc>
          <w:tcPr>
            <w:tcW w:w="1930" w:type="dxa"/>
            <w:vMerge w:val="continue"/>
            <w:vAlign w:val="center"/>
          </w:tcPr>
          <w:p>
            <w:pPr>
              <w:jc w:val="center"/>
              <w:rPr>
                <w:sz w:val="21"/>
                <w:szCs w:val="21"/>
                <w:u w:val="single"/>
              </w:rPr>
            </w:pPr>
          </w:p>
        </w:tc>
        <w:tc>
          <w:tcPr>
            <w:tcW w:w="1655" w:type="dxa"/>
            <w:vMerge w:val="continue"/>
            <w:vAlign w:val="center"/>
          </w:tcPr>
          <w:p>
            <w:pPr>
              <w:jc w:val="center"/>
              <w:rPr>
                <w:sz w:val="18"/>
                <w:szCs w:val="18"/>
                <w:u w:val="single"/>
              </w:rPr>
            </w:pPr>
          </w:p>
        </w:tc>
        <w:tc>
          <w:tcPr>
            <w:tcW w:w="1142" w:type="dxa"/>
            <w:vMerge w:val="continue"/>
            <w:vAlign w:val="center"/>
          </w:tcPr>
          <w:p>
            <w:pPr>
              <w:jc w:val="center"/>
              <w:rPr>
                <w:sz w:val="18"/>
                <w:szCs w:val="18"/>
                <w:u w:val="single"/>
              </w:rPr>
            </w:pPr>
          </w:p>
        </w:tc>
        <w:tc>
          <w:tcPr>
            <w:tcW w:w="762" w:type="dxa"/>
            <w:vAlign w:val="center"/>
          </w:tcPr>
          <w:p>
            <w:pPr>
              <w:jc w:val="center"/>
              <w:rPr>
                <w:sz w:val="18"/>
                <w:szCs w:val="18"/>
                <w:u w:val="single"/>
              </w:rPr>
            </w:pPr>
            <w:r>
              <w:rPr>
                <w:rFonts w:hint="eastAsia"/>
                <w:sz w:val="18"/>
                <w:szCs w:val="18"/>
                <w:u w:val="single"/>
              </w:rPr>
              <w:t>夜间</w:t>
            </w:r>
          </w:p>
        </w:tc>
        <w:tc>
          <w:tcPr>
            <w:tcW w:w="715"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53.6</w:t>
            </w:r>
          </w:p>
        </w:tc>
        <w:tc>
          <w:tcPr>
            <w:tcW w:w="670" w:type="dxa"/>
            <w:vAlign w:val="center"/>
          </w:tcPr>
          <w:p>
            <w:pPr>
              <w:jc w:val="center"/>
              <w:rPr>
                <w:color w:val="auto"/>
                <w:sz w:val="18"/>
                <w:szCs w:val="18"/>
                <w:u w:val="single"/>
              </w:rPr>
            </w:pPr>
            <w:r>
              <w:rPr>
                <w:color w:val="auto"/>
                <w:sz w:val="18"/>
                <w:szCs w:val="18"/>
                <w:u w:val="single"/>
              </w:rPr>
              <w:t>5</w:t>
            </w:r>
            <w:r>
              <w:rPr>
                <w:rFonts w:hint="eastAsia"/>
                <w:color w:val="auto"/>
                <w:sz w:val="18"/>
                <w:szCs w:val="18"/>
                <w:u w:val="single"/>
                <w:lang w:val="en-US" w:eastAsia="zh-CN"/>
              </w:rPr>
              <w:t>4.53</w:t>
            </w:r>
          </w:p>
        </w:tc>
        <w:tc>
          <w:tcPr>
            <w:tcW w:w="645" w:type="dxa"/>
            <w:vAlign w:val="center"/>
          </w:tcPr>
          <w:p>
            <w:pPr>
              <w:pStyle w:val="112"/>
              <w:rPr>
                <w:color w:val="auto"/>
                <w:kern w:val="2"/>
                <w:sz w:val="18"/>
                <w:szCs w:val="18"/>
                <w:u w:val="single"/>
              </w:rPr>
            </w:pPr>
            <w:r>
              <w:rPr>
                <w:color w:val="auto"/>
                <w:kern w:val="2"/>
                <w:sz w:val="18"/>
                <w:szCs w:val="18"/>
                <w:u w:val="single"/>
              </w:rPr>
              <w:t>/</w:t>
            </w:r>
          </w:p>
        </w:tc>
        <w:tc>
          <w:tcPr>
            <w:tcW w:w="68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55.2</w:t>
            </w:r>
          </w:p>
        </w:tc>
        <w:tc>
          <w:tcPr>
            <w:tcW w:w="681" w:type="dxa"/>
            <w:vAlign w:val="center"/>
          </w:tcPr>
          <w:p>
            <w:pPr>
              <w:jc w:val="center"/>
              <w:rPr>
                <w:color w:val="auto"/>
                <w:sz w:val="18"/>
                <w:szCs w:val="18"/>
                <w:u w:val="single"/>
              </w:rPr>
            </w:pPr>
            <w:r>
              <w:rPr>
                <w:color w:val="auto"/>
                <w:sz w:val="18"/>
                <w:szCs w:val="18"/>
                <w:u w:val="single"/>
              </w:rPr>
              <w:t>5</w:t>
            </w:r>
            <w:r>
              <w:rPr>
                <w:rFonts w:hint="eastAsia"/>
                <w:color w:val="auto"/>
                <w:sz w:val="18"/>
                <w:szCs w:val="18"/>
                <w:u w:val="single"/>
                <w:lang w:val="en-US" w:eastAsia="zh-CN"/>
              </w:rPr>
              <w:t>5.87</w:t>
            </w:r>
          </w:p>
        </w:tc>
        <w:tc>
          <w:tcPr>
            <w:tcW w:w="659" w:type="dxa"/>
            <w:vAlign w:val="center"/>
          </w:tcPr>
          <w:p>
            <w:pPr>
              <w:pStyle w:val="112"/>
              <w:rPr>
                <w:rFonts w:hint="eastAsia" w:eastAsia="宋体"/>
                <w:color w:val="auto"/>
                <w:kern w:val="2"/>
                <w:sz w:val="18"/>
                <w:szCs w:val="18"/>
                <w:u w:val="single"/>
                <w:lang w:eastAsia="zh-CN"/>
              </w:rPr>
            </w:pPr>
            <w:r>
              <w:rPr>
                <w:rFonts w:hint="eastAsia"/>
                <w:color w:val="auto"/>
                <w:kern w:val="2"/>
                <w:sz w:val="18"/>
                <w:szCs w:val="18"/>
                <w:u w:val="single"/>
                <w:lang w:val="en-US" w:eastAsia="zh-CN"/>
              </w:rPr>
              <w:t>0.87</w:t>
            </w:r>
          </w:p>
        </w:tc>
        <w:tc>
          <w:tcPr>
            <w:tcW w:w="60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57.3</w:t>
            </w:r>
          </w:p>
        </w:tc>
        <w:tc>
          <w:tcPr>
            <w:tcW w:w="646"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57.72</w:t>
            </w:r>
          </w:p>
        </w:tc>
        <w:tc>
          <w:tcPr>
            <w:tcW w:w="635" w:type="dxa"/>
            <w:vAlign w:val="center"/>
          </w:tcPr>
          <w:p>
            <w:pPr>
              <w:pStyle w:val="112"/>
              <w:rPr>
                <w:rFonts w:hint="eastAsia" w:eastAsia="宋体"/>
                <w:color w:val="auto"/>
                <w:kern w:val="2"/>
                <w:sz w:val="18"/>
                <w:szCs w:val="18"/>
                <w:u w:val="single"/>
                <w:lang w:eastAsia="zh-CN"/>
              </w:rPr>
            </w:pPr>
            <w:r>
              <w:rPr>
                <w:rFonts w:hint="eastAsia"/>
                <w:color w:val="auto"/>
                <w:kern w:val="2"/>
                <w:sz w:val="18"/>
                <w:szCs w:val="18"/>
                <w:u w:val="single"/>
                <w:lang w:val="en-US" w:eastAsia="zh-CN"/>
              </w:rPr>
              <w:t>2.72</w:t>
            </w:r>
          </w:p>
        </w:tc>
        <w:tc>
          <w:tcPr>
            <w:tcW w:w="450" w:type="dxa"/>
            <w:vMerge w:val="continue"/>
            <w:vAlign w:val="center"/>
          </w:tcPr>
          <w:p>
            <w:pPr>
              <w:pStyle w:val="112"/>
              <w:rPr>
                <w:kern w:val="2"/>
                <w:sz w:val="18"/>
                <w:szCs w:val="18"/>
                <w:u w:val="single"/>
              </w:rPr>
            </w:pPr>
          </w:p>
        </w:tc>
        <w:tc>
          <w:tcPr>
            <w:tcW w:w="807" w:type="dxa"/>
            <w:vAlign w:val="center"/>
          </w:tcPr>
          <w:p>
            <w:pPr>
              <w:pStyle w:val="112"/>
              <w:rPr>
                <w:kern w:val="2"/>
                <w:sz w:val="18"/>
                <w:szCs w:val="18"/>
                <w:u w:val="single"/>
              </w:rPr>
            </w:pPr>
            <w:r>
              <w:rPr>
                <w:kern w:val="2"/>
                <w:sz w:val="18"/>
                <w:szCs w:val="18"/>
                <w:u w:val="single"/>
              </w:rPr>
              <w:t>47.4</w:t>
            </w:r>
          </w:p>
        </w:tc>
        <w:tc>
          <w:tcPr>
            <w:tcW w:w="700" w:type="dxa"/>
            <w:vMerge w:val="continue"/>
            <w:vAlign w:val="center"/>
          </w:tcPr>
          <w:p>
            <w:pPr>
              <w:pStyle w:val="112"/>
              <w:rPr>
                <w:rFonts w:hAnsi="宋体"/>
                <w:kern w:val="2"/>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603" w:type="dxa"/>
            <w:vMerge w:val="continue"/>
            <w:vAlign w:val="center"/>
          </w:tcPr>
          <w:p>
            <w:pPr>
              <w:pStyle w:val="3"/>
              <w:spacing w:line="240" w:lineRule="auto"/>
              <w:ind w:firstLine="0" w:firstLineChars="0"/>
              <w:jc w:val="center"/>
              <w:rPr>
                <w:kern w:val="2"/>
                <w:sz w:val="21"/>
                <w:szCs w:val="21"/>
                <w:u w:val="single"/>
              </w:rPr>
            </w:pPr>
          </w:p>
        </w:tc>
        <w:tc>
          <w:tcPr>
            <w:tcW w:w="1930" w:type="dxa"/>
            <w:vMerge w:val="restart"/>
            <w:vAlign w:val="center"/>
          </w:tcPr>
          <w:p>
            <w:pPr>
              <w:pStyle w:val="3"/>
              <w:spacing w:line="240" w:lineRule="auto"/>
              <w:ind w:firstLine="0" w:firstLineChars="0"/>
              <w:jc w:val="center"/>
              <w:rPr>
                <w:kern w:val="2"/>
                <w:sz w:val="21"/>
                <w:szCs w:val="21"/>
                <w:u w:val="single"/>
              </w:rPr>
            </w:pPr>
            <w:r>
              <w:rPr>
                <w:rFonts w:hint="eastAsia"/>
                <w:sz w:val="21"/>
                <w:szCs w:val="21"/>
                <w:u w:val="single"/>
              </w:rPr>
              <w:t>桃花村居民点</w:t>
            </w:r>
          </w:p>
        </w:tc>
        <w:tc>
          <w:tcPr>
            <w:tcW w:w="1655" w:type="dxa"/>
            <w:vMerge w:val="restart"/>
            <w:vAlign w:val="center"/>
          </w:tcPr>
          <w:p>
            <w:pPr>
              <w:jc w:val="center"/>
              <w:rPr>
                <w:sz w:val="18"/>
                <w:szCs w:val="18"/>
                <w:u w:val="single"/>
              </w:rPr>
            </w:pPr>
            <w:r>
              <w:rPr>
                <w:sz w:val="18"/>
                <w:szCs w:val="18"/>
                <w:u w:val="single"/>
              </w:rPr>
              <w:t>K0+850~K3+956</w:t>
            </w:r>
          </w:p>
        </w:tc>
        <w:tc>
          <w:tcPr>
            <w:tcW w:w="1142" w:type="dxa"/>
            <w:vMerge w:val="restart"/>
            <w:vAlign w:val="center"/>
          </w:tcPr>
          <w:p>
            <w:pPr>
              <w:jc w:val="center"/>
              <w:rPr>
                <w:color w:val="FF0000"/>
                <w:sz w:val="18"/>
                <w:szCs w:val="18"/>
                <w:u w:val="single"/>
              </w:rPr>
            </w:pPr>
            <w:r>
              <w:rPr>
                <w:sz w:val="18"/>
                <w:szCs w:val="18"/>
                <w:u w:val="single"/>
              </w:rPr>
              <w:t>18.75/</w:t>
            </w:r>
            <w:r>
              <w:rPr>
                <w:rFonts w:hint="eastAsia"/>
                <w:sz w:val="18"/>
                <w:szCs w:val="18"/>
                <w:u w:val="single"/>
                <w:lang w:val="en-US" w:eastAsia="zh-CN"/>
              </w:rPr>
              <w:t>5</w:t>
            </w:r>
          </w:p>
        </w:tc>
        <w:tc>
          <w:tcPr>
            <w:tcW w:w="762" w:type="dxa"/>
            <w:vAlign w:val="center"/>
          </w:tcPr>
          <w:p>
            <w:pPr>
              <w:jc w:val="center"/>
              <w:rPr>
                <w:sz w:val="18"/>
                <w:szCs w:val="18"/>
                <w:u w:val="single"/>
              </w:rPr>
            </w:pPr>
            <w:r>
              <w:rPr>
                <w:rFonts w:hint="eastAsia"/>
                <w:sz w:val="18"/>
                <w:szCs w:val="18"/>
                <w:u w:val="single"/>
              </w:rPr>
              <w:t>昼间</w:t>
            </w:r>
          </w:p>
        </w:tc>
        <w:tc>
          <w:tcPr>
            <w:tcW w:w="715" w:type="dxa"/>
            <w:textDirection w:val="lrTb"/>
            <w:vAlign w:val="center"/>
          </w:tcPr>
          <w:p>
            <w:pPr>
              <w:jc w:val="center"/>
              <w:rPr>
                <w:color w:val="auto"/>
                <w:sz w:val="18"/>
                <w:szCs w:val="18"/>
                <w:u w:val="single"/>
              </w:rPr>
            </w:pPr>
            <w:r>
              <w:rPr>
                <w:rFonts w:hint="eastAsia"/>
                <w:color w:val="auto"/>
                <w:sz w:val="18"/>
                <w:szCs w:val="18"/>
                <w:u w:val="single"/>
                <w:lang w:val="en-US" w:eastAsia="zh-CN"/>
              </w:rPr>
              <w:t>65.0</w:t>
            </w:r>
          </w:p>
        </w:tc>
        <w:tc>
          <w:tcPr>
            <w:tcW w:w="670" w:type="dxa"/>
            <w:vAlign w:val="center"/>
          </w:tcPr>
          <w:p>
            <w:pPr>
              <w:jc w:val="center"/>
              <w:rPr>
                <w:color w:val="auto"/>
                <w:sz w:val="18"/>
                <w:szCs w:val="18"/>
                <w:u w:val="single"/>
              </w:rPr>
            </w:pPr>
            <w:r>
              <w:rPr>
                <w:color w:val="auto"/>
                <w:sz w:val="18"/>
                <w:szCs w:val="18"/>
                <w:u w:val="single"/>
              </w:rPr>
              <w:t>6</w:t>
            </w:r>
            <w:r>
              <w:rPr>
                <w:rFonts w:hint="eastAsia"/>
                <w:color w:val="auto"/>
                <w:sz w:val="18"/>
                <w:szCs w:val="18"/>
                <w:u w:val="single"/>
                <w:lang w:val="en-US" w:eastAsia="zh-CN"/>
              </w:rPr>
              <w:t>6.15</w:t>
            </w:r>
          </w:p>
        </w:tc>
        <w:tc>
          <w:tcPr>
            <w:tcW w:w="645" w:type="dxa"/>
            <w:vAlign w:val="center"/>
          </w:tcPr>
          <w:p>
            <w:pPr>
              <w:pStyle w:val="112"/>
              <w:rPr>
                <w:color w:val="auto"/>
                <w:kern w:val="2"/>
                <w:sz w:val="18"/>
                <w:szCs w:val="18"/>
                <w:u w:val="single"/>
              </w:rPr>
            </w:pPr>
            <w:r>
              <w:rPr>
                <w:color w:val="auto"/>
                <w:kern w:val="2"/>
                <w:sz w:val="18"/>
                <w:szCs w:val="18"/>
                <w:u w:val="single"/>
              </w:rPr>
              <w:t>/</w:t>
            </w:r>
          </w:p>
        </w:tc>
        <w:tc>
          <w:tcPr>
            <w:tcW w:w="680" w:type="dxa"/>
            <w:textDirection w:val="lrTb"/>
            <w:vAlign w:val="center"/>
          </w:tcPr>
          <w:p>
            <w:pPr>
              <w:jc w:val="center"/>
              <w:rPr>
                <w:color w:val="auto"/>
                <w:sz w:val="18"/>
                <w:szCs w:val="18"/>
                <w:u w:val="single"/>
              </w:rPr>
            </w:pPr>
            <w:r>
              <w:rPr>
                <w:rFonts w:hint="eastAsia"/>
                <w:color w:val="auto"/>
                <w:sz w:val="18"/>
                <w:szCs w:val="18"/>
                <w:u w:val="single"/>
                <w:lang w:val="en-US" w:eastAsia="zh-CN"/>
              </w:rPr>
              <w:t>67.1</w:t>
            </w:r>
          </w:p>
        </w:tc>
        <w:tc>
          <w:tcPr>
            <w:tcW w:w="681" w:type="dxa"/>
            <w:vAlign w:val="center"/>
          </w:tcPr>
          <w:p>
            <w:pPr>
              <w:jc w:val="center"/>
              <w:rPr>
                <w:color w:val="auto"/>
                <w:sz w:val="18"/>
                <w:szCs w:val="18"/>
                <w:u w:val="single"/>
              </w:rPr>
            </w:pPr>
            <w:r>
              <w:rPr>
                <w:color w:val="auto"/>
                <w:sz w:val="18"/>
                <w:szCs w:val="18"/>
                <w:u w:val="single"/>
              </w:rPr>
              <w:t>6</w:t>
            </w:r>
            <w:r>
              <w:rPr>
                <w:rFonts w:hint="eastAsia"/>
                <w:color w:val="auto"/>
                <w:sz w:val="18"/>
                <w:szCs w:val="18"/>
                <w:u w:val="single"/>
                <w:lang w:val="en-US" w:eastAsia="zh-CN"/>
              </w:rPr>
              <w:t>7.84</w:t>
            </w:r>
          </w:p>
        </w:tc>
        <w:tc>
          <w:tcPr>
            <w:tcW w:w="659" w:type="dxa"/>
            <w:vAlign w:val="center"/>
          </w:tcPr>
          <w:p>
            <w:pPr>
              <w:pStyle w:val="112"/>
              <w:rPr>
                <w:color w:val="auto"/>
                <w:kern w:val="2"/>
                <w:sz w:val="18"/>
                <w:szCs w:val="18"/>
                <w:u w:val="single"/>
              </w:rPr>
            </w:pPr>
            <w:r>
              <w:rPr>
                <w:color w:val="auto"/>
                <w:kern w:val="2"/>
                <w:sz w:val="18"/>
                <w:szCs w:val="18"/>
                <w:u w:val="single"/>
              </w:rPr>
              <w:t>/</w:t>
            </w:r>
          </w:p>
        </w:tc>
        <w:tc>
          <w:tcPr>
            <w:tcW w:w="600" w:type="dxa"/>
            <w:textDirection w:val="lrTb"/>
            <w:vAlign w:val="center"/>
          </w:tcPr>
          <w:p>
            <w:pPr>
              <w:jc w:val="center"/>
              <w:rPr>
                <w:color w:val="auto"/>
                <w:sz w:val="18"/>
                <w:szCs w:val="18"/>
                <w:u w:val="single"/>
              </w:rPr>
            </w:pPr>
            <w:r>
              <w:rPr>
                <w:rFonts w:hint="eastAsia"/>
                <w:color w:val="auto"/>
                <w:sz w:val="18"/>
                <w:szCs w:val="18"/>
                <w:u w:val="single"/>
                <w:lang w:val="en-US" w:eastAsia="zh-CN"/>
              </w:rPr>
              <w:t>68.2</w:t>
            </w:r>
          </w:p>
        </w:tc>
        <w:tc>
          <w:tcPr>
            <w:tcW w:w="646"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68.79</w:t>
            </w:r>
          </w:p>
        </w:tc>
        <w:tc>
          <w:tcPr>
            <w:tcW w:w="635" w:type="dxa"/>
            <w:vAlign w:val="center"/>
          </w:tcPr>
          <w:p>
            <w:pPr>
              <w:pStyle w:val="112"/>
              <w:rPr>
                <w:color w:val="auto"/>
                <w:kern w:val="2"/>
                <w:sz w:val="18"/>
                <w:szCs w:val="18"/>
                <w:u w:val="single"/>
              </w:rPr>
            </w:pPr>
            <w:r>
              <w:rPr>
                <w:color w:val="auto"/>
                <w:kern w:val="2"/>
                <w:sz w:val="18"/>
                <w:szCs w:val="18"/>
                <w:u w:val="single"/>
              </w:rPr>
              <w:t>/</w:t>
            </w:r>
          </w:p>
        </w:tc>
        <w:tc>
          <w:tcPr>
            <w:tcW w:w="450" w:type="dxa"/>
            <w:vMerge w:val="restart"/>
            <w:vAlign w:val="center"/>
          </w:tcPr>
          <w:p>
            <w:pPr>
              <w:pStyle w:val="112"/>
              <w:rPr>
                <w:kern w:val="2"/>
                <w:sz w:val="18"/>
                <w:szCs w:val="18"/>
                <w:u w:val="single"/>
              </w:rPr>
            </w:pPr>
            <w:r>
              <w:rPr>
                <w:kern w:val="2"/>
                <w:sz w:val="18"/>
                <w:szCs w:val="18"/>
                <w:u w:val="single"/>
              </w:rPr>
              <w:t>4a</w:t>
            </w:r>
          </w:p>
        </w:tc>
        <w:tc>
          <w:tcPr>
            <w:tcW w:w="807" w:type="dxa"/>
            <w:vAlign w:val="center"/>
          </w:tcPr>
          <w:p>
            <w:pPr>
              <w:pStyle w:val="112"/>
              <w:rPr>
                <w:kern w:val="2"/>
                <w:sz w:val="18"/>
                <w:szCs w:val="18"/>
                <w:u w:val="single"/>
              </w:rPr>
            </w:pPr>
            <w:r>
              <w:rPr>
                <w:kern w:val="2"/>
                <w:sz w:val="18"/>
                <w:szCs w:val="18"/>
                <w:u w:val="single"/>
              </w:rPr>
              <w:t>59.8</w:t>
            </w:r>
          </w:p>
        </w:tc>
        <w:tc>
          <w:tcPr>
            <w:tcW w:w="700" w:type="dxa"/>
            <w:vMerge w:val="continue"/>
            <w:vAlign w:val="center"/>
          </w:tcPr>
          <w:p>
            <w:pPr>
              <w:pStyle w:val="112"/>
              <w:rPr>
                <w:kern w:val="2"/>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603" w:type="dxa"/>
            <w:vMerge w:val="continue"/>
            <w:vAlign w:val="center"/>
          </w:tcPr>
          <w:p>
            <w:pPr>
              <w:pStyle w:val="3"/>
              <w:spacing w:line="240" w:lineRule="auto"/>
              <w:ind w:firstLine="0" w:firstLineChars="0"/>
              <w:jc w:val="center"/>
              <w:rPr>
                <w:kern w:val="2"/>
                <w:sz w:val="21"/>
                <w:szCs w:val="21"/>
                <w:u w:val="single"/>
              </w:rPr>
            </w:pPr>
          </w:p>
        </w:tc>
        <w:tc>
          <w:tcPr>
            <w:tcW w:w="1930" w:type="dxa"/>
            <w:vMerge w:val="continue"/>
            <w:vAlign w:val="center"/>
          </w:tcPr>
          <w:p>
            <w:pPr>
              <w:pStyle w:val="3"/>
              <w:spacing w:line="240" w:lineRule="auto"/>
              <w:ind w:firstLine="0" w:firstLineChars="0"/>
              <w:jc w:val="center"/>
              <w:rPr>
                <w:sz w:val="21"/>
                <w:szCs w:val="21"/>
                <w:u w:val="single"/>
              </w:rPr>
            </w:pPr>
          </w:p>
        </w:tc>
        <w:tc>
          <w:tcPr>
            <w:tcW w:w="1655" w:type="dxa"/>
            <w:vMerge w:val="continue"/>
            <w:vAlign w:val="center"/>
          </w:tcPr>
          <w:p>
            <w:pPr>
              <w:jc w:val="center"/>
              <w:rPr>
                <w:sz w:val="18"/>
                <w:szCs w:val="18"/>
                <w:u w:val="single"/>
              </w:rPr>
            </w:pPr>
          </w:p>
        </w:tc>
        <w:tc>
          <w:tcPr>
            <w:tcW w:w="1142" w:type="dxa"/>
            <w:vMerge w:val="continue"/>
            <w:vAlign w:val="center"/>
          </w:tcPr>
          <w:p>
            <w:pPr>
              <w:jc w:val="center"/>
              <w:rPr>
                <w:sz w:val="18"/>
                <w:szCs w:val="18"/>
                <w:u w:val="single"/>
              </w:rPr>
            </w:pPr>
          </w:p>
        </w:tc>
        <w:tc>
          <w:tcPr>
            <w:tcW w:w="762" w:type="dxa"/>
            <w:vAlign w:val="center"/>
          </w:tcPr>
          <w:p>
            <w:pPr>
              <w:jc w:val="center"/>
              <w:rPr>
                <w:sz w:val="18"/>
                <w:szCs w:val="18"/>
                <w:u w:val="single"/>
              </w:rPr>
            </w:pPr>
            <w:r>
              <w:rPr>
                <w:rFonts w:hint="eastAsia"/>
                <w:sz w:val="18"/>
                <w:szCs w:val="18"/>
                <w:u w:val="single"/>
              </w:rPr>
              <w:t>夜间</w:t>
            </w:r>
          </w:p>
        </w:tc>
        <w:tc>
          <w:tcPr>
            <w:tcW w:w="715" w:type="dxa"/>
            <w:textDirection w:val="lrTb"/>
            <w:vAlign w:val="center"/>
          </w:tcPr>
          <w:p>
            <w:pPr>
              <w:jc w:val="center"/>
              <w:rPr>
                <w:color w:val="auto"/>
                <w:sz w:val="18"/>
                <w:szCs w:val="18"/>
                <w:u w:val="single"/>
              </w:rPr>
            </w:pPr>
            <w:r>
              <w:rPr>
                <w:rFonts w:hint="eastAsia"/>
                <w:color w:val="auto"/>
                <w:sz w:val="18"/>
                <w:szCs w:val="18"/>
                <w:u w:val="single"/>
                <w:lang w:val="en-US" w:eastAsia="zh-CN"/>
              </w:rPr>
              <w:t>53.6</w:t>
            </w:r>
          </w:p>
        </w:tc>
        <w:tc>
          <w:tcPr>
            <w:tcW w:w="67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54.10</w:t>
            </w:r>
          </w:p>
        </w:tc>
        <w:tc>
          <w:tcPr>
            <w:tcW w:w="645" w:type="dxa"/>
            <w:vAlign w:val="center"/>
          </w:tcPr>
          <w:p>
            <w:pPr>
              <w:pStyle w:val="112"/>
              <w:rPr>
                <w:color w:val="auto"/>
                <w:kern w:val="2"/>
                <w:sz w:val="18"/>
                <w:szCs w:val="18"/>
                <w:u w:val="single"/>
              </w:rPr>
            </w:pPr>
            <w:r>
              <w:rPr>
                <w:color w:val="auto"/>
                <w:kern w:val="2"/>
                <w:sz w:val="18"/>
                <w:szCs w:val="18"/>
                <w:u w:val="single"/>
              </w:rPr>
              <w:t>/</w:t>
            </w:r>
          </w:p>
        </w:tc>
        <w:tc>
          <w:tcPr>
            <w:tcW w:w="680" w:type="dxa"/>
            <w:textDirection w:val="lrTb"/>
            <w:vAlign w:val="center"/>
          </w:tcPr>
          <w:p>
            <w:pPr>
              <w:jc w:val="center"/>
              <w:rPr>
                <w:color w:val="auto"/>
                <w:sz w:val="18"/>
                <w:szCs w:val="18"/>
                <w:u w:val="single"/>
              </w:rPr>
            </w:pPr>
            <w:r>
              <w:rPr>
                <w:rFonts w:hint="eastAsia"/>
                <w:color w:val="auto"/>
                <w:sz w:val="18"/>
                <w:szCs w:val="18"/>
                <w:u w:val="single"/>
                <w:lang w:val="en-US" w:eastAsia="zh-CN"/>
              </w:rPr>
              <w:t>55.2</w:t>
            </w:r>
          </w:p>
        </w:tc>
        <w:tc>
          <w:tcPr>
            <w:tcW w:w="681"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55.55</w:t>
            </w:r>
          </w:p>
        </w:tc>
        <w:tc>
          <w:tcPr>
            <w:tcW w:w="659" w:type="dxa"/>
            <w:vAlign w:val="center"/>
          </w:tcPr>
          <w:p>
            <w:pPr>
              <w:pStyle w:val="112"/>
              <w:rPr>
                <w:rFonts w:hint="eastAsia" w:eastAsia="宋体"/>
                <w:color w:val="auto"/>
                <w:kern w:val="2"/>
                <w:sz w:val="18"/>
                <w:szCs w:val="18"/>
                <w:u w:val="single"/>
                <w:lang w:eastAsia="zh-CN"/>
              </w:rPr>
            </w:pPr>
            <w:r>
              <w:rPr>
                <w:rFonts w:hint="eastAsia"/>
                <w:color w:val="auto"/>
                <w:kern w:val="2"/>
                <w:sz w:val="18"/>
                <w:szCs w:val="18"/>
                <w:u w:val="single"/>
                <w:lang w:val="en-US" w:eastAsia="zh-CN"/>
              </w:rPr>
              <w:t>0.55</w:t>
            </w:r>
          </w:p>
        </w:tc>
        <w:tc>
          <w:tcPr>
            <w:tcW w:w="600" w:type="dxa"/>
            <w:textDirection w:val="lrTb"/>
            <w:vAlign w:val="center"/>
          </w:tcPr>
          <w:p>
            <w:pPr>
              <w:jc w:val="center"/>
              <w:rPr>
                <w:color w:val="auto"/>
                <w:sz w:val="18"/>
                <w:szCs w:val="18"/>
                <w:u w:val="single"/>
              </w:rPr>
            </w:pPr>
            <w:r>
              <w:rPr>
                <w:rFonts w:hint="eastAsia"/>
                <w:color w:val="auto"/>
                <w:sz w:val="18"/>
                <w:szCs w:val="18"/>
                <w:u w:val="single"/>
                <w:lang w:val="en-US" w:eastAsia="zh-CN"/>
              </w:rPr>
              <w:t>57.3</w:t>
            </w:r>
          </w:p>
        </w:tc>
        <w:tc>
          <w:tcPr>
            <w:tcW w:w="646"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57.52</w:t>
            </w:r>
          </w:p>
        </w:tc>
        <w:tc>
          <w:tcPr>
            <w:tcW w:w="635" w:type="dxa"/>
            <w:vAlign w:val="center"/>
          </w:tcPr>
          <w:p>
            <w:pPr>
              <w:pStyle w:val="112"/>
              <w:rPr>
                <w:rFonts w:hint="eastAsia" w:eastAsia="宋体"/>
                <w:color w:val="auto"/>
                <w:kern w:val="2"/>
                <w:sz w:val="18"/>
                <w:szCs w:val="18"/>
                <w:u w:val="single"/>
                <w:lang w:eastAsia="zh-CN"/>
              </w:rPr>
            </w:pPr>
            <w:r>
              <w:rPr>
                <w:rFonts w:hint="eastAsia"/>
                <w:color w:val="auto"/>
                <w:kern w:val="2"/>
                <w:sz w:val="18"/>
                <w:szCs w:val="18"/>
                <w:u w:val="single"/>
                <w:lang w:val="en-US" w:eastAsia="zh-CN"/>
              </w:rPr>
              <w:t>2.52</w:t>
            </w:r>
          </w:p>
        </w:tc>
        <w:tc>
          <w:tcPr>
            <w:tcW w:w="450" w:type="dxa"/>
            <w:vMerge w:val="continue"/>
            <w:vAlign w:val="center"/>
          </w:tcPr>
          <w:p>
            <w:pPr>
              <w:pStyle w:val="112"/>
              <w:rPr>
                <w:kern w:val="2"/>
                <w:sz w:val="18"/>
                <w:szCs w:val="18"/>
                <w:u w:val="single"/>
              </w:rPr>
            </w:pPr>
          </w:p>
        </w:tc>
        <w:tc>
          <w:tcPr>
            <w:tcW w:w="807" w:type="dxa"/>
            <w:vAlign w:val="center"/>
          </w:tcPr>
          <w:p>
            <w:pPr>
              <w:pStyle w:val="112"/>
              <w:rPr>
                <w:kern w:val="2"/>
                <w:sz w:val="18"/>
                <w:szCs w:val="18"/>
                <w:u w:val="single"/>
              </w:rPr>
            </w:pPr>
            <w:r>
              <w:rPr>
                <w:kern w:val="2"/>
                <w:sz w:val="18"/>
                <w:szCs w:val="18"/>
                <w:u w:val="single"/>
              </w:rPr>
              <w:t>44.5</w:t>
            </w:r>
          </w:p>
        </w:tc>
        <w:tc>
          <w:tcPr>
            <w:tcW w:w="700" w:type="dxa"/>
            <w:vMerge w:val="continue"/>
            <w:vAlign w:val="center"/>
          </w:tcPr>
          <w:p>
            <w:pPr>
              <w:pStyle w:val="112"/>
              <w:rPr>
                <w:kern w:val="2"/>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603" w:type="dxa"/>
            <w:vMerge w:val="continue"/>
            <w:vAlign w:val="center"/>
          </w:tcPr>
          <w:p>
            <w:pPr>
              <w:pStyle w:val="3"/>
              <w:spacing w:line="240" w:lineRule="auto"/>
              <w:ind w:firstLine="0" w:firstLineChars="0"/>
              <w:jc w:val="center"/>
              <w:rPr>
                <w:kern w:val="2"/>
                <w:sz w:val="21"/>
                <w:szCs w:val="21"/>
                <w:u w:val="single"/>
              </w:rPr>
            </w:pPr>
          </w:p>
        </w:tc>
        <w:tc>
          <w:tcPr>
            <w:tcW w:w="1930" w:type="dxa"/>
            <w:vMerge w:val="restart"/>
            <w:vAlign w:val="center"/>
          </w:tcPr>
          <w:p>
            <w:pPr>
              <w:pStyle w:val="3"/>
              <w:spacing w:line="240" w:lineRule="auto"/>
              <w:ind w:firstLine="0" w:firstLineChars="0"/>
              <w:jc w:val="center"/>
              <w:rPr>
                <w:kern w:val="2"/>
                <w:sz w:val="21"/>
                <w:szCs w:val="21"/>
                <w:u w:val="single"/>
              </w:rPr>
            </w:pPr>
            <w:r>
              <w:rPr>
                <w:rFonts w:hint="eastAsia"/>
                <w:sz w:val="21"/>
                <w:szCs w:val="21"/>
                <w:u w:val="single"/>
              </w:rPr>
              <w:t>大陆村居民点</w:t>
            </w:r>
          </w:p>
        </w:tc>
        <w:tc>
          <w:tcPr>
            <w:tcW w:w="1655" w:type="dxa"/>
            <w:vMerge w:val="restart"/>
            <w:vAlign w:val="center"/>
          </w:tcPr>
          <w:p>
            <w:pPr>
              <w:jc w:val="center"/>
              <w:rPr>
                <w:sz w:val="18"/>
                <w:szCs w:val="18"/>
                <w:u w:val="single"/>
              </w:rPr>
            </w:pPr>
            <w:r>
              <w:rPr>
                <w:sz w:val="18"/>
                <w:szCs w:val="18"/>
                <w:u w:val="single"/>
              </w:rPr>
              <w:t>K3+956~K4+960</w:t>
            </w:r>
          </w:p>
        </w:tc>
        <w:tc>
          <w:tcPr>
            <w:tcW w:w="1142" w:type="dxa"/>
            <w:vMerge w:val="restart"/>
            <w:vAlign w:val="center"/>
          </w:tcPr>
          <w:p>
            <w:pPr>
              <w:jc w:val="center"/>
              <w:rPr>
                <w:color w:val="FF0000"/>
                <w:sz w:val="18"/>
                <w:szCs w:val="18"/>
                <w:u w:val="single"/>
              </w:rPr>
            </w:pPr>
            <w:r>
              <w:rPr>
                <w:sz w:val="18"/>
                <w:szCs w:val="18"/>
                <w:u w:val="single"/>
              </w:rPr>
              <w:t>19.75/</w:t>
            </w:r>
            <w:r>
              <w:rPr>
                <w:rFonts w:hint="eastAsia"/>
                <w:sz w:val="18"/>
                <w:szCs w:val="18"/>
                <w:u w:val="single"/>
                <w:lang w:val="en-US" w:eastAsia="zh-CN"/>
              </w:rPr>
              <w:t>6</w:t>
            </w:r>
          </w:p>
        </w:tc>
        <w:tc>
          <w:tcPr>
            <w:tcW w:w="762" w:type="dxa"/>
            <w:vAlign w:val="center"/>
          </w:tcPr>
          <w:p>
            <w:pPr>
              <w:jc w:val="center"/>
              <w:rPr>
                <w:sz w:val="18"/>
                <w:szCs w:val="18"/>
                <w:u w:val="single"/>
              </w:rPr>
            </w:pPr>
            <w:r>
              <w:rPr>
                <w:rFonts w:hint="eastAsia"/>
                <w:sz w:val="18"/>
                <w:szCs w:val="18"/>
                <w:u w:val="single"/>
              </w:rPr>
              <w:t>昼间</w:t>
            </w:r>
          </w:p>
        </w:tc>
        <w:tc>
          <w:tcPr>
            <w:tcW w:w="715"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64.6</w:t>
            </w:r>
          </w:p>
        </w:tc>
        <w:tc>
          <w:tcPr>
            <w:tcW w:w="67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65.72</w:t>
            </w:r>
          </w:p>
        </w:tc>
        <w:tc>
          <w:tcPr>
            <w:tcW w:w="645" w:type="dxa"/>
            <w:vAlign w:val="center"/>
          </w:tcPr>
          <w:p>
            <w:pPr>
              <w:pStyle w:val="112"/>
              <w:rPr>
                <w:color w:val="auto"/>
                <w:kern w:val="2"/>
                <w:sz w:val="18"/>
                <w:szCs w:val="18"/>
                <w:u w:val="single"/>
              </w:rPr>
            </w:pPr>
            <w:r>
              <w:rPr>
                <w:color w:val="auto"/>
                <w:kern w:val="2"/>
                <w:sz w:val="18"/>
                <w:szCs w:val="18"/>
                <w:u w:val="single"/>
              </w:rPr>
              <w:t>/</w:t>
            </w:r>
          </w:p>
        </w:tc>
        <w:tc>
          <w:tcPr>
            <w:tcW w:w="68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66.1</w:t>
            </w:r>
          </w:p>
        </w:tc>
        <w:tc>
          <w:tcPr>
            <w:tcW w:w="681"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66.10</w:t>
            </w:r>
          </w:p>
        </w:tc>
        <w:tc>
          <w:tcPr>
            <w:tcW w:w="659" w:type="dxa"/>
            <w:vAlign w:val="center"/>
          </w:tcPr>
          <w:p>
            <w:pPr>
              <w:pStyle w:val="112"/>
              <w:rPr>
                <w:color w:val="auto"/>
                <w:kern w:val="2"/>
                <w:sz w:val="18"/>
                <w:szCs w:val="18"/>
                <w:u w:val="single"/>
              </w:rPr>
            </w:pPr>
            <w:r>
              <w:rPr>
                <w:color w:val="auto"/>
                <w:kern w:val="2"/>
                <w:sz w:val="18"/>
                <w:szCs w:val="18"/>
                <w:u w:val="single"/>
              </w:rPr>
              <w:t>/</w:t>
            </w:r>
          </w:p>
        </w:tc>
        <w:tc>
          <w:tcPr>
            <w:tcW w:w="60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66.5</w:t>
            </w:r>
          </w:p>
        </w:tc>
        <w:tc>
          <w:tcPr>
            <w:tcW w:w="646"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67.26</w:t>
            </w:r>
          </w:p>
        </w:tc>
        <w:tc>
          <w:tcPr>
            <w:tcW w:w="635" w:type="dxa"/>
            <w:vAlign w:val="center"/>
          </w:tcPr>
          <w:p>
            <w:pPr>
              <w:pStyle w:val="112"/>
              <w:rPr>
                <w:kern w:val="2"/>
                <w:sz w:val="18"/>
                <w:szCs w:val="18"/>
                <w:u w:val="single"/>
              </w:rPr>
            </w:pPr>
            <w:r>
              <w:rPr>
                <w:kern w:val="2"/>
                <w:sz w:val="18"/>
                <w:szCs w:val="18"/>
                <w:u w:val="single"/>
              </w:rPr>
              <w:t>/</w:t>
            </w:r>
          </w:p>
        </w:tc>
        <w:tc>
          <w:tcPr>
            <w:tcW w:w="450" w:type="dxa"/>
            <w:vMerge w:val="restart"/>
            <w:vAlign w:val="center"/>
          </w:tcPr>
          <w:p>
            <w:pPr>
              <w:pStyle w:val="112"/>
              <w:rPr>
                <w:kern w:val="2"/>
                <w:sz w:val="18"/>
                <w:szCs w:val="18"/>
                <w:u w:val="single"/>
              </w:rPr>
            </w:pPr>
            <w:r>
              <w:rPr>
                <w:kern w:val="2"/>
                <w:sz w:val="18"/>
                <w:szCs w:val="18"/>
                <w:u w:val="single"/>
              </w:rPr>
              <w:t>4a</w:t>
            </w:r>
          </w:p>
        </w:tc>
        <w:tc>
          <w:tcPr>
            <w:tcW w:w="807" w:type="dxa"/>
            <w:vAlign w:val="center"/>
          </w:tcPr>
          <w:p>
            <w:pPr>
              <w:pStyle w:val="112"/>
              <w:rPr>
                <w:kern w:val="2"/>
                <w:sz w:val="18"/>
                <w:szCs w:val="18"/>
                <w:u w:val="single"/>
              </w:rPr>
            </w:pPr>
            <w:r>
              <w:rPr>
                <w:kern w:val="2"/>
                <w:sz w:val="18"/>
                <w:szCs w:val="18"/>
                <w:u w:val="single"/>
              </w:rPr>
              <w:t>59.3</w:t>
            </w:r>
          </w:p>
        </w:tc>
        <w:tc>
          <w:tcPr>
            <w:tcW w:w="700" w:type="dxa"/>
            <w:vMerge w:val="continue"/>
            <w:vAlign w:val="center"/>
          </w:tcPr>
          <w:p>
            <w:pPr>
              <w:pStyle w:val="112"/>
              <w:rPr>
                <w:kern w:val="2"/>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603" w:type="dxa"/>
            <w:vMerge w:val="continue"/>
            <w:vAlign w:val="center"/>
          </w:tcPr>
          <w:p>
            <w:pPr>
              <w:pStyle w:val="3"/>
              <w:spacing w:line="240" w:lineRule="auto"/>
              <w:ind w:firstLine="0" w:firstLineChars="0"/>
              <w:jc w:val="center"/>
              <w:rPr>
                <w:kern w:val="2"/>
                <w:sz w:val="21"/>
                <w:szCs w:val="21"/>
                <w:u w:val="single"/>
              </w:rPr>
            </w:pPr>
          </w:p>
        </w:tc>
        <w:tc>
          <w:tcPr>
            <w:tcW w:w="1930" w:type="dxa"/>
            <w:vMerge w:val="continue"/>
            <w:vAlign w:val="center"/>
          </w:tcPr>
          <w:p>
            <w:pPr>
              <w:pStyle w:val="3"/>
              <w:spacing w:line="240" w:lineRule="auto"/>
              <w:ind w:firstLine="0" w:firstLineChars="0"/>
              <w:jc w:val="center"/>
              <w:rPr>
                <w:sz w:val="21"/>
                <w:szCs w:val="21"/>
                <w:u w:val="single"/>
              </w:rPr>
            </w:pPr>
          </w:p>
        </w:tc>
        <w:tc>
          <w:tcPr>
            <w:tcW w:w="1655" w:type="dxa"/>
            <w:vMerge w:val="continue"/>
            <w:vAlign w:val="center"/>
          </w:tcPr>
          <w:p>
            <w:pPr>
              <w:jc w:val="center"/>
              <w:rPr>
                <w:sz w:val="18"/>
                <w:szCs w:val="18"/>
                <w:u w:val="single"/>
              </w:rPr>
            </w:pPr>
          </w:p>
        </w:tc>
        <w:tc>
          <w:tcPr>
            <w:tcW w:w="1142" w:type="dxa"/>
            <w:vMerge w:val="continue"/>
            <w:vAlign w:val="center"/>
          </w:tcPr>
          <w:p>
            <w:pPr>
              <w:jc w:val="center"/>
              <w:rPr>
                <w:sz w:val="18"/>
                <w:szCs w:val="18"/>
                <w:u w:val="single"/>
              </w:rPr>
            </w:pPr>
          </w:p>
        </w:tc>
        <w:tc>
          <w:tcPr>
            <w:tcW w:w="762" w:type="dxa"/>
            <w:vAlign w:val="center"/>
          </w:tcPr>
          <w:p>
            <w:pPr>
              <w:jc w:val="center"/>
              <w:rPr>
                <w:sz w:val="18"/>
                <w:szCs w:val="18"/>
                <w:u w:val="single"/>
              </w:rPr>
            </w:pPr>
            <w:r>
              <w:rPr>
                <w:rFonts w:hint="eastAsia"/>
                <w:sz w:val="18"/>
                <w:szCs w:val="18"/>
                <w:u w:val="single"/>
              </w:rPr>
              <w:t>夜间</w:t>
            </w:r>
          </w:p>
        </w:tc>
        <w:tc>
          <w:tcPr>
            <w:tcW w:w="715"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52.2</w:t>
            </w:r>
          </w:p>
        </w:tc>
        <w:tc>
          <w:tcPr>
            <w:tcW w:w="670" w:type="dxa"/>
            <w:vAlign w:val="center"/>
          </w:tcPr>
          <w:p>
            <w:pPr>
              <w:jc w:val="center"/>
              <w:rPr>
                <w:color w:val="auto"/>
                <w:sz w:val="18"/>
                <w:szCs w:val="18"/>
                <w:u w:val="single"/>
              </w:rPr>
            </w:pPr>
            <w:r>
              <w:rPr>
                <w:color w:val="auto"/>
                <w:sz w:val="18"/>
                <w:szCs w:val="18"/>
                <w:u w:val="single"/>
              </w:rPr>
              <w:t>5</w:t>
            </w:r>
            <w:r>
              <w:rPr>
                <w:rFonts w:hint="eastAsia"/>
                <w:color w:val="auto"/>
                <w:sz w:val="18"/>
                <w:szCs w:val="18"/>
                <w:u w:val="single"/>
                <w:lang w:val="en-US" w:eastAsia="zh-CN"/>
              </w:rPr>
              <w:t>2.93</w:t>
            </w:r>
          </w:p>
        </w:tc>
        <w:tc>
          <w:tcPr>
            <w:tcW w:w="645" w:type="dxa"/>
            <w:vAlign w:val="center"/>
          </w:tcPr>
          <w:p>
            <w:pPr>
              <w:pStyle w:val="112"/>
              <w:rPr>
                <w:color w:val="auto"/>
                <w:kern w:val="2"/>
                <w:sz w:val="18"/>
                <w:szCs w:val="18"/>
                <w:u w:val="single"/>
              </w:rPr>
            </w:pPr>
            <w:r>
              <w:rPr>
                <w:color w:val="auto"/>
                <w:kern w:val="2"/>
                <w:sz w:val="18"/>
                <w:szCs w:val="18"/>
                <w:u w:val="single"/>
              </w:rPr>
              <w:t>/</w:t>
            </w:r>
          </w:p>
        </w:tc>
        <w:tc>
          <w:tcPr>
            <w:tcW w:w="68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55.0</w:t>
            </w:r>
          </w:p>
        </w:tc>
        <w:tc>
          <w:tcPr>
            <w:tcW w:w="681"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55.40</w:t>
            </w:r>
          </w:p>
        </w:tc>
        <w:tc>
          <w:tcPr>
            <w:tcW w:w="659" w:type="dxa"/>
            <w:vAlign w:val="center"/>
          </w:tcPr>
          <w:p>
            <w:pPr>
              <w:pStyle w:val="112"/>
              <w:rPr>
                <w:rFonts w:hint="eastAsia" w:eastAsia="宋体"/>
                <w:color w:val="auto"/>
                <w:kern w:val="2"/>
                <w:sz w:val="18"/>
                <w:szCs w:val="18"/>
                <w:u w:val="single"/>
                <w:lang w:eastAsia="zh-CN"/>
              </w:rPr>
            </w:pPr>
            <w:r>
              <w:rPr>
                <w:rFonts w:hint="eastAsia"/>
                <w:color w:val="auto"/>
                <w:kern w:val="2"/>
                <w:sz w:val="18"/>
                <w:szCs w:val="18"/>
                <w:u w:val="single"/>
                <w:lang w:val="en-US" w:eastAsia="zh-CN"/>
              </w:rPr>
              <w:t>0.4</w:t>
            </w:r>
          </w:p>
        </w:tc>
        <w:tc>
          <w:tcPr>
            <w:tcW w:w="60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57.0</w:t>
            </w:r>
          </w:p>
        </w:tc>
        <w:tc>
          <w:tcPr>
            <w:tcW w:w="646"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57.25</w:t>
            </w:r>
          </w:p>
        </w:tc>
        <w:tc>
          <w:tcPr>
            <w:tcW w:w="635" w:type="dxa"/>
            <w:vAlign w:val="center"/>
          </w:tcPr>
          <w:p>
            <w:pPr>
              <w:pStyle w:val="112"/>
              <w:rPr>
                <w:rFonts w:hint="eastAsia" w:eastAsia="宋体"/>
                <w:kern w:val="2"/>
                <w:sz w:val="18"/>
                <w:szCs w:val="18"/>
                <w:u w:val="single"/>
                <w:lang w:eastAsia="zh-CN"/>
              </w:rPr>
            </w:pPr>
            <w:r>
              <w:rPr>
                <w:rFonts w:hint="eastAsia"/>
                <w:kern w:val="2"/>
                <w:sz w:val="18"/>
                <w:szCs w:val="18"/>
                <w:u w:val="single"/>
                <w:lang w:val="en-US" w:eastAsia="zh-CN"/>
              </w:rPr>
              <w:t>2.25</w:t>
            </w:r>
          </w:p>
        </w:tc>
        <w:tc>
          <w:tcPr>
            <w:tcW w:w="450" w:type="dxa"/>
            <w:vMerge w:val="continue"/>
            <w:vAlign w:val="center"/>
          </w:tcPr>
          <w:p>
            <w:pPr>
              <w:pStyle w:val="112"/>
              <w:rPr>
                <w:kern w:val="2"/>
                <w:sz w:val="18"/>
                <w:szCs w:val="18"/>
                <w:u w:val="single"/>
              </w:rPr>
            </w:pPr>
          </w:p>
        </w:tc>
        <w:tc>
          <w:tcPr>
            <w:tcW w:w="807" w:type="dxa"/>
            <w:vAlign w:val="center"/>
          </w:tcPr>
          <w:p>
            <w:pPr>
              <w:pStyle w:val="112"/>
              <w:rPr>
                <w:kern w:val="2"/>
                <w:sz w:val="18"/>
                <w:szCs w:val="18"/>
                <w:u w:val="single"/>
              </w:rPr>
            </w:pPr>
            <w:r>
              <w:rPr>
                <w:kern w:val="2"/>
                <w:sz w:val="18"/>
                <w:szCs w:val="18"/>
                <w:u w:val="single"/>
              </w:rPr>
              <w:t>44.8</w:t>
            </w:r>
          </w:p>
        </w:tc>
        <w:tc>
          <w:tcPr>
            <w:tcW w:w="700" w:type="dxa"/>
            <w:vMerge w:val="continue"/>
            <w:vAlign w:val="center"/>
          </w:tcPr>
          <w:p>
            <w:pPr>
              <w:pStyle w:val="112"/>
              <w:rPr>
                <w:kern w:val="2"/>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603" w:type="dxa"/>
            <w:vMerge w:val="continue"/>
            <w:vAlign w:val="center"/>
          </w:tcPr>
          <w:p>
            <w:pPr>
              <w:pStyle w:val="3"/>
              <w:ind w:firstLine="0" w:firstLineChars="0"/>
              <w:jc w:val="center"/>
              <w:rPr>
                <w:color w:val="FF0000"/>
                <w:sz w:val="21"/>
                <w:szCs w:val="21"/>
                <w:u w:val="single"/>
              </w:rPr>
            </w:pPr>
          </w:p>
        </w:tc>
        <w:tc>
          <w:tcPr>
            <w:tcW w:w="1930" w:type="dxa"/>
            <w:vMerge w:val="restart"/>
            <w:vAlign w:val="center"/>
          </w:tcPr>
          <w:p>
            <w:pPr>
              <w:pStyle w:val="3"/>
              <w:spacing w:line="240" w:lineRule="auto"/>
              <w:ind w:firstLine="0" w:firstLineChars="0"/>
              <w:jc w:val="center"/>
              <w:rPr>
                <w:color w:val="FF0000"/>
                <w:sz w:val="21"/>
                <w:szCs w:val="21"/>
                <w:u w:val="single"/>
              </w:rPr>
            </w:pPr>
            <w:r>
              <w:rPr>
                <w:rFonts w:hint="eastAsia"/>
                <w:sz w:val="21"/>
                <w:szCs w:val="21"/>
                <w:u w:val="single"/>
              </w:rPr>
              <w:t>莲花村中学</w:t>
            </w:r>
          </w:p>
        </w:tc>
        <w:tc>
          <w:tcPr>
            <w:tcW w:w="1655" w:type="dxa"/>
            <w:vMerge w:val="restart"/>
            <w:vAlign w:val="center"/>
          </w:tcPr>
          <w:p>
            <w:pPr>
              <w:jc w:val="center"/>
              <w:rPr>
                <w:color w:val="FF0000"/>
                <w:sz w:val="18"/>
                <w:szCs w:val="18"/>
                <w:u w:val="single"/>
              </w:rPr>
            </w:pPr>
            <w:r>
              <w:rPr>
                <w:sz w:val="18"/>
                <w:szCs w:val="18"/>
                <w:u w:val="single"/>
              </w:rPr>
              <w:t>K4+960~K7+190</w:t>
            </w:r>
          </w:p>
        </w:tc>
        <w:tc>
          <w:tcPr>
            <w:tcW w:w="1142" w:type="dxa"/>
            <w:vMerge w:val="restart"/>
            <w:vAlign w:val="center"/>
          </w:tcPr>
          <w:p>
            <w:pPr>
              <w:jc w:val="center"/>
              <w:rPr>
                <w:color w:val="FF0000"/>
                <w:sz w:val="18"/>
                <w:szCs w:val="18"/>
                <w:u w:val="single"/>
              </w:rPr>
            </w:pPr>
            <w:r>
              <w:rPr>
                <w:sz w:val="18"/>
                <w:szCs w:val="18"/>
                <w:u w:val="single"/>
              </w:rPr>
              <w:t>21.75/</w:t>
            </w:r>
            <w:r>
              <w:rPr>
                <w:rFonts w:hint="eastAsia"/>
                <w:sz w:val="18"/>
                <w:szCs w:val="18"/>
                <w:u w:val="single"/>
                <w:lang w:val="en-US" w:eastAsia="zh-CN"/>
              </w:rPr>
              <w:t>8</w:t>
            </w:r>
          </w:p>
        </w:tc>
        <w:tc>
          <w:tcPr>
            <w:tcW w:w="762" w:type="dxa"/>
            <w:vAlign w:val="center"/>
          </w:tcPr>
          <w:p>
            <w:pPr>
              <w:jc w:val="center"/>
              <w:rPr>
                <w:sz w:val="18"/>
                <w:szCs w:val="18"/>
                <w:u w:val="single"/>
              </w:rPr>
            </w:pPr>
            <w:r>
              <w:rPr>
                <w:rFonts w:hint="eastAsia"/>
                <w:sz w:val="18"/>
                <w:szCs w:val="18"/>
                <w:u w:val="single"/>
              </w:rPr>
              <w:t>昼间</w:t>
            </w:r>
          </w:p>
        </w:tc>
        <w:tc>
          <w:tcPr>
            <w:tcW w:w="715"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64.0</w:t>
            </w:r>
          </w:p>
        </w:tc>
        <w:tc>
          <w:tcPr>
            <w:tcW w:w="67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65.01</w:t>
            </w:r>
          </w:p>
        </w:tc>
        <w:tc>
          <w:tcPr>
            <w:tcW w:w="645" w:type="dxa"/>
            <w:vAlign w:val="center"/>
          </w:tcPr>
          <w:p>
            <w:pPr>
              <w:pStyle w:val="112"/>
              <w:rPr>
                <w:color w:val="auto"/>
                <w:kern w:val="2"/>
                <w:sz w:val="18"/>
                <w:szCs w:val="18"/>
                <w:u w:val="single"/>
              </w:rPr>
            </w:pPr>
            <w:r>
              <w:rPr>
                <w:color w:val="auto"/>
                <w:kern w:val="2"/>
                <w:sz w:val="18"/>
                <w:szCs w:val="18"/>
                <w:u w:val="single"/>
              </w:rPr>
              <w:t>/</w:t>
            </w:r>
          </w:p>
        </w:tc>
        <w:tc>
          <w:tcPr>
            <w:tcW w:w="68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65.1</w:t>
            </w:r>
          </w:p>
        </w:tc>
        <w:tc>
          <w:tcPr>
            <w:tcW w:w="681" w:type="dxa"/>
            <w:vAlign w:val="center"/>
          </w:tcPr>
          <w:p>
            <w:pPr>
              <w:jc w:val="center"/>
              <w:rPr>
                <w:color w:val="auto"/>
                <w:sz w:val="18"/>
                <w:szCs w:val="18"/>
                <w:u w:val="single"/>
              </w:rPr>
            </w:pPr>
            <w:r>
              <w:rPr>
                <w:color w:val="auto"/>
                <w:sz w:val="18"/>
                <w:szCs w:val="18"/>
                <w:u w:val="single"/>
              </w:rPr>
              <w:t>6</w:t>
            </w:r>
            <w:r>
              <w:rPr>
                <w:rFonts w:hint="eastAsia"/>
                <w:color w:val="auto"/>
                <w:sz w:val="18"/>
                <w:szCs w:val="18"/>
                <w:u w:val="single"/>
                <w:lang w:val="en-US" w:eastAsia="zh-CN"/>
              </w:rPr>
              <w:t>5.91</w:t>
            </w:r>
          </w:p>
        </w:tc>
        <w:tc>
          <w:tcPr>
            <w:tcW w:w="659" w:type="dxa"/>
            <w:vAlign w:val="center"/>
          </w:tcPr>
          <w:p>
            <w:pPr>
              <w:pStyle w:val="112"/>
              <w:rPr>
                <w:color w:val="auto"/>
                <w:kern w:val="2"/>
                <w:sz w:val="18"/>
                <w:szCs w:val="18"/>
                <w:u w:val="single"/>
              </w:rPr>
            </w:pPr>
            <w:r>
              <w:rPr>
                <w:color w:val="auto"/>
                <w:kern w:val="2"/>
                <w:sz w:val="18"/>
                <w:szCs w:val="18"/>
                <w:u w:val="single"/>
              </w:rPr>
              <w:t>/</w:t>
            </w:r>
          </w:p>
        </w:tc>
        <w:tc>
          <w:tcPr>
            <w:tcW w:w="60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65.5</w:t>
            </w:r>
          </w:p>
        </w:tc>
        <w:tc>
          <w:tcPr>
            <w:tcW w:w="646" w:type="dxa"/>
            <w:vAlign w:val="center"/>
          </w:tcPr>
          <w:p>
            <w:pPr>
              <w:jc w:val="center"/>
              <w:rPr>
                <w:color w:val="auto"/>
                <w:sz w:val="18"/>
                <w:szCs w:val="18"/>
                <w:u w:val="single"/>
              </w:rPr>
            </w:pPr>
            <w:r>
              <w:rPr>
                <w:color w:val="auto"/>
                <w:sz w:val="18"/>
                <w:szCs w:val="18"/>
                <w:u w:val="single"/>
              </w:rPr>
              <w:t>6</w:t>
            </w:r>
            <w:r>
              <w:rPr>
                <w:rFonts w:hint="eastAsia"/>
                <w:color w:val="auto"/>
                <w:sz w:val="18"/>
                <w:szCs w:val="18"/>
                <w:u w:val="single"/>
                <w:lang w:val="en-US" w:eastAsia="zh-CN"/>
              </w:rPr>
              <w:t>6.24</w:t>
            </w:r>
          </w:p>
        </w:tc>
        <w:tc>
          <w:tcPr>
            <w:tcW w:w="635" w:type="dxa"/>
            <w:vAlign w:val="center"/>
          </w:tcPr>
          <w:p>
            <w:pPr>
              <w:pStyle w:val="112"/>
              <w:rPr>
                <w:kern w:val="2"/>
                <w:sz w:val="18"/>
                <w:szCs w:val="18"/>
                <w:u w:val="single"/>
              </w:rPr>
            </w:pPr>
            <w:r>
              <w:rPr>
                <w:kern w:val="2"/>
                <w:sz w:val="18"/>
                <w:szCs w:val="18"/>
                <w:u w:val="single"/>
              </w:rPr>
              <w:t>/</w:t>
            </w:r>
          </w:p>
        </w:tc>
        <w:tc>
          <w:tcPr>
            <w:tcW w:w="450" w:type="dxa"/>
            <w:vMerge w:val="restart"/>
            <w:vAlign w:val="center"/>
          </w:tcPr>
          <w:p>
            <w:pPr>
              <w:pStyle w:val="112"/>
              <w:rPr>
                <w:kern w:val="2"/>
                <w:sz w:val="18"/>
                <w:szCs w:val="18"/>
                <w:u w:val="single"/>
              </w:rPr>
            </w:pPr>
            <w:r>
              <w:rPr>
                <w:kern w:val="2"/>
                <w:sz w:val="18"/>
                <w:szCs w:val="18"/>
                <w:u w:val="single"/>
              </w:rPr>
              <w:t>4a</w:t>
            </w:r>
          </w:p>
        </w:tc>
        <w:tc>
          <w:tcPr>
            <w:tcW w:w="807" w:type="dxa"/>
            <w:vAlign w:val="center"/>
          </w:tcPr>
          <w:p>
            <w:pPr>
              <w:pStyle w:val="112"/>
              <w:rPr>
                <w:kern w:val="2"/>
                <w:sz w:val="18"/>
                <w:szCs w:val="18"/>
                <w:u w:val="single"/>
              </w:rPr>
            </w:pPr>
            <w:r>
              <w:rPr>
                <w:kern w:val="2"/>
                <w:sz w:val="18"/>
                <w:szCs w:val="18"/>
                <w:u w:val="single"/>
              </w:rPr>
              <w:t>58.2</w:t>
            </w:r>
          </w:p>
        </w:tc>
        <w:tc>
          <w:tcPr>
            <w:tcW w:w="700" w:type="dxa"/>
            <w:vMerge w:val="continue"/>
            <w:vAlign w:val="center"/>
          </w:tcPr>
          <w:p>
            <w:pPr>
              <w:pStyle w:val="112"/>
              <w:rPr>
                <w:kern w:val="2"/>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603" w:type="dxa"/>
            <w:vMerge w:val="continue"/>
            <w:vAlign w:val="center"/>
          </w:tcPr>
          <w:p>
            <w:pPr>
              <w:pStyle w:val="3"/>
              <w:ind w:firstLine="0" w:firstLineChars="0"/>
              <w:jc w:val="center"/>
              <w:rPr>
                <w:color w:val="FF0000"/>
                <w:sz w:val="21"/>
                <w:szCs w:val="21"/>
                <w:u w:val="single"/>
              </w:rPr>
            </w:pPr>
          </w:p>
        </w:tc>
        <w:tc>
          <w:tcPr>
            <w:tcW w:w="1930" w:type="dxa"/>
            <w:vMerge w:val="continue"/>
            <w:vAlign w:val="center"/>
          </w:tcPr>
          <w:p>
            <w:pPr>
              <w:pStyle w:val="3"/>
              <w:spacing w:line="240" w:lineRule="auto"/>
              <w:ind w:firstLine="0" w:firstLineChars="0"/>
              <w:jc w:val="center"/>
              <w:rPr>
                <w:sz w:val="21"/>
                <w:szCs w:val="21"/>
                <w:u w:val="single"/>
              </w:rPr>
            </w:pPr>
          </w:p>
        </w:tc>
        <w:tc>
          <w:tcPr>
            <w:tcW w:w="1655" w:type="dxa"/>
            <w:vMerge w:val="continue"/>
            <w:vAlign w:val="center"/>
          </w:tcPr>
          <w:p>
            <w:pPr>
              <w:jc w:val="center"/>
              <w:rPr>
                <w:sz w:val="18"/>
                <w:szCs w:val="18"/>
                <w:u w:val="single"/>
              </w:rPr>
            </w:pPr>
          </w:p>
        </w:tc>
        <w:tc>
          <w:tcPr>
            <w:tcW w:w="1142" w:type="dxa"/>
            <w:vMerge w:val="continue"/>
            <w:vAlign w:val="center"/>
          </w:tcPr>
          <w:p>
            <w:pPr>
              <w:jc w:val="center"/>
              <w:rPr>
                <w:sz w:val="18"/>
                <w:szCs w:val="18"/>
                <w:u w:val="single"/>
              </w:rPr>
            </w:pPr>
          </w:p>
        </w:tc>
        <w:tc>
          <w:tcPr>
            <w:tcW w:w="762" w:type="dxa"/>
            <w:vAlign w:val="center"/>
          </w:tcPr>
          <w:p>
            <w:pPr>
              <w:jc w:val="center"/>
              <w:rPr>
                <w:sz w:val="18"/>
                <w:szCs w:val="18"/>
                <w:u w:val="single"/>
              </w:rPr>
            </w:pPr>
            <w:r>
              <w:rPr>
                <w:rFonts w:hint="eastAsia"/>
                <w:sz w:val="18"/>
                <w:szCs w:val="18"/>
                <w:u w:val="single"/>
              </w:rPr>
              <w:t>夜间</w:t>
            </w:r>
          </w:p>
        </w:tc>
        <w:tc>
          <w:tcPr>
            <w:tcW w:w="715"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51.8</w:t>
            </w:r>
          </w:p>
        </w:tc>
        <w:tc>
          <w:tcPr>
            <w:tcW w:w="67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53.28</w:t>
            </w:r>
          </w:p>
        </w:tc>
        <w:tc>
          <w:tcPr>
            <w:tcW w:w="645" w:type="dxa"/>
            <w:vAlign w:val="center"/>
          </w:tcPr>
          <w:p>
            <w:pPr>
              <w:pStyle w:val="112"/>
              <w:rPr>
                <w:color w:val="auto"/>
                <w:kern w:val="2"/>
                <w:sz w:val="18"/>
                <w:szCs w:val="18"/>
                <w:u w:val="single"/>
              </w:rPr>
            </w:pPr>
            <w:r>
              <w:rPr>
                <w:color w:val="auto"/>
                <w:kern w:val="2"/>
                <w:sz w:val="18"/>
                <w:szCs w:val="18"/>
                <w:u w:val="single"/>
              </w:rPr>
              <w:t>/</w:t>
            </w:r>
          </w:p>
        </w:tc>
        <w:tc>
          <w:tcPr>
            <w:tcW w:w="68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54.3</w:t>
            </w:r>
          </w:p>
        </w:tc>
        <w:tc>
          <w:tcPr>
            <w:tcW w:w="681" w:type="dxa"/>
            <w:vAlign w:val="center"/>
          </w:tcPr>
          <w:p>
            <w:pPr>
              <w:jc w:val="center"/>
              <w:rPr>
                <w:color w:val="auto"/>
                <w:sz w:val="18"/>
                <w:szCs w:val="18"/>
                <w:u w:val="single"/>
              </w:rPr>
            </w:pPr>
            <w:r>
              <w:rPr>
                <w:color w:val="auto"/>
                <w:sz w:val="18"/>
                <w:szCs w:val="18"/>
                <w:u w:val="single"/>
              </w:rPr>
              <w:t>5</w:t>
            </w:r>
            <w:r>
              <w:rPr>
                <w:rFonts w:hint="eastAsia"/>
                <w:color w:val="auto"/>
                <w:sz w:val="18"/>
                <w:szCs w:val="18"/>
                <w:u w:val="single"/>
                <w:lang w:val="en-US" w:eastAsia="zh-CN"/>
              </w:rPr>
              <w:t>5.20</w:t>
            </w:r>
          </w:p>
        </w:tc>
        <w:tc>
          <w:tcPr>
            <w:tcW w:w="659" w:type="dxa"/>
            <w:vAlign w:val="center"/>
          </w:tcPr>
          <w:p>
            <w:pPr>
              <w:pStyle w:val="112"/>
              <w:rPr>
                <w:rFonts w:hint="eastAsia" w:eastAsia="宋体"/>
                <w:color w:val="auto"/>
                <w:kern w:val="2"/>
                <w:sz w:val="18"/>
                <w:szCs w:val="18"/>
                <w:u w:val="single"/>
                <w:lang w:eastAsia="zh-CN"/>
              </w:rPr>
            </w:pPr>
            <w:r>
              <w:rPr>
                <w:rFonts w:hint="eastAsia"/>
                <w:color w:val="auto"/>
                <w:kern w:val="2"/>
                <w:sz w:val="18"/>
                <w:szCs w:val="18"/>
                <w:u w:val="single"/>
                <w:lang w:val="en-US" w:eastAsia="zh-CN"/>
              </w:rPr>
              <w:t>0.2</w:t>
            </w:r>
          </w:p>
        </w:tc>
        <w:tc>
          <w:tcPr>
            <w:tcW w:w="60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55.4</w:t>
            </w:r>
          </w:p>
        </w:tc>
        <w:tc>
          <w:tcPr>
            <w:tcW w:w="646" w:type="dxa"/>
            <w:vAlign w:val="center"/>
          </w:tcPr>
          <w:p>
            <w:pPr>
              <w:jc w:val="center"/>
              <w:rPr>
                <w:color w:val="auto"/>
                <w:sz w:val="18"/>
                <w:szCs w:val="18"/>
                <w:u w:val="single"/>
              </w:rPr>
            </w:pPr>
            <w:r>
              <w:rPr>
                <w:color w:val="auto"/>
                <w:sz w:val="18"/>
                <w:szCs w:val="18"/>
                <w:u w:val="single"/>
              </w:rPr>
              <w:t>5</w:t>
            </w:r>
            <w:r>
              <w:rPr>
                <w:rFonts w:hint="eastAsia"/>
                <w:color w:val="auto"/>
                <w:sz w:val="18"/>
                <w:szCs w:val="18"/>
                <w:u w:val="single"/>
                <w:lang w:val="en-US" w:eastAsia="zh-CN"/>
              </w:rPr>
              <w:t>6.11</w:t>
            </w:r>
          </w:p>
        </w:tc>
        <w:tc>
          <w:tcPr>
            <w:tcW w:w="635" w:type="dxa"/>
            <w:vAlign w:val="center"/>
          </w:tcPr>
          <w:p>
            <w:pPr>
              <w:pStyle w:val="112"/>
              <w:rPr>
                <w:rFonts w:hint="eastAsia" w:eastAsia="宋体"/>
                <w:kern w:val="2"/>
                <w:sz w:val="18"/>
                <w:szCs w:val="18"/>
                <w:u w:val="single"/>
                <w:lang w:eastAsia="zh-CN"/>
              </w:rPr>
            </w:pPr>
            <w:r>
              <w:rPr>
                <w:rFonts w:hint="eastAsia"/>
                <w:kern w:val="2"/>
                <w:sz w:val="18"/>
                <w:szCs w:val="18"/>
                <w:u w:val="single"/>
                <w:lang w:val="en-US" w:eastAsia="zh-CN"/>
              </w:rPr>
              <w:t>1.11</w:t>
            </w:r>
          </w:p>
        </w:tc>
        <w:tc>
          <w:tcPr>
            <w:tcW w:w="450" w:type="dxa"/>
            <w:vMerge w:val="continue"/>
            <w:vAlign w:val="center"/>
          </w:tcPr>
          <w:p>
            <w:pPr>
              <w:pStyle w:val="112"/>
              <w:rPr>
                <w:kern w:val="2"/>
                <w:sz w:val="18"/>
                <w:szCs w:val="18"/>
                <w:u w:val="single"/>
              </w:rPr>
            </w:pPr>
          </w:p>
        </w:tc>
        <w:tc>
          <w:tcPr>
            <w:tcW w:w="807" w:type="dxa"/>
            <w:vAlign w:val="center"/>
          </w:tcPr>
          <w:p>
            <w:pPr>
              <w:pStyle w:val="112"/>
              <w:rPr>
                <w:kern w:val="2"/>
                <w:sz w:val="18"/>
                <w:szCs w:val="18"/>
                <w:u w:val="single"/>
              </w:rPr>
            </w:pPr>
            <w:r>
              <w:rPr>
                <w:kern w:val="2"/>
                <w:sz w:val="18"/>
                <w:szCs w:val="18"/>
                <w:u w:val="single"/>
              </w:rPr>
              <w:t>47.9</w:t>
            </w:r>
          </w:p>
        </w:tc>
        <w:tc>
          <w:tcPr>
            <w:tcW w:w="700" w:type="dxa"/>
            <w:vMerge w:val="continue"/>
            <w:vAlign w:val="center"/>
          </w:tcPr>
          <w:p>
            <w:pPr>
              <w:pStyle w:val="112"/>
              <w:rPr>
                <w:kern w:val="2"/>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603" w:type="dxa"/>
            <w:vMerge w:val="continue"/>
            <w:vAlign w:val="center"/>
          </w:tcPr>
          <w:p>
            <w:pPr>
              <w:jc w:val="center"/>
              <w:rPr>
                <w:color w:val="FF0000"/>
                <w:sz w:val="21"/>
                <w:szCs w:val="21"/>
                <w:u w:val="single"/>
              </w:rPr>
            </w:pPr>
          </w:p>
        </w:tc>
        <w:tc>
          <w:tcPr>
            <w:tcW w:w="1930" w:type="dxa"/>
            <w:vMerge w:val="restart"/>
            <w:vAlign w:val="center"/>
          </w:tcPr>
          <w:p>
            <w:pPr>
              <w:jc w:val="center"/>
              <w:rPr>
                <w:color w:val="FF0000"/>
                <w:sz w:val="21"/>
                <w:szCs w:val="21"/>
                <w:u w:val="single"/>
              </w:rPr>
            </w:pPr>
            <w:r>
              <w:rPr>
                <w:rFonts w:hint="eastAsia"/>
                <w:sz w:val="21"/>
                <w:szCs w:val="21"/>
                <w:u w:val="single"/>
              </w:rPr>
              <w:t>大里塘村居民点</w:t>
            </w:r>
          </w:p>
        </w:tc>
        <w:tc>
          <w:tcPr>
            <w:tcW w:w="1655" w:type="dxa"/>
            <w:vMerge w:val="restart"/>
            <w:vAlign w:val="center"/>
          </w:tcPr>
          <w:p>
            <w:pPr>
              <w:jc w:val="center"/>
              <w:rPr>
                <w:color w:val="FF0000"/>
                <w:sz w:val="18"/>
                <w:szCs w:val="18"/>
                <w:u w:val="single"/>
              </w:rPr>
            </w:pPr>
            <w:r>
              <w:rPr>
                <w:sz w:val="18"/>
                <w:szCs w:val="18"/>
                <w:u w:val="single"/>
              </w:rPr>
              <w:t>K7+190~K8+369</w:t>
            </w:r>
          </w:p>
        </w:tc>
        <w:tc>
          <w:tcPr>
            <w:tcW w:w="1142" w:type="dxa"/>
            <w:vMerge w:val="restart"/>
            <w:vAlign w:val="center"/>
          </w:tcPr>
          <w:p>
            <w:pPr>
              <w:jc w:val="center"/>
              <w:rPr>
                <w:color w:val="FF0000"/>
                <w:sz w:val="18"/>
                <w:szCs w:val="18"/>
                <w:u w:val="single"/>
              </w:rPr>
            </w:pPr>
            <w:r>
              <w:rPr>
                <w:sz w:val="18"/>
                <w:szCs w:val="18"/>
                <w:u w:val="single"/>
              </w:rPr>
              <w:t>27.75/</w:t>
            </w:r>
            <w:r>
              <w:rPr>
                <w:rFonts w:hint="eastAsia"/>
                <w:sz w:val="18"/>
                <w:szCs w:val="18"/>
                <w:u w:val="single"/>
                <w:lang w:val="en-US" w:eastAsia="zh-CN"/>
              </w:rPr>
              <w:t>14</w:t>
            </w:r>
          </w:p>
        </w:tc>
        <w:tc>
          <w:tcPr>
            <w:tcW w:w="762" w:type="dxa"/>
            <w:vAlign w:val="center"/>
          </w:tcPr>
          <w:p>
            <w:pPr>
              <w:jc w:val="center"/>
              <w:rPr>
                <w:sz w:val="18"/>
                <w:szCs w:val="18"/>
                <w:u w:val="single"/>
              </w:rPr>
            </w:pPr>
            <w:r>
              <w:rPr>
                <w:rFonts w:hint="eastAsia"/>
                <w:sz w:val="18"/>
                <w:szCs w:val="18"/>
                <w:u w:val="single"/>
              </w:rPr>
              <w:t>昼间</w:t>
            </w:r>
          </w:p>
        </w:tc>
        <w:tc>
          <w:tcPr>
            <w:tcW w:w="715"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60.5</w:t>
            </w:r>
          </w:p>
        </w:tc>
        <w:tc>
          <w:tcPr>
            <w:tcW w:w="670" w:type="dxa"/>
            <w:vAlign w:val="center"/>
          </w:tcPr>
          <w:p>
            <w:pPr>
              <w:jc w:val="center"/>
              <w:rPr>
                <w:color w:val="auto"/>
                <w:sz w:val="18"/>
                <w:szCs w:val="18"/>
                <w:u w:val="single"/>
              </w:rPr>
            </w:pPr>
            <w:r>
              <w:rPr>
                <w:color w:val="auto"/>
                <w:sz w:val="18"/>
                <w:szCs w:val="18"/>
                <w:u w:val="single"/>
              </w:rPr>
              <w:t>6</w:t>
            </w:r>
            <w:r>
              <w:rPr>
                <w:rFonts w:hint="eastAsia"/>
                <w:color w:val="auto"/>
                <w:sz w:val="18"/>
                <w:szCs w:val="18"/>
                <w:u w:val="single"/>
                <w:lang w:val="en-US" w:eastAsia="zh-CN"/>
              </w:rPr>
              <w:t>3.04</w:t>
            </w:r>
          </w:p>
        </w:tc>
        <w:tc>
          <w:tcPr>
            <w:tcW w:w="645" w:type="dxa"/>
            <w:vAlign w:val="center"/>
          </w:tcPr>
          <w:p>
            <w:pPr>
              <w:pStyle w:val="112"/>
              <w:rPr>
                <w:color w:val="auto"/>
                <w:kern w:val="2"/>
                <w:sz w:val="18"/>
                <w:szCs w:val="18"/>
                <w:u w:val="single"/>
              </w:rPr>
            </w:pPr>
            <w:r>
              <w:rPr>
                <w:color w:val="auto"/>
                <w:kern w:val="2"/>
                <w:sz w:val="18"/>
                <w:szCs w:val="18"/>
                <w:u w:val="single"/>
              </w:rPr>
              <w:t>/</w:t>
            </w:r>
          </w:p>
        </w:tc>
        <w:tc>
          <w:tcPr>
            <w:tcW w:w="68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62.6</w:t>
            </w:r>
          </w:p>
        </w:tc>
        <w:tc>
          <w:tcPr>
            <w:tcW w:w="681" w:type="dxa"/>
            <w:vAlign w:val="center"/>
          </w:tcPr>
          <w:p>
            <w:pPr>
              <w:jc w:val="center"/>
              <w:rPr>
                <w:color w:val="auto"/>
                <w:sz w:val="18"/>
                <w:szCs w:val="18"/>
                <w:u w:val="single"/>
              </w:rPr>
            </w:pPr>
            <w:r>
              <w:rPr>
                <w:color w:val="auto"/>
                <w:sz w:val="18"/>
                <w:szCs w:val="18"/>
                <w:u w:val="single"/>
              </w:rPr>
              <w:t>6</w:t>
            </w:r>
            <w:r>
              <w:rPr>
                <w:rFonts w:hint="eastAsia"/>
                <w:color w:val="auto"/>
                <w:sz w:val="18"/>
                <w:szCs w:val="18"/>
                <w:u w:val="single"/>
                <w:lang w:val="en-US" w:eastAsia="zh-CN"/>
              </w:rPr>
              <w:t>4.33</w:t>
            </w:r>
          </w:p>
        </w:tc>
        <w:tc>
          <w:tcPr>
            <w:tcW w:w="659" w:type="dxa"/>
            <w:vAlign w:val="center"/>
          </w:tcPr>
          <w:p>
            <w:pPr>
              <w:pStyle w:val="112"/>
              <w:rPr>
                <w:color w:val="auto"/>
                <w:kern w:val="2"/>
                <w:sz w:val="18"/>
                <w:szCs w:val="18"/>
                <w:u w:val="single"/>
              </w:rPr>
            </w:pPr>
            <w:r>
              <w:rPr>
                <w:color w:val="auto"/>
                <w:kern w:val="2"/>
                <w:sz w:val="18"/>
                <w:szCs w:val="18"/>
                <w:u w:val="single"/>
              </w:rPr>
              <w:t>/</w:t>
            </w:r>
          </w:p>
        </w:tc>
        <w:tc>
          <w:tcPr>
            <w:tcW w:w="60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64.8</w:t>
            </w:r>
          </w:p>
        </w:tc>
        <w:tc>
          <w:tcPr>
            <w:tcW w:w="646" w:type="dxa"/>
            <w:vAlign w:val="center"/>
          </w:tcPr>
          <w:p>
            <w:pPr>
              <w:jc w:val="center"/>
              <w:rPr>
                <w:color w:val="auto"/>
                <w:sz w:val="18"/>
                <w:szCs w:val="18"/>
                <w:u w:val="single"/>
              </w:rPr>
            </w:pPr>
            <w:r>
              <w:rPr>
                <w:color w:val="auto"/>
                <w:sz w:val="18"/>
                <w:szCs w:val="18"/>
                <w:u w:val="single"/>
              </w:rPr>
              <w:t>6</w:t>
            </w:r>
            <w:r>
              <w:rPr>
                <w:rFonts w:hint="eastAsia"/>
                <w:color w:val="auto"/>
                <w:sz w:val="18"/>
                <w:szCs w:val="18"/>
                <w:u w:val="single"/>
                <w:lang w:val="en-US" w:eastAsia="zh-CN"/>
              </w:rPr>
              <w:t>5.92</w:t>
            </w:r>
          </w:p>
        </w:tc>
        <w:tc>
          <w:tcPr>
            <w:tcW w:w="635" w:type="dxa"/>
            <w:vAlign w:val="center"/>
          </w:tcPr>
          <w:p>
            <w:pPr>
              <w:pStyle w:val="112"/>
              <w:rPr>
                <w:color w:val="auto"/>
                <w:kern w:val="2"/>
                <w:sz w:val="18"/>
                <w:szCs w:val="18"/>
                <w:u w:val="single"/>
              </w:rPr>
            </w:pPr>
            <w:r>
              <w:rPr>
                <w:color w:val="auto"/>
                <w:kern w:val="2"/>
                <w:sz w:val="18"/>
                <w:szCs w:val="18"/>
                <w:u w:val="single"/>
              </w:rPr>
              <w:t>/</w:t>
            </w:r>
          </w:p>
        </w:tc>
        <w:tc>
          <w:tcPr>
            <w:tcW w:w="450" w:type="dxa"/>
            <w:vMerge w:val="restart"/>
            <w:vAlign w:val="center"/>
          </w:tcPr>
          <w:p>
            <w:pPr>
              <w:pStyle w:val="112"/>
              <w:rPr>
                <w:kern w:val="2"/>
                <w:sz w:val="18"/>
                <w:szCs w:val="18"/>
                <w:u w:val="single"/>
              </w:rPr>
            </w:pPr>
            <w:r>
              <w:rPr>
                <w:kern w:val="2"/>
                <w:sz w:val="18"/>
                <w:szCs w:val="18"/>
                <w:u w:val="single"/>
              </w:rPr>
              <w:t>4a</w:t>
            </w:r>
          </w:p>
        </w:tc>
        <w:tc>
          <w:tcPr>
            <w:tcW w:w="807" w:type="dxa"/>
            <w:vAlign w:val="center"/>
          </w:tcPr>
          <w:p>
            <w:pPr>
              <w:pStyle w:val="112"/>
              <w:rPr>
                <w:kern w:val="2"/>
                <w:sz w:val="18"/>
                <w:szCs w:val="18"/>
                <w:u w:val="single"/>
              </w:rPr>
            </w:pPr>
            <w:r>
              <w:rPr>
                <w:kern w:val="2"/>
                <w:sz w:val="18"/>
                <w:szCs w:val="18"/>
                <w:u w:val="single"/>
              </w:rPr>
              <w:t>59.5</w:t>
            </w:r>
          </w:p>
        </w:tc>
        <w:tc>
          <w:tcPr>
            <w:tcW w:w="700" w:type="dxa"/>
            <w:vMerge w:val="continue"/>
            <w:vAlign w:val="center"/>
          </w:tcPr>
          <w:p>
            <w:pPr>
              <w:pStyle w:val="112"/>
              <w:rPr>
                <w:rFonts w:hAnsi="宋体"/>
                <w:kern w:val="2"/>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603" w:type="dxa"/>
            <w:vMerge w:val="continue"/>
            <w:vAlign w:val="center"/>
          </w:tcPr>
          <w:p>
            <w:pPr>
              <w:jc w:val="center"/>
              <w:rPr>
                <w:color w:val="FF0000"/>
                <w:sz w:val="21"/>
                <w:szCs w:val="21"/>
                <w:u w:val="single"/>
              </w:rPr>
            </w:pPr>
          </w:p>
        </w:tc>
        <w:tc>
          <w:tcPr>
            <w:tcW w:w="1930" w:type="dxa"/>
            <w:vMerge w:val="continue"/>
            <w:vAlign w:val="center"/>
          </w:tcPr>
          <w:p>
            <w:pPr>
              <w:jc w:val="center"/>
              <w:rPr>
                <w:sz w:val="21"/>
                <w:szCs w:val="21"/>
                <w:u w:val="single"/>
              </w:rPr>
            </w:pPr>
          </w:p>
        </w:tc>
        <w:tc>
          <w:tcPr>
            <w:tcW w:w="1655" w:type="dxa"/>
            <w:vMerge w:val="continue"/>
            <w:vAlign w:val="center"/>
          </w:tcPr>
          <w:p>
            <w:pPr>
              <w:jc w:val="center"/>
              <w:rPr>
                <w:sz w:val="18"/>
                <w:szCs w:val="18"/>
                <w:u w:val="single"/>
              </w:rPr>
            </w:pPr>
          </w:p>
        </w:tc>
        <w:tc>
          <w:tcPr>
            <w:tcW w:w="1142" w:type="dxa"/>
            <w:vMerge w:val="continue"/>
            <w:vAlign w:val="center"/>
          </w:tcPr>
          <w:p>
            <w:pPr>
              <w:jc w:val="center"/>
              <w:rPr>
                <w:sz w:val="18"/>
                <w:szCs w:val="18"/>
                <w:u w:val="single"/>
              </w:rPr>
            </w:pPr>
          </w:p>
        </w:tc>
        <w:tc>
          <w:tcPr>
            <w:tcW w:w="762" w:type="dxa"/>
            <w:vAlign w:val="center"/>
          </w:tcPr>
          <w:p>
            <w:pPr>
              <w:jc w:val="center"/>
              <w:rPr>
                <w:sz w:val="18"/>
                <w:szCs w:val="18"/>
                <w:u w:val="single"/>
              </w:rPr>
            </w:pPr>
            <w:r>
              <w:rPr>
                <w:rFonts w:hint="eastAsia"/>
                <w:sz w:val="18"/>
                <w:szCs w:val="18"/>
                <w:u w:val="single"/>
              </w:rPr>
              <w:t>夜间</w:t>
            </w:r>
          </w:p>
        </w:tc>
        <w:tc>
          <w:tcPr>
            <w:tcW w:w="715"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49.8</w:t>
            </w:r>
          </w:p>
        </w:tc>
        <w:tc>
          <w:tcPr>
            <w:tcW w:w="67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52.52</w:t>
            </w:r>
          </w:p>
        </w:tc>
        <w:tc>
          <w:tcPr>
            <w:tcW w:w="645" w:type="dxa"/>
            <w:vAlign w:val="center"/>
          </w:tcPr>
          <w:p>
            <w:pPr>
              <w:pStyle w:val="112"/>
              <w:rPr>
                <w:color w:val="auto"/>
                <w:kern w:val="2"/>
                <w:sz w:val="18"/>
                <w:szCs w:val="18"/>
                <w:u w:val="single"/>
              </w:rPr>
            </w:pPr>
            <w:r>
              <w:rPr>
                <w:color w:val="auto"/>
                <w:kern w:val="2"/>
                <w:sz w:val="18"/>
                <w:szCs w:val="18"/>
                <w:u w:val="single"/>
              </w:rPr>
              <w:t>/</w:t>
            </w:r>
          </w:p>
        </w:tc>
        <w:tc>
          <w:tcPr>
            <w:tcW w:w="68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53.2</w:t>
            </w:r>
          </w:p>
        </w:tc>
        <w:tc>
          <w:tcPr>
            <w:tcW w:w="681"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54.66</w:t>
            </w:r>
          </w:p>
        </w:tc>
        <w:tc>
          <w:tcPr>
            <w:tcW w:w="659" w:type="dxa"/>
            <w:vAlign w:val="center"/>
          </w:tcPr>
          <w:p>
            <w:pPr>
              <w:pStyle w:val="112"/>
              <w:rPr>
                <w:color w:val="auto"/>
                <w:kern w:val="2"/>
                <w:sz w:val="18"/>
                <w:szCs w:val="18"/>
                <w:u w:val="single"/>
              </w:rPr>
            </w:pPr>
            <w:r>
              <w:rPr>
                <w:color w:val="auto"/>
                <w:kern w:val="2"/>
                <w:sz w:val="18"/>
                <w:szCs w:val="18"/>
                <w:u w:val="single"/>
              </w:rPr>
              <w:t>/</w:t>
            </w:r>
          </w:p>
        </w:tc>
        <w:tc>
          <w:tcPr>
            <w:tcW w:w="600" w:type="dxa"/>
            <w:vAlign w:val="center"/>
          </w:tcPr>
          <w:p>
            <w:pPr>
              <w:jc w:val="center"/>
              <w:rPr>
                <w:rFonts w:hint="eastAsia" w:eastAsia="宋体"/>
                <w:color w:val="auto"/>
                <w:sz w:val="18"/>
                <w:szCs w:val="18"/>
                <w:u w:val="single"/>
                <w:lang w:eastAsia="zh-CN"/>
              </w:rPr>
            </w:pPr>
            <w:r>
              <w:rPr>
                <w:rFonts w:hint="eastAsia"/>
                <w:color w:val="auto"/>
                <w:sz w:val="18"/>
                <w:szCs w:val="18"/>
                <w:u w:val="single"/>
                <w:lang w:val="en-US" w:eastAsia="zh-CN"/>
              </w:rPr>
              <w:t>54.9</w:t>
            </w:r>
          </w:p>
        </w:tc>
        <w:tc>
          <w:tcPr>
            <w:tcW w:w="646" w:type="dxa"/>
            <w:vAlign w:val="center"/>
          </w:tcPr>
          <w:p>
            <w:pPr>
              <w:jc w:val="center"/>
              <w:rPr>
                <w:color w:val="auto"/>
                <w:sz w:val="18"/>
                <w:szCs w:val="18"/>
                <w:u w:val="single"/>
              </w:rPr>
            </w:pPr>
            <w:r>
              <w:rPr>
                <w:color w:val="auto"/>
                <w:sz w:val="18"/>
                <w:szCs w:val="18"/>
                <w:u w:val="single"/>
              </w:rPr>
              <w:t>5</w:t>
            </w:r>
            <w:r>
              <w:rPr>
                <w:rFonts w:hint="eastAsia"/>
                <w:color w:val="auto"/>
                <w:sz w:val="18"/>
                <w:szCs w:val="18"/>
                <w:u w:val="single"/>
                <w:lang w:val="en-US" w:eastAsia="zh-CN"/>
              </w:rPr>
              <w:t>5.94</w:t>
            </w:r>
          </w:p>
        </w:tc>
        <w:tc>
          <w:tcPr>
            <w:tcW w:w="635" w:type="dxa"/>
            <w:vAlign w:val="center"/>
          </w:tcPr>
          <w:p>
            <w:pPr>
              <w:pStyle w:val="112"/>
              <w:rPr>
                <w:rFonts w:hint="eastAsia" w:eastAsia="宋体"/>
                <w:color w:val="auto"/>
                <w:kern w:val="2"/>
                <w:sz w:val="18"/>
                <w:szCs w:val="18"/>
                <w:u w:val="single"/>
                <w:lang w:eastAsia="zh-CN"/>
              </w:rPr>
            </w:pPr>
            <w:r>
              <w:rPr>
                <w:rFonts w:hint="eastAsia"/>
                <w:color w:val="auto"/>
                <w:kern w:val="2"/>
                <w:sz w:val="18"/>
                <w:szCs w:val="18"/>
                <w:u w:val="single"/>
                <w:lang w:val="en-US" w:eastAsia="zh-CN"/>
              </w:rPr>
              <w:t>0.94</w:t>
            </w:r>
          </w:p>
        </w:tc>
        <w:tc>
          <w:tcPr>
            <w:tcW w:w="450" w:type="dxa"/>
            <w:vMerge w:val="continue"/>
            <w:vAlign w:val="center"/>
          </w:tcPr>
          <w:p>
            <w:pPr>
              <w:pStyle w:val="112"/>
              <w:rPr>
                <w:kern w:val="2"/>
                <w:sz w:val="18"/>
                <w:szCs w:val="18"/>
                <w:u w:val="single"/>
              </w:rPr>
            </w:pPr>
          </w:p>
        </w:tc>
        <w:tc>
          <w:tcPr>
            <w:tcW w:w="807" w:type="dxa"/>
            <w:vAlign w:val="center"/>
          </w:tcPr>
          <w:p>
            <w:pPr>
              <w:pStyle w:val="112"/>
              <w:rPr>
                <w:kern w:val="2"/>
                <w:sz w:val="18"/>
                <w:szCs w:val="18"/>
                <w:u w:val="single"/>
              </w:rPr>
            </w:pPr>
            <w:r>
              <w:rPr>
                <w:kern w:val="2"/>
                <w:sz w:val="18"/>
                <w:szCs w:val="18"/>
                <w:u w:val="single"/>
              </w:rPr>
              <w:t>49.2</w:t>
            </w:r>
          </w:p>
        </w:tc>
        <w:tc>
          <w:tcPr>
            <w:tcW w:w="700" w:type="dxa"/>
            <w:vMerge w:val="continue"/>
            <w:vAlign w:val="center"/>
          </w:tcPr>
          <w:p>
            <w:pPr>
              <w:pStyle w:val="112"/>
              <w:rPr>
                <w:rFonts w:hAnsi="宋体"/>
                <w:kern w:val="2"/>
                <w:sz w:val="18"/>
                <w:szCs w:val="18"/>
                <w:u w:val="single"/>
              </w:rPr>
            </w:pPr>
          </w:p>
        </w:tc>
      </w:tr>
    </w:tbl>
    <w:p>
      <w:pPr>
        <w:jc w:val="left"/>
        <w:rPr>
          <w:color w:val="FF0000"/>
          <w:kern w:val="0"/>
          <w:sz w:val="18"/>
          <w:szCs w:val="18"/>
          <w:highlight w:val="yellow"/>
          <w:u w:val="single"/>
        </w:rPr>
      </w:pPr>
    </w:p>
    <w:p>
      <w:pPr>
        <w:pStyle w:val="19"/>
        <w:jc w:val="center"/>
        <w:rPr>
          <w:rFonts w:hint="eastAsia"/>
          <w:u w:val="single"/>
        </w:rPr>
      </w:pPr>
    </w:p>
    <w:p>
      <w:pPr>
        <w:pStyle w:val="19"/>
        <w:jc w:val="center"/>
        <w:rPr>
          <w:rFonts w:hint="eastAsia"/>
          <w:u w:val="single"/>
        </w:rPr>
      </w:pPr>
    </w:p>
    <w:p>
      <w:pPr>
        <w:pStyle w:val="19"/>
        <w:jc w:val="center"/>
        <w:rPr>
          <w:rFonts w:hint="eastAsia"/>
          <w:u w:val="single"/>
        </w:rPr>
      </w:pPr>
    </w:p>
    <w:p>
      <w:pPr>
        <w:pStyle w:val="19"/>
        <w:jc w:val="center"/>
        <w:rPr>
          <w:rFonts w:hint="eastAsia"/>
          <w:u w:val="single"/>
        </w:rPr>
      </w:pPr>
    </w:p>
    <w:p>
      <w:pPr>
        <w:pStyle w:val="19"/>
        <w:jc w:val="center"/>
        <w:rPr>
          <w:rFonts w:hint="eastAsia"/>
          <w:u w:val="single"/>
        </w:rPr>
      </w:pPr>
    </w:p>
    <w:p>
      <w:pPr>
        <w:pStyle w:val="19"/>
        <w:jc w:val="center"/>
        <w:rPr>
          <w:rFonts w:hint="eastAsia"/>
          <w:u w:val="single"/>
        </w:rPr>
      </w:pPr>
    </w:p>
    <w:p>
      <w:pPr>
        <w:pStyle w:val="19"/>
        <w:jc w:val="center"/>
        <w:rPr>
          <w:rFonts w:hint="eastAsia"/>
          <w:u w:val="single"/>
        </w:rPr>
      </w:pPr>
    </w:p>
    <w:p>
      <w:pPr>
        <w:pStyle w:val="19"/>
        <w:jc w:val="center"/>
        <w:rPr>
          <w:rFonts w:hint="eastAsia"/>
          <w:u w:val="single"/>
        </w:rPr>
      </w:pPr>
    </w:p>
    <w:p>
      <w:pPr>
        <w:pStyle w:val="19"/>
        <w:jc w:val="center"/>
        <w:rPr>
          <w:rFonts w:hint="eastAsia"/>
          <w:u w:val="single"/>
        </w:rPr>
      </w:pPr>
      <w:r>
        <w:rPr>
          <w:rFonts w:hint="eastAsia"/>
          <w:u w:val="single"/>
        </w:rPr>
        <w:t>表7.1-</w:t>
      </w:r>
      <w:r>
        <w:rPr>
          <w:rFonts w:hint="eastAsia"/>
          <w:u w:val="single"/>
          <w:lang w:val="en-US" w:eastAsia="zh-CN"/>
        </w:rPr>
        <w:t>9</w:t>
      </w:r>
      <w:r>
        <w:rPr>
          <w:rFonts w:hint="eastAsia"/>
          <w:u w:val="single"/>
        </w:rPr>
        <w:t xml:space="preserve">  </w:t>
      </w:r>
      <w:r>
        <w:rPr>
          <w:rFonts w:hint="eastAsia"/>
          <w:u w:val="single"/>
          <w:lang w:val="en-US" w:eastAsia="zh-CN"/>
        </w:rPr>
        <w:t>声环境敏感点超标降噪措施</w:t>
      </w:r>
    </w:p>
    <w:tbl>
      <w:tblPr>
        <w:tblStyle w:val="66"/>
        <w:tblW w:w="1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596"/>
        <w:gridCol w:w="2110"/>
        <w:gridCol w:w="2326"/>
        <w:gridCol w:w="1212"/>
        <w:gridCol w:w="1114"/>
        <w:gridCol w:w="2328"/>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947" w:type="dxa"/>
            <w:vMerge w:val="restart"/>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序号</w:t>
            </w:r>
          </w:p>
        </w:tc>
        <w:tc>
          <w:tcPr>
            <w:tcW w:w="1596" w:type="dxa"/>
            <w:vMerge w:val="restart"/>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敏感度名称</w:t>
            </w:r>
          </w:p>
        </w:tc>
        <w:tc>
          <w:tcPr>
            <w:tcW w:w="2110" w:type="dxa"/>
            <w:vMerge w:val="restart"/>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桩号</w:t>
            </w:r>
          </w:p>
        </w:tc>
        <w:tc>
          <w:tcPr>
            <w:tcW w:w="2326" w:type="dxa"/>
            <w:vMerge w:val="restart"/>
            <w:vAlign w:val="center"/>
          </w:tcPr>
          <w:p>
            <w:pPr>
              <w:pStyle w:val="3"/>
              <w:spacing w:line="240" w:lineRule="auto"/>
              <w:ind w:firstLine="0" w:firstLineChars="0"/>
              <w:jc w:val="center"/>
              <w:rPr>
                <w:rFonts w:hint="eastAsia"/>
                <w:sz w:val="21"/>
                <w:szCs w:val="21"/>
                <w:u w:val="single"/>
              </w:rPr>
            </w:pPr>
            <w:r>
              <w:rPr>
                <w:rFonts w:hint="eastAsia"/>
                <w:sz w:val="21"/>
                <w:szCs w:val="21"/>
                <w:u w:val="single"/>
                <w:lang w:val="en-US" w:eastAsia="zh-CN"/>
              </w:rPr>
              <w:t>距路中心线/红线</w:t>
            </w:r>
            <w:r>
              <w:rPr>
                <w:rFonts w:hint="eastAsia"/>
                <w:sz w:val="21"/>
                <w:szCs w:val="21"/>
                <w:u w:val="single"/>
              </w:rPr>
              <w:t>（m）</w:t>
            </w:r>
          </w:p>
        </w:tc>
        <w:tc>
          <w:tcPr>
            <w:tcW w:w="2326" w:type="dxa"/>
            <w:gridSpan w:val="2"/>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超标量</w:t>
            </w:r>
            <w:r>
              <w:rPr>
                <w:rFonts w:hint="eastAsia"/>
                <w:sz w:val="21"/>
                <w:szCs w:val="21"/>
                <w:u w:val="single"/>
              </w:rPr>
              <w:t>dB(A)</w:t>
            </w:r>
          </w:p>
        </w:tc>
        <w:tc>
          <w:tcPr>
            <w:tcW w:w="2328" w:type="dxa"/>
            <w:vMerge w:val="restart"/>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环保措施</w:t>
            </w:r>
          </w:p>
        </w:tc>
        <w:tc>
          <w:tcPr>
            <w:tcW w:w="2327" w:type="dxa"/>
            <w:vMerge w:val="restart"/>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防治效果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947" w:type="dxa"/>
            <w:vMerge w:val="continue"/>
            <w:vAlign w:val="center"/>
          </w:tcPr>
          <w:p>
            <w:pPr>
              <w:adjustRightInd w:val="0"/>
              <w:snapToGrid w:val="0"/>
              <w:jc w:val="center"/>
              <w:rPr>
                <w:color w:val="FF0000"/>
                <w:kern w:val="0"/>
                <w:sz w:val="18"/>
                <w:szCs w:val="18"/>
                <w:highlight w:val="yellow"/>
                <w:u w:val="single"/>
                <w:vertAlign w:val="baseline"/>
              </w:rPr>
            </w:pPr>
          </w:p>
        </w:tc>
        <w:tc>
          <w:tcPr>
            <w:tcW w:w="1596" w:type="dxa"/>
            <w:vMerge w:val="continue"/>
            <w:vAlign w:val="center"/>
          </w:tcPr>
          <w:p>
            <w:pPr>
              <w:adjustRightInd w:val="0"/>
              <w:snapToGrid w:val="0"/>
              <w:jc w:val="center"/>
              <w:rPr>
                <w:rFonts w:hint="eastAsia"/>
                <w:color w:val="FF0000"/>
                <w:kern w:val="0"/>
                <w:sz w:val="18"/>
                <w:szCs w:val="18"/>
                <w:highlight w:val="yellow"/>
                <w:u w:val="single"/>
                <w:vertAlign w:val="baseline"/>
                <w:lang w:val="en-US" w:eastAsia="zh-CN"/>
              </w:rPr>
            </w:pPr>
          </w:p>
        </w:tc>
        <w:tc>
          <w:tcPr>
            <w:tcW w:w="2110" w:type="dxa"/>
            <w:vMerge w:val="continue"/>
            <w:vAlign w:val="center"/>
          </w:tcPr>
          <w:p>
            <w:pPr>
              <w:adjustRightInd w:val="0"/>
              <w:snapToGrid w:val="0"/>
              <w:jc w:val="center"/>
              <w:rPr>
                <w:rFonts w:hint="eastAsia"/>
                <w:color w:val="FF0000"/>
                <w:kern w:val="0"/>
                <w:sz w:val="18"/>
                <w:szCs w:val="18"/>
                <w:highlight w:val="yellow"/>
                <w:u w:val="single"/>
                <w:vertAlign w:val="baseline"/>
                <w:lang w:val="en-US" w:eastAsia="zh-CN"/>
              </w:rPr>
            </w:pPr>
          </w:p>
        </w:tc>
        <w:tc>
          <w:tcPr>
            <w:tcW w:w="2326" w:type="dxa"/>
            <w:vMerge w:val="continue"/>
            <w:vAlign w:val="center"/>
          </w:tcPr>
          <w:p>
            <w:pPr>
              <w:adjustRightInd w:val="0"/>
              <w:snapToGrid w:val="0"/>
              <w:jc w:val="center"/>
              <w:rPr>
                <w:rFonts w:hint="eastAsia" w:cs="宋体"/>
                <w:sz w:val="18"/>
                <w:szCs w:val="18"/>
                <w:u w:val="single"/>
                <w:lang w:val="en-US" w:eastAsia="zh-CN"/>
              </w:rPr>
            </w:pPr>
          </w:p>
        </w:tc>
        <w:tc>
          <w:tcPr>
            <w:tcW w:w="1212"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昼间</w:t>
            </w:r>
          </w:p>
        </w:tc>
        <w:tc>
          <w:tcPr>
            <w:tcW w:w="1114"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夜间</w:t>
            </w:r>
          </w:p>
        </w:tc>
        <w:tc>
          <w:tcPr>
            <w:tcW w:w="2328" w:type="dxa"/>
            <w:vMerge w:val="continue"/>
            <w:vAlign w:val="center"/>
          </w:tcPr>
          <w:p>
            <w:pPr>
              <w:adjustRightInd w:val="0"/>
              <w:snapToGrid w:val="0"/>
              <w:jc w:val="center"/>
              <w:rPr>
                <w:color w:val="FF0000"/>
                <w:kern w:val="0"/>
                <w:sz w:val="18"/>
                <w:szCs w:val="18"/>
                <w:highlight w:val="yellow"/>
                <w:u w:val="single"/>
                <w:vertAlign w:val="baseline"/>
              </w:rPr>
            </w:pPr>
          </w:p>
        </w:tc>
        <w:tc>
          <w:tcPr>
            <w:tcW w:w="2327" w:type="dxa"/>
            <w:vMerge w:val="continue"/>
            <w:vAlign w:val="center"/>
          </w:tcPr>
          <w:p>
            <w:pPr>
              <w:adjustRightInd w:val="0"/>
              <w:snapToGrid w:val="0"/>
              <w:jc w:val="center"/>
              <w:rPr>
                <w:color w:val="FF0000"/>
                <w:kern w:val="0"/>
                <w:sz w:val="18"/>
                <w:szCs w:val="18"/>
                <w:highlight w:val="yellow"/>
                <w:u w:val="singl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 w:hRule="atLeast"/>
        </w:trPr>
        <w:tc>
          <w:tcPr>
            <w:tcW w:w="947"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1</w:t>
            </w:r>
          </w:p>
        </w:tc>
        <w:tc>
          <w:tcPr>
            <w:tcW w:w="1596"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铜盆村居民点</w:t>
            </w:r>
          </w:p>
        </w:tc>
        <w:tc>
          <w:tcPr>
            <w:tcW w:w="2110"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K0+000~K0+850</w:t>
            </w:r>
          </w:p>
        </w:tc>
        <w:tc>
          <w:tcPr>
            <w:tcW w:w="2326"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18.75/5</w:t>
            </w:r>
          </w:p>
        </w:tc>
        <w:tc>
          <w:tcPr>
            <w:tcW w:w="1212"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w:t>
            </w:r>
          </w:p>
        </w:tc>
        <w:tc>
          <w:tcPr>
            <w:tcW w:w="1114"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中期0.87远期2.72</w:t>
            </w:r>
          </w:p>
        </w:tc>
        <w:tc>
          <w:tcPr>
            <w:tcW w:w="2328"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推荐措施：禁鸣、限速60km/h（K3+900~K5+000）加密种植行道树</w:t>
            </w:r>
          </w:p>
        </w:tc>
        <w:tc>
          <w:tcPr>
            <w:tcW w:w="2327"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预计降噪量约6.0</w:t>
            </w:r>
            <w:r>
              <w:rPr>
                <w:rFonts w:hint="eastAsia"/>
                <w:sz w:val="21"/>
                <w:szCs w:val="21"/>
                <w:u w:val="single"/>
              </w:rPr>
              <w:t>dB(A)</w:t>
            </w:r>
            <w:r>
              <w:rPr>
                <w:rFonts w:hint="eastAsia"/>
                <w:sz w:val="21"/>
                <w:szCs w:val="21"/>
                <w:u w:val="single"/>
                <w:lang w:eastAsia="zh-CN"/>
              </w:rPr>
              <w:t>，</w:t>
            </w:r>
            <w:r>
              <w:rPr>
                <w:rFonts w:hint="eastAsia"/>
                <w:sz w:val="21"/>
                <w:szCs w:val="21"/>
                <w:u w:val="single"/>
                <w:lang w:val="en-US" w:eastAsia="zh-CN"/>
              </w:rPr>
              <w:t>声环境质量达到GB3096-2008中4a类标准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 w:hRule="atLeast"/>
        </w:trPr>
        <w:tc>
          <w:tcPr>
            <w:tcW w:w="947"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2</w:t>
            </w:r>
          </w:p>
        </w:tc>
        <w:tc>
          <w:tcPr>
            <w:tcW w:w="1596"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桃花村居民点</w:t>
            </w:r>
          </w:p>
        </w:tc>
        <w:tc>
          <w:tcPr>
            <w:tcW w:w="2110"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K0+850~K3+956</w:t>
            </w:r>
          </w:p>
        </w:tc>
        <w:tc>
          <w:tcPr>
            <w:tcW w:w="2326"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18.75/5</w:t>
            </w:r>
          </w:p>
        </w:tc>
        <w:tc>
          <w:tcPr>
            <w:tcW w:w="1212"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w:t>
            </w:r>
          </w:p>
        </w:tc>
        <w:tc>
          <w:tcPr>
            <w:tcW w:w="1114"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中期0.55远期2.52</w:t>
            </w:r>
          </w:p>
        </w:tc>
        <w:tc>
          <w:tcPr>
            <w:tcW w:w="2328"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推荐措施：禁鸣、限速60km/h（K3+900~K5+000）加密种植行道树</w:t>
            </w:r>
          </w:p>
        </w:tc>
        <w:tc>
          <w:tcPr>
            <w:tcW w:w="2327"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预计降噪量约6.0</w:t>
            </w:r>
            <w:r>
              <w:rPr>
                <w:rFonts w:hint="eastAsia"/>
                <w:sz w:val="21"/>
                <w:szCs w:val="21"/>
                <w:u w:val="single"/>
              </w:rPr>
              <w:t>dB(A)</w:t>
            </w:r>
            <w:r>
              <w:rPr>
                <w:rFonts w:hint="eastAsia"/>
                <w:sz w:val="21"/>
                <w:szCs w:val="21"/>
                <w:u w:val="single"/>
                <w:lang w:eastAsia="zh-CN"/>
              </w:rPr>
              <w:t>，</w:t>
            </w:r>
            <w:r>
              <w:rPr>
                <w:rFonts w:hint="eastAsia"/>
                <w:sz w:val="21"/>
                <w:szCs w:val="21"/>
                <w:u w:val="single"/>
                <w:lang w:val="en-US" w:eastAsia="zh-CN"/>
              </w:rPr>
              <w:t>声环境质量达到GB3096-2008中4a类标准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1" w:hRule="atLeast"/>
        </w:trPr>
        <w:tc>
          <w:tcPr>
            <w:tcW w:w="947"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3</w:t>
            </w:r>
          </w:p>
        </w:tc>
        <w:tc>
          <w:tcPr>
            <w:tcW w:w="1596"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大陆村居民点</w:t>
            </w:r>
          </w:p>
        </w:tc>
        <w:tc>
          <w:tcPr>
            <w:tcW w:w="2110"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K3+956~K4+960</w:t>
            </w:r>
          </w:p>
        </w:tc>
        <w:tc>
          <w:tcPr>
            <w:tcW w:w="2326"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19.75/6</w:t>
            </w:r>
          </w:p>
        </w:tc>
        <w:tc>
          <w:tcPr>
            <w:tcW w:w="1212"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w:t>
            </w:r>
          </w:p>
        </w:tc>
        <w:tc>
          <w:tcPr>
            <w:tcW w:w="1114"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中期0.4远期2.25</w:t>
            </w:r>
          </w:p>
        </w:tc>
        <w:tc>
          <w:tcPr>
            <w:tcW w:w="2328"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推荐措施：禁鸣、限速60km/h（K3+900~K5+000）加密种植行道树</w:t>
            </w:r>
          </w:p>
        </w:tc>
        <w:tc>
          <w:tcPr>
            <w:tcW w:w="2327"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预计降噪量约6.0</w:t>
            </w:r>
            <w:r>
              <w:rPr>
                <w:rFonts w:hint="eastAsia"/>
                <w:sz w:val="21"/>
                <w:szCs w:val="21"/>
                <w:u w:val="single"/>
              </w:rPr>
              <w:t>dB(A)</w:t>
            </w:r>
            <w:r>
              <w:rPr>
                <w:rFonts w:hint="eastAsia"/>
                <w:sz w:val="21"/>
                <w:szCs w:val="21"/>
                <w:u w:val="single"/>
                <w:lang w:eastAsia="zh-CN"/>
              </w:rPr>
              <w:t>，</w:t>
            </w:r>
            <w:r>
              <w:rPr>
                <w:rFonts w:hint="eastAsia"/>
                <w:sz w:val="21"/>
                <w:szCs w:val="21"/>
                <w:u w:val="single"/>
                <w:lang w:val="en-US" w:eastAsia="zh-CN"/>
              </w:rPr>
              <w:t>声环境质量达到GB3096-2008中4a类标准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1" w:hRule="atLeast"/>
        </w:trPr>
        <w:tc>
          <w:tcPr>
            <w:tcW w:w="947"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4</w:t>
            </w:r>
          </w:p>
        </w:tc>
        <w:tc>
          <w:tcPr>
            <w:tcW w:w="1596"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莲花村中学</w:t>
            </w:r>
          </w:p>
        </w:tc>
        <w:tc>
          <w:tcPr>
            <w:tcW w:w="2110"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K4+960~K7+190</w:t>
            </w:r>
          </w:p>
        </w:tc>
        <w:tc>
          <w:tcPr>
            <w:tcW w:w="2326"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21.75/8</w:t>
            </w:r>
          </w:p>
        </w:tc>
        <w:tc>
          <w:tcPr>
            <w:tcW w:w="1212"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w:t>
            </w:r>
          </w:p>
        </w:tc>
        <w:tc>
          <w:tcPr>
            <w:tcW w:w="1114"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中期0.2远期1.11</w:t>
            </w:r>
          </w:p>
        </w:tc>
        <w:tc>
          <w:tcPr>
            <w:tcW w:w="2328"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推荐措施：禁鸣，加密种植行道树；中、远期敏感点噪声跟踪监测，并预留降噪经费，根据因交通量增大引起的声环境污染程度，及时采取相应的减缓措施</w:t>
            </w:r>
          </w:p>
        </w:tc>
        <w:tc>
          <w:tcPr>
            <w:tcW w:w="2327"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预计降噪量约2.0</w:t>
            </w:r>
            <w:r>
              <w:rPr>
                <w:rFonts w:hint="eastAsia"/>
                <w:sz w:val="21"/>
                <w:szCs w:val="21"/>
                <w:u w:val="single"/>
              </w:rPr>
              <w:t>dB(A)</w:t>
            </w:r>
            <w:r>
              <w:rPr>
                <w:rFonts w:hint="eastAsia"/>
                <w:sz w:val="21"/>
                <w:szCs w:val="21"/>
                <w:u w:val="single"/>
                <w:lang w:eastAsia="zh-CN"/>
              </w:rPr>
              <w:t>，</w:t>
            </w:r>
            <w:r>
              <w:rPr>
                <w:rFonts w:hint="eastAsia"/>
                <w:sz w:val="21"/>
                <w:szCs w:val="21"/>
                <w:u w:val="single"/>
                <w:lang w:val="en-US" w:eastAsia="zh-CN"/>
              </w:rPr>
              <w:t>声环境质量达到GB3096-2008中4a类标准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947"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5</w:t>
            </w:r>
          </w:p>
        </w:tc>
        <w:tc>
          <w:tcPr>
            <w:tcW w:w="1596"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大里塘村居民点</w:t>
            </w:r>
          </w:p>
        </w:tc>
        <w:tc>
          <w:tcPr>
            <w:tcW w:w="2110"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K7+190~K8+369</w:t>
            </w:r>
          </w:p>
        </w:tc>
        <w:tc>
          <w:tcPr>
            <w:tcW w:w="2326"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27.75/14</w:t>
            </w:r>
          </w:p>
        </w:tc>
        <w:tc>
          <w:tcPr>
            <w:tcW w:w="1212"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w:t>
            </w:r>
          </w:p>
        </w:tc>
        <w:tc>
          <w:tcPr>
            <w:tcW w:w="1114" w:type="dxa"/>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远期0.94</w:t>
            </w:r>
          </w:p>
        </w:tc>
        <w:tc>
          <w:tcPr>
            <w:tcW w:w="2328"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推荐措施：禁鸣，加密种植行道树；中、远期敏感点噪声跟踪监测，并预留降噪经费，根据因交通量增大引起的声环境污染程度，及时采取相应的减缓措施</w:t>
            </w:r>
          </w:p>
        </w:tc>
        <w:tc>
          <w:tcPr>
            <w:tcW w:w="2327" w:type="dxa"/>
            <w:textDirection w:val="lrTb"/>
            <w:vAlign w:val="center"/>
          </w:tcPr>
          <w:p>
            <w:pPr>
              <w:pStyle w:val="3"/>
              <w:spacing w:line="240" w:lineRule="auto"/>
              <w:ind w:firstLine="0" w:firstLineChars="0"/>
              <w:jc w:val="center"/>
              <w:rPr>
                <w:rFonts w:hint="eastAsia"/>
                <w:sz w:val="21"/>
                <w:szCs w:val="21"/>
                <w:u w:val="single"/>
                <w:lang w:val="en-US" w:eastAsia="zh-CN"/>
              </w:rPr>
            </w:pPr>
            <w:r>
              <w:rPr>
                <w:rFonts w:hint="eastAsia"/>
                <w:sz w:val="21"/>
                <w:szCs w:val="21"/>
                <w:u w:val="single"/>
                <w:lang w:val="en-US" w:eastAsia="zh-CN"/>
              </w:rPr>
              <w:t>预计降噪量约2.0</w:t>
            </w:r>
            <w:r>
              <w:rPr>
                <w:rFonts w:hint="eastAsia"/>
                <w:sz w:val="21"/>
                <w:szCs w:val="21"/>
                <w:u w:val="single"/>
              </w:rPr>
              <w:t>dB(A)</w:t>
            </w:r>
            <w:r>
              <w:rPr>
                <w:rFonts w:hint="eastAsia"/>
                <w:sz w:val="21"/>
                <w:szCs w:val="21"/>
                <w:u w:val="single"/>
                <w:lang w:eastAsia="zh-CN"/>
              </w:rPr>
              <w:t>，</w:t>
            </w:r>
            <w:r>
              <w:rPr>
                <w:rFonts w:hint="eastAsia"/>
                <w:sz w:val="21"/>
                <w:szCs w:val="21"/>
                <w:u w:val="single"/>
                <w:lang w:val="en-US" w:eastAsia="zh-CN"/>
              </w:rPr>
              <w:t>声环境质量达到GB3096-2008中4a类标准</w:t>
            </w:r>
          </w:p>
        </w:tc>
      </w:tr>
    </w:tbl>
    <w:p>
      <w:pPr>
        <w:jc w:val="left"/>
        <w:rPr>
          <w:color w:val="FF0000"/>
          <w:kern w:val="0"/>
          <w:sz w:val="18"/>
          <w:szCs w:val="18"/>
          <w:highlight w:val="yellow"/>
          <w:u w:val="single"/>
        </w:rPr>
        <w:sectPr>
          <w:headerReference r:id="rId12" w:type="default"/>
          <w:pgSz w:w="16840" w:h="11907" w:orient="landscape"/>
          <w:pgMar w:top="1361" w:right="1474" w:bottom="1588" w:left="1474" w:header="851" w:footer="851" w:gutter="0"/>
          <w:pgBorders>
            <w:top w:val="none" w:sz="0" w:space="0"/>
            <w:left w:val="none" w:sz="0" w:space="0"/>
            <w:bottom w:val="none" w:sz="0" w:space="0"/>
            <w:right w:val="none" w:sz="0" w:space="0"/>
          </w:pgBorders>
          <w:cols w:space="720" w:num="1"/>
        </w:sectPr>
      </w:pPr>
    </w:p>
    <w:p>
      <w:pPr>
        <w:pStyle w:val="5"/>
        <w:widowControl/>
        <w:ind w:left="567" w:hanging="567"/>
        <w:rPr>
          <w:u w:val="single"/>
        </w:rPr>
      </w:pPr>
      <w:bookmarkStart w:id="223" w:name="_Toc354581713"/>
      <w:bookmarkStart w:id="224" w:name="_Toc11986"/>
      <w:bookmarkStart w:id="225" w:name="_Toc354558909"/>
      <w:bookmarkStart w:id="226" w:name="_Toc354581893"/>
      <w:bookmarkStart w:id="227" w:name="_Toc408503577"/>
      <w:r>
        <w:rPr>
          <w:rFonts w:hint="eastAsia"/>
          <w:u w:val="single"/>
          <w:lang w:val="en-US" w:eastAsia="zh-CN"/>
        </w:rPr>
        <w:t>小结</w:t>
      </w:r>
    </w:p>
    <w:p>
      <w:pPr>
        <w:pStyle w:val="4"/>
        <w:numPr>
          <w:ilvl w:val="0"/>
          <w:numId w:val="11"/>
        </w:numPr>
        <w:ind w:leftChars="0"/>
        <w:rPr>
          <w:rFonts w:hint="eastAsia" w:asciiTheme="majorEastAsia" w:hAnsiTheme="majorEastAsia" w:eastAsiaTheme="majorEastAsia" w:cstheme="majorEastAsia"/>
          <w:b w:val="0"/>
          <w:bCs/>
          <w:sz w:val="24"/>
          <w:szCs w:val="24"/>
          <w:u w:val="single"/>
          <w:lang w:val="en-US" w:eastAsia="zh-CN"/>
        </w:rPr>
      </w:pPr>
      <w:r>
        <w:rPr>
          <w:rFonts w:hint="eastAsia" w:asciiTheme="majorEastAsia" w:hAnsiTheme="majorEastAsia" w:eastAsiaTheme="majorEastAsia" w:cstheme="majorEastAsia"/>
          <w:b w:val="0"/>
          <w:bCs/>
          <w:sz w:val="24"/>
          <w:szCs w:val="24"/>
          <w:u w:val="single"/>
          <w:lang w:val="en-US" w:eastAsia="zh-CN"/>
        </w:rPr>
        <w:t>施工期噪声影响</w:t>
      </w:r>
    </w:p>
    <w:p>
      <w:pPr>
        <w:pStyle w:val="3"/>
        <w:numPr>
          <w:ilvl w:val="0"/>
          <w:numId w:val="0"/>
        </w:numPr>
        <w:rPr>
          <w:rFonts w:hint="eastAsia"/>
          <w:u w:val="single"/>
          <w:lang w:val="en-US" w:eastAsia="zh-CN"/>
        </w:rPr>
      </w:pPr>
      <w:r>
        <w:rPr>
          <w:rFonts w:hint="eastAsia"/>
          <w:u w:val="single"/>
          <w:lang w:val="en-US" w:eastAsia="zh-CN"/>
        </w:rPr>
        <w:t xml:space="preserve">    施工期噪声影响是短期暂时的，但影响较大，为避免施工噪声扰民，应采取合理的施工管理措施和必要de噪声控制措施，施工场地尽量远离居民集中点，必要时设置临时隔声护板或隔声屏障。</w:t>
      </w:r>
    </w:p>
    <w:p>
      <w:pPr>
        <w:pStyle w:val="3"/>
        <w:numPr>
          <w:ilvl w:val="0"/>
          <w:numId w:val="0"/>
        </w:numPr>
        <w:rPr>
          <w:rFonts w:hint="eastAsia"/>
          <w:u w:val="single"/>
          <w:lang w:val="en-US" w:eastAsia="zh-CN"/>
        </w:rPr>
      </w:pPr>
      <w:r>
        <w:rPr>
          <w:rFonts w:hint="eastAsia"/>
          <w:u w:val="single"/>
          <w:lang w:val="en-US" w:eastAsia="zh-CN"/>
        </w:rPr>
        <w:t>（2）营运期噪声影响</w:t>
      </w:r>
    </w:p>
    <w:p>
      <w:pPr>
        <w:pStyle w:val="3"/>
        <w:numPr>
          <w:ilvl w:val="0"/>
          <w:numId w:val="0"/>
        </w:numPr>
        <w:rPr>
          <w:rFonts w:hint="eastAsia"/>
          <w:u w:val="single"/>
          <w:lang w:val="en-US" w:eastAsia="zh-CN"/>
        </w:rPr>
      </w:pPr>
      <w:r>
        <w:rPr>
          <w:rFonts w:hint="eastAsia"/>
          <w:u w:val="single"/>
          <w:lang w:val="en-US" w:eastAsia="zh-CN"/>
        </w:rPr>
        <w:t xml:space="preserve">     根据运营期噪声预测结果，受交通噪声的影响，铜盆村居民点中期夜间超标0.87dB（A），远期夜间超标2.72dB（A），桃花村中期夜间超标0.55dB（A），远期夜间超标2.52dB（A），大陆村居民点中期夜间超标0.4dB（A），远期夜间超标2.25dB（A），莲花村中期夜间超标0.2dB（A），远期夜间超标1.11dB（A），大里塘村远期夜间超标0.94dB（A）。建议对沿线噪声超标的路段采取禁鸣、限速，加密种植行道树，远期敏感点跟踪监测措施，并预留降噪经费，根据因交通量增大引起的声环境污染程度，及时采取相应的减缓措施，确保其声环境质量全面达到GB3096-2008中2类、4a类标准限值要求。</w:t>
      </w:r>
    </w:p>
    <w:p>
      <w:pPr>
        <w:pStyle w:val="3"/>
        <w:numPr>
          <w:ilvl w:val="0"/>
          <w:numId w:val="0"/>
        </w:numPr>
        <w:rPr>
          <w:rFonts w:hint="eastAsia"/>
          <w:u w:val="single"/>
          <w:lang w:val="en-US" w:eastAsia="zh-CN"/>
        </w:rPr>
      </w:pPr>
      <w:r>
        <w:rPr>
          <w:rFonts w:hint="eastAsia"/>
          <w:u w:val="single"/>
          <w:lang w:val="en-US" w:eastAsia="zh-CN"/>
        </w:rPr>
        <w:t xml:space="preserve">     根据运营期交通噪声影响预测结果，结合《湖南省实施&lt;中华人民共和国公路法&gt;办法》的相关要求，建议规划部门在距本</w:t>
      </w:r>
      <w:r>
        <w:rPr>
          <w:rFonts w:hint="eastAsia"/>
          <w:color w:val="auto"/>
          <w:u w:val="single"/>
          <w:shd w:val="clear" w:color="auto" w:fill="auto"/>
          <w:lang w:val="en-US" w:eastAsia="zh-CN"/>
        </w:rPr>
        <w:t>公路红线50m</w:t>
      </w:r>
      <w:r>
        <w:rPr>
          <w:rFonts w:hint="eastAsia"/>
          <w:u w:val="single"/>
          <w:lang w:val="en-US" w:eastAsia="zh-CN"/>
        </w:rPr>
        <w:t>以内不要新建医院、学校等对声环境要求高的建筑。</w:t>
      </w:r>
    </w:p>
    <w:p>
      <w:pPr>
        <w:pStyle w:val="3"/>
        <w:numPr>
          <w:ilvl w:val="0"/>
          <w:numId w:val="0"/>
        </w:numPr>
        <w:rPr>
          <w:rFonts w:hint="eastAsia"/>
          <w:u w:val="single"/>
          <w:lang w:val="en-US" w:eastAsia="zh-CN"/>
        </w:rPr>
      </w:pPr>
    </w:p>
    <w:p>
      <w:pPr>
        <w:pStyle w:val="3"/>
        <w:numPr>
          <w:ilvl w:val="0"/>
          <w:numId w:val="0"/>
        </w:numPr>
        <w:rPr>
          <w:rFonts w:hint="eastAsia"/>
          <w:u w:val="single"/>
          <w:lang w:val="en-US" w:eastAsia="zh-CN"/>
        </w:rPr>
      </w:pPr>
    </w:p>
    <w:p>
      <w:pPr>
        <w:pStyle w:val="3"/>
        <w:numPr>
          <w:ilvl w:val="0"/>
          <w:numId w:val="0"/>
        </w:numPr>
        <w:rPr>
          <w:rFonts w:hint="eastAsia"/>
          <w:u w:val="single"/>
          <w:lang w:val="en-US" w:eastAsia="zh-CN"/>
        </w:rPr>
      </w:pPr>
    </w:p>
    <w:p>
      <w:pPr>
        <w:pStyle w:val="3"/>
        <w:numPr>
          <w:ilvl w:val="0"/>
          <w:numId w:val="0"/>
        </w:numPr>
        <w:rPr>
          <w:rFonts w:hint="eastAsia"/>
          <w:u w:val="single"/>
          <w:lang w:val="en-US" w:eastAsia="zh-CN"/>
        </w:rPr>
      </w:pPr>
    </w:p>
    <w:p>
      <w:pPr>
        <w:pStyle w:val="3"/>
        <w:numPr>
          <w:ilvl w:val="0"/>
          <w:numId w:val="0"/>
        </w:numPr>
        <w:rPr>
          <w:rFonts w:hint="eastAsia"/>
          <w:u w:val="single"/>
          <w:lang w:val="en-US" w:eastAsia="zh-CN"/>
        </w:rPr>
      </w:pPr>
    </w:p>
    <w:p>
      <w:pPr>
        <w:pStyle w:val="3"/>
        <w:numPr>
          <w:ilvl w:val="0"/>
          <w:numId w:val="0"/>
        </w:numPr>
        <w:rPr>
          <w:rFonts w:hint="eastAsia"/>
          <w:u w:val="single"/>
          <w:lang w:val="en-US" w:eastAsia="zh-CN"/>
        </w:rPr>
      </w:pPr>
    </w:p>
    <w:p>
      <w:pPr>
        <w:pStyle w:val="3"/>
        <w:numPr>
          <w:ilvl w:val="0"/>
          <w:numId w:val="0"/>
        </w:numPr>
        <w:rPr>
          <w:rFonts w:hint="eastAsia"/>
          <w:u w:val="single"/>
          <w:lang w:val="en-US" w:eastAsia="zh-CN"/>
        </w:rPr>
      </w:pPr>
    </w:p>
    <w:p>
      <w:pPr>
        <w:pStyle w:val="3"/>
        <w:numPr>
          <w:ilvl w:val="0"/>
          <w:numId w:val="0"/>
        </w:numPr>
        <w:rPr>
          <w:rFonts w:hint="eastAsia"/>
          <w:u w:val="single"/>
          <w:lang w:val="en-US" w:eastAsia="zh-CN"/>
        </w:rPr>
      </w:pPr>
    </w:p>
    <w:p>
      <w:pPr>
        <w:pStyle w:val="3"/>
        <w:numPr>
          <w:ilvl w:val="0"/>
          <w:numId w:val="0"/>
        </w:numPr>
        <w:rPr>
          <w:rFonts w:hint="eastAsia"/>
          <w:u w:val="single"/>
          <w:lang w:val="en-US" w:eastAsia="zh-CN"/>
        </w:rPr>
      </w:pPr>
    </w:p>
    <w:p>
      <w:pPr>
        <w:pStyle w:val="3"/>
        <w:numPr>
          <w:ilvl w:val="0"/>
          <w:numId w:val="0"/>
        </w:numPr>
        <w:rPr>
          <w:rFonts w:hint="eastAsia"/>
          <w:u w:val="single"/>
          <w:lang w:val="en-US" w:eastAsia="zh-CN"/>
        </w:rPr>
      </w:pPr>
    </w:p>
    <w:p>
      <w:pPr>
        <w:pStyle w:val="3"/>
        <w:numPr>
          <w:ilvl w:val="0"/>
          <w:numId w:val="0"/>
        </w:numPr>
        <w:rPr>
          <w:rFonts w:hint="eastAsia"/>
          <w:u w:val="single"/>
          <w:lang w:val="en-US" w:eastAsia="zh-CN"/>
        </w:rPr>
      </w:pPr>
    </w:p>
    <w:p>
      <w:pPr>
        <w:pStyle w:val="3"/>
        <w:numPr>
          <w:ilvl w:val="0"/>
          <w:numId w:val="0"/>
        </w:numPr>
        <w:rPr>
          <w:rFonts w:hint="eastAsia"/>
          <w:u w:val="single"/>
          <w:lang w:val="en-US" w:eastAsia="zh-CN"/>
        </w:rPr>
      </w:pPr>
    </w:p>
    <w:p>
      <w:pPr>
        <w:pStyle w:val="4"/>
        <w:ind w:left="567" w:hanging="567"/>
        <w:rPr>
          <w:u w:val="single"/>
        </w:rPr>
      </w:pPr>
      <w:r>
        <w:rPr>
          <w:rFonts w:hint="eastAsia"/>
          <w:u w:val="single"/>
        </w:rPr>
        <w:t>大气环境影响评价</w:t>
      </w:r>
      <w:bookmarkEnd w:id="223"/>
      <w:bookmarkEnd w:id="224"/>
      <w:bookmarkEnd w:id="225"/>
      <w:bookmarkEnd w:id="226"/>
      <w:bookmarkEnd w:id="227"/>
    </w:p>
    <w:p>
      <w:pPr>
        <w:pStyle w:val="5"/>
        <w:ind w:left="567" w:hanging="567"/>
        <w:rPr>
          <w:u w:val="single"/>
        </w:rPr>
      </w:pPr>
      <w:r>
        <w:rPr>
          <w:rFonts w:hint="eastAsia"/>
          <w:u w:val="single"/>
        </w:rPr>
        <w:t>施工期大气环境影响评价</w:t>
      </w:r>
    </w:p>
    <w:p>
      <w:pPr>
        <w:pStyle w:val="3"/>
        <w:ind w:firstLine="31680"/>
        <w:rPr>
          <w:u w:val="single"/>
        </w:rPr>
      </w:pPr>
      <w:r>
        <w:rPr>
          <w:rFonts w:hint="eastAsia"/>
          <w:u w:val="single"/>
        </w:rPr>
        <w:t>拟建公路建设过程中，将进行大量的土石方填挖、筑路材料的运输及路面摊铺等作业，施工期对环境空气的污染源主要来自于施工现场、未完工路面、堆场产生的扬尘，建筑材料在运输过程中产生的扬尘，少量沥青摊铺烟气以及施工机械燃油废气等。</w:t>
      </w:r>
    </w:p>
    <w:p>
      <w:pPr>
        <w:pStyle w:val="6"/>
        <w:widowControl/>
        <w:ind w:left="567" w:hanging="567"/>
        <w:jc w:val="left"/>
        <w:rPr>
          <w:u w:val="single"/>
        </w:rPr>
      </w:pPr>
      <w:r>
        <w:rPr>
          <w:rFonts w:hint="eastAsia"/>
          <w:u w:val="single"/>
        </w:rPr>
        <w:t>扬尘污染</w:t>
      </w:r>
    </w:p>
    <w:p>
      <w:pPr>
        <w:pStyle w:val="3"/>
        <w:ind w:firstLine="31680"/>
        <w:rPr>
          <w:u w:val="single"/>
        </w:rPr>
      </w:pPr>
      <w:r>
        <w:rPr>
          <w:rFonts w:hint="eastAsia"/>
          <w:u w:val="single"/>
        </w:rPr>
        <w:t>在施工期，由于路基路面修筑、车辆运输及施工材料堆置等，由于施工对地表覆盖层的破坏而造成土壤裸露，以及受车辆运输及风力作用影响等将造成一定的扬尘污染影响。扬尘影响情况的不确定性，引起公路扬尘的因素较多，主要跟车辆行驶速度、风速、路面积尘量和路面积尘湿度有关，其中风速还直接影响到扬尘的传输距离。</w:t>
      </w:r>
    </w:p>
    <w:p>
      <w:pPr>
        <w:pStyle w:val="3"/>
        <w:ind w:firstLine="31680"/>
        <w:rPr>
          <w:u w:val="single"/>
        </w:rPr>
      </w:pPr>
      <w:r>
        <w:rPr>
          <w:rFonts w:hint="eastAsia"/>
          <w:u w:val="single"/>
        </w:rPr>
        <w:t>施工路面多为土路和碎石路，路面含尘量较高，尤其遇到干旱少雨的季节，道路扬尘较为严重，施工便道和未完工路段的路面积尘数量与湿度、运输车辆速度、风速等有关，此外风速和风向还直接影响道路扬尘的污染范围。根据有关资料介绍，扬尘属于粒径较小的降尘（</w:t>
      </w:r>
      <w:r>
        <w:rPr>
          <w:u w:val="single"/>
        </w:rPr>
        <w:t>10</w:t>
      </w:r>
      <w:r>
        <w:rPr>
          <w:rFonts w:hint="eastAsia"/>
          <w:u w:val="single"/>
        </w:rPr>
        <w:t>～</w:t>
      </w:r>
      <w:r>
        <w:rPr>
          <w:u w:val="single"/>
        </w:rPr>
        <w:t>20</w:t>
      </w:r>
      <w:r>
        <w:rPr>
          <w:szCs w:val="24"/>
          <w:u w:val="single"/>
        </w:rPr>
        <w:sym w:font="UniversalMath1 BT" w:char="F06D"/>
      </w:r>
      <w:r>
        <w:rPr>
          <w:u w:val="single"/>
        </w:rPr>
        <w:t>m</w:t>
      </w:r>
      <w:r>
        <w:rPr>
          <w:rFonts w:hint="eastAsia"/>
          <w:u w:val="single"/>
        </w:rPr>
        <w:t>），在未铺装道路表面（泥土），粒径分布小于</w:t>
      </w:r>
      <w:r>
        <w:rPr>
          <w:u w:val="single"/>
        </w:rPr>
        <w:t>5</w:t>
      </w:r>
      <w:r>
        <w:rPr>
          <w:szCs w:val="24"/>
          <w:u w:val="single"/>
        </w:rPr>
        <w:sym w:font="UniversalMath1 BT" w:char="F06D"/>
      </w:r>
      <w:r>
        <w:rPr>
          <w:u w:val="single"/>
        </w:rPr>
        <w:t>m</w:t>
      </w:r>
      <w:r>
        <w:rPr>
          <w:rFonts w:hint="eastAsia"/>
          <w:u w:val="single"/>
        </w:rPr>
        <w:t>的粉尘占</w:t>
      </w:r>
      <w:r>
        <w:rPr>
          <w:u w:val="single"/>
        </w:rPr>
        <w:t>8%</w:t>
      </w:r>
      <w:r>
        <w:rPr>
          <w:rFonts w:hint="eastAsia"/>
          <w:u w:val="single"/>
        </w:rPr>
        <w:t>，</w:t>
      </w:r>
      <w:r>
        <w:rPr>
          <w:u w:val="single"/>
        </w:rPr>
        <w:t>5</w:t>
      </w:r>
      <w:r>
        <w:rPr>
          <w:rFonts w:hint="eastAsia"/>
          <w:u w:val="single"/>
        </w:rPr>
        <w:t>～</w:t>
      </w:r>
      <w:r>
        <w:rPr>
          <w:u w:val="single"/>
        </w:rPr>
        <w:t>10</w:t>
      </w:r>
      <w:r>
        <w:rPr>
          <w:szCs w:val="24"/>
          <w:u w:val="single"/>
        </w:rPr>
        <w:sym w:font="UniversalMath1 BT" w:char="F06D"/>
      </w:r>
      <w:r>
        <w:rPr>
          <w:u w:val="single"/>
        </w:rPr>
        <w:t>m</w:t>
      </w:r>
      <w:r>
        <w:rPr>
          <w:rFonts w:hint="eastAsia"/>
          <w:u w:val="single"/>
        </w:rPr>
        <w:t>的占</w:t>
      </w:r>
      <w:r>
        <w:rPr>
          <w:u w:val="single"/>
        </w:rPr>
        <w:t>24%</w:t>
      </w:r>
      <w:r>
        <w:rPr>
          <w:rFonts w:hint="eastAsia"/>
          <w:u w:val="single"/>
        </w:rPr>
        <w:t>，大于</w:t>
      </w:r>
      <w:r>
        <w:rPr>
          <w:u w:val="single"/>
        </w:rPr>
        <w:t>30</w:t>
      </w:r>
      <w:r>
        <w:rPr>
          <w:szCs w:val="24"/>
          <w:u w:val="single"/>
        </w:rPr>
        <w:sym w:font="UniversalMath1 BT" w:char="F06D"/>
      </w:r>
      <w:r>
        <w:rPr>
          <w:u w:val="single"/>
        </w:rPr>
        <w:t>m</w:t>
      </w:r>
      <w:r>
        <w:rPr>
          <w:rFonts w:hint="eastAsia"/>
          <w:u w:val="single"/>
        </w:rPr>
        <w:t>的占</w:t>
      </w:r>
      <w:r>
        <w:rPr>
          <w:u w:val="single"/>
        </w:rPr>
        <w:t>68%</w:t>
      </w:r>
      <w:r>
        <w:rPr>
          <w:rFonts w:hint="eastAsia"/>
          <w:u w:val="single"/>
        </w:rPr>
        <w:t>。另外，粉状筑路材料若遮盖不严在运输过程中也会随风起尘，对运输道路两侧的居民产生影响，特别是大风天气，影响将更为严重。</w:t>
      </w:r>
    </w:p>
    <w:p>
      <w:pPr>
        <w:pStyle w:val="3"/>
        <w:ind w:firstLine="31680"/>
        <w:rPr>
          <w:u w:val="single"/>
        </w:rPr>
      </w:pPr>
      <w:r>
        <w:rPr>
          <w:rFonts w:hint="eastAsia"/>
          <w:u w:val="single"/>
        </w:rPr>
        <w:t>通过洒水可有效地抑制扬尘量，可使扬尘量减少</w:t>
      </w:r>
      <w:r>
        <w:rPr>
          <w:u w:val="single"/>
        </w:rPr>
        <w:t>70%</w:t>
      </w:r>
      <w:r>
        <w:rPr>
          <w:rFonts w:hint="eastAsia"/>
          <w:u w:val="single"/>
        </w:rPr>
        <w:t>以上，同时，采取一些防风措施也将有效减少扬尘污染。施工期扬尘污染可类比同类城市快速路施工期在采取相应的扬尘污染控制措施后的监测结果进行分析，具体见表</w:t>
      </w:r>
      <w:r>
        <w:rPr>
          <w:u w:val="single"/>
        </w:rPr>
        <w:t>7.2-1</w:t>
      </w:r>
      <w:r>
        <w:rPr>
          <w:rFonts w:hint="eastAsia"/>
          <w:u w:val="single"/>
        </w:rPr>
        <w:t>。</w:t>
      </w:r>
    </w:p>
    <w:p>
      <w:pPr>
        <w:pStyle w:val="19"/>
        <w:jc w:val="center"/>
        <w:rPr>
          <w:u w:val="single"/>
        </w:rPr>
      </w:pPr>
      <w:bookmarkStart w:id="228" w:name="_Ref304471649"/>
      <w:r>
        <w:rPr>
          <w:rFonts w:hint="eastAsia"/>
          <w:u w:val="single"/>
        </w:rPr>
        <w:t>表</w:t>
      </w:r>
      <w:bookmarkEnd w:id="228"/>
      <w:r>
        <w:rPr>
          <w:u w:val="single"/>
        </w:rPr>
        <w:t xml:space="preserve">7.2-1   </w:t>
      </w:r>
      <w:r>
        <w:rPr>
          <w:rFonts w:hint="eastAsia"/>
          <w:u w:val="single"/>
        </w:rPr>
        <w:t>同类公路施工期不同阶段扬尘监测结果表</w:t>
      </w:r>
    </w:p>
    <w:tbl>
      <w:tblPr>
        <w:tblStyle w:val="65"/>
        <w:tblW w:w="8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2268"/>
        <w:gridCol w:w="2412"/>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0" w:type="dxa"/>
            <w:vAlign w:val="center"/>
          </w:tcPr>
          <w:p>
            <w:pPr>
              <w:pStyle w:val="112"/>
              <w:rPr>
                <w:kern w:val="2"/>
                <w:u w:val="single"/>
              </w:rPr>
            </w:pPr>
            <w:r>
              <w:rPr>
                <w:rFonts w:hint="eastAsia"/>
                <w:kern w:val="2"/>
                <w:u w:val="single"/>
              </w:rPr>
              <w:t>施工类型</w:t>
            </w:r>
          </w:p>
        </w:tc>
        <w:tc>
          <w:tcPr>
            <w:tcW w:w="2268" w:type="dxa"/>
            <w:vAlign w:val="center"/>
          </w:tcPr>
          <w:p>
            <w:pPr>
              <w:pStyle w:val="112"/>
              <w:rPr>
                <w:kern w:val="2"/>
                <w:u w:val="single"/>
              </w:rPr>
            </w:pPr>
            <w:r>
              <w:rPr>
                <w:rFonts w:hint="eastAsia"/>
                <w:kern w:val="2"/>
                <w:u w:val="single"/>
              </w:rPr>
              <w:t>与公路边界距离（</w:t>
            </w:r>
            <w:r>
              <w:rPr>
                <w:kern w:val="2"/>
                <w:u w:val="single"/>
              </w:rPr>
              <w:t>m</w:t>
            </w:r>
            <w:r>
              <w:rPr>
                <w:rFonts w:hint="eastAsia"/>
                <w:kern w:val="2"/>
                <w:u w:val="single"/>
              </w:rPr>
              <w:t>）</w:t>
            </w:r>
          </w:p>
        </w:tc>
        <w:tc>
          <w:tcPr>
            <w:tcW w:w="2412" w:type="dxa"/>
            <w:vAlign w:val="center"/>
          </w:tcPr>
          <w:p>
            <w:pPr>
              <w:pStyle w:val="112"/>
              <w:rPr>
                <w:kern w:val="2"/>
                <w:u w:val="single"/>
              </w:rPr>
            </w:pPr>
            <w:r>
              <w:rPr>
                <w:kern w:val="2"/>
                <w:u w:val="single"/>
              </w:rPr>
              <w:t>TSP</w:t>
            </w:r>
            <w:r>
              <w:rPr>
                <w:rFonts w:hint="eastAsia"/>
                <w:kern w:val="2"/>
                <w:u w:val="single"/>
              </w:rPr>
              <w:t>日均值（</w:t>
            </w:r>
            <w:r>
              <w:rPr>
                <w:kern w:val="2"/>
                <w:u w:val="single"/>
              </w:rPr>
              <w:t>mg/Nm</w:t>
            </w:r>
            <w:r>
              <w:rPr>
                <w:kern w:val="2"/>
                <w:u w:val="single"/>
                <w:vertAlign w:val="superscript"/>
              </w:rPr>
              <w:t>3</w:t>
            </w:r>
            <w:r>
              <w:rPr>
                <w:rFonts w:hint="eastAsia"/>
                <w:kern w:val="2"/>
                <w:u w:val="single"/>
              </w:rPr>
              <w:t>）</w:t>
            </w:r>
          </w:p>
        </w:tc>
        <w:tc>
          <w:tcPr>
            <w:tcW w:w="2412" w:type="dxa"/>
            <w:vAlign w:val="center"/>
          </w:tcPr>
          <w:p>
            <w:pPr>
              <w:pStyle w:val="112"/>
              <w:rPr>
                <w:kern w:val="2"/>
                <w:u w:val="single"/>
              </w:rPr>
            </w:pPr>
            <w:r>
              <w:rPr>
                <w:rFonts w:hint="eastAsia"/>
                <w:kern w:val="2"/>
                <w:u w:val="single"/>
              </w:rPr>
              <w:t>二级标准值（</w:t>
            </w:r>
            <w:r>
              <w:rPr>
                <w:kern w:val="2"/>
                <w:u w:val="single"/>
              </w:rPr>
              <w:t>mg/Nm</w:t>
            </w:r>
            <w:r>
              <w:rPr>
                <w:kern w:val="2"/>
                <w:u w:val="single"/>
                <w:vertAlign w:val="superscript"/>
              </w:rPr>
              <w:t>3</w:t>
            </w:r>
            <w:r>
              <w:rPr>
                <w:rFonts w:hint="eastAsia"/>
                <w:kern w:val="2"/>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0" w:type="dxa"/>
            <w:vMerge w:val="restart"/>
            <w:vAlign w:val="center"/>
          </w:tcPr>
          <w:p>
            <w:pPr>
              <w:pStyle w:val="112"/>
              <w:rPr>
                <w:kern w:val="2"/>
                <w:u w:val="single"/>
              </w:rPr>
            </w:pPr>
            <w:r>
              <w:rPr>
                <w:rFonts w:hint="eastAsia"/>
                <w:kern w:val="2"/>
                <w:u w:val="single"/>
              </w:rPr>
              <w:t>路基路面工程</w:t>
            </w:r>
          </w:p>
        </w:tc>
        <w:tc>
          <w:tcPr>
            <w:tcW w:w="2268" w:type="dxa"/>
            <w:vAlign w:val="center"/>
          </w:tcPr>
          <w:p>
            <w:pPr>
              <w:pStyle w:val="112"/>
              <w:rPr>
                <w:kern w:val="2"/>
                <w:u w:val="single"/>
              </w:rPr>
            </w:pPr>
            <w:r>
              <w:rPr>
                <w:kern w:val="2"/>
                <w:u w:val="single"/>
              </w:rPr>
              <w:t>20</w:t>
            </w:r>
          </w:p>
        </w:tc>
        <w:tc>
          <w:tcPr>
            <w:tcW w:w="2412" w:type="dxa"/>
            <w:vAlign w:val="center"/>
          </w:tcPr>
          <w:p>
            <w:pPr>
              <w:pStyle w:val="112"/>
              <w:rPr>
                <w:kern w:val="2"/>
                <w:u w:val="single"/>
              </w:rPr>
            </w:pPr>
            <w:r>
              <w:rPr>
                <w:kern w:val="2"/>
                <w:u w:val="single"/>
              </w:rPr>
              <w:t>0.27</w:t>
            </w:r>
            <w:r>
              <w:rPr>
                <w:rFonts w:hint="eastAsia"/>
                <w:kern w:val="2"/>
                <w:u w:val="single"/>
              </w:rPr>
              <w:t>～</w:t>
            </w:r>
            <w:r>
              <w:rPr>
                <w:kern w:val="2"/>
                <w:u w:val="single"/>
              </w:rPr>
              <w:t>0.53</w:t>
            </w:r>
          </w:p>
        </w:tc>
        <w:tc>
          <w:tcPr>
            <w:tcW w:w="2412" w:type="dxa"/>
            <w:vMerge w:val="restart"/>
            <w:vAlign w:val="center"/>
          </w:tcPr>
          <w:p>
            <w:pPr>
              <w:pStyle w:val="112"/>
              <w:rPr>
                <w:kern w:val="2"/>
                <w:u w:val="single"/>
              </w:rPr>
            </w:pPr>
            <w:r>
              <w:rPr>
                <w:kern w:val="2"/>
                <w:u w:val="singl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0" w:type="dxa"/>
            <w:vMerge w:val="continue"/>
            <w:vAlign w:val="center"/>
          </w:tcPr>
          <w:p>
            <w:pPr>
              <w:pStyle w:val="112"/>
              <w:rPr>
                <w:kern w:val="2"/>
                <w:u w:val="single"/>
              </w:rPr>
            </w:pPr>
          </w:p>
        </w:tc>
        <w:tc>
          <w:tcPr>
            <w:tcW w:w="2268" w:type="dxa"/>
            <w:vAlign w:val="center"/>
          </w:tcPr>
          <w:p>
            <w:pPr>
              <w:pStyle w:val="112"/>
              <w:rPr>
                <w:kern w:val="2"/>
                <w:u w:val="single"/>
              </w:rPr>
            </w:pPr>
            <w:r>
              <w:rPr>
                <w:kern w:val="2"/>
                <w:u w:val="single"/>
              </w:rPr>
              <w:t>30</w:t>
            </w:r>
          </w:p>
        </w:tc>
        <w:tc>
          <w:tcPr>
            <w:tcW w:w="2412" w:type="dxa"/>
            <w:vAlign w:val="center"/>
          </w:tcPr>
          <w:p>
            <w:pPr>
              <w:pStyle w:val="112"/>
              <w:rPr>
                <w:kern w:val="2"/>
                <w:u w:val="single"/>
              </w:rPr>
            </w:pPr>
            <w:r>
              <w:rPr>
                <w:kern w:val="2"/>
                <w:u w:val="single"/>
              </w:rPr>
              <w:t>0.22</w:t>
            </w:r>
            <w:r>
              <w:rPr>
                <w:rFonts w:hint="eastAsia"/>
                <w:kern w:val="2"/>
                <w:u w:val="single"/>
              </w:rPr>
              <w:t>～</w:t>
            </w:r>
            <w:r>
              <w:rPr>
                <w:kern w:val="2"/>
                <w:u w:val="single"/>
              </w:rPr>
              <w:t>0.23</w:t>
            </w:r>
          </w:p>
        </w:tc>
        <w:tc>
          <w:tcPr>
            <w:tcW w:w="2412" w:type="dxa"/>
            <w:vMerge w:val="continue"/>
            <w:vAlign w:val="center"/>
          </w:tcPr>
          <w:p>
            <w:pPr>
              <w:pStyle w:val="112"/>
              <w:rPr>
                <w:kern w:val="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10" w:type="dxa"/>
            <w:vMerge w:val="continue"/>
            <w:vAlign w:val="center"/>
          </w:tcPr>
          <w:p>
            <w:pPr>
              <w:pStyle w:val="112"/>
              <w:rPr>
                <w:kern w:val="2"/>
                <w:u w:val="single"/>
              </w:rPr>
            </w:pPr>
          </w:p>
        </w:tc>
        <w:tc>
          <w:tcPr>
            <w:tcW w:w="2268" w:type="dxa"/>
            <w:vAlign w:val="center"/>
          </w:tcPr>
          <w:p>
            <w:pPr>
              <w:pStyle w:val="112"/>
              <w:rPr>
                <w:kern w:val="2"/>
                <w:u w:val="single"/>
              </w:rPr>
            </w:pPr>
            <w:r>
              <w:rPr>
                <w:kern w:val="2"/>
                <w:u w:val="single"/>
              </w:rPr>
              <w:t>40</w:t>
            </w:r>
          </w:p>
        </w:tc>
        <w:tc>
          <w:tcPr>
            <w:tcW w:w="2412" w:type="dxa"/>
            <w:vAlign w:val="center"/>
          </w:tcPr>
          <w:p>
            <w:pPr>
              <w:pStyle w:val="112"/>
              <w:rPr>
                <w:kern w:val="2"/>
                <w:u w:val="single"/>
              </w:rPr>
            </w:pPr>
            <w:r>
              <w:rPr>
                <w:kern w:val="2"/>
                <w:u w:val="single"/>
              </w:rPr>
              <w:t>0.20</w:t>
            </w:r>
            <w:r>
              <w:rPr>
                <w:rFonts w:hint="eastAsia"/>
                <w:kern w:val="2"/>
                <w:u w:val="single"/>
              </w:rPr>
              <w:t>～</w:t>
            </w:r>
            <w:r>
              <w:rPr>
                <w:kern w:val="2"/>
                <w:u w:val="single"/>
              </w:rPr>
              <w:t>0.22</w:t>
            </w:r>
          </w:p>
        </w:tc>
        <w:tc>
          <w:tcPr>
            <w:tcW w:w="2412" w:type="dxa"/>
            <w:vMerge w:val="continue"/>
            <w:vAlign w:val="center"/>
          </w:tcPr>
          <w:p>
            <w:pPr>
              <w:pStyle w:val="112"/>
              <w:rPr>
                <w:kern w:val="2"/>
                <w:u w:val="single"/>
              </w:rPr>
            </w:pPr>
          </w:p>
        </w:tc>
      </w:tr>
    </w:tbl>
    <w:p>
      <w:pPr>
        <w:pStyle w:val="3"/>
        <w:ind w:firstLine="31680"/>
        <w:rPr>
          <w:u w:val="single"/>
        </w:rPr>
      </w:pPr>
      <w:r>
        <w:rPr>
          <w:rFonts w:hint="eastAsia"/>
          <w:u w:val="single"/>
        </w:rPr>
        <w:t>由上表分析可知，一般情况下，在施工过程中采取相应的扬尘污染控制措施以后，工程施工沿线距离公路边界</w:t>
      </w:r>
      <w:r>
        <w:rPr>
          <w:u w:val="single"/>
        </w:rPr>
        <w:t>30m</w:t>
      </w:r>
      <w:r>
        <w:rPr>
          <w:rFonts w:hint="eastAsia"/>
          <w:u w:val="single"/>
        </w:rPr>
        <w:t>外</w:t>
      </w:r>
      <w:r>
        <w:rPr>
          <w:u w:val="single"/>
        </w:rPr>
        <w:t>TSP</w:t>
      </w:r>
      <w:r>
        <w:rPr>
          <w:rFonts w:hint="eastAsia"/>
          <w:u w:val="single"/>
        </w:rPr>
        <w:t>日均值能够满足《环境空气质量标准》（</w:t>
      </w:r>
      <w:r>
        <w:rPr>
          <w:u w:val="single"/>
        </w:rPr>
        <w:t>GB3095-2012</w:t>
      </w:r>
      <w:r>
        <w:rPr>
          <w:rFonts w:hint="eastAsia"/>
          <w:u w:val="single"/>
        </w:rPr>
        <w:t>）二级标准，对其沿线的大气环境影响相对较小。但对于距离工程较近的沿线各村居民点等存在一定的不利影响，应采取有效措施控制工程施工期扬尘污染。</w:t>
      </w:r>
    </w:p>
    <w:p>
      <w:pPr>
        <w:pStyle w:val="3"/>
        <w:ind w:firstLine="31680"/>
        <w:rPr>
          <w:u w:val="single"/>
        </w:rPr>
      </w:pPr>
      <w:r>
        <w:rPr>
          <w:rFonts w:hint="eastAsia"/>
          <w:u w:val="single"/>
        </w:rPr>
        <w:t>另外，在建筑拆迁施工中由于破拆建筑、挖掘和装载等原因，将产生大量扬尘，</w:t>
      </w:r>
      <w:r>
        <w:rPr>
          <w:rFonts w:hint="eastAsia"/>
          <w:u w:val="single"/>
          <w:lang w:val="zh-CN"/>
        </w:rPr>
        <w:t>使附近区域空气中</w:t>
      </w:r>
      <w:r>
        <w:rPr>
          <w:u w:val="single"/>
          <w:lang w:val="zh-CN"/>
        </w:rPr>
        <w:t>TSP</w:t>
      </w:r>
      <w:r>
        <w:rPr>
          <w:rFonts w:hint="eastAsia"/>
          <w:u w:val="single"/>
          <w:lang w:val="zh-CN"/>
        </w:rPr>
        <w:t>浓度加大，对区域空气环境造成一定影响，给周围居民生活带来不便</w:t>
      </w:r>
      <w:r>
        <w:rPr>
          <w:rFonts w:hint="eastAsia"/>
          <w:u w:val="single"/>
        </w:rPr>
        <w:t>。因此在拆迁施工中采用拆迁场地周围设置围挡，拆迁建筑采用预湿拆除法，施工厂界内加强洒水等措施相结合，进行综合防尘，减小扬尘污染。</w:t>
      </w:r>
    </w:p>
    <w:p>
      <w:pPr>
        <w:pStyle w:val="6"/>
        <w:widowControl/>
        <w:ind w:left="567" w:hanging="567"/>
        <w:jc w:val="left"/>
        <w:rPr>
          <w:u w:val="single"/>
        </w:rPr>
      </w:pPr>
      <w:r>
        <w:rPr>
          <w:rFonts w:hint="eastAsia"/>
          <w:u w:val="single"/>
        </w:rPr>
        <w:t>沥青烟气影响</w:t>
      </w:r>
    </w:p>
    <w:p>
      <w:pPr>
        <w:pStyle w:val="3"/>
        <w:ind w:firstLine="31680"/>
        <w:rPr>
          <w:u w:val="single"/>
        </w:rPr>
      </w:pPr>
      <w:r>
        <w:rPr>
          <w:rFonts w:hint="eastAsia"/>
          <w:u w:val="single"/>
        </w:rPr>
        <w:t>本项目采购商品沥青混凝土，无沥青混凝土拌合及配制等产生的沥青烟产生，但在路面沥青混凝土摊铺过程时仍会产生少量的沥青烟气，产生的沥青烟气可能会对施工操作人员及公路沿线居民点造成一定程度的影响，为减少沥青烟气对施工操作人员及周边居民的影响，施工操作人员应注意加强自身的安全健康防护，当公路建设工地靠近村庄居民点时，沥青铺浇时应尽量避免风向针对这些环境敏感点的时段，并尽量在保证质量的前提下缩短施工时间，以免对人群健康产生影响。</w:t>
      </w:r>
    </w:p>
    <w:p>
      <w:pPr>
        <w:pStyle w:val="6"/>
        <w:widowControl/>
        <w:ind w:left="567" w:hanging="567"/>
        <w:jc w:val="left"/>
        <w:rPr>
          <w:u w:val="single"/>
        </w:rPr>
      </w:pPr>
      <w:r>
        <w:rPr>
          <w:rFonts w:hint="eastAsia"/>
          <w:u w:val="single"/>
        </w:rPr>
        <w:t>施工机械燃油废气影响</w:t>
      </w:r>
    </w:p>
    <w:p>
      <w:pPr>
        <w:pStyle w:val="3"/>
        <w:ind w:firstLine="31680"/>
        <w:rPr>
          <w:u w:val="single"/>
        </w:rPr>
      </w:pPr>
      <w:r>
        <w:rPr>
          <w:rFonts w:hint="eastAsia"/>
          <w:u w:val="single"/>
        </w:rPr>
        <w:t>施工中将使用各类大、中、小施工机械，主要以汽油、柴油等燃烧为动力，特别是大型工程机械将使用柴油作动力，排放的尾气、烟气对区域环境空气有一定的影响。燃料废气中主要含</w:t>
      </w:r>
      <w:r>
        <w:rPr>
          <w:u w:val="single"/>
        </w:rPr>
        <w:t>CO</w:t>
      </w:r>
      <w:r>
        <w:rPr>
          <w:rFonts w:hint="eastAsia"/>
          <w:u w:val="single"/>
        </w:rPr>
        <w:t>、</w:t>
      </w:r>
      <w:r>
        <w:rPr>
          <w:u w:val="single"/>
        </w:rPr>
        <w:t>CO</w:t>
      </w:r>
      <w:r>
        <w:rPr>
          <w:u w:val="single"/>
          <w:vertAlign w:val="subscript"/>
        </w:rPr>
        <w:t>2</w:t>
      </w:r>
      <w:r>
        <w:rPr>
          <w:rFonts w:hint="eastAsia"/>
          <w:u w:val="single"/>
        </w:rPr>
        <w:t>、</w:t>
      </w:r>
      <w:r>
        <w:rPr>
          <w:u w:val="single"/>
        </w:rPr>
        <w:t>NO</w:t>
      </w:r>
      <w:r>
        <w:rPr>
          <w:u w:val="single"/>
          <w:vertAlign w:val="subscript"/>
        </w:rPr>
        <w:t>X</w:t>
      </w:r>
      <w:r>
        <w:rPr>
          <w:rFonts w:hint="eastAsia"/>
          <w:u w:val="single"/>
        </w:rPr>
        <w:t>、</w:t>
      </w:r>
      <w:r>
        <w:rPr>
          <w:u w:val="single"/>
        </w:rPr>
        <w:t>HCH</w:t>
      </w:r>
      <w:r>
        <w:rPr>
          <w:rFonts w:hint="eastAsia"/>
          <w:u w:val="single"/>
        </w:rPr>
        <w:t>、烟尘等。根据柴油车尾气污染物排放系数统计，每燃</w:t>
      </w:r>
      <w:r>
        <w:rPr>
          <w:u w:val="single"/>
        </w:rPr>
        <w:t>1</w:t>
      </w:r>
      <w:r>
        <w:rPr>
          <w:rFonts w:hint="eastAsia"/>
          <w:u w:val="single"/>
        </w:rPr>
        <w:t>升柴油排放</w:t>
      </w:r>
      <w:r>
        <w:rPr>
          <w:u w:val="single"/>
        </w:rPr>
        <w:t>CO</w:t>
      </w:r>
      <w:r>
        <w:rPr>
          <w:rFonts w:hint="eastAsia"/>
          <w:u w:val="single"/>
        </w:rPr>
        <w:t>：</w:t>
      </w:r>
      <w:r>
        <w:rPr>
          <w:u w:val="single"/>
        </w:rPr>
        <w:t>22.6g</w:t>
      </w:r>
      <w:r>
        <w:rPr>
          <w:rFonts w:hint="eastAsia"/>
          <w:u w:val="single"/>
        </w:rPr>
        <w:t>、</w:t>
      </w:r>
      <w:r>
        <w:rPr>
          <w:u w:val="single"/>
        </w:rPr>
        <w:t>HCH</w:t>
      </w:r>
      <w:r>
        <w:rPr>
          <w:rFonts w:hint="eastAsia"/>
          <w:u w:val="single"/>
        </w:rPr>
        <w:t>：</w:t>
      </w:r>
      <w:r>
        <w:rPr>
          <w:u w:val="single"/>
        </w:rPr>
        <w:t>51.3g</w:t>
      </w:r>
      <w:r>
        <w:rPr>
          <w:rFonts w:hint="eastAsia"/>
          <w:u w:val="single"/>
        </w:rPr>
        <w:t>、</w:t>
      </w:r>
      <w:r>
        <w:rPr>
          <w:u w:val="single"/>
        </w:rPr>
        <w:t>NO</w:t>
      </w:r>
      <w:r>
        <w:rPr>
          <w:u w:val="single"/>
          <w:vertAlign w:val="subscript"/>
        </w:rPr>
        <w:t>X</w:t>
      </w:r>
      <w:r>
        <w:rPr>
          <w:rFonts w:hint="eastAsia"/>
          <w:u w:val="single"/>
        </w:rPr>
        <w:t>：</w:t>
      </w:r>
      <w:r>
        <w:rPr>
          <w:u w:val="single"/>
        </w:rPr>
        <w:t>83.8g</w:t>
      </w:r>
      <w:r>
        <w:rPr>
          <w:rFonts w:hint="eastAsia"/>
          <w:u w:val="single"/>
        </w:rPr>
        <w:t>、烟尘</w:t>
      </w:r>
      <w:r>
        <w:rPr>
          <w:u w:val="single"/>
        </w:rPr>
        <w:t>41.5g</w:t>
      </w:r>
      <w:r>
        <w:rPr>
          <w:rFonts w:hint="eastAsia"/>
          <w:u w:val="single"/>
        </w:rPr>
        <w:t>。若每公里标段工地柴油使用量按</w:t>
      </w:r>
      <w:r>
        <w:rPr>
          <w:u w:val="single"/>
        </w:rPr>
        <w:t>50L/d</w:t>
      </w:r>
      <w:r>
        <w:rPr>
          <w:rFonts w:hint="eastAsia"/>
          <w:u w:val="single"/>
        </w:rPr>
        <w:t>计算，则施工期每公里污染物的排放量分别为</w:t>
      </w:r>
      <w:r>
        <w:rPr>
          <w:u w:val="single"/>
        </w:rPr>
        <w:t>CO</w:t>
      </w:r>
      <w:r>
        <w:rPr>
          <w:rFonts w:hint="eastAsia"/>
          <w:u w:val="single"/>
        </w:rPr>
        <w:t>：</w:t>
      </w:r>
      <w:r>
        <w:rPr>
          <w:u w:val="single"/>
        </w:rPr>
        <w:t>1130g/d</w:t>
      </w:r>
      <w:r>
        <w:rPr>
          <w:rFonts w:hint="eastAsia"/>
          <w:u w:val="single"/>
        </w:rPr>
        <w:t>、</w:t>
      </w:r>
      <w:r>
        <w:rPr>
          <w:u w:val="single"/>
        </w:rPr>
        <w:t>HCH</w:t>
      </w:r>
      <w:r>
        <w:rPr>
          <w:rFonts w:hint="eastAsia"/>
          <w:u w:val="single"/>
        </w:rPr>
        <w:t>：</w:t>
      </w:r>
      <w:r>
        <w:rPr>
          <w:u w:val="single"/>
        </w:rPr>
        <w:t>2565g/d</w:t>
      </w:r>
      <w:r>
        <w:rPr>
          <w:rFonts w:hint="eastAsia"/>
          <w:u w:val="single"/>
        </w:rPr>
        <w:t>、</w:t>
      </w:r>
      <w:r>
        <w:rPr>
          <w:u w:val="single"/>
        </w:rPr>
        <w:t>NO</w:t>
      </w:r>
      <w:r>
        <w:rPr>
          <w:u w:val="single"/>
          <w:vertAlign w:val="subscript"/>
        </w:rPr>
        <w:t>X</w:t>
      </w:r>
      <w:r>
        <w:rPr>
          <w:rFonts w:hint="eastAsia"/>
          <w:u w:val="single"/>
        </w:rPr>
        <w:t>：</w:t>
      </w:r>
      <w:r>
        <w:rPr>
          <w:u w:val="single"/>
        </w:rPr>
        <w:t>4190g/d</w:t>
      </w:r>
      <w:r>
        <w:rPr>
          <w:rFonts w:hint="eastAsia"/>
          <w:u w:val="single"/>
        </w:rPr>
        <w:t>、烟尘</w:t>
      </w:r>
      <w:r>
        <w:rPr>
          <w:u w:val="single"/>
        </w:rPr>
        <w:t>2075g/d</w:t>
      </w:r>
      <w:r>
        <w:rPr>
          <w:rFonts w:hint="eastAsia"/>
          <w:u w:val="single"/>
        </w:rPr>
        <w:t>。由于施工场地位于农村地区，施工线场地较开阔，大气污染扩散稀释能力较强，因此，施工期燃油机械产生的尾气排放对施工区沿线大气影响相对较小，并随着工程的结束而结束。</w:t>
      </w:r>
    </w:p>
    <w:p>
      <w:pPr>
        <w:pStyle w:val="5"/>
        <w:widowControl/>
        <w:ind w:left="567" w:hanging="567"/>
        <w:rPr>
          <w:u w:val="single"/>
        </w:rPr>
      </w:pPr>
      <w:r>
        <w:rPr>
          <w:rFonts w:hint="eastAsia"/>
          <w:u w:val="single"/>
        </w:rPr>
        <w:t>营运期大气环境影响评价</w:t>
      </w:r>
    </w:p>
    <w:p>
      <w:pPr>
        <w:pStyle w:val="3"/>
        <w:ind w:firstLine="31680"/>
        <w:rPr>
          <w:u w:val="single"/>
        </w:rPr>
      </w:pPr>
      <w:r>
        <w:rPr>
          <w:rFonts w:hint="eastAsia"/>
          <w:u w:val="single"/>
        </w:rPr>
        <w:t>本项目建成投运后，主要的大气污染源是汽车尾气污染物的排放。根据现阶段经验和实测数据，在</w:t>
      </w:r>
      <w:r>
        <w:rPr>
          <w:u w:val="single"/>
        </w:rPr>
        <w:t>D</w:t>
      </w:r>
      <w:r>
        <w:rPr>
          <w:rFonts w:hint="eastAsia"/>
          <w:u w:val="single"/>
        </w:rPr>
        <w:t>类大气稳定度条件下，本工程在营运近、中期在沿线</w:t>
      </w:r>
      <w:r>
        <w:rPr>
          <w:u w:val="single"/>
        </w:rPr>
        <w:t>200m</w:t>
      </w:r>
      <w:r>
        <w:rPr>
          <w:rFonts w:hint="eastAsia"/>
          <w:u w:val="single"/>
        </w:rPr>
        <w:t>范围内</w:t>
      </w:r>
      <w:r>
        <w:rPr>
          <w:u w:val="single"/>
        </w:rPr>
        <w:t>NO</w:t>
      </w:r>
      <w:r>
        <w:rPr>
          <w:u w:val="single"/>
          <w:vertAlign w:val="subscript"/>
        </w:rPr>
        <w:t>2</w:t>
      </w:r>
      <w:r>
        <w:rPr>
          <w:rFonts w:hint="eastAsia"/>
          <w:u w:val="single"/>
        </w:rPr>
        <w:t>和</w:t>
      </w:r>
      <w:r>
        <w:rPr>
          <w:u w:val="single"/>
        </w:rPr>
        <w:t>CO</w:t>
      </w:r>
      <w:r>
        <w:rPr>
          <w:rFonts w:hint="eastAsia"/>
          <w:u w:val="single"/>
        </w:rPr>
        <w:t>的小时平均浓度均能满足《环境空气质量标准》（</w:t>
      </w:r>
      <w:r>
        <w:rPr>
          <w:u w:val="single"/>
        </w:rPr>
        <w:t>GB3095-2012</w:t>
      </w:r>
      <w:r>
        <w:rPr>
          <w:rFonts w:hint="eastAsia"/>
          <w:u w:val="single"/>
        </w:rPr>
        <w:t>）二级标准的要求，而远期由于车流量的增大或处于静风、</w:t>
      </w:r>
      <w:r>
        <w:rPr>
          <w:u w:val="single"/>
        </w:rPr>
        <w:t>E</w:t>
      </w:r>
      <w:r>
        <w:rPr>
          <w:rFonts w:hint="eastAsia"/>
          <w:u w:val="single"/>
        </w:rPr>
        <w:t>类稳定度等不利气象条件下，在距公路</w:t>
      </w:r>
      <w:r>
        <w:rPr>
          <w:u w:val="single"/>
        </w:rPr>
        <w:t>20m</w:t>
      </w:r>
      <w:r>
        <w:rPr>
          <w:rFonts w:hint="eastAsia"/>
          <w:u w:val="single"/>
        </w:rPr>
        <w:t>范围内</w:t>
      </w:r>
      <w:r>
        <w:rPr>
          <w:u w:val="single"/>
        </w:rPr>
        <w:t>NO</w:t>
      </w:r>
      <w:r>
        <w:rPr>
          <w:u w:val="single"/>
          <w:vertAlign w:val="subscript"/>
        </w:rPr>
        <w:t>2</w:t>
      </w:r>
      <w:r>
        <w:rPr>
          <w:rFonts w:hint="eastAsia"/>
          <w:u w:val="single"/>
        </w:rPr>
        <w:t>将可能出现超标，而距公路较远的区域基本可以满足</w:t>
      </w:r>
      <w:r>
        <w:rPr>
          <w:u w:val="single"/>
        </w:rPr>
        <w:t>2</w:t>
      </w:r>
      <w:r>
        <w:rPr>
          <w:rFonts w:hint="eastAsia"/>
          <w:u w:val="single"/>
        </w:rPr>
        <w:t>类标准的要求。目前，拟建公路沿线环境空气质量状况良好，大气环境容量较大，随着科技的进步和对环保的重视，机动车辆单车污染物排放量将进一步降低。尽管远期交通量加大，但汽车尾气污染可以通过加强汽车设计和制造技术的进步，以及采用清洁能源加以缓解。预计营运期汽车尾气对公路沿线区域环境空气质量的影响不大。</w:t>
      </w:r>
    </w:p>
    <w:p>
      <w:pPr>
        <w:pStyle w:val="3"/>
        <w:ind w:firstLine="31680"/>
        <w:rPr>
          <w:u w:val="single"/>
        </w:rPr>
      </w:pPr>
      <w:r>
        <w:rPr>
          <w:rFonts w:hint="eastAsia"/>
          <w:u w:val="single"/>
        </w:rPr>
        <w:t>为防范和减少汽车尾气污染物的污染影响，可结合公路沿线的景观绿化设计，选择有吸附或净化能力的灌木、乔木种植多层次绿化带，通过这些植物对汽车尾气的吸收与阻隔，可有效的降低其对沿线大气环境保护目标的环境空气质量的污染。</w:t>
      </w:r>
    </w:p>
    <w:p>
      <w:pPr>
        <w:pStyle w:val="4"/>
        <w:ind w:left="567" w:hanging="567"/>
        <w:rPr>
          <w:u w:val="single"/>
        </w:rPr>
      </w:pPr>
      <w:bookmarkStart w:id="229" w:name="_Toc354581714"/>
      <w:bookmarkStart w:id="230" w:name="_Toc342145767"/>
      <w:bookmarkStart w:id="231" w:name="_Toc354558910"/>
      <w:bookmarkStart w:id="232" w:name="_Toc408503578"/>
      <w:bookmarkStart w:id="233" w:name="_Toc354581894"/>
      <w:bookmarkStart w:id="234" w:name="_Toc6226"/>
      <w:r>
        <w:rPr>
          <w:rFonts w:hint="eastAsia"/>
          <w:u w:val="single"/>
        </w:rPr>
        <w:t>水环境影响评价</w:t>
      </w:r>
      <w:bookmarkEnd w:id="229"/>
      <w:bookmarkEnd w:id="230"/>
      <w:bookmarkEnd w:id="231"/>
      <w:bookmarkEnd w:id="232"/>
      <w:bookmarkEnd w:id="233"/>
      <w:bookmarkEnd w:id="234"/>
    </w:p>
    <w:p>
      <w:pPr>
        <w:pStyle w:val="5"/>
        <w:ind w:left="567" w:hanging="567"/>
        <w:rPr>
          <w:u w:val="single"/>
        </w:rPr>
      </w:pPr>
      <w:r>
        <w:rPr>
          <w:rFonts w:hint="eastAsia"/>
          <w:u w:val="single"/>
        </w:rPr>
        <w:t>地表水环境影响</w:t>
      </w:r>
    </w:p>
    <w:p>
      <w:pPr>
        <w:pStyle w:val="6"/>
        <w:ind w:left="567" w:hanging="567"/>
        <w:rPr>
          <w:u w:val="single"/>
        </w:rPr>
      </w:pPr>
      <w:bookmarkStart w:id="235" w:name="_Toc219864572"/>
      <w:bookmarkStart w:id="236" w:name="_Toc8212"/>
      <w:bookmarkStart w:id="237" w:name="_Toc23400"/>
      <w:r>
        <w:rPr>
          <w:rFonts w:hint="eastAsia"/>
          <w:u w:val="single"/>
        </w:rPr>
        <w:t>施工期地表水环境影响</w:t>
      </w:r>
      <w:bookmarkEnd w:id="235"/>
      <w:bookmarkEnd w:id="236"/>
      <w:bookmarkEnd w:id="237"/>
    </w:p>
    <w:p>
      <w:pPr>
        <w:pStyle w:val="3"/>
        <w:ind w:firstLine="31680"/>
        <w:rPr>
          <w:u w:val="single"/>
        </w:rPr>
      </w:pPr>
      <w:r>
        <w:rPr>
          <w:u w:val="single"/>
        </w:rPr>
        <w:t>a</w:t>
      </w:r>
      <w:r>
        <w:rPr>
          <w:rFonts w:hint="eastAsia"/>
          <w:u w:val="single"/>
        </w:rPr>
        <w:t>）施工材料堆放及施工废水的影响分析</w:t>
      </w:r>
    </w:p>
    <w:p>
      <w:pPr>
        <w:pStyle w:val="3"/>
        <w:ind w:firstLine="31680"/>
        <w:rPr>
          <w:u w:val="single"/>
        </w:rPr>
      </w:pPr>
      <w:r>
        <w:rPr>
          <w:rFonts w:hint="eastAsia"/>
          <w:u w:val="single"/>
        </w:rPr>
        <w:t>拟建公路沿途分布有两条无名小溪、沿线水塘水库以及项目终点西边93m处的大里塘水库（该水库为饮用水源一级保护区）。</w:t>
      </w:r>
    </w:p>
    <w:p>
      <w:pPr>
        <w:pStyle w:val="3"/>
        <w:ind w:firstLine="31680"/>
        <w:rPr>
          <w:u w:val="single"/>
        </w:rPr>
      </w:pPr>
      <w:r>
        <w:rPr>
          <w:rFonts w:hint="eastAsia"/>
          <w:u w:val="single"/>
        </w:rPr>
        <w:t>①对无名小溪，沿线水塘水库的影响分析</w:t>
      </w:r>
    </w:p>
    <w:p>
      <w:pPr>
        <w:pStyle w:val="3"/>
        <w:ind w:firstLine="31680"/>
        <w:rPr>
          <w:u w:val="single"/>
        </w:rPr>
      </w:pPr>
      <w:r>
        <w:rPr>
          <w:rFonts w:hint="eastAsia"/>
          <w:u w:val="single"/>
        </w:rPr>
        <w:t>若施工材料点设置在有关水体附近，由于保管不善或受暴雨冲刷等原因进入水体，将会对水体造成污染，甚至严重影响水体水质，因此，本工程施工材料堆场应设置在公路永久征地范围内，且远离水体，建材堆场严禁临河（临水塘）设置，并且采取防止径流冲刷和风吹起尘的措施。因此，在采取以上防护措施的基础上本工程施工材料堆放过程不会对周边水体造成不利影响。</w:t>
      </w:r>
    </w:p>
    <w:p>
      <w:pPr>
        <w:pStyle w:val="3"/>
        <w:ind w:firstLine="31680"/>
        <w:rPr>
          <w:u w:val="single"/>
        </w:rPr>
      </w:pPr>
      <w:r>
        <w:rPr>
          <w:rFonts w:hint="eastAsia"/>
          <w:szCs w:val="24"/>
          <w:u w:val="single"/>
        </w:rPr>
        <w:t>施工生产区</w:t>
      </w:r>
      <w:r>
        <w:rPr>
          <w:rFonts w:hint="eastAsia"/>
          <w:u w:val="single"/>
        </w:rPr>
        <w:t>产生的施工废水主要包括机械设备的冲洗废水、地面冲洗水以及机械设备及运输车辆的维修保养过程中产生的油污等。营地产生废水主要污染物是悬浮物、石油类等，若不进行收集，经雨水冲刷进入地表水体后，这些污染物排入地表水或农渠后，易对局部水环境造成污染，其中高浓度泥沙排入两条无名小溪以及沿线水塘水库后会造成河道河床或渠道局部淤积，高浓度石油类污染物排入农渠或河流后会造成易形成浮油漂浮于水面，形成大面积的污染带。因此，对</w:t>
      </w:r>
      <w:r>
        <w:rPr>
          <w:rFonts w:hint="eastAsia"/>
          <w:szCs w:val="24"/>
          <w:u w:val="single"/>
        </w:rPr>
        <w:t>施工生产区</w:t>
      </w:r>
      <w:r>
        <w:rPr>
          <w:rFonts w:hint="eastAsia"/>
          <w:u w:val="single"/>
        </w:rPr>
        <w:t>的废水应采取相应的治理措施，设置沉淀池、隔油池等，经隔油沉淀处理后回用不外排，不会对周边水体造成不利影响。</w:t>
      </w:r>
    </w:p>
    <w:p>
      <w:pPr>
        <w:pStyle w:val="3"/>
        <w:ind w:firstLine="31680"/>
        <w:rPr>
          <w:u w:val="single"/>
        </w:rPr>
      </w:pPr>
      <w:r>
        <w:rPr>
          <w:rFonts w:hint="eastAsia"/>
          <w:u w:val="single"/>
        </w:rPr>
        <w:t>②对项目西边</w:t>
      </w:r>
      <w:r>
        <w:rPr>
          <w:u w:val="single"/>
        </w:rPr>
        <w:t>93m</w:t>
      </w:r>
      <w:r>
        <w:rPr>
          <w:rFonts w:hint="eastAsia"/>
          <w:u w:val="single"/>
        </w:rPr>
        <w:t>处的大里塘水库（该水库为饮用水源一级保护区）水污染控制措施</w:t>
      </w:r>
    </w:p>
    <w:p>
      <w:pPr>
        <w:adjustRightInd w:val="0"/>
        <w:snapToGrid w:val="0"/>
        <w:spacing w:line="360" w:lineRule="auto"/>
        <w:ind w:firstLine="31680" w:firstLineChars="225"/>
        <w:rPr>
          <w:sz w:val="24"/>
          <w:u w:val="single"/>
        </w:rPr>
      </w:pPr>
      <w:r>
        <w:rPr>
          <w:rFonts w:hint="eastAsia"/>
          <w:sz w:val="24"/>
          <w:u w:val="single"/>
        </w:rPr>
        <w:t>大里塘水库集雨面积</w:t>
      </w:r>
      <w:r>
        <w:rPr>
          <w:sz w:val="24"/>
          <w:u w:val="single"/>
        </w:rPr>
        <w:t>4.1km</w:t>
      </w:r>
      <w:r>
        <w:rPr>
          <w:sz w:val="24"/>
          <w:u w:val="single"/>
          <w:vertAlign w:val="superscript"/>
        </w:rPr>
        <w:t>2</w:t>
      </w:r>
      <w:r>
        <w:rPr>
          <w:sz w:val="24"/>
          <w:u w:val="single"/>
        </w:rPr>
        <w:t>(</w:t>
      </w:r>
      <w:r>
        <w:rPr>
          <w:rFonts w:hint="eastAsia"/>
          <w:sz w:val="24"/>
          <w:u w:val="single"/>
        </w:rPr>
        <w:t>包括外引集雨面积</w:t>
      </w:r>
      <w:r>
        <w:rPr>
          <w:sz w:val="24"/>
          <w:u w:val="single"/>
        </w:rPr>
        <w:t>3.34km</w:t>
      </w:r>
      <w:r>
        <w:rPr>
          <w:sz w:val="24"/>
          <w:u w:val="single"/>
          <w:vertAlign w:val="superscript"/>
        </w:rPr>
        <w:t>2</w:t>
      </w:r>
      <w:r>
        <w:rPr>
          <w:sz w:val="24"/>
          <w:u w:val="single"/>
        </w:rPr>
        <w:t>)</w:t>
      </w:r>
      <w:r>
        <w:rPr>
          <w:rFonts w:hint="eastAsia"/>
          <w:sz w:val="24"/>
          <w:u w:val="single"/>
        </w:rPr>
        <w:t>，总库容</w:t>
      </w:r>
      <w:r>
        <w:rPr>
          <w:sz w:val="24"/>
          <w:u w:val="single"/>
        </w:rPr>
        <w:t>266</w:t>
      </w:r>
      <w:r>
        <w:rPr>
          <w:rFonts w:hint="eastAsia"/>
          <w:sz w:val="24"/>
          <w:u w:val="single"/>
        </w:rPr>
        <w:t>万</w:t>
      </w:r>
      <w:r>
        <w:rPr>
          <w:sz w:val="24"/>
          <w:u w:val="single"/>
        </w:rPr>
        <w:t>m</w:t>
      </w:r>
      <w:r>
        <w:rPr>
          <w:sz w:val="24"/>
          <w:u w:val="single"/>
          <w:vertAlign w:val="superscript"/>
        </w:rPr>
        <w:t>3</w:t>
      </w:r>
      <w:r>
        <w:rPr>
          <w:rFonts w:hint="eastAsia"/>
          <w:sz w:val="24"/>
          <w:u w:val="single"/>
        </w:rPr>
        <w:t>，正常蓄水位</w:t>
      </w:r>
      <w:r>
        <w:rPr>
          <w:sz w:val="24"/>
          <w:u w:val="single"/>
        </w:rPr>
        <w:t>78.0m</w:t>
      </w:r>
      <w:r>
        <w:rPr>
          <w:rFonts w:hint="eastAsia"/>
          <w:sz w:val="24"/>
          <w:u w:val="single"/>
        </w:rPr>
        <w:t>，正常库容</w:t>
      </w:r>
      <w:r>
        <w:rPr>
          <w:sz w:val="24"/>
          <w:u w:val="single"/>
        </w:rPr>
        <w:t>198</w:t>
      </w:r>
      <w:r>
        <w:rPr>
          <w:rFonts w:hint="eastAsia"/>
          <w:sz w:val="24"/>
          <w:u w:val="single"/>
        </w:rPr>
        <w:t>万</w:t>
      </w:r>
      <w:r>
        <w:rPr>
          <w:sz w:val="24"/>
          <w:u w:val="single"/>
        </w:rPr>
        <w:t>m</w:t>
      </w:r>
      <w:r>
        <w:rPr>
          <w:sz w:val="24"/>
          <w:u w:val="single"/>
          <w:vertAlign w:val="superscript"/>
        </w:rPr>
        <w:t>3</w:t>
      </w:r>
      <w:r>
        <w:rPr>
          <w:rFonts w:hint="eastAsia"/>
          <w:sz w:val="24"/>
          <w:u w:val="single"/>
        </w:rPr>
        <w:t>，死水位</w:t>
      </w:r>
      <w:r>
        <w:rPr>
          <w:sz w:val="24"/>
          <w:u w:val="single"/>
        </w:rPr>
        <w:t>70.4m</w:t>
      </w:r>
      <w:r>
        <w:rPr>
          <w:rFonts w:hint="eastAsia"/>
          <w:sz w:val="24"/>
          <w:u w:val="single"/>
        </w:rPr>
        <w:t>，死库容</w:t>
      </w:r>
      <w:r>
        <w:rPr>
          <w:sz w:val="24"/>
          <w:u w:val="single"/>
        </w:rPr>
        <w:t>6.5</w:t>
      </w:r>
      <w:r>
        <w:rPr>
          <w:rFonts w:hint="eastAsia"/>
          <w:sz w:val="24"/>
          <w:u w:val="single"/>
        </w:rPr>
        <w:t>万</w:t>
      </w:r>
      <w:r>
        <w:rPr>
          <w:sz w:val="24"/>
          <w:u w:val="single"/>
        </w:rPr>
        <w:t>m</w:t>
      </w:r>
      <w:r>
        <w:rPr>
          <w:sz w:val="24"/>
          <w:u w:val="single"/>
          <w:vertAlign w:val="superscript"/>
        </w:rPr>
        <w:t>3</w:t>
      </w:r>
      <w:r>
        <w:rPr>
          <w:rFonts w:hint="eastAsia"/>
          <w:sz w:val="24"/>
          <w:u w:val="single"/>
        </w:rPr>
        <w:t>，调节库容</w:t>
      </w:r>
      <w:r>
        <w:rPr>
          <w:sz w:val="24"/>
          <w:u w:val="single"/>
        </w:rPr>
        <w:t>192</w:t>
      </w:r>
      <w:r>
        <w:rPr>
          <w:rFonts w:hint="eastAsia"/>
          <w:sz w:val="24"/>
          <w:u w:val="single"/>
        </w:rPr>
        <w:t>万</w:t>
      </w:r>
      <w:r>
        <w:rPr>
          <w:sz w:val="24"/>
          <w:u w:val="single"/>
        </w:rPr>
        <w:t>m</w:t>
      </w:r>
      <w:r>
        <w:rPr>
          <w:sz w:val="24"/>
          <w:u w:val="single"/>
          <w:vertAlign w:val="superscript"/>
        </w:rPr>
        <w:t>3</w:t>
      </w:r>
      <w:r>
        <w:rPr>
          <w:rFonts w:hint="eastAsia"/>
          <w:sz w:val="24"/>
          <w:u w:val="single"/>
        </w:rPr>
        <w:t>，为多年调节水库。大里塘水库坝址控制流域面积</w:t>
      </w:r>
      <w:r>
        <w:rPr>
          <w:sz w:val="24"/>
          <w:u w:val="single"/>
        </w:rPr>
        <w:t>0.76km</w:t>
      </w:r>
      <w:r>
        <w:rPr>
          <w:sz w:val="24"/>
          <w:u w:val="single"/>
          <w:vertAlign w:val="superscript"/>
        </w:rPr>
        <w:t>2</w:t>
      </w:r>
      <w:r>
        <w:rPr>
          <w:rFonts w:hint="eastAsia"/>
          <w:sz w:val="24"/>
          <w:u w:val="single"/>
        </w:rPr>
        <w:t>，坝址多年平均流量</w:t>
      </w:r>
      <w:r>
        <w:rPr>
          <w:sz w:val="24"/>
          <w:u w:val="single"/>
        </w:rPr>
        <w:t>0.0168m</w:t>
      </w:r>
      <w:r>
        <w:rPr>
          <w:sz w:val="24"/>
          <w:u w:val="single"/>
          <w:vertAlign w:val="superscript"/>
        </w:rPr>
        <w:t>3</w:t>
      </w:r>
      <w:r>
        <w:rPr>
          <w:sz w:val="24"/>
          <w:u w:val="single"/>
        </w:rPr>
        <w:t>/s</w:t>
      </w:r>
      <w:r>
        <w:rPr>
          <w:rFonts w:hint="eastAsia"/>
          <w:sz w:val="24"/>
          <w:u w:val="single"/>
        </w:rPr>
        <w:t>，多年平均径流量</w:t>
      </w:r>
      <w:r>
        <w:rPr>
          <w:sz w:val="24"/>
          <w:u w:val="single"/>
        </w:rPr>
        <w:t>53.0</w:t>
      </w:r>
      <w:r>
        <w:rPr>
          <w:rFonts w:hint="eastAsia"/>
          <w:sz w:val="24"/>
          <w:u w:val="single"/>
        </w:rPr>
        <w:t>万</w:t>
      </w:r>
      <w:r>
        <w:rPr>
          <w:sz w:val="24"/>
          <w:u w:val="single"/>
        </w:rPr>
        <w:t>m</w:t>
      </w:r>
      <w:r>
        <w:rPr>
          <w:sz w:val="24"/>
          <w:u w:val="single"/>
          <w:vertAlign w:val="superscript"/>
        </w:rPr>
        <w:t>3</w:t>
      </w:r>
      <w:r>
        <w:rPr>
          <w:rFonts w:hint="eastAsia"/>
          <w:sz w:val="24"/>
          <w:u w:val="single"/>
        </w:rPr>
        <w:t>。外引集雨面积</w:t>
      </w:r>
      <w:r>
        <w:rPr>
          <w:sz w:val="24"/>
          <w:u w:val="single"/>
        </w:rPr>
        <w:t>3.34km</w:t>
      </w:r>
      <w:r>
        <w:rPr>
          <w:sz w:val="24"/>
          <w:u w:val="single"/>
          <w:vertAlign w:val="superscript"/>
        </w:rPr>
        <w:t>2</w:t>
      </w:r>
      <w:r>
        <w:rPr>
          <w:rFonts w:hint="eastAsia"/>
          <w:sz w:val="24"/>
          <w:u w:val="single"/>
        </w:rPr>
        <w:t>，考虑外引渠道的输送能力、渗漏及暴雨损失，实际引入大里塘水库的水量按产水量的</w:t>
      </w:r>
      <w:r>
        <w:rPr>
          <w:sz w:val="24"/>
          <w:u w:val="single"/>
        </w:rPr>
        <w:t>40%</w:t>
      </w:r>
      <w:r>
        <w:rPr>
          <w:rFonts w:hint="eastAsia"/>
          <w:sz w:val="24"/>
          <w:u w:val="single"/>
        </w:rPr>
        <w:t>计，引入大里塘水库多年平均流量</w:t>
      </w:r>
      <w:r>
        <w:rPr>
          <w:sz w:val="24"/>
          <w:u w:val="single"/>
        </w:rPr>
        <w:t>0.030m</w:t>
      </w:r>
      <w:r>
        <w:rPr>
          <w:sz w:val="24"/>
          <w:u w:val="single"/>
          <w:vertAlign w:val="superscript"/>
        </w:rPr>
        <w:t>3</w:t>
      </w:r>
      <w:r>
        <w:rPr>
          <w:sz w:val="24"/>
          <w:u w:val="single"/>
        </w:rPr>
        <w:t>/s</w:t>
      </w:r>
      <w:r>
        <w:rPr>
          <w:rFonts w:hint="eastAsia"/>
          <w:sz w:val="24"/>
          <w:u w:val="single"/>
        </w:rPr>
        <w:t>，多年平均径流量</w:t>
      </w:r>
      <w:r>
        <w:rPr>
          <w:sz w:val="24"/>
          <w:u w:val="single"/>
        </w:rPr>
        <w:t>93.1</w:t>
      </w:r>
      <w:r>
        <w:rPr>
          <w:rFonts w:hint="eastAsia"/>
          <w:sz w:val="24"/>
          <w:u w:val="single"/>
        </w:rPr>
        <w:t>万</w:t>
      </w:r>
      <w:r>
        <w:rPr>
          <w:sz w:val="24"/>
          <w:u w:val="single"/>
        </w:rPr>
        <w:t>m</w:t>
      </w:r>
      <w:r>
        <w:rPr>
          <w:sz w:val="24"/>
          <w:u w:val="single"/>
          <w:vertAlign w:val="superscript"/>
        </w:rPr>
        <w:t>3</w:t>
      </w:r>
      <w:r>
        <w:rPr>
          <w:rFonts w:hint="eastAsia"/>
          <w:sz w:val="24"/>
          <w:u w:val="single"/>
        </w:rPr>
        <w:t>。</w:t>
      </w:r>
    </w:p>
    <w:p>
      <w:pPr>
        <w:pStyle w:val="3"/>
        <w:ind w:firstLine="31680"/>
        <w:rPr>
          <w:snapToGrid w:val="0"/>
          <w:u w:val="single"/>
        </w:rPr>
      </w:pPr>
      <w:r>
        <w:rPr>
          <w:rFonts w:hint="eastAsia"/>
          <w:snapToGrid w:val="0"/>
          <w:u w:val="single"/>
        </w:rPr>
        <w:t>规划水平年大里塘水库不考虑灌溉，为</w:t>
      </w:r>
      <w:r>
        <w:rPr>
          <w:rFonts w:hint="eastAsia"/>
          <w:u w:val="single"/>
        </w:rPr>
        <w:t>长沙经济技术开发区汨罗（弼时）产业园</w:t>
      </w:r>
      <w:r>
        <w:rPr>
          <w:rFonts w:hint="eastAsia"/>
          <w:snapToGrid w:val="0"/>
          <w:u w:val="single"/>
        </w:rPr>
        <w:t>纯供水水库（</w:t>
      </w:r>
      <w:r>
        <w:rPr>
          <w:rFonts w:hint="eastAsia"/>
          <w:snapToGrid w:val="0"/>
          <w:u w:val="single"/>
          <w:lang w:val="en-US" w:eastAsia="zh-CN"/>
        </w:rPr>
        <w:t>已</w:t>
      </w:r>
      <w:r>
        <w:rPr>
          <w:rFonts w:hint="eastAsia"/>
          <w:snapToGrid w:val="0"/>
          <w:u w:val="single"/>
        </w:rPr>
        <w:t>取消养殖功能），现定位饮用水源一级保护区，执行《地表水环境质量标准》（</w:t>
      </w:r>
      <w:r>
        <w:rPr>
          <w:snapToGrid w:val="0"/>
          <w:u w:val="single"/>
        </w:rPr>
        <w:t>GB3838-2002</w:t>
      </w:r>
      <w:r>
        <w:rPr>
          <w:rFonts w:hint="eastAsia"/>
          <w:snapToGrid w:val="0"/>
          <w:u w:val="single"/>
        </w:rPr>
        <w:t>）中</w:t>
      </w:r>
      <w:r>
        <w:rPr>
          <w:rFonts w:hint="eastAsia" w:ascii="宋体" w:hAnsi="宋体" w:cs="宋体"/>
          <w:snapToGrid w:val="0"/>
          <w:u w:val="single"/>
        </w:rPr>
        <w:t>Ⅱ类标准</w:t>
      </w:r>
      <w:r>
        <w:rPr>
          <w:rFonts w:hint="eastAsia"/>
          <w:snapToGrid w:val="0"/>
          <w:u w:val="single"/>
        </w:rPr>
        <w:t>。经现场踏勘及相关资料可知，本项目在项目终点</w:t>
      </w:r>
      <w:r>
        <w:rPr>
          <w:snapToGrid w:val="0"/>
          <w:u w:val="single"/>
        </w:rPr>
        <w:t>K8+369</w:t>
      </w:r>
      <w:r>
        <w:rPr>
          <w:rFonts w:hint="eastAsia"/>
          <w:snapToGrid w:val="0"/>
          <w:u w:val="single"/>
        </w:rPr>
        <w:t>段距离大里塘水库正常水位线最小距离为</w:t>
      </w:r>
      <w:r>
        <w:rPr>
          <w:snapToGrid w:val="0"/>
          <w:u w:val="single"/>
        </w:rPr>
        <w:t>93m</w:t>
      </w:r>
      <w:r>
        <w:rPr>
          <w:rFonts w:hint="eastAsia"/>
          <w:snapToGrid w:val="0"/>
          <w:u w:val="single"/>
        </w:rPr>
        <w:t>，根据岳阳市环境保护局岳环评【</w:t>
      </w:r>
      <w:r>
        <w:rPr>
          <w:snapToGrid w:val="0"/>
          <w:u w:val="single"/>
        </w:rPr>
        <w:t>2016</w:t>
      </w:r>
      <w:r>
        <w:rPr>
          <w:rFonts w:hint="eastAsia"/>
          <w:snapToGrid w:val="0"/>
          <w:u w:val="single"/>
        </w:rPr>
        <w:t>】</w:t>
      </w:r>
      <w:r>
        <w:rPr>
          <w:snapToGrid w:val="0"/>
          <w:u w:val="single"/>
        </w:rPr>
        <w:t>12</w:t>
      </w:r>
      <w:r>
        <w:rPr>
          <w:rFonts w:hint="eastAsia"/>
          <w:snapToGrid w:val="0"/>
          <w:u w:val="single"/>
        </w:rPr>
        <w:t>号《关于汨罗市普乐投资开发有限公司长沙经开区汨罗产业园给水厂工程环境影响报告书的批复》中“按照《饮用水源保护区划分技术规范》</w:t>
      </w:r>
      <w:r>
        <w:rPr>
          <w:snapToGrid w:val="0"/>
          <w:u w:val="single"/>
        </w:rPr>
        <w:t>(HJ/T338-2007)</w:t>
      </w:r>
      <w:r>
        <w:rPr>
          <w:rFonts w:hint="eastAsia"/>
          <w:snapToGrid w:val="0"/>
          <w:u w:val="single"/>
        </w:rPr>
        <w:t>划分大里塘水库饮用水源保护各分区”可知，大里塘水</w:t>
      </w:r>
      <w:r>
        <w:rPr>
          <w:rFonts w:hint="eastAsia"/>
          <w:snapToGrid w:val="0"/>
          <w:color w:val="auto"/>
          <w:u w:val="single"/>
        </w:rPr>
        <w:t>库饮用水源一级保护区范围为正常水位线以下的全部水域面积</w:t>
      </w:r>
      <w:r>
        <w:rPr>
          <w:rFonts w:hint="eastAsia"/>
          <w:snapToGrid w:val="0"/>
          <w:color w:val="auto"/>
          <w:u w:val="single"/>
          <w:lang w:eastAsia="zh-CN"/>
        </w:rPr>
        <w:t>（</w:t>
      </w:r>
      <w:r>
        <w:rPr>
          <w:rFonts w:hint="eastAsia"/>
          <w:snapToGrid w:val="0"/>
          <w:color w:val="auto"/>
          <w:u w:val="single"/>
          <w:lang w:val="en-US" w:eastAsia="zh-CN"/>
        </w:rPr>
        <w:t>小型湖泊、中型水库水域范围为取水口半径300米范围内的区域</w:t>
      </w:r>
      <w:r>
        <w:rPr>
          <w:rFonts w:hint="eastAsia"/>
          <w:snapToGrid w:val="0"/>
          <w:color w:val="auto"/>
          <w:u w:val="single"/>
          <w:lang w:eastAsia="zh-CN"/>
        </w:rPr>
        <w:t>），</w:t>
      </w:r>
      <w:r>
        <w:rPr>
          <w:rFonts w:hint="eastAsia"/>
          <w:snapToGrid w:val="0"/>
          <w:color w:val="auto"/>
          <w:u w:val="single"/>
          <w:lang w:val="en-US" w:eastAsia="zh-CN"/>
        </w:rPr>
        <w:t>湖泊、水库沿岸陆域一级保护区范围</w:t>
      </w:r>
      <w:r>
        <w:rPr>
          <w:rFonts w:hint="eastAsia"/>
          <w:snapToGrid w:val="0"/>
          <w:color w:val="auto"/>
          <w:u w:val="single"/>
          <w:lang w:eastAsia="zh-CN"/>
        </w:rPr>
        <w:t>（</w:t>
      </w:r>
      <w:r>
        <w:rPr>
          <w:rFonts w:hint="eastAsia"/>
          <w:snapToGrid w:val="0"/>
          <w:color w:val="auto"/>
          <w:u w:val="single"/>
          <w:lang w:val="en-US" w:eastAsia="zh-CN"/>
        </w:rPr>
        <w:t>小型湖泊、中型水库为取水口侧正常水位线以上200米范围内的陆域</w:t>
      </w:r>
      <w:r>
        <w:rPr>
          <w:rFonts w:hint="eastAsia"/>
          <w:snapToGrid w:val="0"/>
          <w:color w:val="auto"/>
          <w:u w:val="single"/>
          <w:lang w:eastAsia="zh-CN"/>
        </w:rPr>
        <w:t>）</w:t>
      </w:r>
      <w:r>
        <w:rPr>
          <w:rFonts w:hint="eastAsia"/>
          <w:snapToGrid w:val="0"/>
          <w:color w:val="auto"/>
          <w:u w:val="single"/>
        </w:rPr>
        <w:t>。</w:t>
      </w:r>
      <w:r>
        <w:rPr>
          <w:rFonts w:hint="eastAsia"/>
          <w:snapToGrid w:val="0"/>
          <w:color w:val="auto"/>
          <w:u w:val="single"/>
          <w:lang w:val="en-US" w:eastAsia="zh-CN"/>
        </w:rPr>
        <w:t>本项目大里塘水库暂未定取水口的具体方位，本环评建议取水口定为本项目公路的相反一侧。</w:t>
      </w:r>
      <w:r>
        <w:rPr>
          <w:rFonts w:hint="eastAsia"/>
          <w:snapToGrid w:val="0"/>
          <w:color w:val="auto"/>
          <w:u w:val="single"/>
        </w:rPr>
        <w:t>因此，本项目不在大里塘水库饮用水源一级保护区范围内，但与大里塘水库饮用水源保护范围较近，需采取相应防范措施，详见第</w:t>
      </w:r>
      <w:r>
        <w:rPr>
          <w:snapToGrid w:val="0"/>
          <w:color w:val="auto"/>
          <w:u w:val="single"/>
        </w:rPr>
        <w:t>10</w:t>
      </w:r>
      <w:r>
        <w:rPr>
          <w:rFonts w:hint="eastAsia"/>
          <w:snapToGrid w:val="0"/>
          <w:color w:val="auto"/>
          <w:u w:val="single"/>
        </w:rPr>
        <w:t>章。且大里塘水库为备用水源，本项目施工路段未通过农民居民取水管线（且周边居民大都为地下井水取水），</w:t>
      </w:r>
      <w:r>
        <w:rPr>
          <w:rFonts w:ascii="Times New Roman" w:hAnsi="Times New Roman" w:cs="Times New Roman"/>
          <w:color w:val="auto"/>
          <w:sz w:val="24"/>
          <w:u w:val="single"/>
        </w:rPr>
        <w:t>弼时镇区现状供水由弼时镇自来水厂提供，设计供水规模为5000t/d，实际日供水200～300t，取水水源为青坑水库和定里冲水库。</w:t>
      </w:r>
      <w:r>
        <w:rPr>
          <w:rFonts w:hint="eastAsia"/>
          <w:snapToGrid w:val="0"/>
          <w:u w:val="single"/>
        </w:rPr>
        <w:t>因此，项目建设不会对农村居民取水造成影响。</w:t>
      </w:r>
    </w:p>
    <w:p>
      <w:pPr>
        <w:pStyle w:val="3"/>
        <w:ind w:firstLine="31680"/>
        <w:rPr>
          <w:snapToGrid w:val="0"/>
          <w:u w:val="single"/>
        </w:rPr>
      </w:pPr>
      <w:r>
        <w:rPr>
          <w:rFonts w:hint="eastAsia"/>
          <w:snapToGrid w:val="0"/>
          <w:u w:val="single"/>
        </w:rPr>
        <w:t>饮用水水源一级保护区施工路段严禁设置施工营地、生活营地，严禁生活污水、施工废水直接排入大里塘水库。施工期产生的废水主要为路面施工产生的施工废水，该部分污水主要来自砂石材料的冲洗废水，以及受暴雨冲刷产生的污水；该废水量小、且污染物简单，对水质影响相对较小，施工废水需经施工现场的明沟、沉砂池初步处理，上清夜重复利用，避免产生污水流入大里塘水库，底泥联系地方环卫部门定期清运处理。施工期间弃渣应及时运离施工区域，不得丢弃在水库中。大里塘水库附近不得设置施工营地等临时工程，施工期间应加强管理，建筑材料不得随意堆放在水体边。经采取相应污染防治措施后，道路沿线施工对饮用水水源一级保护区水质影响较小。</w:t>
      </w:r>
    </w:p>
    <w:p>
      <w:pPr>
        <w:pStyle w:val="3"/>
        <w:ind w:firstLine="31680"/>
        <w:rPr>
          <w:u w:val="single"/>
        </w:rPr>
      </w:pPr>
      <w:r>
        <w:rPr>
          <w:u w:val="single"/>
        </w:rPr>
        <w:t>b</w:t>
      </w:r>
      <w:r>
        <w:rPr>
          <w:rFonts w:hint="eastAsia"/>
          <w:u w:val="single"/>
        </w:rPr>
        <w:t>）</w:t>
      </w:r>
      <w:r>
        <w:rPr>
          <w:rFonts w:hint="eastAsia"/>
          <w:szCs w:val="24"/>
          <w:u w:val="single"/>
        </w:rPr>
        <w:t>施工生活区</w:t>
      </w:r>
      <w:r>
        <w:rPr>
          <w:rFonts w:hint="eastAsia"/>
          <w:u w:val="single"/>
        </w:rPr>
        <w:t>生活污水排放对水环境污染</w:t>
      </w:r>
    </w:p>
    <w:p>
      <w:pPr>
        <w:pStyle w:val="3"/>
        <w:ind w:firstLine="31680"/>
        <w:rPr>
          <w:u w:val="single"/>
        </w:rPr>
      </w:pPr>
      <w:r>
        <w:rPr>
          <w:rFonts w:hint="eastAsia"/>
          <w:szCs w:val="24"/>
          <w:u w:val="single"/>
        </w:rPr>
        <w:t>施工生活区</w:t>
      </w:r>
      <w:r>
        <w:rPr>
          <w:rFonts w:hint="eastAsia"/>
          <w:u w:val="single"/>
        </w:rPr>
        <w:t>中由于施工人员生活污水排放将产生一定的生活污染源。根据前述工程分析可知，若</w:t>
      </w:r>
      <w:r>
        <w:rPr>
          <w:rFonts w:hint="eastAsia"/>
          <w:szCs w:val="24"/>
          <w:u w:val="single"/>
        </w:rPr>
        <w:t>施工生活区</w:t>
      </w:r>
      <w:r>
        <w:rPr>
          <w:rFonts w:hint="eastAsia"/>
          <w:u w:val="single"/>
        </w:rPr>
        <w:t>进驻人数按</w:t>
      </w:r>
      <w:r>
        <w:rPr>
          <w:u w:val="single"/>
        </w:rPr>
        <w:t>40</w:t>
      </w:r>
      <w:r>
        <w:rPr>
          <w:rFonts w:hint="eastAsia"/>
          <w:u w:val="single"/>
        </w:rPr>
        <w:t>人计算，根据预测公式可以算出，污水排放量约</w:t>
      </w:r>
      <w:r>
        <w:rPr>
          <w:u w:val="single"/>
        </w:rPr>
        <w:t>3.2m</w:t>
      </w:r>
      <w:r>
        <w:rPr>
          <w:u w:val="single"/>
          <w:vertAlign w:val="superscript"/>
        </w:rPr>
        <w:t>3</w:t>
      </w:r>
      <w:r>
        <w:rPr>
          <w:u w:val="single"/>
        </w:rPr>
        <w:t>/d</w:t>
      </w:r>
      <w:r>
        <w:rPr>
          <w:rFonts w:hint="eastAsia"/>
          <w:u w:val="single"/>
        </w:rPr>
        <w:t>。施工生活污水若直接排放于附近地表水体，将对水环境造成一定程度的污染。因此，每处</w:t>
      </w:r>
      <w:r>
        <w:rPr>
          <w:rFonts w:hint="eastAsia"/>
          <w:szCs w:val="24"/>
          <w:u w:val="single"/>
        </w:rPr>
        <w:t>施工生活区</w:t>
      </w:r>
      <w:r>
        <w:rPr>
          <w:rFonts w:hint="eastAsia"/>
          <w:u w:val="single"/>
        </w:rPr>
        <w:t>须设置生活污水预处理设施，设置化粪池将粪便污水和食堂污水进行收集并初步处理后排放，严禁粪便污水和食堂污水直接进入地表水体。建议</w:t>
      </w:r>
      <w:r>
        <w:rPr>
          <w:rFonts w:hint="eastAsia"/>
          <w:szCs w:val="24"/>
          <w:u w:val="single"/>
        </w:rPr>
        <w:t>施工生活区</w:t>
      </w:r>
      <w:r>
        <w:rPr>
          <w:rFonts w:hint="eastAsia"/>
          <w:u w:val="single"/>
        </w:rPr>
        <w:t>尽量租用公路附近现有的民房或设置旱厕，粪便尿液等直接由当地农民转运作农肥不外排。</w:t>
      </w:r>
    </w:p>
    <w:p>
      <w:pPr>
        <w:pStyle w:val="3"/>
        <w:ind w:firstLine="31680"/>
        <w:rPr>
          <w:u w:val="single"/>
        </w:rPr>
      </w:pPr>
      <w:r>
        <w:rPr>
          <w:u w:val="single"/>
        </w:rPr>
        <w:t>c</w:t>
      </w:r>
      <w:r>
        <w:rPr>
          <w:rFonts w:hint="eastAsia"/>
          <w:u w:val="single"/>
        </w:rPr>
        <w:t>）桥涵施工对水环境的影响分析</w:t>
      </w:r>
    </w:p>
    <w:p>
      <w:pPr>
        <w:spacing w:line="360" w:lineRule="auto"/>
        <w:ind w:firstLine="31680" w:firstLineChars="200"/>
        <w:rPr>
          <w:sz w:val="24"/>
          <w:u w:val="single"/>
        </w:rPr>
      </w:pPr>
      <w:r>
        <w:rPr>
          <w:rFonts w:hint="eastAsia"/>
          <w:sz w:val="24"/>
          <w:u w:val="single"/>
        </w:rPr>
        <w:t>本项目跨越河流两条无名小溪，工程新建大桥</w:t>
      </w:r>
      <w:r>
        <w:rPr>
          <w:sz w:val="24"/>
          <w:u w:val="single"/>
        </w:rPr>
        <w:t>52m/2</w:t>
      </w:r>
      <w:r>
        <w:rPr>
          <w:rFonts w:hint="eastAsia"/>
          <w:sz w:val="24"/>
          <w:u w:val="single"/>
        </w:rPr>
        <w:t>座（樟树塘桥、范家老屋桥），均为不涉水桥梁。本工程涉及相关水体水环境功能不敏感，桥涵工程</w:t>
      </w:r>
      <w:r>
        <w:rPr>
          <w:rFonts w:hint="eastAsia"/>
          <w:sz w:val="24"/>
          <w:u w:val="single"/>
          <w:lang w:val="en-US" w:eastAsia="zh-CN"/>
        </w:rPr>
        <w:t>不</w:t>
      </w:r>
      <w:r>
        <w:rPr>
          <w:rFonts w:hint="eastAsia"/>
          <w:sz w:val="24"/>
          <w:u w:val="single"/>
        </w:rPr>
        <w:t>涉及水下施工，其施工过程中对相关地表水体的主要影响如下：</w:t>
      </w:r>
    </w:p>
    <w:p>
      <w:pPr>
        <w:pStyle w:val="3"/>
        <w:ind w:firstLine="31680"/>
        <w:rPr>
          <w:u w:val="single"/>
        </w:rPr>
      </w:pPr>
      <w:r>
        <w:rPr>
          <w:u w:val="single"/>
        </w:rPr>
        <w:t>1</w:t>
      </w:r>
      <w:r>
        <w:rPr>
          <w:rFonts w:hint="eastAsia"/>
          <w:u w:val="single"/>
        </w:rPr>
        <w:t>）桥墩混凝土浇注对水体水质的影响</w:t>
      </w:r>
    </w:p>
    <w:p>
      <w:pPr>
        <w:pStyle w:val="3"/>
        <w:ind w:firstLine="31680"/>
        <w:rPr>
          <w:u w:val="single"/>
        </w:rPr>
      </w:pPr>
      <w:r>
        <w:rPr>
          <w:rFonts w:hint="eastAsia"/>
          <w:u w:val="single"/>
        </w:rPr>
        <w:t>桥墩基础施工时采用钻孔灌注桩方式，钻孔在钢管内进行，桥墩灌注混凝土时与水环境分离，而混凝土又是采购商品混凝土进行浇注的，因此施工过程中一般没有废水排入河流的现象。因此桥墩基础浇铸施工不会对水环境产生大的影响。</w:t>
      </w:r>
    </w:p>
    <w:p>
      <w:pPr>
        <w:pStyle w:val="3"/>
        <w:ind w:firstLine="31680"/>
        <w:rPr>
          <w:u w:val="single"/>
        </w:rPr>
      </w:pPr>
      <w:r>
        <w:rPr>
          <w:u w:val="single"/>
        </w:rPr>
        <w:t>2</w:t>
      </w:r>
      <w:r>
        <w:rPr>
          <w:rFonts w:hint="eastAsia"/>
          <w:u w:val="single"/>
        </w:rPr>
        <w:t>）混凝土养护废水对水体水质的影响</w:t>
      </w:r>
    </w:p>
    <w:p>
      <w:pPr>
        <w:pStyle w:val="3"/>
        <w:ind w:firstLine="31680"/>
        <w:rPr>
          <w:u w:val="single"/>
        </w:rPr>
      </w:pPr>
      <w:r>
        <w:rPr>
          <w:rFonts w:hint="eastAsia"/>
          <w:u w:val="single"/>
        </w:rPr>
        <w:t>拟建工程在桥梁施工过程中，会产生少量混凝土养护废水。根据同类工程调查，桥梁施工过程中产生的混凝土养护废水主要产生于桥梁桥墩施工过程。混凝土养护废水呈碱性，</w:t>
      </w:r>
      <w:r>
        <w:rPr>
          <w:u w:val="single"/>
        </w:rPr>
        <w:t>pH</w:t>
      </w:r>
      <w:r>
        <w:rPr>
          <w:rFonts w:hint="eastAsia"/>
          <w:u w:val="single"/>
        </w:rPr>
        <w:t>可达</w:t>
      </w:r>
      <w:r>
        <w:rPr>
          <w:u w:val="single"/>
        </w:rPr>
        <w:t>12</w:t>
      </w:r>
      <w:r>
        <w:rPr>
          <w:rFonts w:hint="eastAsia"/>
          <w:u w:val="single"/>
        </w:rPr>
        <w:t>左右，主要污染物为</w:t>
      </w:r>
      <w:r>
        <w:rPr>
          <w:u w:val="single"/>
        </w:rPr>
        <w:t>SS</w:t>
      </w:r>
      <w:r>
        <w:rPr>
          <w:rFonts w:hint="eastAsia"/>
          <w:u w:val="single"/>
        </w:rPr>
        <w:t>。由于施工条件限制，特别是桥梁桥墩过程中，混凝土养护废水无法得到有效收集，所以混凝土养护用水采用</w:t>
      </w:r>
      <w:r>
        <w:rPr>
          <w:u w:val="single"/>
        </w:rPr>
        <w:t>“</w:t>
      </w:r>
      <w:r>
        <w:rPr>
          <w:rFonts w:hint="eastAsia"/>
          <w:u w:val="single"/>
        </w:rPr>
        <w:t>多次、少量</w:t>
      </w:r>
      <w:r>
        <w:rPr>
          <w:u w:val="single"/>
        </w:rPr>
        <w:t>”</w:t>
      </w:r>
      <w:r>
        <w:rPr>
          <w:rFonts w:hint="eastAsia"/>
          <w:u w:val="single"/>
        </w:rPr>
        <w:t>的施工方法，可以最大限度的减少混凝土施工废水的产生，减小对水体水质的影响。</w:t>
      </w:r>
    </w:p>
    <w:p>
      <w:pPr>
        <w:pStyle w:val="3"/>
        <w:ind w:firstLine="31680"/>
        <w:rPr>
          <w:u w:val="single"/>
        </w:rPr>
      </w:pPr>
      <w:r>
        <w:rPr>
          <w:u w:val="single"/>
        </w:rPr>
        <w:t>3</w:t>
      </w:r>
      <w:r>
        <w:rPr>
          <w:rFonts w:hint="eastAsia"/>
          <w:u w:val="single"/>
        </w:rPr>
        <w:t>）施工设备漏油对水质的影响</w:t>
      </w:r>
    </w:p>
    <w:p>
      <w:pPr>
        <w:pStyle w:val="3"/>
        <w:ind w:firstLine="31680"/>
        <w:rPr>
          <w:u w:val="single"/>
        </w:rPr>
      </w:pPr>
      <w:r>
        <w:rPr>
          <w:rFonts w:hint="eastAsia"/>
          <w:u w:val="single"/>
        </w:rPr>
        <w:t>桥梁施工机械设备漏油、机械维修过程中的残油可能对水体造成严重的油污染，因此必须加强施工管理，对施工机械的漏油污染采取一定的预防措施，避免对水体水质造成油污染。</w:t>
      </w:r>
    </w:p>
    <w:p>
      <w:pPr>
        <w:pStyle w:val="3"/>
        <w:ind w:firstLine="31680"/>
        <w:rPr>
          <w:u w:val="single"/>
        </w:rPr>
      </w:pPr>
      <w:r>
        <w:rPr>
          <w:u w:val="single"/>
        </w:rPr>
        <w:t>4</w:t>
      </w:r>
      <w:r>
        <w:rPr>
          <w:rFonts w:hint="eastAsia"/>
          <w:u w:val="single"/>
        </w:rPr>
        <w:t>）桥梁施工材料堆放对水体水质的影响</w:t>
      </w:r>
    </w:p>
    <w:p>
      <w:pPr>
        <w:pStyle w:val="3"/>
        <w:ind w:firstLine="31680"/>
        <w:rPr>
          <w:u w:val="single"/>
        </w:rPr>
      </w:pPr>
      <w:r>
        <w:rPr>
          <w:rFonts w:hint="eastAsia"/>
          <w:u w:val="single"/>
        </w:rPr>
        <w:t>桥梁施工期间，堆放在水体附近的作业场、物料堆场的施工材料（如沥青、油料、化学品及一些粉末状材料等）。若保管不善或受暴雨冲刷等原因进入水体，将会引起水体污染；废弃建材堆场的残留物随地表径流进入水体也会造成水污染。粉状物料的堆场若没有严格的遮挡、掩盖等措施，将会随风起尘，从而污染水体。在桥梁施工期间，这些建材堆场应设置在河堤外围，并且需要采取一定措施防止径流冲刷。</w:t>
      </w:r>
    </w:p>
    <w:p>
      <w:pPr>
        <w:pStyle w:val="6"/>
        <w:widowControl/>
        <w:ind w:left="567" w:hanging="567"/>
        <w:jc w:val="left"/>
        <w:rPr>
          <w:u w:val="single"/>
        </w:rPr>
      </w:pPr>
      <w:bookmarkStart w:id="238" w:name="_Toc20834"/>
      <w:r>
        <w:rPr>
          <w:rFonts w:hint="eastAsia"/>
          <w:u w:val="single"/>
        </w:rPr>
        <w:t>营运期地表水环境影响</w:t>
      </w:r>
      <w:bookmarkEnd w:id="238"/>
    </w:p>
    <w:p>
      <w:pPr>
        <w:pStyle w:val="3"/>
        <w:ind w:firstLine="31680"/>
        <w:rPr>
          <w:u w:val="single"/>
        </w:rPr>
      </w:pPr>
      <w:r>
        <w:rPr>
          <w:rFonts w:hint="eastAsia"/>
          <w:u w:val="single"/>
        </w:rPr>
        <w:t>营运期对水环境的影响主要是暴雨时路面径流对水体污染影响，其主要水污染因子有：</w:t>
      </w:r>
      <w:r>
        <w:rPr>
          <w:u w:val="single"/>
        </w:rPr>
        <w:t>COD</w:t>
      </w:r>
      <w:r>
        <w:rPr>
          <w:rFonts w:hint="eastAsia"/>
          <w:u w:val="single"/>
        </w:rPr>
        <w:t>、</w:t>
      </w:r>
      <w:r>
        <w:rPr>
          <w:u w:val="single"/>
        </w:rPr>
        <w:t>SS</w:t>
      </w:r>
      <w:r>
        <w:rPr>
          <w:rFonts w:hint="eastAsia"/>
          <w:u w:val="single"/>
        </w:rPr>
        <w:t>、石油类等污染物。</w:t>
      </w:r>
    </w:p>
    <w:p>
      <w:pPr>
        <w:pStyle w:val="3"/>
        <w:ind w:firstLine="31680"/>
        <w:rPr>
          <w:rFonts w:hint="eastAsia"/>
          <w:u w:val="single"/>
        </w:rPr>
      </w:pPr>
      <w:r>
        <w:rPr>
          <w:rFonts w:hint="eastAsia"/>
          <w:u w:val="single"/>
        </w:rPr>
        <w:t>营运期产生的路面径流中含有一定量的</w:t>
      </w:r>
      <w:r>
        <w:rPr>
          <w:u w:val="single"/>
        </w:rPr>
        <w:t>SS</w:t>
      </w:r>
      <w:r>
        <w:rPr>
          <w:rFonts w:hint="eastAsia"/>
          <w:u w:val="single"/>
        </w:rPr>
        <w:t>、石油类等污染物。根据有关资料，人工模拟在一小时内降雨量</w:t>
      </w:r>
      <w:r>
        <w:rPr>
          <w:u w:val="single"/>
        </w:rPr>
        <w:t>81.6mm</w:t>
      </w:r>
      <w:r>
        <w:rPr>
          <w:rFonts w:hint="eastAsia"/>
          <w:u w:val="single"/>
        </w:rPr>
        <w:t>，测定不同时间地表径流中的</w:t>
      </w:r>
      <w:r>
        <w:rPr>
          <w:u w:val="single"/>
        </w:rPr>
        <w:t>SS</w:t>
      </w:r>
      <w:r>
        <w:rPr>
          <w:rFonts w:hint="eastAsia"/>
          <w:u w:val="single"/>
        </w:rPr>
        <w:t>、</w:t>
      </w:r>
      <w:r>
        <w:rPr>
          <w:u w:val="single"/>
        </w:rPr>
        <w:t>BOD</w:t>
      </w:r>
      <w:r>
        <w:rPr>
          <w:u w:val="single"/>
          <w:vertAlign w:val="subscript"/>
        </w:rPr>
        <w:t>5</w:t>
      </w:r>
      <w:r>
        <w:rPr>
          <w:rFonts w:hint="eastAsia"/>
          <w:u w:val="single"/>
        </w:rPr>
        <w:t>、石油类含量，详见表</w:t>
      </w:r>
      <w:r>
        <w:rPr>
          <w:u w:val="single"/>
        </w:rPr>
        <w:t>7.3-1</w:t>
      </w:r>
      <w:r>
        <w:rPr>
          <w:rFonts w:hint="eastAsia"/>
          <w:u w:val="single"/>
        </w:rPr>
        <w:t>。</w:t>
      </w:r>
    </w:p>
    <w:p>
      <w:pPr>
        <w:pStyle w:val="19"/>
        <w:jc w:val="center"/>
        <w:rPr>
          <w:u w:val="single"/>
        </w:rPr>
      </w:pPr>
      <w:r>
        <w:rPr>
          <w:rFonts w:hint="eastAsia"/>
          <w:u w:val="single"/>
        </w:rPr>
        <w:t>表</w:t>
      </w:r>
      <w:r>
        <w:rPr>
          <w:u w:val="single"/>
        </w:rPr>
        <w:t xml:space="preserve">7.3-1   </w:t>
      </w:r>
      <w:r>
        <w:rPr>
          <w:rFonts w:hint="eastAsia"/>
          <w:u w:val="single"/>
        </w:rPr>
        <w:t>路面径流中污染物浓度</w:t>
      </w:r>
      <w:r>
        <w:rPr>
          <w:u w:val="single"/>
        </w:rPr>
        <w:t xml:space="preserve">   </w:t>
      </w:r>
      <w:r>
        <w:rPr>
          <w:rFonts w:hint="eastAsia"/>
          <w:u w:val="single"/>
        </w:rPr>
        <w:t>单位：</w:t>
      </w:r>
      <w:r>
        <w:rPr>
          <w:u w:val="single"/>
        </w:rPr>
        <w:t>mg/L</w:t>
      </w:r>
    </w:p>
    <w:tbl>
      <w:tblPr>
        <w:tblStyle w:val="65"/>
        <w:tblW w:w="917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50"/>
        <w:gridCol w:w="1965"/>
        <w:gridCol w:w="2112"/>
        <w:gridCol w:w="2029"/>
        <w:gridCol w:w="14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50" w:type="dxa"/>
            <w:tcBorders>
              <w:tl2br w:val="single" w:color="auto" w:sz="6" w:space="0"/>
            </w:tcBorders>
            <w:vAlign w:val="center"/>
          </w:tcPr>
          <w:p>
            <w:pPr>
              <w:pStyle w:val="112"/>
              <w:rPr>
                <w:kern w:val="2"/>
                <w:u w:val="single"/>
              </w:rPr>
            </w:pPr>
            <w:r>
              <w:rPr>
                <w:kern w:val="2"/>
                <w:u w:val="single"/>
              </w:rPr>
              <w:t xml:space="preserve">     </w:t>
            </w:r>
            <w:r>
              <w:rPr>
                <w:rFonts w:hint="eastAsia" w:hAnsi="宋体"/>
                <w:kern w:val="2"/>
                <w:u w:val="single"/>
              </w:rPr>
              <w:t>采样时间</w:t>
            </w:r>
          </w:p>
          <w:p>
            <w:pPr>
              <w:pStyle w:val="112"/>
              <w:jc w:val="both"/>
              <w:rPr>
                <w:kern w:val="2"/>
                <w:u w:val="single"/>
              </w:rPr>
            </w:pPr>
            <w:r>
              <w:rPr>
                <w:rFonts w:hint="eastAsia" w:hAnsi="宋体"/>
                <w:kern w:val="2"/>
                <w:u w:val="single"/>
              </w:rPr>
              <w:t>项</w:t>
            </w:r>
            <w:r>
              <w:rPr>
                <w:kern w:val="2"/>
                <w:u w:val="single"/>
              </w:rPr>
              <w:t xml:space="preserve"> </w:t>
            </w:r>
            <w:r>
              <w:rPr>
                <w:rFonts w:hint="eastAsia" w:hAnsi="宋体"/>
                <w:kern w:val="2"/>
                <w:u w:val="single"/>
              </w:rPr>
              <w:t>目</w:t>
            </w:r>
          </w:p>
        </w:tc>
        <w:tc>
          <w:tcPr>
            <w:tcW w:w="1965" w:type="dxa"/>
            <w:vAlign w:val="center"/>
          </w:tcPr>
          <w:p>
            <w:pPr>
              <w:pStyle w:val="112"/>
              <w:rPr>
                <w:kern w:val="2"/>
                <w:u w:val="single"/>
              </w:rPr>
            </w:pPr>
            <w:r>
              <w:rPr>
                <w:kern w:val="2"/>
                <w:u w:val="single"/>
              </w:rPr>
              <w:t>5</w:t>
            </w:r>
            <w:r>
              <w:rPr>
                <w:rFonts w:hAnsi="宋体"/>
                <w:kern w:val="2"/>
                <w:u w:val="single"/>
              </w:rPr>
              <w:t>~</w:t>
            </w:r>
            <w:r>
              <w:rPr>
                <w:kern w:val="2"/>
                <w:u w:val="single"/>
              </w:rPr>
              <w:t>20min</w:t>
            </w:r>
          </w:p>
        </w:tc>
        <w:tc>
          <w:tcPr>
            <w:tcW w:w="2112" w:type="dxa"/>
            <w:vAlign w:val="center"/>
          </w:tcPr>
          <w:p>
            <w:pPr>
              <w:pStyle w:val="112"/>
              <w:rPr>
                <w:kern w:val="2"/>
                <w:u w:val="single"/>
              </w:rPr>
            </w:pPr>
            <w:r>
              <w:rPr>
                <w:kern w:val="2"/>
                <w:u w:val="single"/>
              </w:rPr>
              <w:t>20</w:t>
            </w:r>
            <w:r>
              <w:rPr>
                <w:rFonts w:hAnsi="宋体"/>
                <w:kern w:val="2"/>
                <w:u w:val="single"/>
              </w:rPr>
              <w:t>~</w:t>
            </w:r>
            <w:r>
              <w:rPr>
                <w:kern w:val="2"/>
                <w:u w:val="single"/>
              </w:rPr>
              <w:t>30min</w:t>
            </w:r>
          </w:p>
        </w:tc>
        <w:tc>
          <w:tcPr>
            <w:tcW w:w="2029" w:type="dxa"/>
            <w:vAlign w:val="center"/>
          </w:tcPr>
          <w:p>
            <w:pPr>
              <w:pStyle w:val="112"/>
              <w:rPr>
                <w:kern w:val="2"/>
                <w:u w:val="single"/>
              </w:rPr>
            </w:pPr>
            <w:r>
              <w:rPr>
                <w:kern w:val="2"/>
                <w:u w:val="single"/>
              </w:rPr>
              <w:t>30</w:t>
            </w:r>
            <w:r>
              <w:rPr>
                <w:rFonts w:hAnsi="宋体"/>
                <w:kern w:val="2"/>
                <w:u w:val="single"/>
              </w:rPr>
              <w:t>~</w:t>
            </w:r>
            <w:r>
              <w:rPr>
                <w:kern w:val="2"/>
                <w:u w:val="single"/>
              </w:rPr>
              <w:t>60min</w:t>
            </w:r>
          </w:p>
        </w:tc>
        <w:tc>
          <w:tcPr>
            <w:tcW w:w="1418" w:type="dxa"/>
            <w:vAlign w:val="center"/>
          </w:tcPr>
          <w:p>
            <w:pPr>
              <w:pStyle w:val="112"/>
              <w:rPr>
                <w:kern w:val="2"/>
                <w:u w:val="single"/>
              </w:rPr>
            </w:pPr>
            <w:r>
              <w:rPr>
                <w:rFonts w:hint="eastAsia" w:hAnsi="宋体"/>
                <w:kern w:val="2"/>
                <w:u w:val="single"/>
              </w:rPr>
              <w:t>平</w:t>
            </w:r>
            <w:r>
              <w:rPr>
                <w:kern w:val="2"/>
                <w:u w:val="single"/>
              </w:rPr>
              <w:t xml:space="preserve">  </w:t>
            </w:r>
            <w:r>
              <w:rPr>
                <w:rFonts w:hint="eastAsia" w:hAnsi="宋体"/>
                <w:kern w:val="2"/>
                <w:u w:val="single"/>
              </w:rPr>
              <w:t>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50" w:type="dxa"/>
            <w:vAlign w:val="center"/>
          </w:tcPr>
          <w:p>
            <w:pPr>
              <w:pStyle w:val="112"/>
              <w:rPr>
                <w:kern w:val="2"/>
                <w:u w:val="single"/>
              </w:rPr>
            </w:pPr>
            <w:r>
              <w:rPr>
                <w:kern w:val="2"/>
                <w:u w:val="single"/>
              </w:rPr>
              <w:t>SS</w:t>
            </w:r>
          </w:p>
        </w:tc>
        <w:tc>
          <w:tcPr>
            <w:tcW w:w="1965" w:type="dxa"/>
            <w:vAlign w:val="center"/>
          </w:tcPr>
          <w:p>
            <w:pPr>
              <w:pStyle w:val="112"/>
              <w:rPr>
                <w:kern w:val="2"/>
                <w:u w:val="single"/>
              </w:rPr>
            </w:pPr>
            <w:r>
              <w:rPr>
                <w:kern w:val="2"/>
                <w:u w:val="single"/>
              </w:rPr>
              <w:t>231.42</w:t>
            </w:r>
            <w:r>
              <w:rPr>
                <w:rFonts w:hAnsi="宋体"/>
                <w:kern w:val="2"/>
                <w:u w:val="single"/>
              </w:rPr>
              <w:t>~</w:t>
            </w:r>
            <w:r>
              <w:rPr>
                <w:kern w:val="2"/>
                <w:u w:val="single"/>
              </w:rPr>
              <w:t>185.52</w:t>
            </w:r>
          </w:p>
        </w:tc>
        <w:tc>
          <w:tcPr>
            <w:tcW w:w="2112" w:type="dxa"/>
            <w:vAlign w:val="center"/>
          </w:tcPr>
          <w:p>
            <w:pPr>
              <w:pStyle w:val="112"/>
              <w:rPr>
                <w:kern w:val="2"/>
                <w:u w:val="single"/>
              </w:rPr>
            </w:pPr>
            <w:r>
              <w:rPr>
                <w:kern w:val="2"/>
                <w:u w:val="single"/>
              </w:rPr>
              <w:t>185.52</w:t>
            </w:r>
            <w:r>
              <w:rPr>
                <w:rFonts w:hAnsi="宋体"/>
                <w:kern w:val="2"/>
                <w:u w:val="single"/>
              </w:rPr>
              <w:t>~</w:t>
            </w:r>
            <w:r>
              <w:rPr>
                <w:kern w:val="2"/>
                <w:u w:val="single"/>
              </w:rPr>
              <w:t>90.36</w:t>
            </w:r>
          </w:p>
        </w:tc>
        <w:tc>
          <w:tcPr>
            <w:tcW w:w="2029" w:type="dxa"/>
            <w:vAlign w:val="center"/>
          </w:tcPr>
          <w:p>
            <w:pPr>
              <w:pStyle w:val="112"/>
              <w:rPr>
                <w:kern w:val="2"/>
                <w:u w:val="single"/>
              </w:rPr>
            </w:pPr>
            <w:r>
              <w:rPr>
                <w:kern w:val="2"/>
                <w:u w:val="single"/>
              </w:rPr>
              <w:t>90.36</w:t>
            </w:r>
            <w:r>
              <w:rPr>
                <w:rFonts w:hAnsi="宋体"/>
                <w:kern w:val="2"/>
                <w:u w:val="single"/>
              </w:rPr>
              <w:t>~</w:t>
            </w:r>
            <w:r>
              <w:rPr>
                <w:kern w:val="2"/>
                <w:u w:val="single"/>
              </w:rPr>
              <w:t>18.71</w:t>
            </w:r>
          </w:p>
        </w:tc>
        <w:tc>
          <w:tcPr>
            <w:tcW w:w="1418" w:type="dxa"/>
            <w:vAlign w:val="center"/>
          </w:tcPr>
          <w:p>
            <w:pPr>
              <w:pStyle w:val="112"/>
              <w:rPr>
                <w:kern w:val="2"/>
                <w:u w:val="single"/>
              </w:rPr>
            </w:pPr>
            <w:r>
              <w:rPr>
                <w:kern w:val="2"/>
                <w:u w:val="single"/>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50" w:type="dxa"/>
            <w:vAlign w:val="center"/>
          </w:tcPr>
          <w:p>
            <w:pPr>
              <w:pStyle w:val="112"/>
              <w:rPr>
                <w:kern w:val="2"/>
                <w:u w:val="single"/>
              </w:rPr>
            </w:pPr>
            <w:r>
              <w:rPr>
                <w:kern w:val="2"/>
                <w:u w:val="single"/>
              </w:rPr>
              <w:t>BOD</w:t>
            </w:r>
            <w:r>
              <w:rPr>
                <w:kern w:val="2"/>
                <w:u w:val="single"/>
                <w:vertAlign w:val="subscript"/>
              </w:rPr>
              <w:t>5</w:t>
            </w:r>
          </w:p>
        </w:tc>
        <w:tc>
          <w:tcPr>
            <w:tcW w:w="1965" w:type="dxa"/>
            <w:vAlign w:val="center"/>
          </w:tcPr>
          <w:p>
            <w:pPr>
              <w:pStyle w:val="112"/>
              <w:rPr>
                <w:kern w:val="2"/>
                <w:u w:val="single"/>
              </w:rPr>
            </w:pPr>
            <w:r>
              <w:rPr>
                <w:kern w:val="2"/>
                <w:u w:val="single"/>
              </w:rPr>
              <w:t>7.34</w:t>
            </w:r>
            <w:r>
              <w:rPr>
                <w:rFonts w:hAnsi="宋体"/>
                <w:kern w:val="2"/>
                <w:u w:val="single"/>
              </w:rPr>
              <w:t>~</w:t>
            </w:r>
            <w:r>
              <w:rPr>
                <w:kern w:val="2"/>
                <w:u w:val="single"/>
              </w:rPr>
              <w:t>7.30</w:t>
            </w:r>
          </w:p>
        </w:tc>
        <w:tc>
          <w:tcPr>
            <w:tcW w:w="2112" w:type="dxa"/>
            <w:vAlign w:val="center"/>
          </w:tcPr>
          <w:p>
            <w:pPr>
              <w:pStyle w:val="112"/>
              <w:rPr>
                <w:kern w:val="2"/>
                <w:u w:val="single"/>
              </w:rPr>
            </w:pPr>
            <w:r>
              <w:rPr>
                <w:kern w:val="2"/>
                <w:u w:val="single"/>
              </w:rPr>
              <w:t>7.30</w:t>
            </w:r>
            <w:r>
              <w:rPr>
                <w:rFonts w:hAnsi="宋体"/>
                <w:kern w:val="2"/>
                <w:u w:val="single"/>
              </w:rPr>
              <w:t>~</w:t>
            </w:r>
            <w:r>
              <w:rPr>
                <w:kern w:val="2"/>
                <w:u w:val="single"/>
              </w:rPr>
              <w:t>4.15</w:t>
            </w:r>
          </w:p>
        </w:tc>
        <w:tc>
          <w:tcPr>
            <w:tcW w:w="2029" w:type="dxa"/>
            <w:vAlign w:val="center"/>
          </w:tcPr>
          <w:p>
            <w:pPr>
              <w:pStyle w:val="112"/>
              <w:rPr>
                <w:kern w:val="2"/>
                <w:u w:val="single"/>
              </w:rPr>
            </w:pPr>
            <w:r>
              <w:rPr>
                <w:kern w:val="2"/>
                <w:u w:val="single"/>
              </w:rPr>
              <w:t>4.15</w:t>
            </w:r>
            <w:r>
              <w:rPr>
                <w:rFonts w:hAnsi="宋体"/>
                <w:kern w:val="2"/>
                <w:u w:val="single"/>
              </w:rPr>
              <w:t>~</w:t>
            </w:r>
            <w:r>
              <w:rPr>
                <w:kern w:val="2"/>
                <w:u w:val="single"/>
              </w:rPr>
              <w:t>1.26</w:t>
            </w:r>
          </w:p>
        </w:tc>
        <w:tc>
          <w:tcPr>
            <w:tcW w:w="1418" w:type="dxa"/>
            <w:vAlign w:val="center"/>
          </w:tcPr>
          <w:p>
            <w:pPr>
              <w:pStyle w:val="112"/>
              <w:rPr>
                <w:kern w:val="2"/>
                <w:u w:val="single"/>
              </w:rPr>
            </w:pPr>
            <w:r>
              <w:rPr>
                <w:kern w:val="2"/>
                <w:u w:val="single"/>
              </w:rPr>
              <w:t>5.08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50" w:type="dxa"/>
            <w:vAlign w:val="center"/>
          </w:tcPr>
          <w:p>
            <w:pPr>
              <w:pStyle w:val="112"/>
              <w:rPr>
                <w:kern w:val="2"/>
                <w:u w:val="single"/>
              </w:rPr>
            </w:pPr>
            <w:r>
              <w:rPr>
                <w:rFonts w:hint="eastAsia" w:hAnsi="宋体"/>
                <w:kern w:val="2"/>
                <w:u w:val="single"/>
              </w:rPr>
              <w:t>石油类</w:t>
            </w:r>
          </w:p>
        </w:tc>
        <w:tc>
          <w:tcPr>
            <w:tcW w:w="1965" w:type="dxa"/>
            <w:vAlign w:val="center"/>
          </w:tcPr>
          <w:p>
            <w:pPr>
              <w:pStyle w:val="112"/>
              <w:rPr>
                <w:kern w:val="2"/>
                <w:u w:val="single"/>
              </w:rPr>
            </w:pPr>
            <w:r>
              <w:rPr>
                <w:kern w:val="2"/>
                <w:u w:val="single"/>
              </w:rPr>
              <w:t>22.30</w:t>
            </w:r>
            <w:r>
              <w:rPr>
                <w:rFonts w:hAnsi="宋体"/>
                <w:kern w:val="2"/>
                <w:u w:val="single"/>
              </w:rPr>
              <w:t>~</w:t>
            </w:r>
            <w:r>
              <w:rPr>
                <w:kern w:val="2"/>
                <w:u w:val="single"/>
              </w:rPr>
              <w:t>19.74</w:t>
            </w:r>
          </w:p>
        </w:tc>
        <w:tc>
          <w:tcPr>
            <w:tcW w:w="2112" w:type="dxa"/>
            <w:vAlign w:val="center"/>
          </w:tcPr>
          <w:p>
            <w:pPr>
              <w:pStyle w:val="112"/>
              <w:rPr>
                <w:kern w:val="2"/>
                <w:u w:val="single"/>
              </w:rPr>
            </w:pPr>
            <w:r>
              <w:rPr>
                <w:kern w:val="2"/>
                <w:u w:val="single"/>
              </w:rPr>
              <w:t>19.74</w:t>
            </w:r>
            <w:r>
              <w:rPr>
                <w:rFonts w:hAnsi="宋体"/>
                <w:kern w:val="2"/>
                <w:u w:val="single"/>
              </w:rPr>
              <w:t>~</w:t>
            </w:r>
            <w:r>
              <w:rPr>
                <w:kern w:val="2"/>
                <w:u w:val="single"/>
              </w:rPr>
              <w:t>3.12</w:t>
            </w:r>
          </w:p>
        </w:tc>
        <w:tc>
          <w:tcPr>
            <w:tcW w:w="2029" w:type="dxa"/>
            <w:vAlign w:val="center"/>
          </w:tcPr>
          <w:p>
            <w:pPr>
              <w:pStyle w:val="112"/>
              <w:rPr>
                <w:kern w:val="2"/>
                <w:u w:val="single"/>
              </w:rPr>
            </w:pPr>
            <w:r>
              <w:rPr>
                <w:kern w:val="2"/>
                <w:u w:val="single"/>
              </w:rPr>
              <w:t>3.12</w:t>
            </w:r>
            <w:r>
              <w:rPr>
                <w:rFonts w:hAnsi="宋体"/>
                <w:kern w:val="2"/>
                <w:u w:val="single"/>
              </w:rPr>
              <w:t>~</w:t>
            </w:r>
            <w:r>
              <w:rPr>
                <w:kern w:val="2"/>
                <w:u w:val="single"/>
              </w:rPr>
              <w:t>0.12</w:t>
            </w:r>
          </w:p>
        </w:tc>
        <w:tc>
          <w:tcPr>
            <w:tcW w:w="1418" w:type="dxa"/>
            <w:vAlign w:val="center"/>
          </w:tcPr>
          <w:p>
            <w:pPr>
              <w:pStyle w:val="112"/>
              <w:rPr>
                <w:kern w:val="2"/>
                <w:u w:val="single"/>
              </w:rPr>
            </w:pPr>
            <w:r>
              <w:rPr>
                <w:kern w:val="2"/>
                <w:u w:val="single"/>
              </w:rPr>
              <w:t>11.25</w:t>
            </w:r>
          </w:p>
        </w:tc>
      </w:tr>
    </w:tbl>
    <w:p>
      <w:pPr>
        <w:pStyle w:val="3"/>
        <w:ind w:firstLine="31680"/>
        <w:rPr>
          <w:u w:val="single"/>
        </w:rPr>
      </w:pPr>
      <w:r>
        <w:rPr>
          <w:rFonts w:hint="eastAsia"/>
          <w:u w:val="single"/>
        </w:rPr>
        <w:t>由上表可以看出，降雨初期的</w:t>
      </w:r>
      <w:r>
        <w:rPr>
          <w:u w:val="single"/>
        </w:rPr>
        <w:t>30min</w:t>
      </w:r>
      <w:r>
        <w:rPr>
          <w:rFonts w:hint="eastAsia"/>
          <w:u w:val="single"/>
        </w:rPr>
        <w:t>内，路面径流中的</w:t>
      </w:r>
      <w:r>
        <w:rPr>
          <w:u w:val="single"/>
        </w:rPr>
        <w:t>SS</w:t>
      </w:r>
      <w:r>
        <w:rPr>
          <w:rFonts w:hint="eastAsia"/>
          <w:u w:val="single"/>
        </w:rPr>
        <w:t>、石油类污染物浓度分别达到</w:t>
      </w:r>
      <w:r>
        <w:rPr>
          <w:u w:val="single"/>
        </w:rPr>
        <w:t>185.22~90.36mg/L</w:t>
      </w:r>
      <w:r>
        <w:rPr>
          <w:rFonts w:hint="eastAsia"/>
          <w:u w:val="single"/>
        </w:rPr>
        <w:t>、</w:t>
      </w:r>
      <w:r>
        <w:rPr>
          <w:u w:val="single"/>
        </w:rPr>
        <w:t>19.74~3.12mg/L</w:t>
      </w:r>
      <w:r>
        <w:rPr>
          <w:rFonts w:hint="eastAsia"/>
          <w:u w:val="single"/>
        </w:rPr>
        <w:t>，</w:t>
      </w:r>
      <w:r>
        <w:rPr>
          <w:u w:val="single"/>
        </w:rPr>
        <w:t>30min</w:t>
      </w:r>
      <w:r>
        <w:rPr>
          <w:rFonts w:hint="eastAsia"/>
          <w:u w:val="single"/>
        </w:rPr>
        <w:t>后随着降雨时间的延长而浓度下降较快，</w:t>
      </w:r>
      <w:r>
        <w:rPr>
          <w:u w:val="single"/>
        </w:rPr>
        <w:t>60min</w:t>
      </w:r>
      <w:r>
        <w:rPr>
          <w:rFonts w:hint="eastAsia"/>
          <w:u w:val="single"/>
        </w:rPr>
        <w:t>以后，路面基本被冲洗干净，污染物浓度也降到很低。</w:t>
      </w:r>
    </w:p>
    <w:p>
      <w:pPr>
        <w:pStyle w:val="3"/>
        <w:ind w:firstLine="31680"/>
        <w:rPr>
          <w:u w:val="single"/>
        </w:rPr>
      </w:pPr>
      <w:r>
        <w:rPr>
          <w:rFonts w:hint="eastAsia"/>
          <w:u w:val="single"/>
        </w:rPr>
        <w:t>根据同类工程预测计算结果表明，在本工程营运期，路面径流均就近排入路边的排水渠，最终排入临近溪沟。路面径流携带污染物相对较少，其随地表径流排入临近溪沟后对水质的影响较小，一般水体中污染物的增幅小于</w:t>
      </w:r>
      <w:r>
        <w:rPr>
          <w:u w:val="single"/>
        </w:rPr>
        <w:t>2%</w:t>
      </w:r>
      <w:r>
        <w:rPr>
          <w:rFonts w:hint="eastAsia"/>
          <w:u w:val="single"/>
        </w:rPr>
        <w:t>。</w:t>
      </w:r>
    </w:p>
    <w:p>
      <w:pPr>
        <w:pStyle w:val="3"/>
        <w:ind w:firstLine="31680"/>
        <w:rPr>
          <w:u w:val="single"/>
        </w:rPr>
      </w:pPr>
      <w:r>
        <w:rPr>
          <w:rFonts w:hint="eastAsia"/>
          <w:u w:val="single"/>
        </w:rPr>
        <w:t>营运期应在大里塘水库沿线设置警示标志、限速牌和应急电话、完善路面径流收集系统，修建应急收集池和小型净化池，减少突发环境事件对大里塘水库引用水源一级保护区的影响。</w:t>
      </w:r>
    </w:p>
    <w:p>
      <w:pPr>
        <w:pStyle w:val="4"/>
        <w:ind w:left="567" w:hanging="567"/>
      </w:pPr>
      <w:bookmarkStart w:id="239" w:name="_Toc354558911"/>
      <w:bookmarkStart w:id="240" w:name="_Toc354581715"/>
      <w:bookmarkStart w:id="241" w:name="_Toc354581895"/>
      <w:bookmarkStart w:id="242" w:name="_Toc342145768"/>
      <w:bookmarkStart w:id="243" w:name="_Toc408503579"/>
      <w:bookmarkStart w:id="244" w:name="_Toc14598"/>
      <w:r>
        <w:rPr>
          <w:rFonts w:hint="eastAsia"/>
        </w:rPr>
        <w:t>固体废物环境影响分析</w:t>
      </w:r>
      <w:bookmarkEnd w:id="239"/>
      <w:bookmarkEnd w:id="240"/>
      <w:bookmarkEnd w:id="241"/>
      <w:bookmarkEnd w:id="242"/>
      <w:bookmarkEnd w:id="243"/>
      <w:bookmarkEnd w:id="244"/>
    </w:p>
    <w:p>
      <w:pPr>
        <w:pStyle w:val="5"/>
        <w:ind w:left="567" w:hanging="567"/>
      </w:pPr>
      <w:r>
        <w:rPr>
          <w:rFonts w:hint="eastAsia"/>
        </w:rPr>
        <w:t>施工期固体废物环境影响分析</w:t>
      </w:r>
    </w:p>
    <w:p>
      <w:pPr>
        <w:spacing w:line="360" w:lineRule="auto"/>
        <w:ind w:firstLine="31680" w:firstLineChars="200"/>
        <w:rPr>
          <w:sz w:val="24"/>
        </w:rPr>
      </w:pPr>
      <w:r>
        <w:rPr>
          <w:rFonts w:hint="eastAsia"/>
          <w:sz w:val="24"/>
        </w:rPr>
        <w:t>本项目固体废物来自以下几个方面：施工期施工人员产生的生活垃圾、建筑垃圾、施工开挖弃渣和涉水桥梁钻渣。</w:t>
      </w:r>
    </w:p>
    <w:p>
      <w:pPr>
        <w:spacing w:line="360" w:lineRule="auto"/>
        <w:ind w:firstLine="31680" w:firstLineChars="200"/>
        <w:rPr>
          <w:sz w:val="24"/>
        </w:rPr>
      </w:pPr>
      <w:r>
        <w:rPr>
          <w:sz w:val="24"/>
        </w:rPr>
        <w:t>a</w:t>
      </w:r>
      <w:r>
        <w:rPr>
          <w:rFonts w:hint="eastAsia"/>
          <w:sz w:val="24"/>
        </w:rPr>
        <w:t>）生活垃圾对周围环境的影响</w:t>
      </w:r>
    </w:p>
    <w:p>
      <w:pPr>
        <w:spacing w:line="360" w:lineRule="auto"/>
        <w:ind w:firstLine="31680" w:firstLineChars="200"/>
        <w:rPr>
          <w:sz w:val="24"/>
        </w:rPr>
      </w:pPr>
      <w:r>
        <w:rPr>
          <w:rFonts w:hint="eastAsia"/>
          <w:sz w:val="24"/>
        </w:rPr>
        <w:t>本工程施工期约</w:t>
      </w:r>
      <w:r>
        <w:rPr>
          <w:sz w:val="24"/>
        </w:rPr>
        <w:t>18</w:t>
      </w:r>
      <w:r>
        <w:rPr>
          <w:rFonts w:hint="eastAsia"/>
          <w:sz w:val="24"/>
        </w:rPr>
        <w:t>个月，按施工人员生活垃圾</w:t>
      </w:r>
      <w:r>
        <w:rPr>
          <w:sz w:val="24"/>
        </w:rPr>
        <w:t>0.5kg/</w:t>
      </w:r>
      <w:r>
        <w:rPr>
          <w:rFonts w:hint="eastAsia"/>
          <w:sz w:val="24"/>
        </w:rPr>
        <w:t>人</w:t>
      </w:r>
      <w:r>
        <w:rPr>
          <w:sz w:val="24"/>
        </w:rPr>
        <w:t>·d</w:t>
      </w:r>
      <w:r>
        <w:rPr>
          <w:rFonts w:hint="eastAsia"/>
          <w:sz w:val="24"/>
        </w:rPr>
        <w:t>计算，每个施工生产生活区施工人员以</w:t>
      </w:r>
      <w:r>
        <w:rPr>
          <w:sz w:val="24"/>
        </w:rPr>
        <w:t>40</w:t>
      </w:r>
      <w:r>
        <w:rPr>
          <w:rFonts w:hint="eastAsia"/>
          <w:sz w:val="24"/>
        </w:rPr>
        <w:t>人计，则每个施工生产生活区日排放量约为</w:t>
      </w:r>
      <w:r>
        <w:rPr>
          <w:sz w:val="24"/>
        </w:rPr>
        <w:t>0.02t/d</w:t>
      </w:r>
      <w:r>
        <w:rPr>
          <w:rFonts w:hint="eastAsia"/>
          <w:sz w:val="24"/>
        </w:rPr>
        <w:t>，每个施工生产生活区施工期生活垃圾产生总量约为</w:t>
      </w:r>
      <w:r>
        <w:rPr>
          <w:sz w:val="24"/>
        </w:rPr>
        <w:t>10.8t</w:t>
      </w:r>
      <w:r>
        <w:rPr>
          <w:rFonts w:hint="eastAsia"/>
          <w:sz w:val="24"/>
        </w:rPr>
        <w:t>。</w:t>
      </w:r>
    </w:p>
    <w:p>
      <w:pPr>
        <w:spacing w:line="360" w:lineRule="auto"/>
        <w:ind w:firstLine="31680" w:firstLineChars="200"/>
        <w:rPr>
          <w:sz w:val="24"/>
        </w:rPr>
      </w:pPr>
      <w:r>
        <w:rPr>
          <w:rFonts w:hint="eastAsia"/>
          <w:sz w:val="24"/>
        </w:rPr>
        <w:t>施工人员在施工中产生的生活垃圾对周围环境有一定的影响，主要有如下四个方面：</w:t>
      </w:r>
    </w:p>
    <w:p>
      <w:pPr>
        <w:spacing w:line="360" w:lineRule="auto"/>
        <w:ind w:firstLine="31680" w:firstLineChars="200"/>
        <w:rPr>
          <w:sz w:val="24"/>
        </w:rPr>
      </w:pPr>
      <w:r>
        <w:rPr>
          <w:sz w:val="24"/>
        </w:rPr>
        <w:t>1</w:t>
      </w:r>
      <w:r>
        <w:rPr>
          <w:rFonts w:hint="eastAsia"/>
          <w:sz w:val="24"/>
        </w:rPr>
        <w:t>）侵占土地，破坏地貌和植被。如果对生活垃圾不加以处置和利用，堆存在某一个地方，必然要占用一定数量的土地，破坏地表原有植被，丧失土地的原有功能。</w:t>
      </w:r>
    </w:p>
    <w:p>
      <w:pPr>
        <w:spacing w:line="360" w:lineRule="auto"/>
        <w:ind w:firstLine="31680" w:firstLineChars="200"/>
        <w:rPr>
          <w:sz w:val="24"/>
        </w:rPr>
      </w:pPr>
      <w:r>
        <w:rPr>
          <w:sz w:val="24"/>
        </w:rPr>
        <w:t>2</w:t>
      </w:r>
      <w:r>
        <w:rPr>
          <w:rFonts w:hint="eastAsia"/>
          <w:sz w:val="24"/>
        </w:rPr>
        <w:t>）污染土壤和地下水。由于生活垃圾长期露天堆放，其中的一部分有害物质会随着渗滤液浸出，渗入地下，使周围土壤和地下水受到污染。</w:t>
      </w:r>
    </w:p>
    <w:p>
      <w:pPr>
        <w:spacing w:line="360" w:lineRule="auto"/>
        <w:ind w:firstLine="31680" w:firstLineChars="200"/>
        <w:rPr>
          <w:sz w:val="24"/>
        </w:rPr>
      </w:pPr>
      <w:r>
        <w:rPr>
          <w:sz w:val="24"/>
        </w:rPr>
        <w:t>3</w:t>
      </w:r>
      <w:r>
        <w:rPr>
          <w:rFonts w:hint="eastAsia"/>
          <w:sz w:val="24"/>
        </w:rPr>
        <w:t>）污染环境空气。生活垃圾中含有大量的粉尘和其它细小颗粒物，这些粉尘和细小颗粒物不仅含有对人体有害物质和致病细菌，还会四处飞扬，污染空气，并进而危害人的健康。</w:t>
      </w:r>
    </w:p>
    <w:p>
      <w:pPr>
        <w:spacing w:line="360" w:lineRule="auto"/>
        <w:ind w:firstLine="31680" w:firstLineChars="200"/>
        <w:rPr>
          <w:sz w:val="24"/>
        </w:rPr>
      </w:pPr>
      <w:r>
        <w:rPr>
          <w:sz w:val="24"/>
        </w:rPr>
        <w:t>4</w:t>
      </w:r>
      <w:r>
        <w:rPr>
          <w:rFonts w:hint="eastAsia"/>
          <w:sz w:val="24"/>
        </w:rPr>
        <w:t>）影响工程所在地居民点景观。施工期间在施工生产生活区和施工现场设置固定固体废物收集处，对固体废物进行收集后运至附近乡镇的垃圾处理场集中处理，可以减少其对周围环境和施工人员及居民点的影响。</w:t>
      </w:r>
    </w:p>
    <w:p>
      <w:pPr>
        <w:spacing w:line="360" w:lineRule="auto"/>
        <w:ind w:firstLine="31680" w:firstLineChars="200"/>
        <w:rPr>
          <w:sz w:val="24"/>
        </w:rPr>
      </w:pPr>
      <w:r>
        <w:rPr>
          <w:sz w:val="24"/>
        </w:rPr>
        <w:t>b</w:t>
      </w:r>
      <w:r>
        <w:rPr>
          <w:rFonts w:hint="eastAsia"/>
          <w:sz w:val="24"/>
        </w:rPr>
        <w:t>）建筑垃圾对周围环境的影响</w:t>
      </w:r>
    </w:p>
    <w:p>
      <w:pPr>
        <w:spacing w:line="360" w:lineRule="auto"/>
        <w:ind w:firstLine="31680" w:firstLineChars="200"/>
        <w:rPr>
          <w:sz w:val="24"/>
        </w:rPr>
      </w:pPr>
      <w:r>
        <w:rPr>
          <w:rFonts w:hint="eastAsia"/>
          <w:sz w:val="24"/>
        </w:rPr>
        <w:t>公路施工场地的建筑垃圾主要是指房屋拆迁建筑垃圾、土石方弃渣及剩余的筑路材料，包括石料、砂、石灰、水泥、钢材、木料、预制构件等。</w:t>
      </w:r>
    </w:p>
    <w:p>
      <w:pPr>
        <w:spacing w:line="360" w:lineRule="auto"/>
        <w:ind w:firstLine="31680" w:firstLineChars="200"/>
        <w:rPr>
          <w:sz w:val="24"/>
        </w:rPr>
      </w:pPr>
      <w:r>
        <w:rPr>
          <w:rFonts w:hint="eastAsia"/>
          <w:sz w:val="24"/>
        </w:rPr>
        <w:t>拆迁房屋主要为砖混或砖木结构，房屋拆迁建筑垃圾与弃渣一起运至弃渣场填埋，对环境影响小。</w:t>
      </w:r>
    </w:p>
    <w:p>
      <w:pPr>
        <w:spacing w:line="360" w:lineRule="auto"/>
        <w:ind w:firstLine="31680" w:firstLineChars="200"/>
        <w:rPr>
          <w:color w:val="auto"/>
          <w:sz w:val="24"/>
        </w:rPr>
      </w:pPr>
      <w:r>
        <w:rPr>
          <w:rFonts w:hint="eastAsia"/>
          <w:sz w:val="24"/>
        </w:rPr>
        <w:t>筑路材料均是按施工进度有计划购置的，但公路工程规模大、工程量大，难免有少量的筑路材料放置在工棚里或露天堆放、杂乱无序，从宏观上与周围环境很不协调，造成视觉污染。为降低或减缓上述固体废物对环境的影响，首先应按计划和施工的操作规程，严格控制，尽量减少余下的物料。对余下的材料，应有序地存放，妥善保管，可供周边</w:t>
      </w:r>
      <w:r>
        <w:rPr>
          <w:rFonts w:hint="eastAsia"/>
          <w:color w:val="auto"/>
          <w:sz w:val="24"/>
        </w:rPr>
        <w:t>地区修补乡村道路或建筑使用，减轻建筑垃圾对环境的影响。</w:t>
      </w:r>
    </w:p>
    <w:p>
      <w:pPr>
        <w:spacing w:line="360" w:lineRule="auto"/>
        <w:ind w:firstLine="31680" w:firstLineChars="200"/>
        <w:rPr>
          <w:color w:val="auto"/>
          <w:sz w:val="24"/>
        </w:rPr>
      </w:pPr>
      <w:r>
        <w:rPr>
          <w:color w:val="auto"/>
          <w:sz w:val="24"/>
        </w:rPr>
        <w:t>c</w:t>
      </w:r>
      <w:r>
        <w:rPr>
          <w:rFonts w:hint="eastAsia"/>
          <w:color w:val="auto"/>
          <w:sz w:val="24"/>
        </w:rPr>
        <w:t>）施工开挖弃渣对周围环境的影响</w:t>
      </w:r>
    </w:p>
    <w:p>
      <w:pPr>
        <w:pStyle w:val="3"/>
        <w:ind w:firstLine="31680"/>
        <w:rPr>
          <w:kern w:val="2"/>
        </w:rPr>
      </w:pPr>
      <w:r>
        <w:rPr>
          <w:rFonts w:hint="eastAsia"/>
          <w:color w:val="auto"/>
          <w:kern w:val="2"/>
        </w:rPr>
        <w:t>根据项目“</w:t>
      </w:r>
      <w:r>
        <w:rPr>
          <w:rFonts w:hint="eastAsia"/>
          <w:kern w:val="2"/>
        </w:rPr>
        <w:t>工可”设计及水土保持设计方案，本工程最终弃方总量</w:t>
      </w:r>
      <w:r>
        <w:rPr>
          <w:kern w:val="2"/>
        </w:rPr>
        <w:t>29585m</w:t>
      </w:r>
      <w:r>
        <w:rPr>
          <w:kern w:val="2"/>
          <w:vertAlign w:val="superscript"/>
        </w:rPr>
        <w:t>3</w:t>
      </w:r>
      <w:r>
        <w:rPr>
          <w:rFonts w:hint="eastAsia"/>
          <w:kern w:val="2"/>
        </w:rPr>
        <w:t>，弃方为拆迁地表建筑物、清表清淤及路堑开挖产生的土石渣，拟设置弃渣场</w:t>
      </w:r>
      <w:r>
        <w:rPr>
          <w:kern w:val="2"/>
        </w:rPr>
        <w:t>3</w:t>
      </w:r>
      <w:r>
        <w:rPr>
          <w:rFonts w:hint="eastAsia"/>
          <w:kern w:val="2"/>
        </w:rPr>
        <w:t>处，渣场总容积为</w:t>
      </w:r>
      <w:r>
        <w:rPr>
          <w:kern w:val="2"/>
        </w:rPr>
        <w:t>3.85</w:t>
      </w:r>
      <w:r>
        <w:rPr>
          <w:rFonts w:hint="eastAsia"/>
          <w:kern w:val="2"/>
        </w:rPr>
        <w:t>万</w:t>
      </w:r>
      <w:r>
        <w:rPr>
          <w:kern w:val="2"/>
        </w:rPr>
        <w:t>m</w:t>
      </w:r>
      <w:r>
        <w:rPr>
          <w:kern w:val="2"/>
          <w:vertAlign w:val="superscript"/>
        </w:rPr>
        <w:t>3</w:t>
      </w:r>
      <w:r>
        <w:rPr>
          <w:rFonts w:hint="eastAsia"/>
          <w:kern w:val="2"/>
        </w:rPr>
        <w:t>，可以满足堆渣要求。通过对渣场采取必要的水土保持措施，弃渣对环境的影响可得到有效控制。</w:t>
      </w:r>
    </w:p>
    <w:p>
      <w:pPr>
        <w:pStyle w:val="5"/>
        <w:widowControl/>
        <w:ind w:left="567" w:hanging="567"/>
      </w:pPr>
      <w:r>
        <w:rPr>
          <w:rFonts w:hint="eastAsia"/>
        </w:rPr>
        <w:t>营运期固体废物环境影响分析</w:t>
      </w:r>
    </w:p>
    <w:p>
      <w:pPr>
        <w:spacing w:line="360" w:lineRule="auto"/>
        <w:ind w:firstLine="31680" w:firstLineChars="200"/>
        <w:rPr>
          <w:sz w:val="24"/>
        </w:rPr>
      </w:pPr>
      <w:r>
        <w:rPr>
          <w:rFonts w:hint="eastAsia"/>
          <w:sz w:val="24"/>
        </w:rPr>
        <w:t>拟建公路建成通车后，当地交通更为便捷，给人们日常生活和工作带来了极大的便利，但同时交通垃圾，如纸屑、果皮、塑料用具等废弃物也对沿线周边环境产生不利影响，即增加了公路养护的负担，又破坏了路域景观的观赏性。营运期通过宣传和制定法规，禁止司机、沿线居民在道路上乱丢弃饮料袋，易拉罐等垃圾，以保持道路的清洁；同时采用分路段到责任人的方式对沿线的固体废物及时进行收集处理，定期打扫路面、桥面，保持桥、路面整洁干净。</w:t>
      </w:r>
    </w:p>
    <w:p>
      <w:pPr>
        <w:pStyle w:val="4"/>
        <w:ind w:left="567" w:hanging="567"/>
        <w:rPr>
          <w:u w:val="single"/>
        </w:rPr>
      </w:pPr>
      <w:bookmarkStart w:id="245" w:name="_Toc354581716"/>
      <w:bookmarkStart w:id="246" w:name="_Toc354581896"/>
      <w:bookmarkStart w:id="247" w:name="_Toc354558912"/>
      <w:bookmarkStart w:id="248" w:name="_Toc408503580"/>
      <w:bookmarkStart w:id="249" w:name="_Toc9279"/>
      <w:r>
        <w:rPr>
          <w:rFonts w:hint="eastAsia"/>
          <w:u w:val="single"/>
        </w:rPr>
        <w:t>生态环境影响评价</w:t>
      </w:r>
      <w:bookmarkEnd w:id="245"/>
      <w:bookmarkEnd w:id="246"/>
      <w:bookmarkEnd w:id="247"/>
      <w:bookmarkEnd w:id="248"/>
      <w:bookmarkEnd w:id="249"/>
    </w:p>
    <w:p>
      <w:pPr>
        <w:pStyle w:val="5"/>
        <w:ind w:left="567" w:hanging="567"/>
        <w:rPr>
          <w:u w:val="single"/>
        </w:rPr>
      </w:pPr>
      <w:r>
        <w:rPr>
          <w:rFonts w:hint="eastAsia"/>
          <w:u w:val="single"/>
        </w:rPr>
        <w:t>对陆生植物资源的影响</w:t>
      </w:r>
    </w:p>
    <w:p>
      <w:pPr>
        <w:pStyle w:val="6"/>
        <w:widowControl/>
        <w:ind w:left="567" w:hanging="567"/>
        <w:jc w:val="left"/>
        <w:rPr>
          <w:u w:val="single"/>
        </w:rPr>
      </w:pPr>
      <w:r>
        <w:rPr>
          <w:rFonts w:hint="eastAsia"/>
          <w:u w:val="single"/>
        </w:rPr>
        <w:t>施工期对沿线陆生植物资源的影响</w:t>
      </w:r>
    </w:p>
    <w:p>
      <w:pPr>
        <w:spacing w:line="360" w:lineRule="auto"/>
        <w:ind w:firstLine="31680" w:firstLineChars="200"/>
        <w:rPr>
          <w:sz w:val="24"/>
          <w:u w:val="single"/>
        </w:rPr>
      </w:pPr>
      <w:r>
        <w:rPr>
          <w:sz w:val="24"/>
          <w:u w:val="single"/>
        </w:rPr>
        <w:t>a</w:t>
      </w:r>
      <w:r>
        <w:rPr>
          <w:rFonts w:hint="eastAsia"/>
          <w:sz w:val="24"/>
          <w:u w:val="single"/>
        </w:rPr>
        <w:t>）施工占地对地表植被的影响</w:t>
      </w:r>
    </w:p>
    <w:p>
      <w:pPr>
        <w:pStyle w:val="3"/>
        <w:ind w:firstLine="31680"/>
        <w:rPr>
          <w:u w:val="single"/>
        </w:rPr>
      </w:pPr>
      <w:r>
        <w:rPr>
          <w:rFonts w:hint="eastAsia"/>
          <w:u w:val="single"/>
        </w:rPr>
        <w:t>工程占地主要包括公路路基红线范围内的永久占地，以及因工程施工需要而产生的临时占地，由于工程占地也将对占地区地表植被造成破坏。其中临时占用的林地和耕地均在施工完成后可恢复植被，永久占用的林地和耕地不可恢复，植被永久破坏。这些施工占地对植被将产生直接的破坏作用，从而使群落的生物多样性降低，但由于项目沿线植被资源较为丰富，所占植被在项目区沿线均广泛分布，因此，工程占地对区域植被资源及其连通性影响较小，同时临时占地的植被可通过后期的恢复措施进行补偿，因此，本项目占地对当地植被的影响相对较小。</w:t>
      </w:r>
    </w:p>
    <w:p>
      <w:pPr>
        <w:pStyle w:val="3"/>
        <w:ind w:firstLine="31680"/>
        <w:rPr>
          <w:u w:val="single"/>
        </w:rPr>
      </w:pPr>
      <w:r>
        <w:rPr>
          <w:u w:val="single"/>
        </w:rPr>
        <w:t>b</w:t>
      </w:r>
      <w:r>
        <w:rPr>
          <w:rFonts w:hint="eastAsia"/>
          <w:u w:val="single"/>
        </w:rPr>
        <w:t>）施工对周围植物的不利影响</w:t>
      </w:r>
    </w:p>
    <w:p>
      <w:pPr>
        <w:pStyle w:val="3"/>
        <w:ind w:firstLine="31680"/>
        <w:rPr>
          <w:u w:val="single"/>
        </w:rPr>
      </w:pPr>
      <w:r>
        <w:rPr>
          <w:rFonts w:hint="eastAsia"/>
          <w:u w:val="single"/>
        </w:rPr>
        <w:t>项目施工过程中，运输车辆产生的扬尘，施工过程洒落的粉状材料，会对周围植物的生长带来直接的影响。这些尘土降落到植物的叶面上，会堵塞毛孔，影响植物的光合作用，从而使之生长减缓。原材料的堆放和车辆漏油，还会污染土壤，从而间接影响植物的生长。虽然说随着施工的结束不再产生扬尘，情况会有所好转，但是这些影响并不会随施工的结束而得到解决，它们的影响将持续较长一段时间。因此，施工过程中，一定要处理好原材料和废弃材料的处理；对于运输车辆，要尽量走固定的路线，将影响减小到最少范围。</w:t>
      </w:r>
    </w:p>
    <w:p>
      <w:pPr>
        <w:pStyle w:val="3"/>
        <w:ind w:firstLine="31680"/>
        <w:rPr>
          <w:u w:val="single"/>
        </w:rPr>
      </w:pPr>
      <w:r>
        <w:rPr>
          <w:rFonts w:hint="eastAsia"/>
          <w:u w:val="single"/>
        </w:rPr>
        <w:t>新建路段的施工会有大量的人流和车流的进入，如果施工管理不善，对除线路占地直接对植被的破坏外，其红线外临近的灌木层、草本层的也将受到一定程度的破坏，甚至导致其消失，造成林地群落的层次缺失，使林地群落的垂直结构发生较大的改变。乔木层由于缺乏下木及灌木的保护和促进作用，对环境的抵抗能力下降，易感染病毒和遭受风折，使整个林地生态系统对环境的适应能力和调节能力降低，群落的稳定性下降。另外，由于对乔木层、下木层、灌木层和草本层的破坏，并引起群落结构的变化和群落层次的缺失，将直接影响群落的演替。</w:t>
      </w:r>
    </w:p>
    <w:p>
      <w:pPr>
        <w:spacing w:line="360" w:lineRule="auto"/>
        <w:ind w:firstLine="31680" w:firstLineChars="200"/>
        <w:rPr>
          <w:sz w:val="24"/>
          <w:u w:val="single"/>
        </w:rPr>
      </w:pPr>
      <w:r>
        <w:rPr>
          <w:sz w:val="24"/>
          <w:u w:val="single"/>
        </w:rPr>
        <w:t>c</w:t>
      </w:r>
      <w:r>
        <w:rPr>
          <w:rFonts w:hint="eastAsia"/>
          <w:sz w:val="24"/>
          <w:u w:val="single"/>
        </w:rPr>
        <w:t>）工程占地对沿线生物多样性的影响</w:t>
      </w:r>
    </w:p>
    <w:p>
      <w:pPr>
        <w:spacing w:line="360" w:lineRule="auto"/>
        <w:ind w:firstLine="31680" w:firstLineChars="200"/>
        <w:rPr>
          <w:sz w:val="24"/>
          <w:u w:val="single"/>
        </w:rPr>
      </w:pPr>
      <w:r>
        <w:rPr>
          <w:rFonts w:hint="eastAsia"/>
          <w:sz w:val="24"/>
          <w:u w:val="single"/>
        </w:rPr>
        <w:t>本工程路段沿线主要为农业生态环境，人为干扰已存在，植被类型主要为人工用材林植被及农田作物，以松、杉及果木林等为主，灌丛的优势种不突出，其他种类分布不均。由于评价区以人工林占优势，且植被的次生性较强，没有野生保护植物物种分布，因此工程施工对沿线生物多样性的影响较小。</w:t>
      </w:r>
      <w:r>
        <w:rPr>
          <w:u w:val="single"/>
        </w:rPr>
        <w:t xml:space="preserve"> </w:t>
      </w:r>
    </w:p>
    <w:p>
      <w:pPr>
        <w:pStyle w:val="6"/>
        <w:widowControl/>
        <w:ind w:left="567" w:hanging="567"/>
        <w:jc w:val="left"/>
        <w:rPr>
          <w:u w:val="single"/>
        </w:rPr>
      </w:pPr>
      <w:r>
        <w:rPr>
          <w:rFonts w:hint="eastAsia"/>
          <w:u w:val="single"/>
        </w:rPr>
        <w:t>营运期对沿线陆生植物资源的影响</w:t>
      </w:r>
    </w:p>
    <w:p>
      <w:pPr>
        <w:spacing w:line="360" w:lineRule="auto"/>
        <w:ind w:firstLine="31680" w:firstLineChars="200"/>
        <w:rPr>
          <w:sz w:val="24"/>
          <w:u w:val="single"/>
        </w:rPr>
      </w:pPr>
      <w:r>
        <w:rPr>
          <w:rFonts w:hint="eastAsia"/>
          <w:sz w:val="24"/>
          <w:u w:val="single"/>
        </w:rPr>
        <w:t>拟建公路对沿线的植被的损失占总量的比重很小，沿线乡镇植被覆盖率不会因此而有明显变化，如公路建设配以适当的绿化工程，可以减轻其影响。</w:t>
      </w:r>
    </w:p>
    <w:p>
      <w:pPr>
        <w:spacing w:line="360" w:lineRule="auto"/>
        <w:ind w:firstLine="31680" w:firstLineChars="200"/>
        <w:rPr>
          <w:sz w:val="24"/>
          <w:u w:val="single"/>
        </w:rPr>
      </w:pPr>
      <w:r>
        <w:rPr>
          <w:rFonts w:hint="eastAsia"/>
          <w:sz w:val="24"/>
          <w:u w:val="single"/>
        </w:rPr>
        <w:t>本工程营运期将对全线进行绿化恢复工作，经过</w:t>
      </w:r>
      <w:r>
        <w:rPr>
          <w:sz w:val="24"/>
          <w:u w:val="single"/>
        </w:rPr>
        <w:t>3</w:t>
      </w:r>
      <w:r>
        <w:rPr>
          <w:rFonts w:hint="eastAsia"/>
          <w:sz w:val="24"/>
          <w:u w:val="single"/>
        </w:rPr>
        <w:t>年的恢复生长基本上可以弥补本工程永久占地及因施工临时占地损失的生物量，公路破坏的植被不会对沿线生态系统物种的丰度和生态功能产生影响。</w:t>
      </w:r>
    </w:p>
    <w:p>
      <w:pPr>
        <w:pStyle w:val="5"/>
        <w:widowControl/>
        <w:ind w:left="567" w:hanging="567"/>
        <w:rPr>
          <w:u w:val="single"/>
        </w:rPr>
      </w:pPr>
      <w:r>
        <w:rPr>
          <w:rFonts w:hint="eastAsia"/>
          <w:u w:val="single"/>
        </w:rPr>
        <w:t>对陆生动物的影响</w:t>
      </w:r>
    </w:p>
    <w:p>
      <w:pPr>
        <w:pStyle w:val="6"/>
        <w:widowControl/>
        <w:ind w:left="567" w:hanging="567"/>
        <w:jc w:val="left"/>
        <w:rPr>
          <w:u w:val="single"/>
        </w:rPr>
      </w:pPr>
      <w:r>
        <w:rPr>
          <w:rFonts w:hint="eastAsia"/>
          <w:u w:val="single"/>
        </w:rPr>
        <w:t>施工期对陆生动物的影响</w:t>
      </w:r>
    </w:p>
    <w:p>
      <w:pPr>
        <w:spacing w:line="360" w:lineRule="auto"/>
        <w:ind w:firstLine="31680" w:firstLineChars="200"/>
        <w:rPr>
          <w:sz w:val="24"/>
          <w:u w:val="single"/>
        </w:rPr>
      </w:pPr>
      <w:r>
        <w:rPr>
          <w:rFonts w:hint="eastAsia"/>
          <w:sz w:val="24"/>
          <w:u w:val="single"/>
        </w:rPr>
        <w:t>施工期对陆生动物资源的影响主要表现施工占地隔断动物生境、施工机械和施工方式破坏陆生动物生境。鸟类和爬行类具有很好的迁移能力，工程建设不会影响其正常生长和繁衍，因此，施工过程中将主要对两栖类和小兽类产生一定的不利影响。由于公路沿线具有一些相同的生境，评价范围内有许多动物的替代生境，动物比较容易找到栖息场所。同时公路施工范围小，工程建设对野生动物影响的范围不大且影响时间较短，对动物不会造成大的影响，并且，这种不利影响随植被的恢复而缓解、消失，即拟建公路经过的区域，当植被恢复后，它们仍可回到原来的领域。</w:t>
      </w:r>
    </w:p>
    <w:p>
      <w:pPr>
        <w:pStyle w:val="6"/>
        <w:widowControl/>
        <w:ind w:left="567" w:hanging="567"/>
        <w:jc w:val="left"/>
        <w:rPr>
          <w:u w:val="single"/>
        </w:rPr>
      </w:pPr>
      <w:r>
        <w:rPr>
          <w:rFonts w:hint="eastAsia"/>
          <w:u w:val="single"/>
        </w:rPr>
        <w:t>营运期对陆生动物的影响</w:t>
      </w:r>
    </w:p>
    <w:p>
      <w:pPr>
        <w:pStyle w:val="3"/>
        <w:ind w:firstLine="31680"/>
        <w:rPr>
          <w:u w:val="single"/>
        </w:rPr>
      </w:pPr>
      <w:r>
        <w:rPr>
          <w:rFonts w:hint="eastAsia"/>
          <w:u w:val="single"/>
        </w:rPr>
        <w:t>本项目属于一级公路，由于未实行全封闭，因此对动物的活动范围限制不明显，但对动物觅食、交偶等行为存在一定的潜在不利影响。本项沿线大部分为农业生态区，主要对两栖和爬行动物影响较大。由于鸟类具有飞翔能力，对鸟类的影响较小。</w:t>
      </w:r>
    </w:p>
    <w:p>
      <w:pPr>
        <w:pStyle w:val="3"/>
        <w:ind w:firstLine="31680"/>
        <w:rPr>
          <w:u w:val="single"/>
        </w:rPr>
      </w:pPr>
      <w:r>
        <w:rPr>
          <w:rFonts w:hint="eastAsia"/>
          <w:u w:val="single"/>
        </w:rPr>
        <w:t>拟建公路营运期，车辆排放的废气、噪声、振动及路面径流污染物对动物的生存环境造成污染，迫使动物寻找其他的活动和栖息场所。其中，噪声污染比较显著。交通噪声和夜间车辆行驶时灯光会影响动物的栖息和繁殖，从而影响动物的交配和产卵，因此，动物选择生境时通常会回避和远离公路。</w:t>
      </w:r>
    </w:p>
    <w:p>
      <w:pPr>
        <w:pStyle w:val="3"/>
        <w:ind w:firstLine="31680"/>
        <w:rPr>
          <w:u w:val="single"/>
        </w:rPr>
      </w:pPr>
      <w:r>
        <w:rPr>
          <w:rFonts w:hint="eastAsia"/>
          <w:u w:val="single"/>
        </w:rPr>
        <w:t>两栖动物因经常在湿地和陆地之间迁移，且行动缓慢，在某些地段繁殖后还要横过公路到河边浅水区抱对产卵，繁殖后又穿越公路回到陆地上生活。在穿越公路时，很容易被车辆压死。半水栖、湿生的游蛇类中有部分在水中觅食，陆生繁殖，多要横过公路，此间公路上压死的两栖、爬行动物的概率将增多。由于路基段设置了较多的涵洞，确保了不切割地表水系，因而交通致死发生的概率相对减少。</w:t>
      </w:r>
    </w:p>
    <w:p>
      <w:pPr>
        <w:pStyle w:val="6"/>
        <w:widowControl/>
        <w:ind w:left="567" w:hanging="567"/>
        <w:jc w:val="left"/>
        <w:rPr>
          <w:u w:val="single"/>
        </w:rPr>
      </w:pPr>
      <w:r>
        <w:rPr>
          <w:rFonts w:hint="eastAsia"/>
          <w:u w:val="single"/>
        </w:rPr>
        <w:t>对重点保护野生动物的影响</w:t>
      </w:r>
    </w:p>
    <w:p>
      <w:pPr>
        <w:spacing w:line="360" w:lineRule="auto"/>
        <w:ind w:firstLine="31680" w:firstLineChars="200"/>
        <w:rPr>
          <w:sz w:val="24"/>
          <w:u w:val="single"/>
        </w:rPr>
      </w:pPr>
      <w:r>
        <w:rPr>
          <w:rFonts w:hint="eastAsia"/>
          <w:sz w:val="24"/>
          <w:u w:val="single"/>
        </w:rPr>
        <w:t>根据工程区沿线生态环境现状调查，本工程区沿线不存在国家重点保护野生动物资源保护区以及集中栖息群落，因此，本工程建设对国家重点保护野生动物的影响较小。</w:t>
      </w:r>
    </w:p>
    <w:p>
      <w:pPr>
        <w:pStyle w:val="5"/>
        <w:widowControl/>
        <w:ind w:left="567" w:hanging="567"/>
        <w:rPr>
          <w:u w:val="single"/>
        </w:rPr>
      </w:pPr>
      <w:r>
        <w:rPr>
          <w:rFonts w:hint="eastAsia"/>
          <w:u w:val="single"/>
        </w:rPr>
        <w:t>对水生生物的影响</w:t>
      </w:r>
    </w:p>
    <w:p>
      <w:pPr>
        <w:pStyle w:val="6"/>
        <w:widowControl/>
        <w:ind w:left="567" w:hanging="567"/>
        <w:jc w:val="left"/>
        <w:rPr>
          <w:u w:val="single"/>
        </w:rPr>
      </w:pPr>
      <w:r>
        <w:rPr>
          <w:rFonts w:hint="eastAsia"/>
          <w:u w:val="single"/>
        </w:rPr>
        <w:t>施工期对水生生物的影响</w:t>
      </w:r>
    </w:p>
    <w:p>
      <w:pPr>
        <w:spacing w:line="360" w:lineRule="auto"/>
        <w:ind w:firstLine="31680" w:firstLineChars="200"/>
        <w:rPr>
          <w:kern w:val="0"/>
          <w:sz w:val="24"/>
          <w:u w:val="single"/>
        </w:rPr>
      </w:pPr>
      <w:r>
        <w:rPr>
          <w:rFonts w:hint="eastAsia"/>
          <w:sz w:val="24"/>
          <w:u w:val="single"/>
        </w:rPr>
        <w:t>本项目跨越河流两条无名小溪，工程新建大桥</w:t>
      </w:r>
      <w:r>
        <w:rPr>
          <w:sz w:val="24"/>
          <w:u w:val="single"/>
        </w:rPr>
        <w:t>52m/2</w:t>
      </w:r>
      <w:r>
        <w:rPr>
          <w:rFonts w:hint="eastAsia"/>
          <w:sz w:val="24"/>
          <w:u w:val="single"/>
        </w:rPr>
        <w:t>座（樟树塘桥、范家屋场桥）。</w:t>
      </w:r>
      <w:r>
        <w:rPr>
          <w:rFonts w:hint="eastAsia"/>
          <w:kern w:val="0"/>
          <w:sz w:val="24"/>
          <w:u w:val="single"/>
        </w:rPr>
        <w:t>施工期对水生生态系统的影响主要表现为对</w:t>
      </w:r>
      <w:r>
        <w:rPr>
          <w:rFonts w:hint="eastAsia"/>
          <w:sz w:val="24"/>
          <w:u w:val="single"/>
        </w:rPr>
        <w:t>两条无名小溪</w:t>
      </w:r>
      <w:r>
        <w:rPr>
          <w:rFonts w:hint="eastAsia"/>
          <w:kern w:val="0"/>
          <w:sz w:val="24"/>
          <w:u w:val="single"/>
        </w:rPr>
        <w:t>附近施工区施工废水排放及水土流失造成含泥污水对临近水域水质污染，其影响表现为局部性、近岸性。</w:t>
      </w:r>
    </w:p>
    <w:p>
      <w:pPr>
        <w:pStyle w:val="3"/>
        <w:ind w:firstLine="31680"/>
        <w:rPr>
          <w:u w:val="single"/>
        </w:rPr>
      </w:pPr>
      <w:r>
        <w:rPr>
          <w:rFonts w:hint="eastAsia"/>
          <w:u w:val="single"/>
        </w:rPr>
        <w:t>在跨越两条无名小溪的路段工程施工过程中，若施工营地设于临河附近，施工营地生活污水和生活垃圾、施工机械机修及工作时油污跑冒滴漏产生的含油污水等易随雨水流入两条无名小溪；临近两条无名小溪路段路面开挖后裸露的土石、工程的弃土弃渣在雨水冲刷下形成路面径流也会进入水体。这些污染物进入水体和湖泊后，将对两条无名小溪局部、近岸水质产生一定程度的污染，也将对河流中鱼类的生存环境构成一定的不利影响。由于临河（湖）施工路段距离相对较短，通过采取相应的环保措施后，可有效减缓施工期废水及水土流失对两条无名小溪水质的污染，因此，工程施工对两条无名小溪水域鱼类资源及其栖息环境影响较小，对两条无名小溪水域鱼类种类、数量的影响较小。</w:t>
      </w:r>
    </w:p>
    <w:p>
      <w:pPr>
        <w:pStyle w:val="3"/>
        <w:ind w:firstLine="31680"/>
        <w:rPr>
          <w:u w:val="single"/>
        </w:rPr>
      </w:pPr>
      <w:r>
        <w:rPr>
          <w:rFonts w:hint="eastAsia"/>
          <w:u w:val="single"/>
        </w:rPr>
        <w:t>桥梁工程施工期不涉及水下作业。</w:t>
      </w:r>
    </w:p>
    <w:p>
      <w:pPr>
        <w:pStyle w:val="3"/>
        <w:ind w:firstLine="31680"/>
        <w:rPr>
          <w:u w:val="single"/>
        </w:rPr>
      </w:pPr>
      <w:r>
        <w:rPr>
          <w:rFonts w:hint="eastAsia"/>
          <w:u w:val="single"/>
        </w:rPr>
        <w:t>由于鱼类择水而迁到其它地方，而工程对鱼类的影响只局限于施工区域，所以不影响鱼类物种资源的保护。工程竣工后，如能保证流域内水量充沛，水质清洁，并结合采取鱼类保护措施，原有的鱼类资源及其生息环境不会有太大的变化，对流域鱼类种类、数量的影响不大。</w:t>
      </w:r>
    </w:p>
    <w:p>
      <w:pPr>
        <w:pStyle w:val="3"/>
        <w:ind w:firstLine="31680"/>
        <w:rPr>
          <w:u w:val="single"/>
        </w:rPr>
      </w:pPr>
      <w:r>
        <w:rPr>
          <w:rFonts w:hint="eastAsia"/>
          <w:u w:val="single"/>
        </w:rPr>
        <w:t>经核实，本项目沿线涉及水域中，无鱼类的</w:t>
      </w:r>
      <w:r>
        <w:rPr>
          <w:u w:val="single"/>
        </w:rPr>
        <w:t>“</w:t>
      </w:r>
      <w:r>
        <w:rPr>
          <w:rFonts w:hint="eastAsia"/>
          <w:u w:val="single"/>
        </w:rPr>
        <w:t>三场</w:t>
      </w:r>
      <w:r>
        <w:rPr>
          <w:u w:val="single"/>
        </w:rPr>
        <w:t>”</w:t>
      </w:r>
      <w:r>
        <w:rPr>
          <w:rFonts w:hint="eastAsia"/>
          <w:u w:val="single"/>
        </w:rPr>
        <w:t>分布，因此，施工期施工对水域中鱼类</w:t>
      </w:r>
      <w:r>
        <w:rPr>
          <w:u w:val="single"/>
        </w:rPr>
        <w:t>“</w:t>
      </w:r>
      <w:r>
        <w:rPr>
          <w:rFonts w:hint="eastAsia"/>
          <w:u w:val="single"/>
        </w:rPr>
        <w:t>三场</w:t>
      </w:r>
      <w:r>
        <w:rPr>
          <w:u w:val="single"/>
        </w:rPr>
        <w:t>”</w:t>
      </w:r>
      <w:r>
        <w:rPr>
          <w:rFonts w:hint="eastAsia"/>
          <w:u w:val="single"/>
        </w:rPr>
        <w:t>资源不构成影响。</w:t>
      </w:r>
    </w:p>
    <w:p>
      <w:pPr>
        <w:pStyle w:val="6"/>
        <w:widowControl/>
        <w:ind w:left="567" w:hanging="567"/>
        <w:jc w:val="left"/>
        <w:rPr>
          <w:u w:val="single"/>
        </w:rPr>
      </w:pPr>
      <w:r>
        <w:rPr>
          <w:rFonts w:hint="eastAsia"/>
          <w:u w:val="single"/>
        </w:rPr>
        <w:t>营运期对水生生物影响</w:t>
      </w:r>
    </w:p>
    <w:p>
      <w:pPr>
        <w:spacing w:line="360" w:lineRule="auto"/>
        <w:ind w:firstLine="31680" w:firstLineChars="200"/>
        <w:rPr>
          <w:sz w:val="24"/>
          <w:szCs w:val="24"/>
          <w:u w:val="single"/>
        </w:rPr>
      </w:pPr>
      <w:r>
        <w:rPr>
          <w:rFonts w:hint="eastAsia" w:hAnsi="宋体"/>
          <w:sz w:val="24"/>
          <w:szCs w:val="24"/>
          <w:u w:val="single"/>
        </w:rPr>
        <w:t>拟建公路对水生生物的影响主要来自于水环境污染。营运期间，路面污染物随天然降雨形成的路面径流随排水系统排入农渠、小溪等。一般情况下，营运期路面径流中污染物浓度相对较小，不会改变现有的水质类别，因此，对水生生物的影响很小。</w:t>
      </w:r>
    </w:p>
    <w:p>
      <w:pPr>
        <w:pStyle w:val="5"/>
        <w:widowControl/>
        <w:ind w:left="567" w:hanging="567"/>
        <w:rPr>
          <w:u w:val="single"/>
        </w:rPr>
      </w:pPr>
      <w:r>
        <w:rPr>
          <w:rFonts w:hint="eastAsia"/>
          <w:u w:val="single"/>
        </w:rPr>
        <w:t>对景观生态环境的影响</w:t>
      </w:r>
    </w:p>
    <w:p>
      <w:pPr>
        <w:pStyle w:val="3"/>
        <w:ind w:firstLine="31680"/>
        <w:rPr>
          <w:u w:val="single"/>
        </w:rPr>
      </w:pPr>
      <w:r>
        <w:rPr>
          <w:rFonts w:hint="eastAsia"/>
          <w:u w:val="single"/>
        </w:rPr>
        <w:t>在工程施工过程中，施工活动将破坏征地范围内的地表植被，形成与施工场地周围环境很大、不相融的裸地景观；由于对地表植被的完全破坏和工程区土壤的扰动，在雨季松散裸露的坡地易形成水土流失，导致施工区域土壤侵蚀模数增大，不利于植被的恢复与生长，从而对项目沿线附近局部景观产生影响；在旱季，由于施工造成松散的地表裸露，若不采取相应的治理措施则易形成施工扬尘，这些扬尘随风扩散，将使施工区沿线景观受到一定程度的不利影响。</w:t>
      </w:r>
    </w:p>
    <w:p>
      <w:pPr>
        <w:pStyle w:val="3"/>
        <w:ind w:firstLine="31680"/>
        <w:rPr>
          <w:u w:val="single"/>
        </w:rPr>
      </w:pPr>
      <w:r>
        <w:rPr>
          <w:rFonts w:hint="eastAsia"/>
          <w:u w:val="single"/>
        </w:rPr>
        <w:t>工程建成后，随道路面的硬化、边坡的防护、沿线植被的修复，将形成新的公路景观，给人以流畅的线性、整洁的道路傍行于绿水青山田园之间，对过往的行人可产生更愉悦的情感，景观质感较现状有所提高。</w:t>
      </w:r>
    </w:p>
    <w:p>
      <w:pPr>
        <w:pStyle w:val="3"/>
        <w:ind w:firstLine="31680"/>
        <w:rPr>
          <w:u w:val="single"/>
        </w:rPr>
      </w:pPr>
      <w:r>
        <w:rPr>
          <w:rFonts w:hint="eastAsia"/>
          <w:u w:val="single"/>
        </w:rPr>
        <w:t>本工程占地区不涉及自然保护区、风景名胜区、森林公园及其它重要的生态保护目标，本项目建设对景观的影响相对较小。</w:t>
      </w:r>
    </w:p>
    <w:p>
      <w:pPr>
        <w:pStyle w:val="5"/>
        <w:ind w:left="567" w:hanging="567"/>
        <w:rPr>
          <w:u w:val="single"/>
        </w:rPr>
      </w:pPr>
      <w:r>
        <w:rPr>
          <w:rFonts w:hint="eastAsia"/>
          <w:u w:val="single"/>
        </w:rPr>
        <w:t>临时占地施工对生态环境影响</w:t>
      </w:r>
    </w:p>
    <w:p>
      <w:pPr>
        <w:pStyle w:val="3"/>
        <w:ind w:firstLine="31680"/>
        <w:rPr>
          <w:u w:val="single"/>
        </w:rPr>
      </w:pPr>
      <w:r>
        <w:rPr>
          <w:rFonts w:hint="eastAsia"/>
          <w:u w:val="single"/>
        </w:rPr>
        <w:t>根据“工可”设计及水土保持方案，本工程施工期拟设</w:t>
      </w:r>
      <w:r>
        <w:rPr>
          <w:u w:val="single"/>
        </w:rPr>
        <w:t>3</w:t>
      </w:r>
      <w:r>
        <w:rPr>
          <w:rFonts w:hint="eastAsia"/>
          <w:u w:val="single"/>
        </w:rPr>
        <w:t>个施工生产生活区、</w:t>
      </w:r>
      <w:r>
        <w:rPr>
          <w:u w:val="single"/>
        </w:rPr>
        <w:t>3</w:t>
      </w:r>
      <w:r>
        <w:rPr>
          <w:rFonts w:hint="eastAsia"/>
          <w:u w:val="single"/>
        </w:rPr>
        <w:t>个弃渣场、新修施工便道</w:t>
      </w:r>
      <w:r>
        <w:rPr>
          <w:u w:val="single"/>
        </w:rPr>
        <w:t>4.185km</w:t>
      </w:r>
      <w:r>
        <w:rPr>
          <w:rFonts w:hint="eastAsia"/>
          <w:u w:val="single"/>
        </w:rPr>
        <w:t>（保通道路、连接弃渣场进场道路），临时工程占地面积为</w:t>
      </w:r>
      <w:r>
        <w:rPr>
          <w:u w:val="single"/>
        </w:rPr>
        <w:t>5.81hm</w:t>
      </w:r>
      <w:r>
        <w:rPr>
          <w:u w:val="single"/>
          <w:vertAlign w:val="superscript"/>
        </w:rPr>
        <w:t>2</w:t>
      </w:r>
      <w:r>
        <w:rPr>
          <w:rFonts w:hint="eastAsia"/>
          <w:u w:val="single"/>
        </w:rPr>
        <w:t>，其中旱地面积为</w:t>
      </w:r>
      <w:r>
        <w:rPr>
          <w:u w:val="single"/>
        </w:rPr>
        <w:t>2.92hm</w:t>
      </w:r>
      <w:r>
        <w:rPr>
          <w:u w:val="single"/>
          <w:vertAlign w:val="superscript"/>
        </w:rPr>
        <w:t>2</w:t>
      </w:r>
      <w:r>
        <w:rPr>
          <w:rFonts w:hint="eastAsia"/>
          <w:u w:val="single"/>
        </w:rPr>
        <w:t>，林地面积为</w:t>
      </w:r>
      <w:r>
        <w:rPr>
          <w:u w:val="single"/>
        </w:rPr>
        <w:t>1.49hm</w:t>
      </w:r>
      <w:r>
        <w:rPr>
          <w:u w:val="single"/>
          <w:vertAlign w:val="superscript"/>
        </w:rPr>
        <w:t>2</w:t>
      </w:r>
      <w:r>
        <w:rPr>
          <w:rFonts w:hint="eastAsia"/>
          <w:u w:val="single"/>
        </w:rPr>
        <w:t>，荒地面积为</w:t>
      </w:r>
      <w:r>
        <w:rPr>
          <w:u w:val="single"/>
        </w:rPr>
        <w:t>1.40hm</w:t>
      </w:r>
      <w:r>
        <w:rPr>
          <w:u w:val="single"/>
          <w:vertAlign w:val="superscript"/>
        </w:rPr>
        <w:t>2</w:t>
      </w:r>
      <w:r>
        <w:rPr>
          <w:rFonts w:hint="eastAsia"/>
          <w:u w:val="single"/>
        </w:rPr>
        <w:t>。</w:t>
      </w:r>
    </w:p>
    <w:p>
      <w:pPr>
        <w:spacing w:line="360" w:lineRule="auto"/>
        <w:ind w:firstLine="31680" w:firstLineChars="200"/>
        <w:rPr>
          <w:kern w:val="0"/>
          <w:sz w:val="24"/>
          <w:szCs w:val="24"/>
          <w:u w:val="single"/>
        </w:rPr>
      </w:pPr>
      <w:r>
        <w:rPr>
          <w:rFonts w:hint="eastAsia"/>
          <w:kern w:val="0"/>
          <w:sz w:val="24"/>
          <w:szCs w:val="24"/>
          <w:u w:val="single"/>
        </w:rPr>
        <w:t>临时占地施工将对周围生态环境产生一定的不利影响，如占用农田和林地，导致植被破坏和生产力下降，形成裸露松散地表，造成严重的水土流失，影响景观等。因此，在临时工程施工过程中，必须做好充分的水土保持与生态保护工作，施工完成后及时对占地区进行植被恢复，防止形成施工迹地。</w:t>
      </w:r>
    </w:p>
    <w:p>
      <w:pPr>
        <w:pStyle w:val="6"/>
        <w:ind w:left="567" w:hanging="567"/>
        <w:rPr>
          <w:u w:val="single"/>
        </w:rPr>
      </w:pPr>
      <w:r>
        <w:rPr>
          <w:rFonts w:hint="eastAsia"/>
          <w:u w:val="single"/>
        </w:rPr>
        <w:t>取土场</w:t>
      </w:r>
    </w:p>
    <w:p>
      <w:pPr>
        <w:pStyle w:val="3"/>
        <w:ind w:firstLine="31680"/>
        <w:rPr>
          <w:u w:val="single"/>
        </w:rPr>
      </w:pPr>
      <w:r>
        <w:rPr>
          <w:rFonts w:hint="eastAsia"/>
          <w:u w:val="single"/>
        </w:rPr>
        <w:t>拟建公路建设取土场会对周围生态环境产生以下不利影响：占用林地，导致植被破坏和生长力下降；取土后形成裸露、松散地表，易造成严重的水土流失。</w:t>
      </w:r>
    </w:p>
    <w:p>
      <w:pPr>
        <w:pStyle w:val="3"/>
        <w:ind w:firstLine="31680"/>
        <w:rPr>
          <w:u w:val="single"/>
        </w:rPr>
      </w:pPr>
      <w:r>
        <w:rPr>
          <w:rFonts w:hint="eastAsia"/>
          <w:u w:val="single"/>
        </w:rPr>
        <w:t>根据项目水土保持方案，及土石方计算，本工程只产生弃渣，不设取土场。</w:t>
      </w:r>
    </w:p>
    <w:p>
      <w:pPr>
        <w:pStyle w:val="6"/>
        <w:ind w:left="567" w:hanging="567"/>
        <w:rPr>
          <w:u w:val="single"/>
        </w:rPr>
      </w:pPr>
      <w:r>
        <w:rPr>
          <w:rFonts w:hint="eastAsia"/>
          <w:u w:val="single"/>
        </w:rPr>
        <w:t>弃渣场</w:t>
      </w:r>
    </w:p>
    <w:p>
      <w:pPr>
        <w:pStyle w:val="3"/>
        <w:ind w:firstLine="31680"/>
        <w:rPr>
          <w:u w:val="single"/>
        </w:rPr>
      </w:pPr>
      <w:r>
        <w:rPr>
          <w:rFonts w:hint="eastAsia"/>
          <w:u w:val="single"/>
        </w:rPr>
        <w:t>拟建公路建设弃渣场会对周围生态环境产生以下不利影响：占用荒地，形成裸露、松散地表，造成严重的水土流失。</w:t>
      </w:r>
    </w:p>
    <w:p>
      <w:pPr>
        <w:pStyle w:val="3"/>
        <w:ind w:firstLine="31680"/>
        <w:rPr>
          <w:u w:val="single"/>
        </w:rPr>
      </w:pPr>
      <w:r>
        <w:rPr>
          <w:rFonts w:hint="eastAsia"/>
          <w:u w:val="single"/>
        </w:rPr>
        <w:t>本工程弃渣场主要占地为杂木林和荒地，占地面积相对较小，占公路沿线耕地总量的比例极小，</w:t>
      </w:r>
      <w:r>
        <w:rPr>
          <w:rFonts w:hint="eastAsia"/>
          <w:color w:val="auto"/>
          <w:u w:val="single"/>
        </w:rPr>
        <w:t>临时占用旱地</w:t>
      </w:r>
      <w:r>
        <w:rPr>
          <w:rFonts w:hint="eastAsia"/>
          <w:u w:val="single"/>
        </w:rPr>
        <w:t>为</w:t>
      </w:r>
      <w:r>
        <w:rPr>
          <w:u w:val="single"/>
        </w:rPr>
        <w:t>0.69hm</w:t>
      </w:r>
      <w:r>
        <w:rPr>
          <w:u w:val="single"/>
          <w:vertAlign w:val="superscript"/>
        </w:rPr>
        <w:t>2</w:t>
      </w:r>
      <w:r>
        <w:rPr>
          <w:rFonts w:hint="eastAsia"/>
          <w:u w:val="single"/>
        </w:rPr>
        <w:t>，林地</w:t>
      </w:r>
      <w:r>
        <w:rPr>
          <w:u w:val="single"/>
        </w:rPr>
        <w:t>0.30hm</w:t>
      </w:r>
      <w:r>
        <w:rPr>
          <w:u w:val="single"/>
          <w:vertAlign w:val="superscript"/>
        </w:rPr>
        <w:t>2</w:t>
      </w:r>
      <w:r>
        <w:rPr>
          <w:rFonts w:hint="eastAsia"/>
          <w:u w:val="single"/>
        </w:rPr>
        <w:t>，因此弃渣场的设置将对区域林业产生造成一定程度的不利影响；林地的占用会在一定程度上降低区域的植被覆盖率。</w:t>
      </w:r>
    </w:p>
    <w:p>
      <w:pPr>
        <w:pStyle w:val="3"/>
        <w:ind w:firstLine="31680"/>
        <w:rPr>
          <w:u w:val="single"/>
        </w:rPr>
      </w:pPr>
      <w:r>
        <w:rPr>
          <w:rFonts w:hint="eastAsia"/>
          <w:u w:val="single"/>
        </w:rPr>
        <w:t>在施工过程中按照水保方案采取严格的水保措施，弃渣前保留表土并在附近临时堆存；弃渣过程中防治水土流失，施工完毕后及时进行土地复垦，工程弃渣场设置不会对当地生态环境造成较大影响。</w:t>
      </w:r>
    </w:p>
    <w:p>
      <w:pPr>
        <w:pStyle w:val="6"/>
        <w:ind w:left="567" w:hanging="567"/>
        <w:rPr>
          <w:u w:val="single"/>
        </w:rPr>
      </w:pPr>
      <w:r>
        <w:rPr>
          <w:rFonts w:hint="eastAsia"/>
          <w:u w:val="single"/>
        </w:rPr>
        <w:t>施工生产生活区和施工便道</w:t>
      </w:r>
    </w:p>
    <w:p>
      <w:pPr>
        <w:pStyle w:val="3"/>
        <w:ind w:firstLine="31680"/>
        <w:rPr>
          <w:u w:val="single"/>
        </w:rPr>
      </w:pPr>
      <w:r>
        <w:rPr>
          <w:rFonts w:hint="eastAsia"/>
          <w:u w:val="single"/>
        </w:rPr>
        <w:t>施工生产生活区和施工便道临时占地的主要生态环境影响为：破坏地表植被，造成地表裸露从而产生一定量的水土流失等。为减轻临时占地的生态影响，根据沿线环境特征，环评针对临时施工用地设置提出如下要求：尽量利用沿线民房作为施工人员临时生活营地，减少对耕地资源的占用。</w:t>
      </w:r>
    </w:p>
    <w:p>
      <w:pPr>
        <w:pStyle w:val="3"/>
        <w:ind w:firstLine="31680"/>
        <w:rPr>
          <w:u w:val="single"/>
        </w:rPr>
      </w:pPr>
      <w:r>
        <w:rPr>
          <w:rFonts w:hint="eastAsia"/>
          <w:u w:val="single"/>
        </w:rPr>
        <w:t>对于施工生产生活区，应尽量设置在本工程永久征地红线范围内，这样整体上可大大减少占用征地红线外的耕地，如工程确实需要占用耕地，也应尽量占用肥力较差的耕地，从而将影响减少到最低。临时施工道路利用现有道路、农村公路、机耕道路，避开沿线农田集中区域，以此来减少生态破坏程度和影响。</w:t>
      </w:r>
    </w:p>
    <w:p>
      <w:pPr>
        <w:pStyle w:val="4"/>
        <w:ind w:left="567" w:hanging="567"/>
      </w:pPr>
      <w:bookmarkStart w:id="250" w:name="_Toc354581897"/>
      <w:bookmarkStart w:id="251" w:name="_Toc354581717"/>
      <w:bookmarkStart w:id="252" w:name="_Toc354558913"/>
      <w:bookmarkStart w:id="253" w:name="_Toc3020"/>
      <w:bookmarkStart w:id="254" w:name="_Toc408503581"/>
      <w:r>
        <w:rPr>
          <w:rFonts w:hint="eastAsia"/>
        </w:rPr>
        <w:t>社会环境影响评价</w:t>
      </w:r>
      <w:bookmarkEnd w:id="250"/>
      <w:bookmarkEnd w:id="251"/>
      <w:bookmarkEnd w:id="252"/>
      <w:bookmarkEnd w:id="253"/>
      <w:bookmarkEnd w:id="254"/>
    </w:p>
    <w:p>
      <w:pPr>
        <w:pStyle w:val="5"/>
        <w:widowControl/>
        <w:ind w:left="567" w:hanging="567"/>
      </w:pPr>
      <w:r>
        <w:rPr>
          <w:rFonts w:hint="eastAsia"/>
        </w:rPr>
        <w:t>对沿线社会经济发展的影响</w:t>
      </w:r>
    </w:p>
    <w:p>
      <w:pPr>
        <w:spacing w:line="360" w:lineRule="auto"/>
        <w:ind w:firstLine="31680" w:firstLineChars="200"/>
        <w:rPr>
          <w:rFonts w:hAnsi="宋体"/>
          <w:sz w:val="24"/>
        </w:rPr>
      </w:pPr>
      <w:r>
        <w:rPr>
          <w:rFonts w:hint="eastAsia" w:hAnsi="宋体"/>
          <w:sz w:val="24"/>
        </w:rPr>
        <w:t>本项目建成后将在弼时镇铜盆村、大陆村、桃花村、莲花村及大里塘村之间形成一条便捷的通道。项目的建设将改善区域交通状况，提高交通通行能力，促进区域内的矿产资源开采，推动区域经济的快速发展。</w:t>
      </w:r>
    </w:p>
    <w:p>
      <w:pPr>
        <w:pStyle w:val="5"/>
        <w:widowControl/>
        <w:ind w:left="567" w:hanging="567"/>
      </w:pPr>
      <w:r>
        <w:rPr>
          <w:rFonts w:hint="eastAsia"/>
        </w:rPr>
        <w:t>对当地居民生活质量的影响</w:t>
      </w:r>
    </w:p>
    <w:p>
      <w:pPr>
        <w:spacing w:line="360" w:lineRule="auto"/>
        <w:ind w:firstLine="31680" w:firstLineChars="200"/>
        <w:rPr>
          <w:rFonts w:hAnsi="宋体"/>
          <w:sz w:val="24"/>
        </w:rPr>
      </w:pPr>
      <w:r>
        <w:rPr>
          <w:rFonts w:hint="eastAsia" w:hAnsi="宋体"/>
          <w:sz w:val="24"/>
        </w:rPr>
        <w:t>本工程建设对当地居民生活质量的影响主要体现在以下几个方面：</w:t>
      </w:r>
    </w:p>
    <w:p>
      <w:pPr>
        <w:spacing w:line="360" w:lineRule="auto"/>
        <w:ind w:firstLine="31680" w:firstLineChars="200"/>
        <w:rPr>
          <w:rFonts w:hAnsi="宋体"/>
          <w:sz w:val="24"/>
        </w:rPr>
      </w:pPr>
      <w:r>
        <w:rPr>
          <w:rFonts w:hAnsi="宋体"/>
          <w:sz w:val="24"/>
        </w:rPr>
        <w:t>a</w:t>
      </w:r>
      <w:r>
        <w:rPr>
          <w:rFonts w:hint="eastAsia" w:hAnsi="宋体"/>
          <w:sz w:val="24"/>
        </w:rPr>
        <w:t>）由于本公路工程的建设，需要占用沿线一定水田、旱地等，改变了所占农业用地的原有功能。此外，线路建设需要拆迁一定数量的建筑物，给人们生活、工作带来诸多不便；需要拆迁一些电力、通讯设施等，给沿线居民及企业用电、通信等带来一定的不利影响。</w:t>
      </w:r>
    </w:p>
    <w:p>
      <w:pPr>
        <w:spacing w:line="360" w:lineRule="auto"/>
        <w:ind w:firstLine="31680" w:firstLineChars="200"/>
        <w:rPr>
          <w:rFonts w:hAnsi="宋体"/>
          <w:sz w:val="24"/>
        </w:rPr>
      </w:pPr>
      <w:r>
        <w:rPr>
          <w:rFonts w:hAnsi="宋体"/>
          <w:sz w:val="24"/>
        </w:rPr>
        <w:t>b</w:t>
      </w:r>
      <w:r>
        <w:rPr>
          <w:rFonts w:hint="eastAsia" w:hAnsi="宋体"/>
          <w:sz w:val="24"/>
        </w:rPr>
        <w:t>）在公路施工期，因修建公路而造成区域往来的阻隔，对沿线居民的出行带来一定的困难。</w:t>
      </w:r>
    </w:p>
    <w:p>
      <w:pPr>
        <w:spacing w:line="360" w:lineRule="auto"/>
        <w:ind w:firstLine="31680" w:firstLineChars="200"/>
        <w:rPr>
          <w:rFonts w:hAnsi="宋体"/>
          <w:sz w:val="24"/>
        </w:rPr>
      </w:pPr>
      <w:r>
        <w:rPr>
          <w:rFonts w:hAnsi="宋体"/>
          <w:sz w:val="24"/>
        </w:rPr>
        <w:t>c</w:t>
      </w:r>
      <w:r>
        <w:rPr>
          <w:rFonts w:hint="eastAsia" w:hAnsi="宋体"/>
          <w:sz w:val="24"/>
        </w:rPr>
        <w:t>）公路建成后，因沿线交通运输条件的改善，能带动沿线资源开发、社会基础设施需求的不断提升，给当地带来大量的就业机会和增加当地居民的收入。</w:t>
      </w:r>
    </w:p>
    <w:p>
      <w:pPr>
        <w:spacing w:line="360" w:lineRule="auto"/>
        <w:ind w:firstLine="31680" w:firstLineChars="200"/>
        <w:rPr>
          <w:rFonts w:hAnsi="宋体"/>
          <w:sz w:val="24"/>
        </w:rPr>
      </w:pPr>
      <w:r>
        <w:rPr>
          <w:rFonts w:hAnsi="宋体"/>
          <w:sz w:val="24"/>
        </w:rPr>
        <w:t>d</w:t>
      </w:r>
      <w:r>
        <w:rPr>
          <w:rFonts w:hint="eastAsia" w:hAnsi="宋体"/>
          <w:sz w:val="24"/>
        </w:rPr>
        <w:t>）公路建成后，能加强沿线乡镇联接，实现优势互补、资源共享，能加速当地农副产品等资源的运输和销售，推动当地农业产业化进程和地方经济的发展，增加地方财税。</w:t>
      </w:r>
    </w:p>
    <w:p>
      <w:pPr>
        <w:pStyle w:val="5"/>
        <w:ind w:left="567" w:hanging="567"/>
        <w:rPr>
          <w:u w:val="single"/>
        </w:rPr>
      </w:pPr>
      <w:r>
        <w:rPr>
          <w:rFonts w:hint="eastAsia"/>
          <w:u w:val="single"/>
        </w:rPr>
        <w:t>对沿线基础设施影响</w:t>
      </w:r>
    </w:p>
    <w:p>
      <w:pPr>
        <w:spacing w:line="360" w:lineRule="auto"/>
        <w:ind w:firstLine="31680" w:firstLineChars="200"/>
        <w:rPr>
          <w:rFonts w:hAnsi="宋体"/>
          <w:sz w:val="24"/>
          <w:u w:val="single"/>
        </w:rPr>
      </w:pPr>
      <w:r>
        <w:rPr>
          <w:rFonts w:hAnsi="宋体"/>
          <w:sz w:val="24"/>
          <w:u w:val="single"/>
        </w:rPr>
        <w:t>a</w:t>
      </w:r>
      <w:r>
        <w:rPr>
          <w:rFonts w:hint="eastAsia" w:hAnsi="宋体"/>
          <w:sz w:val="24"/>
          <w:u w:val="single"/>
        </w:rPr>
        <w:t>）对泄洪和农灌水体的影响</w:t>
      </w:r>
    </w:p>
    <w:p>
      <w:pPr>
        <w:spacing w:line="360" w:lineRule="auto"/>
        <w:ind w:firstLine="31680" w:firstLineChars="200"/>
        <w:rPr>
          <w:rFonts w:hAnsi="宋体"/>
          <w:sz w:val="24"/>
          <w:u w:val="single"/>
        </w:rPr>
      </w:pPr>
      <w:r>
        <w:rPr>
          <w:rFonts w:hint="eastAsia" w:hAnsi="宋体"/>
          <w:sz w:val="24"/>
          <w:u w:val="single"/>
        </w:rPr>
        <w:t>本工程沿线涉及到的地表水体有两条无名小溪及沿线水塘水库及项目终点的大里塘水库。</w:t>
      </w:r>
    </w:p>
    <w:p>
      <w:pPr>
        <w:spacing w:line="360" w:lineRule="auto"/>
        <w:ind w:firstLine="31680" w:firstLineChars="200"/>
        <w:rPr>
          <w:rFonts w:hAnsi="宋体"/>
          <w:sz w:val="24"/>
          <w:u w:val="single"/>
        </w:rPr>
      </w:pPr>
      <w:r>
        <w:rPr>
          <w:rFonts w:hint="eastAsia" w:hAnsi="宋体"/>
          <w:sz w:val="24"/>
          <w:u w:val="single"/>
        </w:rPr>
        <w:t>本工程选线时综合考虑了水利规划要求和河流防洪要求，在沿线河流、小溪、水渠交叉处</w:t>
      </w:r>
      <w:r>
        <w:rPr>
          <w:rFonts w:hint="eastAsia" w:hAnsi="宋体"/>
          <w:sz w:val="24"/>
          <w:u w:val="single"/>
          <w:lang w:eastAsia="zh-CN"/>
        </w:rPr>
        <w:t>、</w:t>
      </w:r>
      <w:r>
        <w:rPr>
          <w:rFonts w:hint="eastAsia" w:hAnsi="宋体"/>
          <w:sz w:val="24"/>
          <w:u w:val="single"/>
          <w:lang w:val="en-US" w:eastAsia="zh-CN"/>
        </w:rPr>
        <w:t>农灌渠和泄洪道</w:t>
      </w:r>
      <w:r>
        <w:rPr>
          <w:rFonts w:hint="eastAsia" w:hAnsi="宋体"/>
          <w:sz w:val="24"/>
          <w:u w:val="single"/>
        </w:rPr>
        <w:t>均设置有桥梁和涵洞。桥涵工程及其相关配套工程完工后，能够确保沿线水系畅通。</w:t>
      </w:r>
      <w:r>
        <w:rPr>
          <w:rFonts w:hint="eastAsia" w:hAnsi="宋体"/>
          <w:sz w:val="24"/>
          <w:u w:val="single"/>
          <w:lang w:val="en-US" w:eastAsia="zh-CN"/>
        </w:rPr>
        <w:t>涵洞的设置充分考虑了现有沟渠的位置及走向，逢沟设涵，并保持交角一致，按照现有的沟渠断面确定其尺寸，不会切断、阻碍现有沟渠，可有效减轻高填方路基对现有排水系统的影响，</w:t>
      </w:r>
      <w:r>
        <w:rPr>
          <w:rFonts w:hint="eastAsia" w:hAnsi="宋体"/>
          <w:sz w:val="24"/>
          <w:u w:val="single"/>
        </w:rPr>
        <w:t>因此本工程建设对沿线农田水利设施及防洪设施不会带来大的不利影响。</w:t>
      </w:r>
    </w:p>
    <w:p>
      <w:pPr>
        <w:spacing w:line="360" w:lineRule="auto"/>
        <w:ind w:firstLine="31680" w:firstLineChars="200"/>
        <w:rPr>
          <w:rFonts w:hAnsi="宋体"/>
          <w:sz w:val="24"/>
          <w:u w:val="single"/>
        </w:rPr>
      </w:pPr>
      <w:r>
        <w:rPr>
          <w:rFonts w:hint="eastAsia" w:hAnsi="宋体"/>
          <w:sz w:val="24"/>
          <w:u w:val="single"/>
        </w:rPr>
        <w:t>工程在施工过程中应加强管理，不得在沿线水体边堆放各种建筑材料和渣土、垃圾，渣土、垃圾等应及时清运，禁止将固体废物倾倒至其中。</w:t>
      </w:r>
    </w:p>
    <w:p>
      <w:pPr>
        <w:spacing w:line="360" w:lineRule="auto"/>
        <w:ind w:firstLine="31680" w:firstLineChars="200"/>
        <w:rPr>
          <w:sz w:val="24"/>
          <w:u w:val="single"/>
        </w:rPr>
      </w:pPr>
      <w:r>
        <w:rPr>
          <w:sz w:val="24"/>
          <w:u w:val="single"/>
        </w:rPr>
        <w:t>b</w:t>
      </w:r>
      <w:r>
        <w:rPr>
          <w:rFonts w:hint="eastAsia"/>
          <w:sz w:val="24"/>
          <w:u w:val="single"/>
        </w:rPr>
        <w:t>）对电力、通讯设施的影响</w:t>
      </w:r>
    </w:p>
    <w:p>
      <w:pPr>
        <w:spacing w:line="360" w:lineRule="auto"/>
        <w:ind w:firstLine="31680" w:firstLineChars="200"/>
        <w:rPr>
          <w:rFonts w:hAnsi="宋体"/>
          <w:sz w:val="24"/>
          <w:u w:val="single"/>
        </w:rPr>
      </w:pPr>
      <w:r>
        <w:rPr>
          <w:rFonts w:hint="eastAsia" w:hAnsi="宋体"/>
          <w:sz w:val="24"/>
          <w:u w:val="single"/>
        </w:rPr>
        <w:t>本工程选线阶段遵循在不偏离线路走向的前提下尽量“少拆迁”的原则，避绕重要电力、通讯线路。因受地形限制，不得已须动迁、跨越或升高的电力、电讯线路将会对沿线地域电力输送、通讯和广播等方面带来短暂的影响。</w:t>
      </w:r>
    </w:p>
    <w:p>
      <w:pPr>
        <w:spacing w:line="360" w:lineRule="auto"/>
        <w:ind w:firstLine="31680" w:firstLineChars="200"/>
        <w:rPr>
          <w:rFonts w:hint="eastAsia"/>
          <w:sz w:val="24"/>
          <w:u w:val="single"/>
        </w:rPr>
      </w:pPr>
      <w:r>
        <w:rPr>
          <w:rFonts w:hint="eastAsia"/>
          <w:sz w:val="24"/>
          <w:u w:val="single"/>
        </w:rPr>
        <w:t>根据现场调查，本工程沿线拆迁电力设施仅涉及</w:t>
      </w:r>
      <w:r>
        <w:rPr>
          <w:sz w:val="24"/>
          <w:u w:val="single"/>
        </w:rPr>
        <w:t>380V</w:t>
      </w:r>
      <w:r>
        <w:rPr>
          <w:rFonts w:hint="eastAsia"/>
          <w:sz w:val="24"/>
          <w:u w:val="single"/>
        </w:rPr>
        <w:t>、</w:t>
      </w:r>
      <w:r>
        <w:rPr>
          <w:sz w:val="24"/>
          <w:u w:val="single"/>
        </w:rPr>
        <w:t>220V</w:t>
      </w:r>
      <w:r>
        <w:rPr>
          <w:rFonts w:hint="eastAsia"/>
          <w:sz w:val="24"/>
          <w:u w:val="single"/>
        </w:rPr>
        <w:t>水泥电杆的迁移，通讯设施也仅少量普通水泥电杆迁移。这些水泥电杆迁移较为容易，届时将由电力部门与电讯部门所属专业施工单位负责搬迁施工。因此，在完成搬迁的前提下，本项目建设对沿线居民用电及通讯的影响较小。</w:t>
      </w:r>
    </w:p>
    <w:p>
      <w:pPr>
        <w:spacing w:line="360" w:lineRule="auto"/>
        <w:ind w:firstLine="31680" w:firstLineChars="200"/>
        <w:rPr>
          <w:rFonts w:hint="eastAsia"/>
          <w:color w:val="auto"/>
          <w:sz w:val="24"/>
          <w:u w:val="single"/>
          <w:lang w:val="en-US" w:eastAsia="zh-CN"/>
        </w:rPr>
      </w:pPr>
      <w:r>
        <w:rPr>
          <w:rFonts w:hint="eastAsia"/>
          <w:color w:val="auto"/>
          <w:sz w:val="24"/>
          <w:u w:val="single"/>
          <w:lang w:val="en-US" w:eastAsia="zh-CN"/>
        </w:rPr>
        <w:t>c）对地下管线的影响</w:t>
      </w:r>
    </w:p>
    <w:p>
      <w:pPr>
        <w:adjustRightInd w:val="0"/>
        <w:snapToGrid w:val="0"/>
        <w:spacing w:line="360" w:lineRule="auto"/>
        <w:ind w:firstLine="482"/>
        <w:rPr>
          <w:rFonts w:hint="eastAsia"/>
          <w:color w:val="auto"/>
          <w:sz w:val="24"/>
          <w:szCs w:val="24"/>
          <w:u w:val="single"/>
          <w:lang w:val="en-US" w:eastAsia="zh-CN"/>
        </w:rPr>
      </w:pPr>
      <w:r>
        <w:rPr>
          <w:rFonts w:hint="eastAsia"/>
          <w:color w:val="auto"/>
          <w:sz w:val="24"/>
          <w:u w:val="single"/>
          <w:lang w:val="en-US" w:eastAsia="zh-CN"/>
        </w:rPr>
        <w:t>项目施工时，现有地下管线主要为相交的光缆和燃气管线，根据施工区域内分布管线的位置及施工对其影响，采用改迁和保护两种措施；同时对一定范围内的管线采用在施工过程中严控地表沉降的措施，将管线的被动变形控制在允许范围内，并配以其它辅助措施，确保施工影响范围内地下管线的安全。①改迁措施：根据业主、产权单位、设计院的意见及现场施工的需要，对施工场区需要改移的管线进行改迁。管线改迁的施工由专业队伍进行，项目部密切配合，做好安全警戒及防护。②保护措施：除业主、设计、产权单位根据现场实际情况已明确进行改迁的管线外，施工区域周边还存在不用改移就地保护的管线，管线的就地保护措施主要是在基坑开挖、盾构施工等方面做好地层沉降的控制，以减小管线因被动变形而遭到的破坏。因本项目属于新建项目，</w:t>
      </w:r>
      <w:r>
        <w:rPr>
          <w:rFonts w:hint="eastAsia"/>
          <w:color w:val="auto"/>
          <w:sz w:val="24"/>
          <w:szCs w:val="24"/>
          <w:u w:val="single"/>
          <w:lang w:val="en-US" w:eastAsia="zh-CN"/>
        </w:rPr>
        <w:t>根据相关部门了解，园区规划的地下管线目前已开工建设，但与道路平行的管线则与道路同步施工同步进行。因此，本道路建设基本不会对地下管线造成影响。</w:t>
      </w:r>
    </w:p>
    <w:p>
      <w:pPr>
        <w:spacing w:line="360" w:lineRule="auto"/>
        <w:ind w:firstLine="31680" w:firstLineChars="200"/>
        <w:rPr>
          <w:rFonts w:hint="eastAsia"/>
          <w:color w:val="auto"/>
          <w:sz w:val="24"/>
          <w:u w:val="single"/>
          <w:lang w:val="en-US" w:eastAsia="zh-CN"/>
        </w:rPr>
      </w:pPr>
      <w:r>
        <w:rPr>
          <w:rFonts w:hint="eastAsia"/>
          <w:color w:val="auto"/>
          <w:sz w:val="24"/>
          <w:u w:val="single"/>
          <w:lang w:val="en-US" w:eastAsia="zh-CN"/>
        </w:rPr>
        <w:t>因此，在采取以上措施后，项目施工对地下管线的影响较小。</w:t>
      </w:r>
    </w:p>
    <w:p>
      <w:pPr>
        <w:pStyle w:val="5"/>
        <w:ind w:left="567" w:hanging="567"/>
      </w:pPr>
      <w:bookmarkStart w:id="255" w:name="_Toc20674"/>
      <w:bookmarkStart w:id="256" w:name="_Toc219864588"/>
      <w:bookmarkStart w:id="257" w:name="_Toc84146452"/>
      <w:r>
        <w:rPr>
          <w:rFonts w:hint="eastAsia"/>
        </w:rPr>
        <w:t>对当地交通运输</w:t>
      </w:r>
      <w:bookmarkEnd w:id="255"/>
      <w:bookmarkEnd w:id="256"/>
      <w:bookmarkEnd w:id="257"/>
      <w:r>
        <w:rPr>
          <w:rFonts w:hint="eastAsia"/>
        </w:rPr>
        <w:t>的影响</w:t>
      </w:r>
    </w:p>
    <w:p>
      <w:pPr>
        <w:spacing w:line="360" w:lineRule="auto"/>
        <w:ind w:firstLine="31680" w:firstLineChars="200"/>
        <w:rPr>
          <w:rFonts w:hAnsi="宋体"/>
          <w:sz w:val="24"/>
        </w:rPr>
      </w:pPr>
      <w:r>
        <w:rPr>
          <w:rFonts w:hint="eastAsia" w:hAnsi="宋体"/>
          <w:sz w:val="24"/>
        </w:rPr>
        <w:t>区域内与本工程相关的道路主要为沿线多条乡村道路等。</w:t>
      </w:r>
    </w:p>
    <w:p>
      <w:pPr>
        <w:spacing w:line="360" w:lineRule="auto"/>
        <w:ind w:firstLine="31680" w:firstLineChars="200"/>
        <w:rPr>
          <w:rFonts w:hAnsi="宋体"/>
          <w:sz w:val="24"/>
        </w:rPr>
      </w:pPr>
      <w:r>
        <w:rPr>
          <w:rFonts w:hint="eastAsia" w:hAnsi="宋体"/>
          <w:sz w:val="24"/>
        </w:rPr>
        <w:t>工程施工期需要利用上述道路向施工作业带和临时储存区域运输路基土石方、钢筋等建筑材料以及渣土固废等，若不加强施工管理，采取有效疏导措施，将会对当地过往交通、群众出行带来一定的不利影响。本项目施工前应针对具体路段，制定可行的施工组织设计方案，通过设置施工警示牌、提醒车辆绕道、采取单向限时通行等措施、安排专人加强管理等措施，保障沿线相关道路通行通畅，减少施工对当地交通运输的不利影响，随着施工期的结束，这些影响随即消失。总之施工对交通运输的影响是可以接受的。</w:t>
      </w:r>
    </w:p>
    <w:p>
      <w:pPr>
        <w:spacing w:line="360" w:lineRule="auto"/>
        <w:ind w:firstLine="31680" w:firstLineChars="200"/>
        <w:rPr>
          <w:rFonts w:hAnsi="宋体"/>
          <w:sz w:val="24"/>
        </w:rPr>
      </w:pPr>
      <w:r>
        <w:rPr>
          <w:rFonts w:hint="eastAsia" w:hAnsi="宋体"/>
          <w:sz w:val="24"/>
        </w:rPr>
        <w:t>拟建公路建成后，能完善区域路网结构，改善沿线的交通条件，缩短客货流量的运输时间，有利于公路沿线村镇过往交通，方便群众出行。</w:t>
      </w:r>
    </w:p>
    <w:p>
      <w:pPr>
        <w:pStyle w:val="5"/>
        <w:ind w:left="567" w:hanging="567"/>
      </w:pPr>
      <w:r>
        <w:rPr>
          <w:rFonts w:hint="eastAsia"/>
        </w:rPr>
        <w:t>工程占地对区域土地利用格局的影响</w:t>
      </w:r>
    </w:p>
    <w:p>
      <w:pPr>
        <w:pStyle w:val="6"/>
        <w:widowControl/>
        <w:ind w:left="567" w:hanging="567"/>
        <w:jc w:val="left"/>
      </w:pPr>
      <w:r>
        <w:rPr>
          <w:rFonts w:hint="eastAsia"/>
        </w:rPr>
        <w:t>公路永久占地对耕地的影响</w:t>
      </w:r>
    </w:p>
    <w:p>
      <w:pPr>
        <w:spacing w:line="360" w:lineRule="auto"/>
        <w:ind w:firstLine="31680" w:firstLineChars="200"/>
        <w:rPr>
          <w:sz w:val="24"/>
        </w:rPr>
      </w:pPr>
      <w:r>
        <w:rPr>
          <w:rFonts w:hint="eastAsia"/>
          <w:sz w:val="24"/>
        </w:rPr>
        <w:t>区域内新一轮土地利用总体规划拟将该项目纳入规划中。因此，该项目选址符合新一轮</w:t>
      </w:r>
      <w:r>
        <w:rPr>
          <w:rFonts w:hint="eastAsia" w:hAnsi="宋体"/>
          <w:sz w:val="24"/>
        </w:rPr>
        <w:t>《汨罗市土地利用总体规划（</w:t>
      </w:r>
      <w:r>
        <w:rPr>
          <w:rFonts w:hAnsi="宋体"/>
          <w:sz w:val="24"/>
        </w:rPr>
        <w:t>2006-2020</w:t>
      </w:r>
      <w:r>
        <w:rPr>
          <w:rFonts w:hint="eastAsia" w:hAnsi="宋体"/>
          <w:sz w:val="24"/>
        </w:rPr>
        <w:t>年）》</w:t>
      </w:r>
      <w:r>
        <w:rPr>
          <w:rFonts w:hint="eastAsia"/>
          <w:sz w:val="24"/>
        </w:rPr>
        <w:t>。</w:t>
      </w:r>
    </w:p>
    <w:p>
      <w:pPr>
        <w:spacing w:line="360" w:lineRule="auto"/>
        <w:ind w:firstLine="31680" w:firstLineChars="200"/>
        <w:rPr>
          <w:rFonts w:hAnsi="宋体"/>
          <w:sz w:val="24"/>
        </w:rPr>
      </w:pPr>
      <w:r>
        <w:rPr>
          <w:rFonts w:hint="eastAsia" w:hAnsi="宋体"/>
          <w:sz w:val="24"/>
        </w:rPr>
        <w:t>本工程全线永久征地均在汨罗市域内。根据《汨罗市土地利用总体规划（</w:t>
      </w:r>
      <w:r>
        <w:rPr>
          <w:rFonts w:hAnsi="宋体"/>
          <w:sz w:val="24"/>
        </w:rPr>
        <w:t>2006-2020</w:t>
      </w:r>
      <w:r>
        <w:rPr>
          <w:rFonts w:hint="eastAsia" w:hAnsi="宋体"/>
          <w:sz w:val="24"/>
        </w:rPr>
        <w:t>年）》，汨罗市保有耕地</w:t>
      </w:r>
      <w:r>
        <w:rPr>
          <w:rFonts w:hAnsi="宋体"/>
          <w:sz w:val="24"/>
        </w:rPr>
        <w:t>41036.47hm</w:t>
      </w:r>
      <w:r>
        <w:rPr>
          <w:rFonts w:hAnsi="宋体"/>
          <w:sz w:val="24"/>
          <w:vertAlign w:val="superscript"/>
        </w:rPr>
        <w:t>2</w:t>
      </w:r>
      <w:r>
        <w:rPr>
          <w:rFonts w:hint="eastAsia" w:hAnsi="宋体"/>
          <w:sz w:val="24"/>
        </w:rPr>
        <w:t>，占全市土地总的面积的</w:t>
      </w:r>
      <w:r>
        <w:rPr>
          <w:rFonts w:hAnsi="宋体"/>
          <w:sz w:val="24"/>
        </w:rPr>
        <w:t>27.64%</w:t>
      </w:r>
      <w:r>
        <w:rPr>
          <w:rFonts w:hint="eastAsia" w:hAnsi="宋体"/>
          <w:sz w:val="24"/>
        </w:rPr>
        <w:t>。本工程永久占用土地</w:t>
      </w:r>
      <w:r>
        <w:rPr>
          <w:rFonts w:hAnsi="宋体"/>
          <w:sz w:val="24"/>
        </w:rPr>
        <w:t>33.4hm</w:t>
      </w:r>
      <w:r>
        <w:rPr>
          <w:rFonts w:hAnsi="宋体"/>
          <w:sz w:val="24"/>
          <w:vertAlign w:val="superscript"/>
        </w:rPr>
        <w:t>2</w:t>
      </w:r>
      <w:r>
        <w:rPr>
          <w:rFonts w:hint="eastAsia" w:hAnsi="宋体"/>
          <w:sz w:val="24"/>
        </w:rPr>
        <w:t>，其中占用耕地</w:t>
      </w:r>
      <w:r>
        <w:rPr>
          <w:rFonts w:hAnsi="宋体"/>
          <w:sz w:val="24"/>
        </w:rPr>
        <w:t>8.7hm</w:t>
      </w:r>
      <w:r>
        <w:rPr>
          <w:rFonts w:hAnsi="宋体"/>
          <w:sz w:val="24"/>
          <w:vertAlign w:val="superscript"/>
        </w:rPr>
        <w:t>2</w:t>
      </w:r>
      <w:r>
        <w:rPr>
          <w:rFonts w:hint="eastAsia" w:hAnsi="宋体"/>
          <w:sz w:val="24"/>
        </w:rPr>
        <w:t>，占</w:t>
      </w:r>
      <w:r>
        <w:rPr>
          <w:rFonts w:hint="eastAsia" w:hAnsi="宋体"/>
          <w:sz w:val="24"/>
          <w:lang w:val="en-US" w:eastAsia="zh-CN"/>
        </w:rPr>
        <w:t>汨罗</w:t>
      </w:r>
      <w:r>
        <w:rPr>
          <w:rFonts w:hint="eastAsia" w:hAnsi="宋体"/>
          <w:sz w:val="24"/>
        </w:rPr>
        <w:t>市耕地总数的</w:t>
      </w:r>
      <w:r>
        <w:rPr>
          <w:rFonts w:hAnsi="宋体"/>
          <w:sz w:val="24"/>
        </w:rPr>
        <w:t>0.59%</w:t>
      </w:r>
      <w:r>
        <w:rPr>
          <w:rFonts w:hint="eastAsia" w:hAnsi="宋体"/>
          <w:sz w:val="24"/>
        </w:rPr>
        <w:t>。</w:t>
      </w:r>
    </w:p>
    <w:p>
      <w:pPr>
        <w:spacing w:line="360" w:lineRule="auto"/>
        <w:ind w:firstLine="31680" w:firstLineChars="200"/>
        <w:rPr>
          <w:rFonts w:hAnsi="宋体"/>
          <w:sz w:val="24"/>
        </w:rPr>
      </w:pPr>
      <w:r>
        <w:rPr>
          <w:rFonts w:hint="eastAsia" w:hAnsi="宋体"/>
          <w:sz w:val="24"/>
        </w:rPr>
        <w:t>由以上可知：就汨罗市而言，耕地减少数量有限。但具体到公路沿线受影响的村组，需要通过乡镇土地的重新调整，使受影响村组的人均耕地不至于降低。拟建工程占用一定的耕地数量，建设单位应当会同当地政府切实做好土地开发调整和征地补偿工作，项目占用基本农田的要按照“占一补一，占补平衡”的要求，保证工程区域内耕地数量，确保沿线居民生活质量不下降。</w:t>
      </w:r>
    </w:p>
    <w:p>
      <w:pPr>
        <w:pStyle w:val="6"/>
        <w:widowControl/>
        <w:ind w:left="567" w:hanging="567"/>
        <w:jc w:val="left"/>
      </w:pPr>
      <w:r>
        <w:rPr>
          <w:rFonts w:hint="eastAsia"/>
        </w:rPr>
        <w:t>公路临时占地影响分析</w:t>
      </w:r>
    </w:p>
    <w:p>
      <w:pPr>
        <w:autoSpaceDE w:val="0"/>
        <w:autoSpaceDN w:val="0"/>
        <w:spacing w:line="360" w:lineRule="auto"/>
        <w:ind w:firstLine="31680" w:firstLineChars="200"/>
        <w:jc w:val="left"/>
        <w:rPr>
          <w:kern w:val="0"/>
          <w:sz w:val="24"/>
          <w:szCs w:val="24"/>
        </w:rPr>
      </w:pPr>
      <w:r>
        <w:rPr>
          <w:rFonts w:hint="eastAsia"/>
          <w:sz w:val="24"/>
          <w:szCs w:val="24"/>
        </w:rPr>
        <w:t>本工程临时占地包括弃渣场、施工生产区、施工便道的占地，</w:t>
      </w:r>
      <w:r>
        <w:rPr>
          <w:rFonts w:hint="eastAsia"/>
          <w:kern w:val="0"/>
          <w:sz w:val="24"/>
          <w:szCs w:val="24"/>
        </w:rPr>
        <w:t>占地</w:t>
      </w:r>
      <w:r>
        <w:rPr>
          <w:rFonts w:hint="eastAsia"/>
          <w:sz w:val="24"/>
          <w:szCs w:val="24"/>
        </w:rPr>
        <w:t>面积</w:t>
      </w:r>
      <w:r>
        <w:rPr>
          <w:rFonts w:hint="eastAsia"/>
          <w:kern w:val="0"/>
          <w:sz w:val="24"/>
          <w:szCs w:val="24"/>
        </w:rPr>
        <w:t>约</w:t>
      </w:r>
      <w:r>
        <w:rPr>
          <w:sz w:val="24"/>
          <w:szCs w:val="24"/>
        </w:rPr>
        <w:t>5.81hm</w:t>
      </w:r>
      <w:r>
        <w:rPr>
          <w:sz w:val="24"/>
          <w:szCs w:val="24"/>
          <w:vertAlign w:val="superscript"/>
        </w:rPr>
        <w:t>2</w:t>
      </w:r>
      <w:r>
        <w:rPr>
          <w:rFonts w:hint="eastAsia"/>
          <w:sz w:val="24"/>
          <w:szCs w:val="24"/>
        </w:rPr>
        <w:t>，</w:t>
      </w:r>
      <w:r>
        <w:rPr>
          <w:rFonts w:hint="eastAsia"/>
          <w:kern w:val="0"/>
          <w:sz w:val="24"/>
          <w:szCs w:val="24"/>
        </w:rPr>
        <w:t>主要占地类型为杂木林和荒地。</w:t>
      </w:r>
    </w:p>
    <w:p>
      <w:pPr>
        <w:autoSpaceDE w:val="0"/>
        <w:autoSpaceDN w:val="0"/>
        <w:spacing w:line="360" w:lineRule="auto"/>
        <w:ind w:firstLine="31680" w:firstLineChars="200"/>
        <w:jc w:val="left"/>
        <w:rPr>
          <w:rFonts w:ascii="宋体" w:cs="宋体"/>
          <w:kern w:val="0"/>
          <w:sz w:val="24"/>
          <w:szCs w:val="24"/>
        </w:rPr>
      </w:pPr>
      <w:r>
        <w:rPr>
          <w:rFonts w:hint="eastAsia" w:ascii="宋体" w:cs="宋体"/>
          <w:kern w:val="0"/>
          <w:sz w:val="24"/>
          <w:szCs w:val="24"/>
        </w:rPr>
        <w:t>上述临时占地在进行施工作业时，由于机械碾压、施工人员践踏等，施工作业周围的农作物和植被将遭到不同程度的破坏，造成农作物和林地资源的减少，将对当地农业生产带来一定的负面影响。但临时占地对植被的破坏、对土地资源和农业生产的不利影响是暂时的、短期的、可恢复的，施工结束后可通过实施土地复耕等措施而得到恢复。</w:t>
      </w:r>
    </w:p>
    <w:p>
      <w:pPr>
        <w:autoSpaceDE w:val="0"/>
        <w:autoSpaceDN w:val="0"/>
        <w:spacing w:line="360" w:lineRule="auto"/>
        <w:ind w:firstLine="31680" w:firstLineChars="200"/>
        <w:jc w:val="left"/>
        <w:rPr>
          <w:kern w:val="0"/>
          <w:sz w:val="24"/>
          <w:szCs w:val="24"/>
        </w:rPr>
      </w:pPr>
      <w:r>
        <w:rPr>
          <w:rFonts w:hint="eastAsia"/>
          <w:kern w:val="0"/>
          <w:sz w:val="24"/>
          <w:szCs w:val="24"/>
        </w:rPr>
        <w:t>施工期临时征地需依据相关政策给予相应的补偿，另外公路临时占地如取弃土场占地在不同程度上将改变现有土地的使用功能，使临时占地性质发生变化。</w:t>
      </w:r>
    </w:p>
    <w:p>
      <w:pPr>
        <w:pStyle w:val="6"/>
        <w:widowControl/>
        <w:ind w:left="567" w:hanging="567"/>
        <w:jc w:val="left"/>
      </w:pPr>
      <w:r>
        <w:rPr>
          <w:rFonts w:hint="eastAsia"/>
        </w:rPr>
        <w:t>工程占地对农业生产的影响分析</w:t>
      </w:r>
    </w:p>
    <w:p>
      <w:pPr>
        <w:autoSpaceDE w:val="0"/>
        <w:autoSpaceDN w:val="0"/>
        <w:spacing w:line="360" w:lineRule="auto"/>
        <w:ind w:firstLine="31680" w:firstLineChars="200"/>
        <w:jc w:val="left"/>
        <w:rPr>
          <w:kern w:val="0"/>
          <w:sz w:val="24"/>
          <w:szCs w:val="24"/>
        </w:rPr>
      </w:pPr>
      <w:r>
        <w:rPr>
          <w:rFonts w:hint="eastAsia"/>
          <w:kern w:val="0"/>
          <w:sz w:val="24"/>
          <w:szCs w:val="24"/>
        </w:rPr>
        <w:t>土地是人类赖以生存的基础，被占用的土地将暂时或永久的失去农业生产能力，工程所征用土地中所占耕地比例较大，这对沿线农业生产会带来一定的损失。</w:t>
      </w:r>
    </w:p>
    <w:p>
      <w:pPr>
        <w:autoSpaceDE w:val="0"/>
        <w:autoSpaceDN w:val="0"/>
        <w:spacing w:line="360" w:lineRule="auto"/>
        <w:ind w:firstLine="31680" w:firstLineChars="200"/>
        <w:jc w:val="left"/>
        <w:rPr>
          <w:kern w:val="0"/>
          <w:sz w:val="24"/>
          <w:szCs w:val="24"/>
        </w:rPr>
      </w:pPr>
      <w:r>
        <w:rPr>
          <w:rFonts w:hint="eastAsia"/>
          <w:kern w:val="0"/>
          <w:sz w:val="24"/>
          <w:szCs w:val="24"/>
        </w:rPr>
        <w:t>本工程的建设虽然对当地农业生产带来了一定的不利影响，但公路的建设有利于该地区产品流通，打开市场，从而为当地经济开辟新的途径。当地的农产品特别是沿线乡镇的水果、蔬菜等运输更为容易，本公路的建成，将大大减少公路沿线乡镇因运输条件不好造成的经济损失，促进了农产品的销售，使未征用农田的产品输出加快。另外，相当数量的零售业和其他的就业机会，也会促进当地经济的发展，应该说本工程对当地第一产业造成的损失可以通过第二产业和第三产业的发展而得到补偿。</w:t>
      </w:r>
    </w:p>
    <w:p>
      <w:pPr>
        <w:pStyle w:val="6"/>
        <w:widowControl/>
        <w:ind w:left="567" w:hanging="567"/>
        <w:jc w:val="left"/>
      </w:pPr>
      <w:r>
        <w:rPr>
          <w:rFonts w:hint="eastAsia"/>
        </w:rPr>
        <w:t>工程占地对区域土地资源及利用格局的影响</w:t>
      </w:r>
    </w:p>
    <w:p>
      <w:pPr>
        <w:autoSpaceDE w:val="0"/>
        <w:autoSpaceDN w:val="0"/>
        <w:spacing w:line="360" w:lineRule="auto"/>
        <w:ind w:firstLine="31680" w:firstLineChars="200"/>
        <w:jc w:val="left"/>
        <w:rPr>
          <w:kern w:val="0"/>
          <w:sz w:val="24"/>
          <w:szCs w:val="24"/>
        </w:rPr>
      </w:pPr>
      <w:r>
        <w:rPr>
          <w:rFonts w:hint="eastAsia"/>
          <w:kern w:val="0"/>
          <w:sz w:val="24"/>
          <w:szCs w:val="24"/>
        </w:rPr>
        <w:t>根据前述分析可知，本项目永久占地中占用耕地</w:t>
      </w:r>
      <w:r>
        <w:rPr>
          <w:kern w:val="0"/>
          <w:sz w:val="24"/>
          <w:szCs w:val="24"/>
        </w:rPr>
        <w:t>33.41hm</w:t>
      </w:r>
      <w:r>
        <w:rPr>
          <w:kern w:val="0"/>
          <w:sz w:val="24"/>
          <w:szCs w:val="24"/>
          <w:vertAlign w:val="superscript"/>
        </w:rPr>
        <w:t>2</w:t>
      </w:r>
      <w:r>
        <w:rPr>
          <w:rFonts w:hint="eastAsia"/>
          <w:kern w:val="0"/>
          <w:sz w:val="24"/>
          <w:szCs w:val="24"/>
        </w:rPr>
        <w:t>，永久占地中主要占用地类型为水田和林地，分别为水田</w:t>
      </w:r>
      <w:r>
        <w:rPr>
          <w:kern w:val="0"/>
          <w:sz w:val="24"/>
          <w:szCs w:val="24"/>
        </w:rPr>
        <w:t>6.34hm</w:t>
      </w:r>
      <w:r>
        <w:rPr>
          <w:kern w:val="0"/>
          <w:sz w:val="24"/>
          <w:szCs w:val="24"/>
          <w:vertAlign w:val="superscript"/>
        </w:rPr>
        <w:t>2</w:t>
      </w:r>
      <w:r>
        <w:rPr>
          <w:rFonts w:hint="eastAsia"/>
          <w:kern w:val="0"/>
          <w:sz w:val="24"/>
          <w:szCs w:val="24"/>
        </w:rPr>
        <w:t>和</w:t>
      </w:r>
      <w:r>
        <w:rPr>
          <w:kern w:val="0"/>
          <w:sz w:val="24"/>
          <w:szCs w:val="24"/>
        </w:rPr>
        <w:t>16.07hm</w:t>
      </w:r>
      <w:r>
        <w:rPr>
          <w:kern w:val="0"/>
          <w:sz w:val="24"/>
          <w:szCs w:val="24"/>
          <w:vertAlign w:val="superscript"/>
        </w:rPr>
        <w:t>2</w:t>
      </w:r>
      <w:r>
        <w:rPr>
          <w:rFonts w:hint="eastAsia"/>
          <w:kern w:val="0"/>
          <w:sz w:val="24"/>
          <w:szCs w:val="24"/>
        </w:rPr>
        <w:t>，占总占地面积的</w:t>
      </w:r>
      <w:r>
        <w:rPr>
          <w:kern w:val="0"/>
          <w:sz w:val="24"/>
          <w:szCs w:val="24"/>
        </w:rPr>
        <w:t>19.0%</w:t>
      </w:r>
      <w:r>
        <w:rPr>
          <w:rFonts w:hint="eastAsia"/>
          <w:kern w:val="0"/>
          <w:sz w:val="24"/>
          <w:szCs w:val="24"/>
        </w:rPr>
        <w:t>及</w:t>
      </w:r>
      <w:r>
        <w:rPr>
          <w:kern w:val="0"/>
          <w:sz w:val="24"/>
          <w:szCs w:val="24"/>
        </w:rPr>
        <w:t>48.1%</w:t>
      </w:r>
      <w:r>
        <w:rPr>
          <w:rFonts w:hint="eastAsia"/>
          <w:kern w:val="0"/>
          <w:sz w:val="24"/>
          <w:szCs w:val="24"/>
        </w:rPr>
        <w:t>，因此其建设对工程影响区土地资源有一定影响，被占用的土地将丧失所有农业生产功能，这无疑会对公路沿线的农业生产带来一定的影响。</w:t>
      </w:r>
    </w:p>
    <w:p>
      <w:pPr>
        <w:autoSpaceDE w:val="0"/>
        <w:autoSpaceDN w:val="0"/>
        <w:spacing w:line="360" w:lineRule="auto"/>
        <w:ind w:firstLine="31680" w:firstLineChars="200"/>
        <w:jc w:val="left"/>
        <w:rPr>
          <w:kern w:val="0"/>
          <w:sz w:val="24"/>
          <w:szCs w:val="24"/>
        </w:rPr>
      </w:pPr>
      <w:r>
        <w:rPr>
          <w:rFonts w:hint="eastAsia"/>
          <w:kern w:val="0"/>
          <w:sz w:val="24"/>
          <w:szCs w:val="24"/>
        </w:rPr>
        <w:t>拟建工程建设占用耕地、林地等，改变了沿线原有土地的功能，影响了当地土地利用规划。因此在公路选线、定线前，应与当地国土资源部门沟通，充分调查研究当地土地利用总体规划中农用地、建设用地和未利用地规划，使土地占用符合相关法律法规的要求。占用耕地的，要严格落实补充耕地保护措施，符合国家严格土地管理和耕地保护条例要求。不可避免占用耕地、林地的，要积极推进土地整理，加强土地复耕，适度开发宜农林荒地。通过土地复耕，恢复、增加农用地面积，保证耕地不减少，质量有提高。</w:t>
      </w:r>
    </w:p>
    <w:p>
      <w:pPr>
        <w:autoSpaceDE w:val="0"/>
        <w:autoSpaceDN w:val="0"/>
        <w:spacing w:line="360" w:lineRule="auto"/>
        <w:ind w:firstLine="31680" w:firstLineChars="200"/>
        <w:jc w:val="left"/>
        <w:rPr>
          <w:kern w:val="0"/>
          <w:sz w:val="24"/>
          <w:szCs w:val="24"/>
        </w:rPr>
      </w:pPr>
      <w:r>
        <w:rPr>
          <w:rFonts w:hint="eastAsia"/>
          <w:kern w:val="0"/>
          <w:sz w:val="24"/>
          <w:szCs w:val="24"/>
        </w:rPr>
        <w:t>拟建公路投入运行后，区域土地利用格局会发生一定的变化。交通条件的改善，对沿线人口会产生较大的聚集作用，公路开通后的城镇化效应可能会使公路两边的土地改作它用，公路沿线将会出现新的产业带，特别是第三产业的发展以及新兴产业的出现，从而带动沿线经济发展，提高公路沿线的土地价值及沿线农村人口的就业率，实现占用土地的价值转换，为当地带来相应的社会、经济效益。因此，不论是从土地实际使用面积还是土地所实现的社会经济效益来看，公路占地对土地资源的影响不大。</w:t>
      </w:r>
    </w:p>
    <w:p>
      <w:pPr>
        <w:autoSpaceDE w:val="0"/>
        <w:autoSpaceDN w:val="0"/>
        <w:spacing w:line="360" w:lineRule="auto"/>
        <w:ind w:firstLine="31680" w:firstLineChars="200"/>
        <w:jc w:val="left"/>
        <w:rPr>
          <w:kern w:val="0"/>
          <w:sz w:val="24"/>
          <w:szCs w:val="24"/>
        </w:rPr>
      </w:pPr>
      <w:r>
        <w:rPr>
          <w:rFonts w:hint="eastAsia"/>
          <w:kern w:val="0"/>
          <w:sz w:val="24"/>
          <w:szCs w:val="24"/>
        </w:rPr>
        <w:t>但是，土地是一种无法再生的资源，土地的农业利用价值是其它用地无法替代的，因此，在设计施工中须注意土石方的纵向平衡，尽量减少借土或弃土量，尽可能少占耕地。</w:t>
      </w:r>
    </w:p>
    <w:p>
      <w:pPr>
        <w:pStyle w:val="5"/>
        <w:ind w:left="567" w:hanging="567"/>
      </w:pPr>
      <w:r>
        <w:rPr>
          <w:rFonts w:hint="eastAsia"/>
        </w:rPr>
        <w:t>拆迁安置对居民生活的影响</w:t>
      </w:r>
    </w:p>
    <w:p>
      <w:pPr>
        <w:pStyle w:val="3"/>
        <w:ind w:firstLine="31680"/>
      </w:pPr>
      <w:r>
        <w:rPr>
          <w:rFonts w:hint="eastAsia"/>
        </w:rPr>
        <w:t>本工程拆迁安置采取货币补偿为主的方式，尽量满足拆迁户建房和安置的需要，补偿费用一次性发放给拆迁户，减少中间环节，保障拆迁户的拆迁款落实到位。由于被拆迁居民的住房条件、人口构成等情况不一，所以在搬迁安置过程中所受到的影响程度也不尽相同，因此，地方政府应根据当地实际情况做好这些征地拆迁户的重新安置工作。主要抓好、落实以下几项工作：</w:t>
      </w:r>
    </w:p>
    <w:p>
      <w:pPr>
        <w:pStyle w:val="3"/>
        <w:ind w:firstLine="31680"/>
      </w:pPr>
      <w:r>
        <w:t>a</w:t>
      </w:r>
      <w:r>
        <w:rPr>
          <w:rFonts w:hint="eastAsia"/>
        </w:rPr>
        <w:t>）公路主管部门利用有效宣传手段，在沿线地区人大、政协和基层组织的协助下，大力宣传国家的有关经济安置补偿政策；</w:t>
      </w:r>
    </w:p>
    <w:p>
      <w:pPr>
        <w:pStyle w:val="3"/>
        <w:ind w:firstLine="31680"/>
      </w:pPr>
      <w:r>
        <w:t>b</w:t>
      </w:r>
      <w:r>
        <w:rPr>
          <w:rFonts w:hint="eastAsia"/>
        </w:rPr>
        <w:t>）建设单位要按签订的协议，将被征地、拆迁的各项补助费用及时支付给相应受影响的村组和居民；</w:t>
      </w:r>
    </w:p>
    <w:p>
      <w:pPr>
        <w:pStyle w:val="3"/>
        <w:ind w:firstLine="31680"/>
      </w:pPr>
      <w:r>
        <w:t>c</w:t>
      </w:r>
      <w:r>
        <w:rPr>
          <w:rFonts w:hint="eastAsia"/>
        </w:rPr>
        <w:t>）补助费用一定要专款专用，并按规定及时分到有关村组和个人，要充分发扬民主和尊重公民的基本权利，做到合理分配、使用各项补偿费：</w:t>
      </w:r>
    </w:p>
    <w:p>
      <w:pPr>
        <w:pStyle w:val="3"/>
        <w:ind w:firstLine="31680"/>
      </w:pPr>
      <w:r>
        <w:t>d</w:t>
      </w:r>
      <w:r>
        <w:rPr>
          <w:rFonts w:hint="eastAsia"/>
        </w:rPr>
        <w:t>）做好征用土地户和拆迁户的调查工作，按镇村建设规划，对拆迁户及时划定宅基地，征地拆迁费及时发放给拆迁户，保证受影响者生活水平不降低。</w:t>
      </w:r>
    </w:p>
    <w:p>
      <w:pPr>
        <w:pStyle w:val="3"/>
        <w:ind w:firstLine="31680"/>
      </w:pPr>
      <w:r>
        <w:rPr>
          <w:rFonts w:hint="eastAsia"/>
        </w:rPr>
        <w:t>虽然本工程涉及的拆迁范围和拆迁人数较小，若能贯彻拆迁安置政策和落实好各项措施，最大限度保留拆迁户的原有生活环境，改善拆迁户的生活条件，本工程给拆迁户生活习惯带来的影响是有限的。</w:t>
      </w:r>
    </w:p>
    <w:p>
      <w:pPr>
        <w:pStyle w:val="6"/>
        <w:ind w:left="567" w:hanging="567"/>
      </w:pPr>
      <w:r>
        <w:rPr>
          <w:rFonts w:hint="eastAsia"/>
        </w:rPr>
        <w:t>居民拆迁安置对环境的影响</w:t>
      </w:r>
    </w:p>
    <w:p>
      <w:pPr>
        <w:pStyle w:val="3"/>
        <w:ind w:firstLine="31680"/>
      </w:pPr>
      <w:r>
        <w:rPr>
          <w:rFonts w:hint="eastAsia"/>
        </w:rPr>
        <w:t>根据现状调查，拟建公路拆迁居民的房屋多为砖混结构房，拆除后除部分可利用外，废弃的建筑垃圾若随意堆弃则会对公路沿线的生态环境及景观产生一定的不利影响。为保护生态环境，拆除过程中废弃的建筑垃圾不得随意堆放，应运至附近选定的渣场集中堆放。</w:t>
      </w:r>
    </w:p>
    <w:p>
      <w:pPr>
        <w:pStyle w:val="3"/>
        <w:ind w:firstLine="31680"/>
      </w:pPr>
      <w:r>
        <w:rPr>
          <w:rFonts w:hint="eastAsia"/>
        </w:rPr>
        <w:t>拆迁建房、生产安置过程中，若无序占用耕地、林地建房、毁林开荒，则易造成新的水土流失和植被破坏，还会带来当地社会不稳定等一些社会问题。因此，在不影响该地区发展规划的前提下，建房、生产安置应由受影响的镇及其所属村制定实施规划，按就近安置原则，妥善解决。安置地点一定要结合当的长远规划，避免近期内出现二次拆迁象。同时在拆迁过程中，应注意采取以下环保措施：</w:t>
      </w:r>
    </w:p>
    <w:p>
      <w:pPr>
        <w:pStyle w:val="3"/>
        <w:ind w:firstLine="31680"/>
      </w:pPr>
      <w:r>
        <w:t>a</w:t>
      </w:r>
      <w:r>
        <w:rPr>
          <w:rFonts w:hint="eastAsia"/>
        </w:rPr>
        <w:t>）拆迁安置占地应统一规划，安置地内建房严禁乱占耕地，保护土地资源。在“三通一平”过程中产生的废土、废渣不得任意向沟道倾倒，尽量结合打基垫院，用于平整宅基地，充分利用弃土。当用于院内平台填方时，应分层夯实，以满足稳定要求。剩余弃渣结合村、镇建设，集中统一堆置，并及时绿化；</w:t>
      </w:r>
    </w:p>
    <w:p>
      <w:pPr>
        <w:pStyle w:val="3"/>
        <w:ind w:firstLine="31680"/>
      </w:pPr>
      <w:r>
        <w:t>b</w:t>
      </w:r>
      <w:r>
        <w:rPr>
          <w:rFonts w:hint="eastAsia"/>
        </w:rPr>
        <w:t>）开荒、改造中低产田地，应先将表土层剥离保护，待开荒建设耕地和改造中低产田完成后，把表土层回填覆盖在其表面，有利于加快新开和改造土地熟化，尽快提高耕地生产潜力和恢复地表植被；</w:t>
      </w:r>
    </w:p>
    <w:p>
      <w:pPr>
        <w:pStyle w:val="3"/>
        <w:ind w:firstLine="31680"/>
      </w:pPr>
      <w:r>
        <w:t>c</w:t>
      </w:r>
      <w:r>
        <w:rPr>
          <w:rFonts w:hint="eastAsia"/>
        </w:rPr>
        <w:t>）拆迁安置地建设应合理布设排水系统，以免径流集聚造成村庄被冲刷，引起水土流失。同时，应配套建设生活污水收集、处理与资源化设施，避免因生活污水直接排放而引起的农村河道、土壤和农产品污染；</w:t>
      </w:r>
    </w:p>
    <w:p>
      <w:pPr>
        <w:pStyle w:val="3"/>
        <w:ind w:firstLine="31680"/>
      </w:pPr>
      <w:r>
        <w:t>d</w:t>
      </w:r>
      <w:r>
        <w:rPr>
          <w:rFonts w:hint="eastAsia"/>
        </w:rPr>
        <w:t>）拆迁工程完工后，对建筑垃圾进行分类，木头、砖头尽量回收利用，其余废方就地运至附近弃渣场。同时在拆迁安置地搞好村镇绿化，积极开展“四旁”植树和道路绿化，以美化环境，保护村庄，发展庭院经济。绿化时应采用安置地适生树种，做到适地适树，应种植一些常绿乔、灌木以及布置花卉、草坪等，以达到保持水土、恢复和改善景观的目的。拆迁安置地应根据建设社会主义新农村的要求，配套建设生活垃圾收集、转运系统；</w:t>
      </w:r>
    </w:p>
    <w:p>
      <w:pPr>
        <w:pStyle w:val="3"/>
        <w:ind w:firstLine="31680"/>
      </w:pPr>
      <w:r>
        <w:t>e</w:t>
      </w:r>
      <w:r>
        <w:rPr>
          <w:rFonts w:hint="eastAsia"/>
        </w:rPr>
        <w:t>）拆迁安置房建设应设于公路征地红线</w:t>
      </w:r>
      <w:r>
        <w:t>50m</w:t>
      </w:r>
      <w:r>
        <w:rPr>
          <w:rFonts w:hint="eastAsia"/>
        </w:rPr>
        <w:t>以外。</w:t>
      </w:r>
    </w:p>
    <w:p>
      <w:pPr>
        <w:pStyle w:val="6"/>
        <w:ind w:left="567" w:hanging="567"/>
      </w:pPr>
      <w:r>
        <w:rPr>
          <w:rFonts w:hint="eastAsia"/>
        </w:rPr>
        <w:t>工程征地拆迁对沿线农产生计方式的影响分析</w:t>
      </w:r>
    </w:p>
    <w:p>
      <w:pPr>
        <w:pStyle w:val="3"/>
        <w:ind w:firstLine="31680"/>
      </w:pPr>
      <w:r>
        <w:rPr>
          <w:rFonts w:hint="eastAsia"/>
        </w:rPr>
        <w:t>从前述工程沿线农产生计方式现状可知，沿线农民家庭经济来源主要以种植业为主，以其他副业为第二主要经济来源；在种植业为第一经济来源者中，主要为种植粮食蔬菜，其次为种植经济作物，工程影响区内农产对土地的依赖性较强。但是，在调查中评价单位还了解到，当地农民普遍认为，种地的土地效益低，收入少，而其他生计方式收益较高。沿线农民渴望改变目前种植的现状，只是由于拟建公路沿线大多数地区地处农村环境，没有其他更好的生计方式可以选择。因此，本工程建设得到沿线地方政府和居民的广泛大力支持，他们对建设该公路、发展当地经济、解决当地交通条件的期望值很高。</w:t>
      </w:r>
    </w:p>
    <w:p>
      <w:pPr>
        <w:pStyle w:val="6"/>
        <w:ind w:left="567" w:hanging="567"/>
      </w:pPr>
      <w:r>
        <w:rPr>
          <w:rFonts w:hint="eastAsia"/>
        </w:rPr>
        <w:t>拆迁对农民生活质量的影响</w:t>
      </w:r>
    </w:p>
    <w:p>
      <w:pPr>
        <w:pStyle w:val="3"/>
        <w:ind w:firstLine="31680"/>
      </w:pPr>
      <w:r>
        <w:rPr>
          <w:rFonts w:hint="eastAsia"/>
        </w:rPr>
        <w:t>拆迁对农民的影响程度主要取决于拆迁补偿和再安置措施是否合理。若能得到合理的补偿，使农民盖得起新房，一般都能得到拆迁户的支持和理解，也有利于改善当地农民的居住条件，因此拆迁对农民生活质量的不利影响比较小。</w:t>
      </w:r>
    </w:p>
    <w:p>
      <w:pPr>
        <w:pStyle w:val="3"/>
        <w:ind w:firstLine="31680"/>
      </w:pPr>
      <w:r>
        <w:rPr>
          <w:rFonts w:hint="eastAsia"/>
        </w:rPr>
        <w:t>本项目拆迁安置采用货币补偿为主，一般大部分拆迁户取得补偿款后会采取就地靠后修建新房，这样拆迁户仍然生活在原来村庄，生活环境没有改变，对农民的生活影响较小，同时由于现有的自然村落已形成人类生活环境，可减小对自然的生态环境的影响；部分拆迁户会迁移到镇区或者县城居住，这部分拆迁户在城镇生活，相对来说提高了农民生活质量。</w:t>
      </w:r>
    </w:p>
    <w:p>
      <w:pPr>
        <w:pStyle w:val="3"/>
        <w:ind w:firstLine="31680"/>
        <w:sectPr>
          <w:footerReference r:id="rId13" w:type="default"/>
          <w:pgSz w:w="11907" w:h="16840"/>
          <w:pgMar w:top="1474" w:right="1361" w:bottom="1474" w:left="1588" w:header="850" w:footer="851" w:gutter="0"/>
          <w:pgBorders>
            <w:top w:val="none" w:sz="0" w:space="0"/>
            <w:left w:val="none" w:sz="0" w:space="0"/>
            <w:bottom w:val="none" w:sz="0" w:space="0"/>
            <w:right w:val="none" w:sz="0" w:space="0"/>
          </w:pgBorders>
          <w:cols w:space="425" w:num="1"/>
          <w:docGrid w:linePitch="286" w:charSpace="0"/>
        </w:sectPr>
      </w:pPr>
    </w:p>
    <w:p>
      <w:pPr>
        <w:pStyle w:val="2"/>
        <w:ind w:left="567" w:hanging="567"/>
      </w:pPr>
      <w:bookmarkStart w:id="258" w:name="_Toc26090"/>
      <w:r>
        <w:rPr>
          <w:rFonts w:hint="eastAsia"/>
        </w:rPr>
        <w:t>环境可行性分析</w:t>
      </w:r>
      <w:bookmarkEnd w:id="258"/>
    </w:p>
    <w:p>
      <w:pPr>
        <w:pStyle w:val="4"/>
        <w:ind w:left="567" w:hanging="567"/>
      </w:pPr>
      <w:bookmarkStart w:id="259" w:name="_Toc16365"/>
      <w:r>
        <w:rPr>
          <w:rFonts w:hint="eastAsia"/>
        </w:rPr>
        <w:t>与相关规划的符合性分析</w:t>
      </w:r>
      <w:bookmarkEnd w:id="259"/>
    </w:p>
    <w:p>
      <w:pPr>
        <w:pStyle w:val="5"/>
        <w:widowControl/>
        <w:ind w:left="567" w:hanging="567"/>
      </w:pPr>
      <w:r>
        <w:rPr>
          <w:rFonts w:hint="eastAsia"/>
        </w:rPr>
        <w:t>与产业政策的符合性分析</w:t>
      </w:r>
    </w:p>
    <w:p>
      <w:pPr>
        <w:spacing w:line="480" w:lineRule="exact"/>
        <w:ind w:firstLine="31680" w:firstLineChars="200"/>
        <w:rPr>
          <w:sz w:val="24"/>
        </w:rPr>
      </w:pPr>
      <w:r>
        <w:rPr>
          <w:rFonts w:hint="eastAsia"/>
          <w:sz w:val="24"/>
        </w:rPr>
        <w:t>根据《产业结构调整指导目录</w:t>
      </w:r>
      <w:r>
        <w:rPr>
          <w:sz w:val="24"/>
        </w:rPr>
        <w:t>(2011</w:t>
      </w:r>
      <w:r>
        <w:rPr>
          <w:rFonts w:hint="eastAsia"/>
          <w:sz w:val="24"/>
        </w:rPr>
        <w:t>年本</w:t>
      </w:r>
      <w:r>
        <w:rPr>
          <w:sz w:val="24"/>
        </w:rPr>
        <w:t>)</w:t>
      </w:r>
      <w:r>
        <w:rPr>
          <w:rFonts w:hint="eastAsia"/>
          <w:sz w:val="24"/>
        </w:rPr>
        <w:t>》（</w:t>
      </w:r>
      <w:r>
        <w:rPr>
          <w:sz w:val="24"/>
        </w:rPr>
        <w:t>2013</w:t>
      </w:r>
      <w:r>
        <w:rPr>
          <w:rFonts w:hint="eastAsia"/>
          <w:sz w:val="24"/>
        </w:rPr>
        <w:t>年修正）可知，本项目属于国家鼓励类中“第二十四项公路及道路运输”中的“</w:t>
      </w:r>
      <w:r>
        <w:rPr>
          <w:sz w:val="24"/>
        </w:rPr>
        <w:t>12</w:t>
      </w:r>
      <w:r>
        <w:rPr>
          <w:rFonts w:hint="eastAsia"/>
          <w:sz w:val="24"/>
        </w:rPr>
        <w:t>、农村公路建设”，因此，本项目属于鼓励类项目，符合国家产业政策要求。</w:t>
      </w:r>
    </w:p>
    <w:p>
      <w:pPr>
        <w:spacing w:line="480" w:lineRule="exact"/>
        <w:rPr>
          <w:sz w:val="24"/>
        </w:rPr>
      </w:pPr>
      <w:r>
        <w:rPr>
          <w:sz w:val="24"/>
        </w:rPr>
        <w:t xml:space="preserve">8.1.2 </w:t>
      </w:r>
      <w:r>
        <w:rPr>
          <w:rFonts w:hint="eastAsia"/>
          <w:sz w:val="24"/>
        </w:rPr>
        <w:t>与规划相符性分析</w:t>
      </w:r>
    </w:p>
    <w:p>
      <w:pPr>
        <w:spacing w:line="480" w:lineRule="exact"/>
        <w:ind w:firstLine="31680" w:firstLineChars="200"/>
        <w:rPr>
          <w:rFonts w:cs="宋体"/>
          <w:kern w:val="0"/>
          <w:sz w:val="24"/>
        </w:rPr>
      </w:pPr>
      <w:r>
        <w:rPr>
          <w:rFonts w:hint="eastAsia" w:cs="宋体"/>
          <w:kern w:val="0"/>
          <w:sz w:val="24"/>
        </w:rPr>
        <w:t>本项目建设已取得汨罗市规划局颁发的选址意见，符合城乡规划要求。</w:t>
      </w:r>
    </w:p>
    <w:p>
      <w:pPr>
        <w:spacing w:line="480" w:lineRule="exact"/>
        <w:ind w:firstLine="31680" w:firstLineChars="200"/>
        <w:rPr>
          <w:rFonts w:cs="宋体"/>
          <w:kern w:val="0"/>
          <w:sz w:val="24"/>
        </w:rPr>
      </w:pPr>
      <w:r>
        <w:rPr>
          <w:rFonts w:hint="eastAsia" w:cs="宋体"/>
          <w:kern w:val="0"/>
          <w:sz w:val="24"/>
        </w:rPr>
        <w:t>本项目得到汨罗市政委政府及各部门的高度重视和大力推进，项目建设符合当地社会经济发展规划。</w:t>
      </w:r>
    </w:p>
    <w:p>
      <w:pPr>
        <w:pStyle w:val="5"/>
        <w:widowControl/>
        <w:ind w:left="567" w:hanging="567"/>
      </w:pPr>
      <w:r>
        <w:rPr>
          <w:rFonts w:hint="eastAsia"/>
        </w:rPr>
        <w:t>与《汨罗市综合交通运输“十三五”发展规划》的符合性分析</w:t>
      </w:r>
    </w:p>
    <w:p>
      <w:pPr>
        <w:pStyle w:val="3"/>
        <w:ind w:firstLine="31680"/>
      </w:pPr>
      <w:r>
        <w:rPr>
          <w:rFonts w:hint="eastAsia"/>
          <w:szCs w:val="24"/>
        </w:rPr>
        <w:t>本工程建设内容已纳入</w:t>
      </w:r>
      <w:r>
        <w:rPr>
          <w:rFonts w:hint="eastAsia"/>
        </w:rPr>
        <w:t>《汨罗市综合交通运输“十三五”发展规划》。</w:t>
      </w:r>
    </w:p>
    <w:p>
      <w:pPr>
        <w:pStyle w:val="5"/>
        <w:tabs>
          <w:tab w:val="left" w:pos="360"/>
        </w:tabs>
        <w:ind w:left="720"/>
        <w:rPr>
          <w:color w:val="auto"/>
        </w:rPr>
      </w:pPr>
      <w:r>
        <w:rPr>
          <w:rFonts w:hint="eastAsia"/>
        </w:rPr>
        <w:t>项目建设与沿线集镇规划相符性</w:t>
      </w:r>
      <w:r>
        <w:rPr>
          <w:rFonts w:hint="eastAsia"/>
          <w:color w:val="auto"/>
        </w:rPr>
        <w:t>分析</w:t>
      </w:r>
    </w:p>
    <w:p>
      <w:pPr>
        <w:spacing w:line="360" w:lineRule="auto"/>
        <w:ind w:firstLine="31680" w:firstLineChars="200"/>
        <w:rPr>
          <w:color w:val="auto"/>
          <w:kern w:val="0"/>
          <w:sz w:val="24"/>
          <w:szCs w:val="24"/>
        </w:rPr>
      </w:pPr>
      <w:r>
        <w:rPr>
          <w:rFonts w:hint="eastAsia"/>
          <w:color w:val="auto"/>
          <w:kern w:val="0"/>
          <w:sz w:val="24"/>
          <w:szCs w:val="24"/>
        </w:rPr>
        <w:t>拟建公路主要涉及的集镇为弼时镇。</w:t>
      </w:r>
      <w:r>
        <w:rPr>
          <w:rFonts w:hint="eastAsia"/>
          <w:color w:val="auto"/>
          <w:kern w:val="0"/>
          <w:sz w:val="24"/>
          <w:szCs w:val="24"/>
          <w:lang w:val="en-US" w:eastAsia="zh-CN"/>
        </w:rPr>
        <w:t>属于湖南汨罗循环经济产业园长沙经济技术开发区《汨罗（弼时）产业园总体规划2014-2030  道路系统规划》，同时根据《关于推进长沙经开区汨罗产业园项目建设的会议纪要》（汨府阅【2016】41号）本项目属于会议推进的三个重要项目之一。符合汨罗产业园总体规划。</w:t>
      </w:r>
    </w:p>
    <w:p>
      <w:pPr>
        <w:spacing w:line="360" w:lineRule="auto"/>
        <w:ind w:firstLine="31680" w:firstLineChars="200"/>
        <w:rPr>
          <w:kern w:val="0"/>
          <w:sz w:val="24"/>
          <w:szCs w:val="24"/>
        </w:rPr>
      </w:pPr>
      <w:r>
        <w:rPr>
          <w:rFonts w:hint="eastAsia"/>
          <w:color w:val="auto"/>
          <w:kern w:val="0"/>
          <w:sz w:val="24"/>
          <w:szCs w:val="24"/>
        </w:rPr>
        <w:t>项目弼时镇路段经过铜盆村、桃花村、大陆村、莲花村、大</w:t>
      </w:r>
      <w:r>
        <w:rPr>
          <w:rFonts w:hint="eastAsia"/>
          <w:kern w:val="0"/>
          <w:sz w:val="24"/>
          <w:szCs w:val="24"/>
        </w:rPr>
        <w:t>里塘村，距离集镇中心区域约</w:t>
      </w:r>
      <w:r>
        <w:rPr>
          <w:kern w:val="0"/>
          <w:sz w:val="24"/>
          <w:szCs w:val="24"/>
        </w:rPr>
        <w:t>1km</w:t>
      </w:r>
      <w:r>
        <w:rPr>
          <w:rFonts w:hint="eastAsia"/>
          <w:kern w:val="0"/>
          <w:sz w:val="24"/>
          <w:szCs w:val="24"/>
        </w:rPr>
        <w:t>，不影响渡头塘镇集镇区的发展和交通；项目线路通过渡头塘镇增加片区，便于加强渡头塘镇增加片区与邻近乡镇的联系，有利于提升区域公路通行能力，完善区域路网结构，为区域资源的开发利用提供交通支撑，并对促进弼时镇经济发展具有重大的作用，与弼时镇城镇总体规划相协调。</w:t>
      </w:r>
    </w:p>
    <w:p>
      <w:pPr>
        <w:spacing w:line="360" w:lineRule="auto"/>
        <w:ind w:firstLine="31680" w:firstLineChars="200"/>
        <w:rPr>
          <w:kern w:val="0"/>
          <w:sz w:val="24"/>
          <w:szCs w:val="24"/>
        </w:rPr>
      </w:pPr>
      <w:r>
        <w:rPr>
          <w:rFonts w:hint="eastAsia"/>
          <w:kern w:val="0"/>
          <w:sz w:val="24"/>
          <w:szCs w:val="24"/>
        </w:rPr>
        <w:t>目前弼时镇集镇区域内已有</w:t>
      </w:r>
      <w:r>
        <w:rPr>
          <w:kern w:val="0"/>
          <w:sz w:val="24"/>
          <w:szCs w:val="24"/>
        </w:rPr>
        <w:t>G107</w:t>
      </w:r>
      <w:r>
        <w:rPr>
          <w:rFonts w:hint="eastAsia"/>
          <w:kern w:val="0"/>
          <w:sz w:val="24"/>
          <w:szCs w:val="24"/>
        </w:rPr>
        <w:t>，车流量较大，项目起点位于弼时镇铜盆村，终点位于大里塘村，与现有老</w:t>
      </w:r>
      <w:r>
        <w:rPr>
          <w:kern w:val="0"/>
          <w:sz w:val="24"/>
          <w:szCs w:val="24"/>
        </w:rPr>
        <w:t>G107</w:t>
      </w:r>
      <w:r>
        <w:rPr>
          <w:rFonts w:hint="eastAsia"/>
          <w:kern w:val="0"/>
          <w:sz w:val="24"/>
          <w:szCs w:val="24"/>
        </w:rPr>
        <w:t>平行走线，避免了造成道路通行能力受限；另外，预留了一定的镇区发展空间，与弼时镇城镇总体规划相协调。</w:t>
      </w:r>
    </w:p>
    <w:p>
      <w:pPr>
        <w:spacing w:line="360" w:lineRule="auto"/>
        <w:ind w:firstLine="31680" w:firstLineChars="200"/>
        <w:rPr>
          <w:kern w:val="0"/>
          <w:sz w:val="24"/>
          <w:szCs w:val="24"/>
        </w:rPr>
      </w:pPr>
      <w:r>
        <w:rPr>
          <w:rFonts w:hint="eastAsia"/>
          <w:kern w:val="0"/>
          <w:sz w:val="24"/>
          <w:szCs w:val="24"/>
        </w:rPr>
        <w:t>项目的建设将改善区域交通状况，提高交通通行能力，促进区域内的矿产资源开采，推动区域经济的快速发展。</w:t>
      </w:r>
    </w:p>
    <w:p>
      <w:pPr>
        <w:spacing w:line="360" w:lineRule="auto"/>
        <w:ind w:firstLine="31680" w:firstLineChars="200"/>
        <w:rPr>
          <w:kern w:val="0"/>
          <w:sz w:val="24"/>
          <w:szCs w:val="24"/>
        </w:rPr>
      </w:pPr>
      <w:r>
        <w:rPr>
          <w:rFonts w:hint="eastAsia"/>
          <w:kern w:val="0"/>
          <w:sz w:val="24"/>
          <w:szCs w:val="24"/>
        </w:rPr>
        <w:t>本项目沿线由于交通闭塞，信息不灵，农产品运输困难，居民生活水平普遍偏低。</w:t>
      </w:r>
      <w:r>
        <w:rPr>
          <w:rFonts w:hint="eastAsia"/>
          <w:kern w:val="0"/>
          <w:sz w:val="24"/>
          <w:szCs w:val="24"/>
          <w:lang w:val="en-US" w:eastAsia="zh-CN"/>
        </w:rPr>
        <w:t>汨罗</w:t>
      </w:r>
      <w:r>
        <w:rPr>
          <w:rFonts w:hint="eastAsia"/>
          <w:kern w:val="0"/>
          <w:sz w:val="24"/>
          <w:szCs w:val="24"/>
        </w:rPr>
        <w:t>境内矿产资源和旅游资源十分丰富。本项目的建设可以提高弼时镇矿产及农产品运输效率。项目建成后对区域内的弼时镇生态农业的开发与建设，对沿线贫困人口的脱贫致富、建设社会主义新农村具有重要的政治意义。</w:t>
      </w:r>
    </w:p>
    <w:p>
      <w:pPr>
        <w:spacing w:line="360" w:lineRule="auto"/>
        <w:ind w:firstLine="31680" w:firstLineChars="200"/>
        <w:rPr>
          <w:kern w:val="0"/>
          <w:sz w:val="24"/>
          <w:szCs w:val="24"/>
        </w:rPr>
      </w:pPr>
      <w:r>
        <w:rPr>
          <w:rFonts w:hint="eastAsia"/>
          <w:kern w:val="0"/>
          <w:sz w:val="24"/>
          <w:szCs w:val="24"/>
        </w:rPr>
        <w:t>本项目实施后，将</w:t>
      </w:r>
      <w:r>
        <w:rPr>
          <w:kern w:val="0"/>
          <w:sz w:val="24"/>
          <w:szCs w:val="24"/>
        </w:rPr>
        <w:t>G107</w:t>
      </w:r>
      <w:r>
        <w:rPr>
          <w:rFonts w:hint="eastAsia"/>
          <w:kern w:val="0"/>
          <w:sz w:val="24"/>
          <w:szCs w:val="24"/>
        </w:rPr>
        <w:t>线连接成网，大大提高区域路网交通流的运输效率，从而优化和完善区域路网结构，提高路网整体运输效率。</w:t>
      </w:r>
    </w:p>
    <w:p>
      <w:pPr>
        <w:pStyle w:val="5"/>
        <w:widowControl/>
        <w:ind w:left="567" w:hanging="567"/>
        <w:rPr>
          <w:bCs w:val="0"/>
          <w:szCs w:val="24"/>
        </w:rPr>
      </w:pPr>
      <w:r>
        <w:rPr>
          <w:rFonts w:hint="eastAsia"/>
          <w:bCs w:val="0"/>
          <w:szCs w:val="24"/>
        </w:rPr>
        <w:t>拟建项目与《公路建设项目用地指标》建标（</w:t>
      </w:r>
      <w:r>
        <w:rPr>
          <w:bCs w:val="0"/>
          <w:szCs w:val="24"/>
        </w:rPr>
        <w:t>2011</w:t>
      </w:r>
      <w:r>
        <w:rPr>
          <w:rFonts w:hint="eastAsia"/>
          <w:bCs w:val="0"/>
          <w:szCs w:val="24"/>
        </w:rPr>
        <w:t>）</w:t>
      </w:r>
      <w:r>
        <w:rPr>
          <w:bCs w:val="0"/>
          <w:szCs w:val="24"/>
        </w:rPr>
        <w:t>124</w:t>
      </w:r>
      <w:r>
        <w:rPr>
          <w:rFonts w:hint="eastAsia"/>
          <w:bCs w:val="0"/>
          <w:szCs w:val="24"/>
        </w:rPr>
        <w:t>号的符合性</w:t>
      </w:r>
    </w:p>
    <w:p>
      <w:pPr>
        <w:spacing w:line="360" w:lineRule="auto"/>
        <w:ind w:firstLine="480"/>
        <w:rPr>
          <w:kern w:val="0"/>
          <w:sz w:val="24"/>
        </w:rPr>
      </w:pPr>
      <w:r>
        <w:rPr>
          <w:rFonts w:hint="eastAsia"/>
          <w:kern w:val="0"/>
          <w:sz w:val="24"/>
        </w:rPr>
        <w:t>拟建项目在设计的过程中已经考虑了选线时尽量少占耕地和基本农田，其余路段均沿山脚缓坡展线，根据《公路建设项目用地指标》建标（</w:t>
      </w:r>
      <w:r>
        <w:rPr>
          <w:kern w:val="0"/>
          <w:sz w:val="24"/>
        </w:rPr>
        <w:t>2011</w:t>
      </w:r>
      <w:r>
        <w:rPr>
          <w:rFonts w:hint="eastAsia"/>
          <w:kern w:val="0"/>
          <w:sz w:val="24"/>
        </w:rPr>
        <w:t>）</w:t>
      </w:r>
      <w:r>
        <w:rPr>
          <w:kern w:val="0"/>
          <w:sz w:val="24"/>
        </w:rPr>
        <w:t>124</w:t>
      </w:r>
      <w:r>
        <w:rPr>
          <w:rFonts w:hint="eastAsia"/>
          <w:kern w:val="0"/>
          <w:sz w:val="24"/>
        </w:rPr>
        <w:t>号的要求，在</w:t>
      </w:r>
      <w:r>
        <w:rPr>
          <w:kern w:val="0"/>
          <w:sz w:val="24"/>
        </w:rPr>
        <w:t>III</w:t>
      </w:r>
      <w:r>
        <w:rPr>
          <w:rFonts w:hint="eastAsia"/>
          <w:kern w:val="0"/>
          <w:sz w:val="24"/>
        </w:rPr>
        <w:t>类地区二级公路路基宽</w:t>
      </w:r>
      <w:r>
        <w:rPr>
          <w:kern w:val="0"/>
          <w:sz w:val="24"/>
        </w:rPr>
        <w:t>25.5m</w:t>
      </w:r>
      <w:r>
        <w:rPr>
          <w:rFonts w:hint="eastAsia"/>
          <w:kern w:val="0"/>
          <w:sz w:val="24"/>
        </w:rPr>
        <w:t>时，本项目总体用地指标应控制在</w:t>
      </w:r>
      <w:r>
        <w:rPr>
          <w:kern w:val="0"/>
          <w:sz w:val="24"/>
        </w:rPr>
        <w:t>6.0325hm</w:t>
      </w:r>
      <w:r>
        <w:rPr>
          <w:kern w:val="0"/>
          <w:sz w:val="24"/>
          <w:vertAlign w:val="superscript"/>
        </w:rPr>
        <w:t>2</w:t>
      </w:r>
      <w:r>
        <w:rPr>
          <w:kern w:val="0"/>
          <w:sz w:val="24"/>
        </w:rPr>
        <w:t>/km</w:t>
      </w:r>
      <w:r>
        <w:rPr>
          <w:rFonts w:hint="eastAsia"/>
        </w:rPr>
        <w:t>，</w:t>
      </w:r>
      <w:r>
        <w:rPr>
          <w:rFonts w:hint="eastAsia"/>
          <w:kern w:val="0"/>
          <w:sz w:val="24"/>
        </w:rPr>
        <w:t>经计算本项目实际用地为</w:t>
      </w:r>
      <w:r>
        <w:rPr>
          <w:kern w:val="0"/>
          <w:sz w:val="24"/>
        </w:rPr>
        <w:t>3.99hm</w:t>
      </w:r>
      <w:r>
        <w:rPr>
          <w:kern w:val="0"/>
          <w:sz w:val="24"/>
          <w:vertAlign w:val="superscript"/>
        </w:rPr>
        <w:t>2</w:t>
      </w:r>
      <w:r>
        <w:rPr>
          <w:kern w:val="0"/>
          <w:sz w:val="24"/>
        </w:rPr>
        <w:t>/km</w:t>
      </w:r>
      <w:r>
        <w:rPr>
          <w:rFonts w:hint="eastAsia"/>
          <w:kern w:val="0"/>
          <w:sz w:val="24"/>
        </w:rPr>
        <w:t>，完全符合《公路工程项目建设用地指标》规定的用地要求，属于节约环保型用地项目。</w:t>
      </w:r>
      <w:bookmarkStart w:id="260" w:name="OLE_LINK2"/>
    </w:p>
    <w:bookmarkEnd w:id="260"/>
    <w:p>
      <w:pPr>
        <w:pStyle w:val="4"/>
        <w:ind w:left="567" w:hanging="567"/>
        <w:rPr>
          <w:u w:val="single"/>
        </w:rPr>
      </w:pPr>
      <w:bookmarkStart w:id="261" w:name="_Toc26819"/>
      <w:r>
        <w:rPr>
          <w:rFonts w:hint="eastAsia"/>
          <w:u w:val="single"/>
        </w:rPr>
        <w:t>选线方案合理性分析</w:t>
      </w:r>
      <w:bookmarkEnd w:id="261"/>
    </w:p>
    <w:p>
      <w:pPr>
        <w:pStyle w:val="5"/>
        <w:ind w:left="567" w:hanging="567"/>
        <w:rPr>
          <w:u w:val="single"/>
        </w:rPr>
      </w:pPr>
      <w:r>
        <w:rPr>
          <w:rFonts w:hint="eastAsia"/>
          <w:u w:val="single"/>
        </w:rPr>
        <w:t>局部方案比选</w:t>
      </w:r>
    </w:p>
    <w:p>
      <w:pPr>
        <w:pStyle w:val="6"/>
        <w:ind w:left="567" w:hanging="567"/>
        <w:rPr>
          <w:u w:val="single"/>
        </w:rPr>
      </w:pPr>
      <w:r>
        <w:rPr>
          <w:rFonts w:hint="eastAsia"/>
          <w:u w:val="single"/>
        </w:rPr>
        <w:t>推荐</w:t>
      </w:r>
      <w:r>
        <w:rPr>
          <w:u w:val="single"/>
        </w:rPr>
        <w:t>K</w:t>
      </w:r>
      <w:r>
        <w:rPr>
          <w:rFonts w:hint="eastAsia"/>
          <w:u w:val="single"/>
        </w:rPr>
        <w:t>线</w:t>
      </w:r>
      <w:r>
        <w:rPr>
          <w:rFonts w:ascii="宋体" w:cs="宋体"/>
          <w:szCs w:val="21"/>
          <w:u w:val="single"/>
          <w:lang w:val="zh-CN"/>
        </w:rPr>
        <w:t>K0+000~K8+369</w:t>
      </w:r>
      <w:r>
        <w:rPr>
          <w:rFonts w:hint="eastAsia"/>
          <w:u w:val="single"/>
        </w:rPr>
        <w:t>与</w:t>
      </w:r>
      <w:r>
        <w:rPr>
          <w:u w:val="single"/>
        </w:rPr>
        <w:t>A</w:t>
      </w:r>
      <w:r>
        <w:rPr>
          <w:rFonts w:hint="eastAsia"/>
          <w:u w:val="single"/>
        </w:rPr>
        <w:t>线</w:t>
      </w:r>
      <w:r>
        <w:rPr>
          <w:rFonts w:ascii="宋体" w:cs="宋体"/>
          <w:szCs w:val="21"/>
          <w:u w:val="single"/>
          <w:lang w:val="zh-CN"/>
        </w:rPr>
        <w:t>AK0+000~AK8+555</w:t>
      </w:r>
      <w:r>
        <w:rPr>
          <w:rFonts w:hint="eastAsia"/>
          <w:u w:val="single"/>
        </w:rPr>
        <w:t>比选</w:t>
      </w:r>
    </w:p>
    <w:p>
      <w:pPr>
        <w:adjustRightInd w:val="0"/>
        <w:spacing w:line="360" w:lineRule="auto"/>
        <w:ind w:firstLine="31680" w:firstLineChars="200"/>
        <w:jc w:val="left"/>
        <w:rPr>
          <w:rFonts w:cs="宋体"/>
          <w:kern w:val="0"/>
          <w:sz w:val="24"/>
          <w:u w:val="single"/>
        </w:rPr>
      </w:pPr>
      <w:r>
        <w:rPr>
          <w:rFonts w:hint="eastAsia" w:cs="宋体"/>
          <w:kern w:val="0"/>
          <w:sz w:val="24"/>
          <w:u w:val="single"/>
        </w:rPr>
        <w:t>路线</w:t>
      </w:r>
      <w:r>
        <w:rPr>
          <w:rFonts w:cs="宋体"/>
          <w:kern w:val="0"/>
          <w:sz w:val="24"/>
          <w:u w:val="single"/>
        </w:rPr>
        <w:t>K</w:t>
      </w:r>
      <w:r>
        <w:rPr>
          <w:rFonts w:hint="eastAsia" w:cs="宋体"/>
          <w:kern w:val="0"/>
          <w:sz w:val="24"/>
          <w:u w:val="single"/>
        </w:rPr>
        <w:t>线方案与</w:t>
      </w:r>
      <w:r>
        <w:rPr>
          <w:rFonts w:cs="宋体"/>
          <w:kern w:val="0"/>
          <w:sz w:val="24"/>
          <w:u w:val="single"/>
        </w:rPr>
        <w:t>A</w:t>
      </w:r>
      <w:r>
        <w:rPr>
          <w:rFonts w:hint="eastAsia" w:cs="宋体"/>
          <w:kern w:val="0"/>
          <w:sz w:val="24"/>
          <w:u w:val="single"/>
        </w:rPr>
        <w:t>线方案进行同深度比选</w:t>
      </w:r>
    </w:p>
    <w:p>
      <w:pPr>
        <w:adjustRightInd w:val="0"/>
        <w:spacing w:line="360" w:lineRule="auto"/>
        <w:ind w:firstLine="31680" w:firstLineChars="200"/>
        <w:jc w:val="left"/>
        <w:rPr>
          <w:sz w:val="24"/>
          <w:szCs w:val="24"/>
          <w:u w:val="single"/>
        </w:rPr>
      </w:pPr>
      <w:r>
        <w:rPr>
          <w:sz w:val="24"/>
          <w:szCs w:val="24"/>
          <w:u w:val="single"/>
        </w:rPr>
        <w:t>a</w:t>
      </w:r>
      <w:r>
        <w:rPr>
          <w:rFonts w:hint="eastAsia" w:hAnsi="宋体"/>
          <w:sz w:val="24"/>
          <w:szCs w:val="24"/>
          <w:u w:val="single"/>
        </w:rPr>
        <w:t>）方案简介</w:t>
      </w:r>
    </w:p>
    <w:p>
      <w:pPr>
        <w:adjustRightInd w:val="0"/>
        <w:spacing w:line="360" w:lineRule="auto"/>
        <w:ind w:firstLine="31680" w:firstLineChars="200"/>
        <w:jc w:val="left"/>
        <w:rPr>
          <w:rFonts w:cs="宋体"/>
          <w:kern w:val="0"/>
          <w:sz w:val="24"/>
          <w:u w:val="single"/>
        </w:rPr>
      </w:pPr>
      <w:r>
        <w:rPr>
          <w:rFonts w:hint="eastAsia" w:cs="宋体"/>
          <w:kern w:val="0"/>
          <w:sz w:val="24"/>
          <w:u w:val="single"/>
        </w:rPr>
        <w:t>推荐线</w:t>
      </w:r>
      <w:r>
        <w:rPr>
          <w:rFonts w:cs="宋体"/>
          <w:kern w:val="0"/>
          <w:sz w:val="24"/>
          <w:u w:val="single"/>
        </w:rPr>
        <w:t>K</w:t>
      </w:r>
      <w:r>
        <w:rPr>
          <w:rFonts w:hint="eastAsia" w:cs="宋体"/>
          <w:kern w:val="0"/>
          <w:sz w:val="24"/>
          <w:u w:val="single"/>
        </w:rPr>
        <w:t>方案：该方案起点位于</w:t>
      </w:r>
      <w:r>
        <w:rPr>
          <w:rFonts w:hint="eastAsia" w:cs="宋体"/>
          <w:kern w:val="0"/>
          <w:sz w:val="24"/>
          <w:u w:val="single"/>
          <w:lang w:val="sq-AL"/>
        </w:rPr>
        <w:t>汨罗市弼时镇铜盆村</w:t>
      </w:r>
      <w:r>
        <w:rPr>
          <w:rFonts w:hint="eastAsia" w:cs="宋体"/>
          <w:kern w:val="0"/>
          <w:sz w:val="24"/>
          <w:u w:val="single"/>
        </w:rPr>
        <w:t>，经樟树塘、范家屋场、石塘湾，然后基本沿规划的桃花路线位进行展线，并根据地形对其进行优化，经旧屋场，终点位于</w:t>
      </w:r>
      <w:r>
        <w:rPr>
          <w:rFonts w:hint="eastAsia" w:cs="宋体"/>
          <w:kern w:val="0"/>
          <w:sz w:val="24"/>
          <w:u w:val="single"/>
          <w:lang w:val="sq-AL"/>
        </w:rPr>
        <w:t>汨罗市弼时镇大里塘水库东侧胡家垄（汨罗市与长沙县交界处）</w:t>
      </w:r>
      <w:r>
        <w:rPr>
          <w:rFonts w:hint="eastAsia" w:cs="宋体"/>
          <w:kern w:val="0"/>
          <w:sz w:val="24"/>
          <w:u w:val="single"/>
        </w:rPr>
        <w:t>，与长沙县</w:t>
      </w:r>
      <w:r>
        <w:rPr>
          <w:rFonts w:cs="宋体"/>
          <w:kern w:val="0"/>
          <w:sz w:val="24"/>
          <w:u w:val="single"/>
        </w:rPr>
        <w:t>G107</w:t>
      </w:r>
      <w:r>
        <w:rPr>
          <w:rFonts w:hint="eastAsia" w:cs="宋体"/>
          <w:kern w:val="0"/>
          <w:sz w:val="24"/>
          <w:u w:val="single"/>
        </w:rPr>
        <w:t>调规公路工程起点对接，里程长度</w:t>
      </w:r>
      <w:r>
        <w:rPr>
          <w:rFonts w:cs="宋体"/>
          <w:kern w:val="0"/>
          <w:sz w:val="24"/>
          <w:u w:val="single"/>
        </w:rPr>
        <w:t>8.369Km</w:t>
      </w:r>
      <w:r>
        <w:rPr>
          <w:rFonts w:hint="eastAsia" w:cs="宋体"/>
          <w:kern w:val="0"/>
          <w:sz w:val="24"/>
          <w:u w:val="single"/>
        </w:rPr>
        <w:t>。</w:t>
      </w:r>
    </w:p>
    <w:p>
      <w:pPr>
        <w:adjustRightInd w:val="0"/>
        <w:spacing w:line="360" w:lineRule="auto"/>
        <w:ind w:firstLine="31680" w:firstLineChars="200"/>
        <w:jc w:val="left"/>
        <w:rPr>
          <w:rFonts w:cs="宋体"/>
          <w:kern w:val="0"/>
          <w:sz w:val="24"/>
          <w:u w:val="single"/>
        </w:rPr>
      </w:pPr>
      <w:r>
        <w:rPr>
          <w:rFonts w:hint="eastAsia" w:cs="宋体"/>
          <w:kern w:val="0"/>
          <w:sz w:val="24"/>
          <w:u w:val="single"/>
        </w:rPr>
        <w:t>比较线</w:t>
      </w:r>
      <w:r>
        <w:rPr>
          <w:rFonts w:cs="宋体"/>
          <w:kern w:val="0"/>
          <w:sz w:val="24"/>
          <w:u w:val="single"/>
        </w:rPr>
        <w:t>A</w:t>
      </w:r>
      <w:r>
        <w:rPr>
          <w:rFonts w:hint="eastAsia" w:cs="宋体"/>
          <w:kern w:val="0"/>
          <w:sz w:val="24"/>
          <w:u w:val="single"/>
        </w:rPr>
        <w:t>方案：该方案起点位于</w:t>
      </w:r>
      <w:r>
        <w:rPr>
          <w:rFonts w:hint="eastAsia" w:cs="宋体"/>
          <w:kern w:val="0"/>
          <w:sz w:val="24"/>
          <w:u w:val="single"/>
          <w:lang w:val="sq-AL"/>
        </w:rPr>
        <w:t>汨罗</w:t>
      </w:r>
      <w:r>
        <w:rPr>
          <w:rFonts w:hint="eastAsia" w:cs="宋体"/>
          <w:kern w:val="0"/>
          <w:sz w:val="24"/>
          <w:u w:val="single"/>
        </w:rPr>
        <w:t>市弼时镇铜盆村，经胡家咀、新屋场，然后在</w:t>
      </w:r>
      <w:r>
        <w:rPr>
          <w:rFonts w:cs="宋体"/>
          <w:kern w:val="0"/>
          <w:sz w:val="24"/>
          <w:u w:val="single"/>
        </w:rPr>
        <w:t>AK2+500</w:t>
      </w:r>
      <w:r>
        <w:rPr>
          <w:rFonts w:hint="eastAsia" w:cs="宋体"/>
          <w:kern w:val="0"/>
          <w:sz w:val="24"/>
          <w:u w:val="single"/>
        </w:rPr>
        <w:t>以后完全沿规划的桃花路线位进行展线，经旧屋场，终点位于汨罗市弼时镇大里塘水库东南角胡家垄（汨罗市与长沙县交界处），与长沙县</w:t>
      </w:r>
      <w:r>
        <w:rPr>
          <w:rFonts w:cs="宋体"/>
          <w:kern w:val="0"/>
          <w:sz w:val="24"/>
          <w:u w:val="single"/>
        </w:rPr>
        <w:t>G107</w:t>
      </w:r>
      <w:r>
        <w:rPr>
          <w:rFonts w:hint="eastAsia" w:cs="宋体"/>
          <w:kern w:val="0"/>
          <w:sz w:val="24"/>
          <w:u w:val="single"/>
        </w:rPr>
        <w:t>调规公路工程起点对接，里程长度</w:t>
      </w:r>
      <w:r>
        <w:rPr>
          <w:rFonts w:cs="宋体"/>
          <w:kern w:val="0"/>
          <w:sz w:val="24"/>
          <w:u w:val="single"/>
        </w:rPr>
        <w:t>8.555Km</w:t>
      </w:r>
      <w:r>
        <w:rPr>
          <w:rFonts w:hint="eastAsia" w:cs="宋体"/>
          <w:kern w:val="0"/>
          <w:sz w:val="24"/>
          <w:u w:val="single"/>
        </w:rPr>
        <w:t>。</w:t>
      </w:r>
    </w:p>
    <w:p>
      <w:pPr>
        <w:pStyle w:val="3"/>
        <w:ind w:firstLine="31680"/>
        <w:rPr>
          <w:rFonts w:hint="eastAsia"/>
          <w:u w:val="single"/>
        </w:rPr>
      </w:pPr>
      <w:r>
        <w:rPr>
          <w:szCs w:val="24"/>
          <w:u w:val="single"/>
        </w:rPr>
        <w:t>K</w:t>
      </w:r>
      <w:r>
        <w:rPr>
          <w:rFonts w:hint="eastAsia"/>
          <w:szCs w:val="24"/>
          <w:u w:val="single"/>
        </w:rPr>
        <w:t>线方案与</w:t>
      </w:r>
      <w:r>
        <w:rPr>
          <w:szCs w:val="24"/>
          <w:u w:val="single"/>
        </w:rPr>
        <w:t>A</w:t>
      </w:r>
      <w:r>
        <w:rPr>
          <w:rFonts w:hint="eastAsia"/>
          <w:szCs w:val="24"/>
          <w:u w:val="single"/>
        </w:rPr>
        <w:t>线方案比选方案平面图见图</w:t>
      </w:r>
      <w:r>
        <w:rPr>
          <w:u w:val="single"/>
        </w:rPr>
        <w:t>8.2-1</w:t>
      </w:r>
      <w:r>
        <w:rPr>
          <w:rFonts w:hint="eastAsia"/>
          <w:u w:val="single"/>
        </w:rPr>
        <w:t>。</w:t>
      </w:r>
    </w:p>
    <w:p>
      <w:pPr>
        <w:pStyle w:val="3"/>
        <w:ind w:firstLine="31680"/>
        <w:rPr>
          <w:rFonts w:hint="eastAsia"/>
          <w:u w:val="single"/>
        </w:rPr>
      </w:pPr>
    </w:p>
    <w:p>
      <w:pPr>
        <w:pStyle w:val="3"/>
        <w:ind w:firstLine="31680"/>
        <w:rPr>
          <w:rFonts w:hint="eastAsia"/>
          <w:u w:val="single"/>
        </w:rPr>
      </w:pPr>
    </w:p>
    <w:p>
      <w:pPr>
        <w:pStyle w:val="3"/>
        <w:ind w:firstLine="31680"/>
        <w:rPr>
          <w:rFonts w:hint="eastAsia"/>
          <w:u w:val="single"/>
        </w:rPr>
      </w:pPr>
    </w:p>
    <w:p>
      <w:pPr>
        <w:pStyle w:val="3"/>
        <w:ind w:firstLine="31680"/>
        <w:rPr>
          <w:rFonts w:hint="eastAsia"/>
          <w:u w:val="single"/>
        </w:rPr>
      </w:pPr>
    </w:p>
    <w:p>
      <w:pPr>
        <w:pStyle w:val="3"/>
        <w:ind w:firstLine="31680"/>
        <w:rPr>
          <w:rFonts w:hint="eastAsia"/>
          <w:u w:val="single"/>
        </w:rPr>
      </w:pPr>
    </w:p>
    <w:p>
      <w:pPr>
        <w:pStyle w:val="3"/>
        <w:ind w:firstLine="31680"/>
        <w:rPr>
          <w:rFonts w:hint="eastAsia"/>
          <w:u w:val="single"/>
        </w:rPr>
      </w:pPr>
    </w:p>
    <w:p>
      <w:pPr>
        <w:pStyle w:val="3"/>
        <w:ind w:firstLine="31680"/>
        <w:rPr>
          <w:u w:val="single"/>
        </w:rPr>
      </w:pPr>
      <w:r>
        <w:rPr>
          <w:u w:val="single"/>
        </w:rPr>
        <w:pict>
          <v:shape id="图片 167" o:spid="_x0000_s1084" o:spt="75" type="#_x0000_t75" style="position:absolute;left:0pt;margin-left:6.5pt;margin-top:0.65pt;height:248.2pt;width:439.6pt;z-index:251638784;mso-width-relative:page;mso-height-relative:page;" filled="f" o:preferrelative="t" stroked="t" coordsize="21600,21600">
            <v:path/>
            <v:fill on="f" focussize="0,0"/>
            <v:stroke weight="0.5pt" color="#000008" joinstyle="miter"/>
            <v:imagedata r:id="rId55" cropleft="5367f" croptop="5941f" cropright="2289f" cropbottom="13323f" o:title=""/>
            <o:lock v:ext="edit" aspectratio="t"/>
          </v:shape>
        </w:pict>
      </w:r>
    </w:p>
    <w:p>
      <w:pPr>
        <w:pStyle w:val="3"/>
        <w:ind w:firstLine="31680"/>
        <w:rPr>
          <w:u w:val="single"/>
        </w:rPr>
      </w:pPr>
    </w:p>
    <w:p>
      <w:pPr>
        <w:pStyle w:val="3"/>
        <w:ind w:firstLine="31680"/>
        <w:rPr>
          <w:u w:val="single"/>
        </w:rPr>
      </w:pPr>
    </w:p>
    <w:p>
      <w:pPr>
        <w:pStyle w:val="3"/>
        <w:ind w:firstLine="31680"/>
        <w:rPr>
          <w:u w:val="single"/>
        </w:rPr>
      </w:pPr>
    </w:p>
    <w:p>
      <w:pPr>
        <w:pStyle w:val="3"/>
        <w:ind w:firstLine="31680"/>
        <w:rPr>
          <w:u w:val="single"/>
        </w:rPr>
      </w:pPr>
    </w:p>
    <w:p>
      <w:pPr>
        <w:pStyle w:val="3"/>
        <w:ind w:firstLine="31680"/>
        <w:rPr>
          <w:u w:val="single"/>
        </w:rPr>
      </w:pPr>
    </w:p>
    <w:p>
      <w:pPr>
        <w:pStyle w:val="3"/>
        <w:ind w:firstLine="31680"/>
        <w:rPr>
          <w:u w:val="single"/>
        </w:rPr>
      </w:pPr>
    </w:p>
    <w:p>
      <w:pPr>
        <w:pStyle w:val="3"/>
        <w:ind w:firstLine="31680"/>
        <w:rPr>
          <w:u w:val="single"/>
        </w:rPr>
      </w:pPr>
    </w:p>
    <w:p>
      <w:pPr>
        <w:pStyle w:val="3"/>
        <w:ind w:firstLine="31680"/>
        <w:rPr>
          <w:u w:val="single"/>
        </w:rPr>
      </w:pPr>
    </w:p>
    <w:p>
      <w:pPr>
        <w:pStyle w:val="3"/>
        <w:ind w:firstLine="31680"/>
        <w:rPr>
          <w:u w:val="single"/>
        </w:rPr>
      </w:pPr>
    </w:p>
    <w:p>
      <w:pPr>
        <w:pStyle w:val="3"/>
        <w:ind w:firstLine="31680"/>
        <w:rPr>
          <w:u w:val="single"/>
        </w:rPr>
      </w:pPr>
    </w:p>
    <w:p>
      <w:pPr>
        <w:pStyle w:val="3"/>
        <w:ind w:firstLine="31680"/>
        <w:rPr>
          <w:u w:val="single"/>
        </w:rPr>
      </w:pPr>
    </w:p>
    <w:p>
      <w:pPr>
        <w:pStyle w:val="3"/>
        <w:ind w:firstLine="31680"/>
        <w:jc w:val="center"/>
        <w:rPr>
          <w:u w:val="single"/>
        </w:rPr>
      </w:pPr>
      <w:r>
        <w:rPr>
          <w:rFonts w:hint="eastAsia" w:hAnsi="黑体" w:eastAsia="黑体"/>
          <w:szCs w:val="24"/>
          <w:u w:val="single"/>
        </w:rPr>
        <w:t>图</w:t>
      </w:r>
      <w:r>
        <w:rPr>
          <w:rFonts w:eastAsia="黑体"/>
          <w:szCs w:val="24"/>
          <w:u w:val="single"/>
        </w:rPr>
        <w:t xml:space="preserve">8.2-1  </w:t>
      </w:r>
      <w:r>
        <w:rPr>
          <w:rFonts w:hAnsi="黑体" w:eastAsia="黑体"/>
          <w:szCs w:val="24"/>
          <w:u w:val="single"/>
        </w:rPr>
        <w:t>K</w:t>
      </w:r>
      <w:r>
        <w:rPr>
          <w:rFonts w:hint="eastAsia" w:hAnsi="黑体" w:eastAsia="黑体"/>
          <w:szCs w:val="24"/>
          <w:u w:val="single"/>
        </w:rPr>
        <w:t>线方案与</w:t>
      </w:r>
      <w:r>
        <w:rPr>
          <w:rFonts w:hAnsi="黑体" w:eastAsia="黑体"/>
          <w:szCs w:val="24"/>
          <w:u w:val="single"/>
        </w:rPr>
        <w:t>A</w:t>
      </w:r>
      <w:r>
        <w:rPr>
          <w:rFonts w:hint="eastAsia" w:hAnsi="黑体" w:eastAsia="黑体"/>
          <w:szCs w:val="24"/>
          <w:u w:val="single"/>
        </w:rPr>
        <w:t>线方案比选方案平面图对比</w:t>
      </w:r>
    </w:p>
    <w:p>
      <w:pPr>
        <w:pStyle w:val="3"/>
        <w:ind w:firstLine="0" w:firstLineChars="0"/>
        <w:rPr>
          <w:szCs w:val="24"/>
          <w:u w:val="single"/>
        </w:rPr>
      </w:pPr>
      <w:r>
        <w:rPr>
          <w:szCs w:val="24"/>
          <w:u w:val="single"/>
        </w:rPr>
        <w:t>b</w:t>
      </w:r>
      <w:r>
        <w:rPr>
          <w:rFonts w:hint="eastAsia" w:hAnsi="宋体"/>
          <w:szCs w:val="24"/>
          <w:u w:val="single"/>
        </w:rPr>
        <w:t>）</w:t>
      </w:r>
      <w:r>
        <w:rPr>
          <w:rFonts w:hAnsi="宋体"/>
          <w:szCs w:val="24"/>
          <w:u w:val="single"/>
        </w:rPr>
        <w:t>K</w:t>
      </w:r>
      <w:r>
        <w:rPr>
          <w:rFonts w:hint="eastAsia" w:hAnsi="宋体"/>
          <w:szCs w:val="24"/>
          <w:u w:val="single"/>
        </w:rPr>
        <w:t>线、</w:t>
      </w:r>
      <w:r>
        <w:rPr>
          <w:rFonts w:hAnsi="宋体"/>
          <w:szCs w:val="24"/>
          <w:u w:val="single"/>
        </w:rPr>
        <w:t>A</w:t>
      </w:r>
      <w:r>
        <w:rPr>
          <w:rFonts w:hint="eastAsia" w:hAnsi="宋体"/>
          <w:szCs w:val="24"/>
          <w:u w:val="single"/>
        </w:rPr>
        <w:t>线主要工程量对比</w:t>
      </w:r>
    </w:p>
    <w:p>
      <w:pPr>
        <w:adjustRightInd w:val="0"/>
        <w:spacing w:line="360" w:lineRule="auto"/>
        <w:jc w:val="center"/>
        <w:rPr>
          <w:rFonts w:cs="宋体"/>
          <w:kern w:val="0"/>
          <w:sz w:val="24"/>
          <w:u w:val="single"/>
        </w:rPr>
      </w:pPr>
      <w:r>
        <w:rPr>
          <w:rFonts w:hint="eastAsia" w:hAnsi="黑体" w:eastAsia="黑体"/>
          <w:sz w:val="24"/>
          <w:szCs w:val="24"/>
          <w:u w:val="single"/>
        </w:rPr>
        <w:t>表</w:t>
      </w:r>
      <w:r>
        <w:rPr>
          <w:rFonts w:eastAsia="黑体"/>
          <w:sz w:val="24"/>
          <w:szCs w:val="24"/>
          <w:u w:val="single"/>
        </w:rPr>
        <w:t>8.2-1  K</w:t>
      </w:r>
      <w:r>
        <w:rPr>
          <w:rFonts w:hint="eastAsia" w:hAnsi="黑体" w:eastAsia="黑体"/>
          <w:sz w:val="24"/>
          <w:szCs w:val="24"/>
          <w:u w:val="single"/>
        </w:rPr>
        <w:t>线与</w:t>
      </w:r>
      <w:r>
        <w:rPr>
          <w:rFonts w:eastAsia="黑体"/>
          <w:sz w:val="24"/>
          <w:szCs w:val="24"/>
          <w:u w:val="single"/>
        </w:rPr>
        <w:t>A</w:t>
      </w:r>
      <w:r>
        <w:rPr>
          <w:rFonts w:hint="eastAsia" w:hAnsi="黑体" w:eastAsia="黑体"/>
          <w:sz w:val="24"/>
          <w:szCs w:val="24"/>
          <w:u w:val="single"/>
        </w:rPr>
        <w:t>线主要工程量对比</w:t>
      </w:r>
    </w:p>
    <w:tbl>
      <w:tblPr>
        <w:tblStyle w:val="65"/>
        <w:tblW w:w="9186" w:type="dxa"/>
        <w:jc w:val="center"/>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1"/>
        <w:gridCol w:w="851"/>
        <w:gridCol w:w="1417"/>
        <w:gridCol w:w="993"/>
        <w:gridCol w:w="1984"/>
        <w:gridCol w:w="2126"/>
        <w:gridCol w:w="1134"/>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93" w:hRule="atLeast"/>
          <w:jc w:val="center"/>
        </w:trPr>
        <w:tc>
          <w:tcPr>
            <w:tcW w:w="681" w:type="dxa"/>
            <w:tcBorders>
              <w:top w:val="thinThickSmallGap" w:color="auto" w:sz="12" w:space="0"/>
              <w:left w:val="single" w:color="auto" w:sz="6" w:space="0"/>
            </w:tcBorders>
            <w:vAlign w:val="center"/>
          </w:tcPr>
          <w:p>
            <w:pPr>
              <w:jc w:val="center"/>
              <w:rPr>
                <w:sz w:val="21"/>
                <w:szCs w:val="21"/>
                <w:u w:val="single"/>
              </w:rPr>
            </w:pPr>
            <w:r>
              <w:rPr>
                <w:rFonts w:hint="eastAsia"/>
                <w:sz w:val="21"/>
                <w:szCs w:val="21"/>
                <w:u w:val="single"/>
              </w:rPr>
              <w:t>序号</w:t>
            </w:r>
          </w:p>
        </w:tc>
        <w:tc>
          <w:tcPr>
            <w:tcW w:w="2268" w:type="dxa"/>
            <w:gridSpan w:val="2"/>
            <w:tcBorders>
              <w:top w:val="thinThickSmallGap" w:color="auto" w:sz="12" w:space="0"/>
            </w:tcBorders>
            <w:vAlign w:val="center"/>
          </w:tcPr>
          <w:p>
            <w:pPr>
              <w:jc w:val="center"/>
              <w:rPr>
                <w:sz w:val="21"/>
                <w:szCs w:val="21"/>
                <w:u w:val="single"/>
              </w:rPr>
            </w:pPr>
            <w:r>
              <w:rPr>
                <w:rFonts w:hint="eastAsia"/>
                <w:sz w:val="21"/>
                <w:szCs w:val="21"/>
                <w:u w:val="single"/>
              </w:rPr>
              <w:t>工程项目</w:t>
            </w:r>
          </w:p>
        </w:tc>
        <w:tc>
          <w:tcPr>
            <w:tcW w:w="993" w:type="dxa"/>
            <w:tcBorders>
              <w:top w:val="thinThickSmallGap" w:color="auto" w:sz="12" w:space="0"/>
            </w:tcBorders>
            <w:vAlign w:val="center"/>
          </w:tcPr>
          <w:p>
            <w:pPr>
              <w:jc w:val="center"/>
              <w:rPr>
                <w:sz w:val="21"/>
                <w:szCs w:val="21"/>
                <w:u w:val="single"/>
              </w:rPr>
            </w:pPr>
            <w:r>
              <w:rPr>
                <w:rFonts w:hint="eastAsia"/>
                <w:sz w:val="21"/>
                <w:szCs w:val="21"/>
                <w:u w:val="single"/>
              </w:rPr>
              <w:t>单位</w:t>
            </w:r>
          </w:p>
        </w:tc>
        <w:tc>
          <w:tcPr>
            <w:tcW w:w="1984" w:type="dxa"/>
            <w:tcBorders>
              <w:top w:val="thinThickSmallGap" w:color="auto" w:sz="12" w:space="0"/>
            </w:tcBorders>
            <w:vAlign w:val="center"/>
          </w:tcPr>
          <w:p>
            <w:pPr>
              <w:jc w:val="center"/>
              <w:rPr>
                <w:sz w:val="21"/>
                <w:szCs w:val="21"/>
                <w:u w:val="single"/>
              </w:rPr>
            </w:pPr>
            <w:r>
              <w:rPr>
                <w:sz w:val="21"/>
                <w:szCs w:val="21"/>
                <w:u w:val="single"/>
              </w:rPr>
              <w:t>K</w:t>
            </w:r>
            <w:r>
              <w:rPr>
                <w:rFonts w:hint="eastAsia" w:hAnsi="宋体"/>
                <w:sz w:val="21"/>
                <w:szCs w:val="21"/>
                <w:u w:val="single"/>
              </w:rPr>
              <w:t>线方案</w:t>
            </w:r>
          </w:p>
          <w:p>
            <w:pPr>
              <w:jc w:val="center"/>
              <w:rPr>
                <w:sz w:val="21"/>
                <w:szCs w:val="21"/>
                <w:u w:val="single"/>
              </w:rPr>
            </w:pPr>
            <w:r>
              <w:rPr>
                <w:sz w:val="21"/>
                <w:szCs w:val="21"/>
                <w:u w:val="single"/>
              </w:rPr>
              <w:t>K10+050~K10+592</w:t>
            </w:r>
          </w:p>
        </w:tc>
        <w:tc>
          <w:tcPr>
            <w:tcW w:w="2126" w:type="dxa"/>
            <w:tcBorders>
              <w:top w:val="thinThickSmallGap" w:color="auto" w:sz="12" w:space="0"/>
            </w:tcBorders>
            <w:vAlign w:val="center"/>
          </w:tcPr>
          <w:p>
            <w:pPr>
              <w:jc w:val="center"/>
              <w:rPr>
                <w:sz w:val="21"/>
                <w:szCs w:val="21"/>
                <w:u w:val="single"/>
              </w:rPr>
            </w:pPr>
            <w:r>
              <w:rPr>
                <w:sz w:val="21"/>
                <w:szCs w:val="21"/>
                <w:u w:val="single"/>
              </w:rPr>
              <w:t>A</w:t>
            </w:r>
            <w:r>
              <w:rPr>
                <w:rFonts w:hint="eastAsia" w:hAnsi="宋体"/>
                <w:sz w:val="21"/>
                <w:szCs w:val="21"/>
                <w:u w:val="single"/>
              </w:rPr>
              <w:t>线方案</w:t>
            </w:r>
          </w:p>
          <w:p>
            <w:pPr>
              <w:jc w:val="center"/>
              <w:rPr>
                <w:sz w:val="21"/>
                <w:szCs w:val="21"/>
                <w:u w:val="single"/>
              </w:rPr>
            </w:pPr>
            <w:r>
              <w:rPr>
                <w:sz w:val="21"/>
                <w:szCs w:val="21"/>
                <w:u w:val="single"/>
              </w:rPr>
              <w:t>AK0+000~AK0+560</w:t>
            </w:r>
          </w:p>
        </w:tc>
        <w:tc>
          <w:tcPr>
            <w:tcW w:w="1134" w:type="dxa"/>
            <w:tcBorders>
              <w:top w:val="thinThickSmallGap" w:color="auto" w:sz="12" w:space="0"/>
              <w:right w:val="single" w:color="auto" w:sz="6" w:space="0"/>
            </w:tcBorders>
            <w:vAlign w:val="center"/>
          </w:tcPr>
          <w:p>
            <w:pPr>
              <w:jc w:val="center"/>
              <w:rPr>
                <w:sz w:val="21"/>
                <w:szCs w:val="21"/>
                <w:u w:val="single"/>
              </w:rPr>
            </w:pPr>
            <w:r>
              <w:rPr>
                <w:sz w:val="21"/>
                <w:szCs w:val="21"/>
                <w:u w:val="single"/>
              </w:rPr>
              <w:t>K-A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tcBorders>
              <w:left w:val="single" w:color="auto" w:sz="6" w:space="0"/>
            </w:tcBorders>
            <w:vAlign w:val="center"/>
          </w:tcPr>
          <w:p>
            <w:pPr>
              <w:jc w:val="center"/>
              <w:rPr>
                <w:sz w:val="21"/>
                <w:szCs w:val="21"/>
                <w:u w:val="single"/>
              </w:rPr>
            </w:pPr>
            <w:r>
              <w:rPr>
                <w:sz w:val="21"/>
                <w:szCs w:val="21"/>
                <w:u w:val="single"/>
              </w:rPr>
              <w:t>1</w:t>
            </w:r>
          </w:p>
        </w:tc>
        <w:tc>
          <w:tcPr>
            <w:tcW w:w="2268" w:type="dxa"/>
            <w:gridSpan w:val="2"/>
            <w:vAlign w:val="center"/>
          </w:tcPr>
          <w:p>
            <w:pPr>
              <w:jc w:val="center"/>
              <w:rPr>
                <w:sz w:val="21"/>
                <w:szCs w:val="21"/>
                <w:u w:val="single"/>
              </w:rPr>
            </w:pPr>
            <w:r>
              <w:rPr>
                <w:rFonts w:hint="eastAsia"/>
                <w:sz w:val="21"/>
                <w:szCs w:val="21"/>
                <w:u w:val="single"/>
              </w:rPr>
              <w:t>路线长度</w:t>
            </w:r>
          </w:p>
        </w:tc>
        <w:tc>
          <w:tcPr>
            <w:tcW w:w="993" w:type="dxa"/>
            <w:vAlign w:val="center"/>
          </w:tcPr>
          <w:p>
            <w:pPr>
              <w:jc w:val="center"/>
              <w:rPr>
                <w:sz w:val="21"/>
                <w:szCs w:val="21"/>
                <w:u w:val="single"/>
              </w:rPr>
            </w:pPr>
            <w:r>
              <w:rPr>
                <w:sz w:val="21"/>
                <w:szCs w:val="21"/>
                <w:u w:val="single"/>
              </w:rPr>
              <w:t>km</w:t>
            </w:r>
          </w:p>
        </w:tc>
        <w:tc>
          <w:tcPr>
            <w:tcW w:w="1984" w:type="dxa"/>
            <w:vAlign w:val="center"/>
          </w:tcPr>
          <w:p>
            <w:pPr>
              <w:jc w:val="center"/>
              <w:rPr>
                <w:sz w:val="21"/>
                <w:szCs w:val="21"/>
                <w:u w:val="single"/>
              </w:rPr>
            </w:pPr>
            <w:r>
              <w:rPr>
                <w:sz w:val="21"/>
                <w:szCs w:val="21"/>
                <w:u w:val="single"/>
              </w:rPr>
              <w:t>8.369</w:t>
            </w:r>
          </w:p>
        </w:tc>
        <w:tc>
          <w:tcPr>
            <w:tcW w:w="2126" w:type="dxa"/>
            <w:vAlign w:val="center"/>
          </w:tcPr>
          <w:p>
            <w:pPr>
              <w:jc w:val="center"/>
              <w:rPr>
                <w:sz w:val="21"/>
                <w:szCs w:val="21"/>
                <w:u w:val="single"/>
              </w:rPr>
            </w:pPr>
            <w:r>
              <w:rPr>
                <w:sz w:val="21"/>
                <w:szCs w:val="21"/>
                <w:u w:val="single"/>
              </w:rPr>
              <w:t>8.555</w:t>
            </w:r>
          </w:p>
        </w:tc>
        <w:tc>
          <w:tcPr>
            <w:tcW w:w="1134" w:type="dxa"/>
            <w:tcBorders>
              <w:right w:val="single" w:color="auto" w:sz="6" w:space="0"/>
            </w:tcBorders>
            <w:vAlign w:val="center"/>
          </w:tcPr>
          <w:p>
            <w:pPr>
              <w:jc w:val="center"/>
              <w:rPr>
                <w:sz w:val="21"/>
                <w:szCs w:val="21"/>
                <w:u w:val="single"/>
              </w:rPr>
            </w:pPr>
            <w:r>
              <w:rPr>
                <w:sz w:val="21"/>
                <w:szCs w:val="21"/>
                <w:u w:val="single"/>
              </w:rPr>
              <w:t>-0.186</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tcBorders>
              <w:left w:val="single" w:color="auto" w:sz="6" w:space="0"/>
            </w:tcBorders>
            <w:vAlign w:val="center"/>
          </w:tcPr>
          <w:p>
            <w:pPr>
              <w:jc w:val="center"/>
              <w:rPr>
                <w:sz w:val="21"/>
                <w:szCs w:val="21"/>
                <w:u w:val="single"/>
              </w:rPr>
            </w:pPr>
            <w:r>
              <w:rPr>
                <w:sz w:val="21"/>
                <w:szCs w:val="21"/>
                <w:u w:val="single"/>
              </w:rPr>
              <w:t>2</w:t>
            </w:r>
          </w:p>
        </w:tc>
        <w:tc>
          <w:tcPr>
            <w:tcW w:w="851" w:type="dxa"/>
            <w:vAlign w:val="center"/>
          </w:tcPr>
          <w:p>
            <w:pPr>
              <w:jc w:val="center"/>
              <w:rPr>
                <w:sz w:val="21"/>
                <w:szCs w:val="21"/>
                <w:u w:val="single"/>
              </w:rPr>
            </w:pPr>
            <w:r>
              <w:rPr>
                <w:rFonts w:hint="eastAsia"/>
                <w:sz w:val="21"/>
                <w:szCs w:val="21"/>
                <w:u w:val="single"/>
              </w:rPr>
              <w:t>土石方</w:t>
            </w:r>
          </w:p>
        </w:tc>
        <w:tc>
          <w:tcPr>
            <w:tcW w:w="1417" w:type="dxa"/>
            <w:vAlign w:val="center"/>
          </w:tcPr>
          <w:p>
            <w:pPr>
              <w:jc w:val="center"/>
              <w:rPr>
                <w:sz w:val="21"/>
                <w:szCs w:val="21"/>
                <w:u w:val="single"/>
              </w:rPr>
            </w:pPr>
            <w:r>
              <w:rPr>
                <w:rFonts w:hint="eastAsia"/>
                <w:sz w:val="21"/>
                <w:szCs w:val="21"/>
                <w:u w:val="single"/>
              </w:rPr>
              <w:t>土石方数量</w:t>
            </w:r>
          </w:p>
        </w:tc>
        <w:tc>
          <w:tcPr>
            <w:tcW w:w="993" w:type="dxa"/>
            <w:vAlign w:val="center"/>
          </w:tcPr>
          <w:p>
            <w:pPr>
              <w:jc w:val="center"/>
              <w:rPr>
                <w:sz w:val="21"/>
                <w:szCs w:val="21"/>
                <w:u w:val="single"/>
              </w:rPr>
            </w:pPr>
            <w:r>
              <w:rPr>
                <w:sz w:val="21"/>
                <w:szCs w:val="21"/>
                <w:u w:val="single"/>
              </w:rPr>
              <w:t>m</w:t>
            </w:r>
            <w:r>
              <w:rPr>
                <w:sz w:val="21"/>
                <w:szCs w:val="21"/>
                <w:u w:val="single"/>
                <w:vertAlign w:val="superscript"/>
              </w:rPr>
              <w:t>3</w:t>
            </w:r>
          </w:p>
        </w:tc>
        <w:tc>
          <w:tcPr>
            <w:tcW w:w="1984" w:type="dxa"/>
          </w:tcPr>
          <w:p>
            <w:pPr>
              <w:jc w:val="center"/>
              <w:rPr>
                <w:sz w:val="21"/>
                <w:szCs w:val="21"/>
                <w:u w:val="single"/>
              </w:rPr>
            </w:pPr>
            <w:r>
              <w:rPr>
                <w:sz w:val="21"/>
                <w:szCs w:val="21"/>
                <w:u w:val="single"/>
              </w:rPr>
              <w:t>787513</w:t>
            </w:r>
            <w:r>
              <w:rPr>
                <w:sz w:val="21"/>
                <w:szCs w:val="21"/>
                <w:u w:val="single"/>
                <w:lang w:val="zh-CN"/>
              </w:rPr>
              <w:t>m</w:t>
            </w:r>
            <w:r>
              <w:rPr>
                <w:sz w:val="21"/>
                <w:szCs w:val="21"/>
                <w:u w:val="single"/>
                <w:vertAlign w:val="superscript"/>
                <w:lang w:val="zh-CN"/>
              </w:rPr>
              <w:t>3</w:t>
            </w:r>
          </w:p>
        </w:tc>
        <w:tc>
          <w:tcPr>
            <w:tcW w:w="2126" w:type="dxa"/>
          </w:tcPr>
          <w:p>
            <w:pPr>
              <w:jc w:val="center"/>
              <w:rPr>
                <w:sz w:val="21"/>
                <w:szCs w:val="21"/>
                <w:u w:val="single"/>
              </w:rPr>
            </w:pPr>
            <w:r>
              <w:rPr>
                <w:sz w:val="21"/>
                <w:szCs w:val="21"/>
                <w:u w:val="single"/>
                <w:lang w:val="zh-CN"/>
              </w:rPr>
              <w:t>827850m</w:t>
            </w:r>
            <w:r>
              <w:rPr>
                <w:sz w:val="21"/>
                <w:szCs w:val="21"/>
                <w:u w:val="single"/>
                <w:vertAlign w:val="superscript"/>
                <w:lang w:val="zh-CN"/>
              </w:rPr>
              <w:t>3</w:t>
            </w:r>
          </w:p>
        </w:tc>
        <w:tc>
          <w:tcPr>
            <w:tcW w:w="1134" w:type="dxa"/>
            <w:tcBorders>
              <w:right w:val="single" w:color="auto" w:sz="6" w:space="0"/>
            </w:tcBorders>
            <w:vAlign w:val="center"/>
          </w:tcPr>
          <w:p>
            <w:pPr>
              <w:jc w:val="center"/>
              <w:rPr>
                <w:sz w:val="21"/>
                <w:szCs w:val="21"/>
                <w:u w:val="single"/>
              </w:rPr>
            </w:pPr>
            <w:r>
              <w:rPr>
                <w:sz w:val="21"/>
                <w:szCs w:val="21"/>
                <w:u w:val="single"/>
              </w:rPr>
              <w:t>-40337</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tcBorders>
              <w:left w:val="single" w:color="auto" w:sz="6" w:space="0"/>
            </w:tcBorders>
            <w:vAlign w:val="center"/>
          </w:tcPr>
          <w:p>
            <w:pPr>
              <w:jc w:val="center"/>
              <w:rPr>
                <w:sz w:val="21"/>
                <w:szCs w:val="21"/>
                <w:u w:val="single"/>
              </w:rPr>
            </w:pPr>
            <w:r>
              <w:rPr>
                <w:sz w:val="21"/>
                <w:szCs w:val="21"/>
                <w:u w:val="single"/>
              </w:rPr>
              <w:t>3</w:t>
            </w:r>
          </w:p>
        </w:tc>
        <w:tc>
          <w:tcPr>
            <w:tcW w:w="2268" w:type="dxa"/>
            <w:gridSpan w:val="2"/>
            <w:vAlign w:val="center"/>
          </w:tcPr>
          <w:p>
            <w:pPr>
              <w:jc w:val="center"/>
              <w:rPr>
                <w:sz w:val="21"/>
                <w:szCs w:val="21"/>
                <w:u w:val="single"/>
              </w:rPr>
            </w:pPr>
            <w:r>
              <w:rPr>
                <w:rFonts w:hint="eastAsia"/>
                <w:sz w:val="21"/>
                <w:szCs w:val="21"/>
                <w:u w:val="single"/>
              </w:rPr>
              <w:t>防护及排水</w:t>
            </w:r>
          </w:p>
        </w:tc>
        <w:tc>
          <w:tcPr>
            <w:tcW w:w="993" w:type="dxa"/>
            <w:vAlign w:val="center"/>
          </w:tcPr>
          <w:p>
            <w:pPr>
              <w:jc w:val="center"/>
              <w:rPr>
                <w:sz w:val="21"/>
                <w:szCs w:val="21"/>
                <w:u w:val="single"/>
              </w:rPr>
            </w:pPr>
            <w:r>
              <w:rPr>
                <w:sz w:val="21"/>
                <w:szCs w:val="21"/>
                <w:u w:val="single"/>
              </w:rPr>
              <w:t>m</w:t>
            </w:r>
            <w:r>
              <w:rPr>
                <w:sz w:val="21"/>
                <w:szCs w:val="21"/>
                <w:u w:val="single"/>
                <w:vertAlign w:val="superscript"/>
              </w:rPr>
              <w:t>3</w:t>
            </w:r>
          </w:p>
        </w:tc>
        <w:tc>
          <w:tcPr>
            <w:tcW w:w="1984" w:type="dxa"/>
          </w:tcPr>
          <w:p>
            <w:pPr>
              <w:jc w:val="center"/>
              <w:rPr>
                <w:sz w:val="21"/>
                <w:szCs w:val="21"/>
                <w:u w:val="single"/>
              </w:rPr>
            </w:pPr>
            <w:r>
              <w:rPr>
                <w:sz w:val="21"/>
                <w:szCs w:val="21"/>
                <w:u w:val="single"/>
                <w:lang w:val="zh-CN"/>
              </w:rPr>
              <w:t>42903m</w:t>
            </w:r>
            <w:r>
              <w:rPr>
                <w:sz w:val="21"/>
                <w:szCs w:val="21"/>
                <w:u w:val="single"/>
                <w:vertAlign w:val="superscript"/>
                <w:lang w:val="zh-CN"/>
              </w:rPr>
              <w:t>3</w:t>
            </w:r>
          </w:p>
        </w:tc>
        <w:tc>
          <w:tcPr>
            <w:tcW w:w="2126" w:type="dxa"/>
          </w:tcPr>
          <w:p>
            <w:pPr>
              <w:jc w:val="center"/>
              <w:rPr>
                <w:sz w:val="21"/>
                <w:szCs w:val="21"/>
                <w:u w:val="single"/>
              </w:rPr>
            </w:pPr>
            <w:r>
              <w:rPr>
                <w:sz w:val="21"/>
                <w:szCs w:val="21"/>
                <w:u w:val="single"/>
                <w:lang w:val="zh-CN"/>
              </w:rPr>
              <w:t>43495m</w:t>
            </w:r>
            <w:r>
              <w:rPr>
                <w:sz w:val="21"/>
                <w:szCs w:val="21"/>
                <w:u w:val="single"/>
                <w:vertAlign w:val="superscript"/>
                <w:lang w:val="zh-CN"/>
              </w:rPr>
              <w:t>3</w:t>
            </w:r>
          </w:p>
        </w:tc>
        <w:tc>
          <w:tcPr>
            <w:tcW w:w="1134" w:type="dxa"/>
            <w:tcBorders>
              <w:right w:val="single" w:color="auto" w:sz="6" w:space="0"/>
            </w:tcBorders>
            <w:vAlign w:val="center"/>
          </w:tcPr>
          <w:p>
            <w:pPr>
              <w:jc w:val="center"/>
              <w:rPr>
                <w:sz w:val="21"/>
                <w:szCs w:val="21"/>
                <w:u w:val="single"/>
              </w:rPr>
            </w:pPr>
            <w:r>
              <w:rPr>
                <w:sz w:val="21"/>
                <w:szCs w:val="21"/>
                <w:u w:val="single"/>
              </w:rPr>
              <w:t>-592</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tcBorders>
              <w:left w:val="single" w:color="auto" w:sz="6" w:space="0"/>
            </w:tcBorders>
            <w:vAlign w:val="center"/>
          </w:tcPr>
          <w:p>
            <w:pPr>
              <w:jc w:val="center"/>
              <w:rPr>
                <w:sz w:val="21"/>
                <w:szCs w:val="21"/>
                <w:u w:val="single"/>
              </w:rPr>
            </w:pPr>
            <w:r>
              <w:rPr>
                <w:sz w:val="21"/>
                <w:szCs w:val="21"/>
                <w:u w:val="single"/>
              </w:rPr>
              <w:t>4</w:t>
            </w:r>
          </w:p>
        </w:tc>
        <w:tc>
          <w:tcPr>
            <w:tcW w:w="2268" w:type="dxa"/>
            <w:gridSpan w:val="2"/>
            <w:vAlign w:val="center"/>
          </w:tcPr>
          <w:p>
            <w:pPr>
              <w:jc w:val="center"/>
              <w:rPr>
                <w:sz w:val="21"/>
                <w:szCs w:val="21"/>
                <w:u w:val="single"/>
              </w:rPr>
            </w:pPr>
            <w:r>
              <w:rPr>
                <w:rFonts w:hint="eastAsia"/>
                <w:sz w:val="21"/>
                <w:szCs w:val="21"/>
                <w:u w:val="single"/>
              </w:rPr>
              <w:t>路面数量</w:t>
            </w:r>
          </w:p>
        </w:tc>
        <w:tc>
          <w:tcPr>
            <w:tcW w:w="993" w:type="dxa"/>
            <w:vAlign w:val="center"/>
          </w:tcPr>
          <w:p>
            <w:pPr>
              <w:jc w:val="center"/>
              <w:rPr>
                <w:sz w:val="21"/>
                <w:szCs w:val="21"/>
                <w:u w:val="single"/>
              </w:rPr>
            </w:pPr>
            <w:r>
              <w:rPr>
                <w:sz w:val="21"/>
                <w:szCs w:val="21"/>
                <w:u w:val="single"/>
              </w:rPr>
              <w:t>m</w:t>
            </w:r>
            <w:r>
              <w:rPr>
                <w:sz w:val="21"/>
                <w:szCs w:val="21"/>
                <w:u w:val="single"/>
                <w:vertAlign w:val="superscript"/>
              </w:rPr>
              <w:t>2</w:t>
            </w:r>
          </w:p>
        </w:tc>
        <w:tc>
          <w:tcPr>
            <w:tcW w:w="1984" w:type="dxa"/>
          </w:tcPr>
          <w:p>
            <w:pPr>
              <w:jc w:val="center"/>
              <w:rPr>
                <w:sz w:val="21"/>
                <w:szCs w:val="21"/>
                <w:u w:val="single"/>
              </w:rPr>
            </w:pPr>
            <w:r>
              <w:rPr>
                <w:sz w:val="21"/>
                <w:szCs w:val="21"/>
                <w:u w:val="single"/>
                <w:lang w:val="zh-CN"/>
              </w:rPr>
              <w:t>189602m</w:t>
            </w:r>
            <w:r>
              <w:rPr>
                <w:sz w:val="21"/>
                <w:szCs w:val="21"/>
                <w:u w:val="single"/>
                <w:vertAlign w:val="superscript"/>
                <w:lang w:val="zh-CN"/>
              </w:rPr>
              <w:t>2</w:t>
            </w:r>
          </w:p>
        </w:tc>
        <w:tc>
          <w:tcPr>
            <w:tcW w:w="2126" w:type="dxa"/>
          </w:tcPr>
          <w:p>
            <w:pPr>
              <w:jc w:val="center"/>
              <w:rPr>
                <w:sz w:val="21"/>
                <w:szCs w:val="21"/>
                <w:u w:val="single"/>
              </w:rPr>
            </w:pPr>
            <w:r>
              <w:rPr>
                <w:sz w:val="21"/>
                <w:szCs w:val="21"/>
                <w:u w:val="single"/>
                <w:lang w:val="zh-CN"/>
              </w:rPr>
              <w:t>193231m</w:t>
            </w:r>
            <w:r>
              <w:rPr>
                <w:sz w:val="21"/>
                <w:szCs w:val="21"/>
                <w:u w:val="single"/>
                <w:vertAlign w:val="superscript"/>
                <w:lang w:val="zh-CN"/>
              </w:rPr>
              <w:t>2</w:t>
            </w:r>
          </w:p>
        </w:tc>
        <w:tc>
          <w:tcPr>
            <w:tcW w:w="1134" w:type="dxa"/>
            <w:tcBorders>
              <w:right w:val="single" w:color="auto" w:sz="6" w:space="0"/>
            </w:tcBorders>
            <w:vAlign w:val="center"/>
          </w:tcPr>
          <w:p>
            <w:pPr>
              <w:jc w:val="center"/>
              <w:rPr>
                <w:sz w:val="21"/>
                <w:szCs w:val="21"/>
                <w:u w:val="single"/>
              </w:rPr>
            </w:pPr>
            <w:r>
              <w:rPr>
                <w:sz w:val="21"/>
                <w:szCs w:val="21"/>
                <w:u w:val="single"/>
              </w:rPr>
              <w:t>-3629</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vMerge w:val="restart"/>
            <w:tcBorders>
              <w:left w:val="single" w:color="auto" w:sz="6" w:space="0"/>
            </w:tcBorders>
            <w:vAlign w:val="center"/>
          </w:tcPr>
          <w:p>
            <w:pPr>
              <w:jc w:val="center"/>
              <w:rPr>
                <w:sz w:val="21"/>
                <w:szCs w:val="21"/>
                <w:u w:val="single"/>
              </w:rPr>
            </w:pPr>
            <w:r>
              <w:rPr>
                <w:sz w:val="21"/>
                <w:szCs w:val="21"/>
                <w:u w:val="single"/>
              </w:rPr>
              <w:t>5</w:t>
            </w:r>
          </w:p>
        </w:tc>
        <w:tc>
          <w:tcPr>
            <w:tcW w:w="851" w:type="dxa"/>
            <w:vMerge w:val="restart"/>
            <w:vAlign w:val="center"/>
          </w:tcPr>
          <w:p>
            <w:pPr>
              <w:jc w:val="center"/>
              <w:rPr>
                <w:sz w:val="21"/>
                <w:szCs w:val="21"/>
                <w:u w:val="single"/>
              </w:rPr>
            </w:pPr>
            <w:r>
              <w:rPr>
                <w:rFonts w:hint="eastAsia"/>
                <w:sz w:val="21"/>
                <w:szCs w:val="21"/>
                <w:u w:val="single"/>
              </w:rPr>
              <w:t>桥涵</w:t>
            </w:r>
          </w:p>
        </w:tc>
        <w:tc>
          <w:tcPr>
            <w:tcW w:w="1417" w:type="dxa"/>
            <w:vAlign w:val="center"/>
          </w:tcPr>
          <w:p>
            <w:pPr>
              <w:jc w:val="center"/>
              <w:rPr>
                <w:sz w:val="21"/>
                <w:szCs w:val="21"/>
                <w:u w:val="single"/>
              </w:rPr>
            </w:pPr>
            <w:r>
              <w:rPr>
                <w:rFonts w:hint="eastAsia"/>
                <w:sz w:val="21"/>
                <w:szCs w:val="21"/>
                <w:u w:val="single"/>
              </w:rPr>
              <w:t>特大桥、大桥</w:t>
            </w:r>
          </w:p>
        </w:tc>
        <w:tc>
          <w:tcPr>
            <w:tcW w:w="993" w:type="dxa"/>
            <w:vAlign w:val="center"/>
          </w:tcPr>
          <w:p>
            <w:pPr>
              <w:jc w:val="center"/>
              <w:rPr>
                <w:sz w:val="21"/>
                <w:szCs w:val="21"/>
                <w:u w:val="single"/>
              </w:rPr>
            </w:pPr>
            <w:r>
              <w:rPr>
                <w:sz w:val="21"/>
                <w:szCs w:val="21"/>
                <w:u w:val="single"/>
              </w:rPr>
              <w:t>m/</w:t>
            </w:r>
            <w:r>
              <w:rPr>
                <w:rFonts w:hint="eastAsia"/>
                <w:sz w:val="21"/>
                <w:szCs w:val="21"/>
                <w:u w:val="single"/>
              </w:rPr>
              <w:t>座</w:t>
            </w:r>
          </w:p>
        </w:tc>
        <w:tc>
          <w:tcPr>
            <w:tcW w:w="1984" w:type="dxa"/>
            <w:vAlign w:val="center"/>
          </w:tcPr>
          <w:p>
            <w:pPr>
              <w:jc w:val="center"/>
              <w:rPr>
                <w:sz w:val="21"/>
                <w:szCs w:val="21"/>
                <w:u w:val="single"/>
              </w:rPr>
            </w:pPr>
            <w:r>
              <w:rPr>
                <w:sz w:val="21"/>
                <w:szCs w:val="21"/>
                <w:u w:val="single"/>
              </w:rPr>
              <w:t>/</w:t>
            </w:r>
          </w:p>
        </w:tc>
        <w:tc>
          <w:tcPr>
            <w:tcW w:w="2126" w:type="dxa"/>
            <w:vAlign w:val="center"/>
          </w:tcPr>
          <w:p>
            <w:pPr>
              <w:jc w:val="center"/>
              <w:rPr>
                <w:sz w:val="21"/>
                <w:szCs w:val="21"/>
                <w:u w:val="single"/>
              </w:rPr>
            </w:pPr>
            <w:r>
              <w:rPr>
                <w:sz w:val="21"/>
                <w:szCs w:val="21"/>
                <w:u w:val="single"/>
              </w:rPr>
              <w:t>/</w:t>
            </w:r>
          </w:p>
        </w:tc>
        <w:tc>
          <w:tcPr>
            <w:tcW w:w="1134" w:type="dxa"/>
            <w:tcBorders>
              <w:right w:val="single" w:color="auto" w:sz="6" w:space="0"/>
            </w:tcBorders>
            <w:vAlign w:val="center"/>
          </w:tcPr>
          <w:p>
            <w:pPr>
              <w:jc w:val="center"/>
              <w:rPr>
                <w:sz w:val="21"/>
                <w:szCs w:val="21"/>
                <w:u w:val="single"/>
              </w:rPr>
            </w:pPr>
            <w:r>
              <w:rPr>
                <w:sz w:val="21"/>
                <w:szCs w:val="21"/>
                <w:u w:val="single"/>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vMerge w:val="continue"/>
            <w:tcBorders>
              <w:left w:val="single" w:color="auto" w:sz="6" w:space="0"/>
            </w:tcBorders>
            <w:vAlign w:val="center"/>
          </w:tcPr>
          <w:p>
            <w:pPr>
              <w:ind w:firstLine="420"/>
              <w:jc w:val="center"/>
              <w:rPr>
                <w:sz w:val="21"/>
                <w:szCs w:val="21"/>
                <w:u w:val="single"/>
              </w:rPr>
            </w:pPr>
          </w:p>
        </w:tc>
        <w:tc>
          <w:tcPr>
            <w:tcW w:w="851" w:type="dxa"/>
            <w:vMerge w:val="continue"/>
            <w:vAlign w:val="center"/>
          </w:tcPr>
          <w:p>
            <w:pPr>
              <w:ind w:firstLine="420"/>
              <w:jc w:val="center"/>
              <w:rPr>
                <w:sz w:val="21"/>
                <w:szCs w:val="21"/>
                <w:u w:val="single"/>
              </w:rPr>
            </w:pPr>
          </w:p>
        </w:tc>
        <w:tc>
          <w:tcPr>
            <w:tcW w:w="1417" w:type="dxa"/>
            <w:vAlign w:val="center"/>
          </w:tcPr>
          <w:p>
            <w:pPr>
              <w:jc w:val="center"/>
              <w:rPr>
                <w:sz w:val="21"/>
                <w:szCs w:val="21"/>
                <w:u w:val="single"/>
              </w:rPr>
            </w:pPr>
            <w:r>
              <w:rPr>
                <w:rFonts w:hint="eastAsia"/>
                <w:sz w:val="21"/>
                <w:szCs w:val="21"/>
                <w:u w:val="single"/>
              </w:rPr>
              <w:t>中、小桥</w:t>
            </w:r>
          </w:p>
        </w:tc>
        <w:tc>
          <w:tcPr>
            <w:tcW w:w="993" w:type="dxa"/>
            <w:vAlign w:val="center"/>
          </w:tcPr>
          <w:p>
            <w:pPr>
              <w:jc w:val="center"/>
              <w:rPr>
                <w:sz w:val="21"/>
                <w:szCs w:val="21"/>
                <w:u w:val="single"/>
              </w:rPr>
            </w:pPr>
            <w:r>
              <w:rPr>
                <w:sz w:val="21"/>
                <w:szCs w:val="21"/>
                <w:u w:val="single"/>
              </w:rPr>
              <w:t>m/</w:t>
            </w:r>
            <w:r>
              <w:rPr>
                <w:rFonts w:hint="eastAsia"/>
                <w:sz w:val="21"/>
                <w:szCs w:val="21"/>
                <w:u w:val="single"/>
              </w:rPr>
              <w:t>座</w:t>
            </w:r>
          </w:p>
        </w:tc>
        <w:tc>
          <w:tcPr>
            <w:tcW w:w="1984" w:type="dxa"/>
          </w:tcPr>
          <w:p>
            <w:pPr>
              <w:jc w:val="center"/>
              <w:rPr>
                <w:sz w:val="21"/>
                <w:szCs w:val="21"/>
                <w:u w:val="single"/>
              </w:rPr>
            </w:pPr>
            <w:r>
              <w:rPr>
                <w:sz w:val="21"/>
                <w:szCs w:val="21"/>
                <w:u w:val="single"/>
                <w:lang w:val="zh-CN"/>
              </w:rPr>
              <w:t>52m/2</w:t>
            </w:r>
            <w:r>
              <w:rPr>
                <w:rFonts w:hint="eastAsia"/>
                <w:sz w:val="21"/>
                <w:szCs w:val="21"/>
                <w:u w:val="single"/>
                <w:lang w:val="zh-CN"/>
              </w:rPr>
              <w:t>座</w:t>
            </w:r>
          </w:p>
        </w:tc>
        <w:tc>
          <w:tcPr>
            <w:tcW w:w="2126" w:type="dxa"/>
          </w:tcPr>
          <w:p>
            <w:pPr>
              <w:jc w:val="center"/>
              <w:rPr>
                <w:sz w:val="21"/>
                <w:szCs w:val="21"/>
                <w:u w:val="single"/>
              </w:rPr>
            </w:pPr>
            <w:r>
              <w:rPr>
                <w:sz w:val="21"/>
                <w:szCs w:val="21"/>
                <w:u w:val="single"/>
              </w:rPr>
              <w:t>52</w:t>
            </w:r>
            <w:r>
              <w:rPr>
                <w:sz w:val="21"/>
                <w:szCs w:val="21"/>
                <w:u w:val="single"/>
                <w:lang w:val="zh-CN"/>
              </w:rPr>
              <w:t>m/2</w:t>
            </w:r>
            <w:r>
              <w:rPr>
                <w:rFonts w:hint="eastAsia"/>
                <w:sz w:val="21"/>
                <w:szCs w:val="21"/>
                <w:u w:val="single"/>
                <w:lang w:val="zh-CN"/>
              </w:rPr>
              <w:t>座</w:t>
            </w:r>
          </w:p>
        </w:tc>
        <w:tc>
          <w:tcPr>
            <w:tcW w:w="1134" w:type="dxa"/>
            <w:tcBorders>
              <w:right w:val="single" w:color="auto" w:sz="6" w:space="0"/>
            </w:tcBorders>
            <w:vAlign w:val="center"/>
          </w:tcPr>
          <w:p>
            <w:pPr>
              <w:jc w:val="center"/>
              <w:rPr>
                <w:sz w:val="21"/>
                <w:szCs w:val="21"/>
                <w:u w:val="single"/>
              </w:rPr>
            </w:pPr>
            <w:r>
              <w:rPr>
                <w:sz w:val="21"/>
                <w:szCs w:val="21"/>
                <w:u w:val="single"/>
              </w:rPr>
              <w:t>0</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vMerge w:val="continue"/>
            <w:tcBorders>
              <w:left w:val="single" w:color="auto" w:sz="6" w:space="0"/>
            </w:tcBorders>
            <w:vAlign w:val="center"/>
          </w:tcPr>
          <w:p>
            <w:pPr>
              <w:ind w:firstLine="420"/>
              <w:jc w:val="center"/>
              <w:rPr>
                <w:sz w:val="21"/>
                <w:szCs w:val="21"/>
                <w:u w:val="single"/>
              </w:rPr>
            </w:pPr>
          </w:p>
        </w:tc>
        <w:tc>
          <w:tcPr>
            <w:tcW w:w="851" w:type="dxa"/>
            <w:vMerge w:val="continue"/>
            <w:vAlign w:val="center"/>
          </w:tcPr>
          <w:p>
            <w:pPr>
              <w:ind w:firstLine="420"/>
              <w:jc w:val="center"/>
              <w:rPr>
                <w:sz w:val="21"/>
                <w:szCs w:val="21"/>
                <w:u w:val="single"/>
              </w:rPr>
            </w:pPr>
          </w:p>
        </w:tc>
        <w:tc>
          <w:tcPr>
            <w:tcW w:w="1417" w:type="dxa"/>
            <w:vAlign w:val="center"/>
          </w:tcPr>
          <w:p>
            <w:pPr>
              <w:jc w:val="center"/>
              <w:rPr>
                <w:sz w:val="21"/>
                <w:szCs w:val="21"/>
                <w:u w:val="single"/>
              </w:rPr>
            </w:pPr>
            <w:r>
              <w:rPr>
                <w:rFonts w:hint="eastAsia"/>
                <w:sz w:val="21"/>
                <w:szCs w:val="21"/>
                <w:u w:val="single"/>
              </w:rPr>
              <w:t>涵洞</w:t>
            </w:r>
          </w:p>
        </w:tc>
        <w:tc>
          <w:tcPr>
            <w:tcW w:w="993" w:type="dxa"/>
            <w:vAlign w:val="center"/>
          </w:tcPr>
          <w:p>
            <w:pPr>
              <w:jc w:val="center"/>
              <w:rPr>
                <w:sz w:val="21"/>
                <w:szCs w:val="21"/>
                <w:u w:val="single"/>
              </w:rPr>
            </w:pPr>
            <w:r>
              <w:rPr>
                <w:rFonts w:hint="eastAsia"/>
                <w:sz w:val="21"/>
                <w:szCs w:val="21"/>
                <w:u w:val="single"/>
              </w:rPr>
              <w:t>道</w:t>
            </w:r>
          </w:p>
        </w:tc>
        <w:tc>
          <w:tcPr>
            <w:tcW w:w="1984" w:type="dxa"/>
          </w:tcPr>
          <w:p>
            <w:pPr>
              <w:jc w:val="center"/>
              <w:rPr>
                <w:sz w:val="21"/>
                <w:szCs w:val="21"/>
                <w:u w:val="single"/>
              </w:rPr>
            </w:pPr>
            <w:r>
              <w:rPr>
                <w:sz w:val="21"/>
                <w:szCs w:val="21"/>
                <w:u w:val="single"/>
                <w:lang w:val="zh-CN"/>
              </w:rPr>
              <w:t>42</w:t>
            </w:r>
            <w:r>
              <w:rPr>
                <w:rFonts w:hint="eastAsia"/>
                <w:sz w:val="21"/>
                <w:szCs w:val="21"/>
                <w:u w:val="single"/>
                <w:lang w:val="zh-CN"/>
              </w:rPr>
              <w:t>道</w:t>
            </w:r>
          </w:p>
        </w:tc>
        <w:tc>
          <w:tcPr>
            <w:tcW w:w="2126" w:type="dxa"/>
          </w:tcPr>
          <w:p>
            <w:pPr>
              <w:jc w:val="center"/>
              <w:rPr>
                <w:sz w:val="21"/>
                <w:szCs w:val="21"/>
                <w:u w:val="single"/>
              </w:rPr>
            </w:pPr>
            <w:r>
              <w:rPr>
                <w:sz w:val="21"/>
                <w:szCs w:val="21"/>
                <w:u w:val="single"/>
                <w:lang w:val="zh-CN"/>
              </w:rPr>
              <w:t>43</w:t>
            </w:r>
            <w:r>
              <w:rPr>
                <w:rFonts w:hint="eastAsia"/>
                <w:sz w:val="21"/>
                <w:szCs w:val="21"/>
                <w:u w:val="single"/>
                <w:lang w:val="zh-CN"/>
              </w:rPr>
              <w:t>道</w:t>
            </w:r>
          </w:p>
        </w:tc>
        <w:tc>
          <w:tcPr>
            <w:tcW w:w="1134" w:type="dxa"/>
            <w:tcBorders>
              <w:right w:val="single" w:color="auto" w:sz="6" w:space="0"/>
            </w:tcBorders>
            <w:vAlign w:val="center"/>
          </w:tcPr>
          <w:p>
            <w:pPr>
              <w:jc w:val="center"/>
              <w:rPr>
                <w:sz w:val="21"/>
                <w:szCs w:val="21"/>
                <w:u w:val="single"/>
              </w:rPr>
            </w:pPr>
            <w:r>
              <w:rPr>
                <w:sz w:val="21"/>
                <w:szCs w:val="21"/>
                <w:u w:val="single"/>
              </w:rPr>
              <w:t>-1</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tcBorders>
              <w:left w:val="single" w:color="auto" w:sz="6" w:space="0"/>
            </w:tcBorders>
            <w:vAlign w:val="center"/>
          </w:tcPr>
          <w:p>
            <w:pPr>
              <w:jc w:val="center"/>
              <w:rPr>
                <w:sz w:val="21"/>
                <w:szCs w:val="21"/>
                <w:u w:val="single"/>
              </w:rPr>
            </w:pPr>
            <w:r>
              <w:rPr>
                <w:sz w:val="21"/>
                <w:szCs w:val="21"/>
                <w:u w:val="single"/>
              </w:rPr>
              <w:t>6</w:t>
            </w:r>
          </w:p>
        </w:tc>
        <w:tc>
          <w:tcPr>
            <w:tcW w:w="2268" w:type="dxa"/>
            <w:gridSpan w:val="2"/>
            <w:vAlign w:val="center"/>
          </w:tcPr>
          <w:p>
            <w:pPr>
              <w:jc w:val="center"/>
              <w:rPr>
                <w:sz w:val="21"/>
                <w:szCs w:val="21"/>
                <w:u w:val="single"/>
              </w:rPr>
            </w:pPr>
            <w:r>
              <w:rPr>
                <w:rFonts w:hint="eastAsia"/>
                <w:sz w:val="21"/>
                <w:szCs w:val="21"/>
                <w:u w:val="single"/>
              </w:rPr>
              <w:t>分离式立交</w:t>
            </w:r>
          </w:p>
        </w:tc>
        <w:tc>
          <w:tcPr>
            <w:tcW w:w="993" w:type="dxa"/>
            <w:vAlign w:val="center"/>
          </w:tcPr>
          <w:p>
            <w:pPr>
              <w:jc w:val="center"/>
              <w:rPr>
                <w:kern w:val="0"/>
                <w:sz w:val="21"/>
                <w:szCs w:val="21"/>
                <w:u w:val="single"/>
              </w:rPr>
            </w:pPr>
            <w:r>
              <w:rPr>
                <w:kern w:val="0"/>
                <w:sz w:val="21"/>
                <w:szCs w:val="21"/>
                <w:u w:val="single"/>
              </w:rPr>
              <w:t>m/</w:t>
            </w:r>
            <w:r>
              <w:rPr>
                <w:rFonts w:hint="eastAsia"/>
                <w:kern w:val="0"/>
                <w:sz w:val="21"/>
                <w:szCs w:val="21"/>
                <w:u w:val="single"/>
              </w:rPr>
              <w:t>座</w:t>
            </w:r>
          </w:p>
        </w:tc>
        <w:tc>
          <w:tcPr>
            <w:tcW w:w="1984" w:type="dxa"/>
            <w:vAlign w:val="center"/>
          </w:tcPr>
          <w:p>
            <w:pPr>
              <w:jc w:val="center"/>
              <w:rPr>
                <w:sz w:val="21"/>
                <w:szCs w:val="21"/>
                <w:u w:val="single"/>
              </w:rPr>
            </w:pPr>
            <w:r>
              <w:rPr>
                <w:sz w:val="21"/>
                <w:szCs w:val="21"/>
                <w:u w:val="single"/>
              </w:rPr>
              <w:t>/</w:t>
            </w:r>
          </w:p>
        </w:tc>
        <w:tc>
          <w:tcPr>
            <w:tcW w:w="2126" w:type="dxa"/>
            <w:vAlign w:val="center"/>
          </w:tcPr>
          <w:p>
            <w:pPr>
              <w:jc w:val="center"/>
              <w:rPr>
                <w:sz w:val="21"/>
                <w:szCs w:val="21"/>
                <w:u w:val="single"/>
              </w:rPr>
            </w:pPr>
            <w:r>
              <w:rPr>
                <w:sz w:val="21"/>
                <w:szCs w:val="21"/>
                <w:u w:val="single"/>
              </w:rPr>
              <w:t>/</w:t>
            </w:r>
          </w:p>
        </w:tc>
        <w:tc>
          <w:tcPr>
            <w:tcW w:w="1134" w:type="dxa"/>
            <w:tcBorders>
              <w:right w:val="single" w:color="auto" w:sz="6" w:space="0"/>
            </w:tcBorders>
            <w:vAlign w:val="center"/>
          </w:tcPr>
          <w:p>
            <w:pPr>
              <w:jc w:val="center"/>
              <w:rPr>
                <w:kern w:val="0"/>
                <w:sz w:val="21"/>
                <w:szCs w:val="21"/>
                <w:u w:val="single"/>
              </w:rPr>
            </w:pPr>
            <w:r>
              <w:rPr>
                <w:kern w:val="0"/>
                <w:sz w:val="21"/>
                <w:szCs w:val="21"/>
                <w:u w:val="single"/>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tcBorders>
              <w:left w:val="single" w:color="auto" w:sz="6" w:space="0"/>
            </w:tcBorders>
            <w:vAlign w:val="center"/>
          </w:tcPr>
          <w:p>
            <w:pPr>
              <w:jc w:val="center"/>
              <w:rPr>
                <w:sz w:val="21"/>
                <w:szCs w:val="21"/>
                <w:u w:val="single"/>
              </w:rPr>
            </w:pPr>
            <w:r>
              <w:rPr>
                <w:sz w:val="21"/>
                <w:szCs w:val="21"/>
                <w:u w:val="single"/>
              </w:rPr>
              <w:t>7</w:t>
            </w:r>
          </w:p>
        </w:tc>
        <w:tc>
          <w:tcPr>
            <w:tcW w:w="2268" w:type="dxa"/>
            <w:gridSpan w:val="2"/>
            <w:vAlign w:val="center"/>
          </w:tcPr>
          <w:p>
            <w:pPr>
              <w:jc w:val="center"/>
              <w:rPr>
                <w:sz w:val="21"/>
                <w:szCs w:val="21"/>
                <w:u w:val="single"/>
              </w:rPr>
            </w:pPr>
            <w:r>
              <w:rPr>
                <w:rFonts w:hint="eastAsia"/>
                <w:sz w:val="21"/>
                <w:szCs w:val="21"/>
                <w:u w:val="single"/>
              </w:rPr>
              <w:t>拆迁房屋</w:t>
            </w:r>
          </w:p>
        </w:tc>
        <w:tc>
          <w:tcPr>
            <w:tcW w:w="993" w:type="dxa"/>
            <w:vAlign w:val="center"/>
          </w:tcPr>
          <w:p>
            <w:pPr>
              <w:jc w:val="center"/>
              <w:rPr>
                <w:sz w:val="21"/>
                <w:szCs w:val="21"/>
                <w:u w:val="single"/>
              </w:rPr>
            </w:pPr>
            <w:r>
              <w:rPr>
                <w:sz w:val="21"/>
                <w:szCs w:val="21"/>
                <w:u w:val="single"/>
              </w:rPr>
              <w:t>m</w:t>
            </w:r>
            <w:r>
              <w:rPr>
                <w:sz w:val="21"/>
                <w:szCs w:val="21"/>
                <w:u w:val="single"/>
                <w:vertAlign w:val="superscript"/>
              </w:rPr>
              <w:t>2</w:t>
            </w:r>
          </w:p>
        </w:tc>
        <w:tc>
          <w:tcPr>
            <w:tcW w:w="1984" w:type="dxa"/>
          </w:tcPr>
          <w:p>
            <w:pPr>
              <w:jc w:val="center"/>
              <w:rPr>
                <w:sz w:val="21"/>
                <w:szCs w:val="21"/>
                <w:u w:val="single"/>
              </w:rPr>
            </w:pPr>
            <w:r>
              <w:rPr>
                <w:sz w:val="21"/>
                <w:szCs w:val="21"/>
                <w:u w:val="single"/>
                <w:lang w:val="zh-CN"/>
              </w:rPr>
              <w:t>6124</w:t>
            </w:r>
            <w:r>
              <w:rPr>
                <w:sz w:val="21"/>
                <w:szCs w:val="21"/>
                <w:u w:val="single"/>
              </w:rPr>
              <w:t>m</w:t>
            </w:r>
            <w:r>
              <w:rPr>
                <w:sz w:val="21"/>
                <w:szCs w:val="21"/>
                <w:u w:val="single"/>
                <w:vertAlign w:val="superscript"/>
              </w:rPr>
              <w:t>2</w:t>
            </w:r>
          </w:p>
        </w:tc>
        <w:tc>
          <w:tcPr>
            <w:tcW w:w="2126" w:type="dxa"/>
          </w:tcPr>
          <w:p>
            <w:pPr>
              <w:jc w:val="center"/>
              <w:rPr>
                <w:sz w:val="21"/>
                <w:szCs w:val="21"/>
                <w:u w:val="single"/>
              </w:rPr>
            </w:pPr>
            <w:r>
              <w:rPr>
                <w:sz w:val="21"/>
                <w:szCs w:val="21"/>
                <w:u w:val="single"/>
              </w:rPr>
              <w:t>6682m</w:t>
            </w:r>
            <w:r>
              <w:rPr>
                <w:sz w:val="21"/>
                <w:szCs w:val="21"/>
                <w:u w:val="single"/>
                <w:vertAlign w:val="superscript"/>
              </w:rPr>
              <w:t>2</w:t>
            </w:r>
          </w:p>
        </w:tc>
        <w:tc>
          <w:tcPr>
            <w:tcW w:w="1134" w:type="dxa"/>
            <w:tcBorders>
              <w:right w:val="single" w:color="auto" w:sz="6" w:space="0"/>
            </w:tcBorders>
            <w:vAlign w:val="center"/>
          </w:tcPr>
          <w:p>
            <w:pPr>
              <w:jc w:val="center"/>
              <w:rPr>
                <w:sz w:val="21"/>
                <w:szCs w:val="21"/>
                <w:u w:val="single"/>
              </w:rPr>
            </w:pPr>
            <w:r>
              <w:rPr>
                <w:sz w:val="21"/>
                <w:szCs w:val="21"/>
                <w:u w:val="single"/>
              </w:rPr>
              <w:t>-558</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tcBorders>
              <w:left w:val="single" w:color="auto" w:sz="6" w:space="0"/>
            </w:tcBorders>
            <w:vAlign w:val="center"/>
          </w:tcPr>
          <w:p>
            <w:pPr>
              <w:jc w:val="center"/>
              <w:rPr>
                <w:sz w:val="21"/>
                <w:szCs w:val="21"/>
                <w:u w:val="single"/>
              </w:rPr>
            </w:pPr>
            <w:r>
              <w:rPr>
                <w:sz w:val="21"/>
                <w:szCs w:val="21"/>
                <w:u w:val="single"/>
              </w:rPr>
              <w:t>8</w:t>
            </w:r>
          </w:p>
        </w:tc>
        <w:tc>
          <w:tcPr>
            <w:tcW w:w="2268" w:type="dxa"/>
            <w:gridSpan w:val="2"/>
            <w:vAlign w:val="center"/>
          </w:tcPr>
          <w:p>
            <w:pPr>
              <w:jc w:val="center"/>
              <w:rPr>
                <w:sz w:val="21"/>
                <w:szCs w:val="21"/>
                <w:u w:val="single"/>
              </w:rPr>
            </w:pPr>
            <w:r>
              <w:rPr>
                <w:rFonts w:hint="eastAsia"/>
                <w:sz w:val="21"/>
                <w:szCs w:val="21"/>
                <w:u w:val="single"/>
              </w:rPr>
              <w:t>新增土地</w:t>
            </w:r>
          </w:p>
        </w:tc>
        <w:tc>
          <w:tcPr>
            <w:tcW w:w="993" w:type="dxa"/>
            <w:vAlign w:val="center"/>
          </w:tcPr>
          <w:p>
            <w:pPr>
              <w:jc w:val="center"/>
              <w:rPr>
                <w:sz w:val="21"/>
                <w:szCs w:val="21"/>
                <w:u w:val="single"/>
              </w:rPr>
            </w:pPr>
            <w:r>
              <w:rPr>
                <w:sz w:val="21"/>
                <w:szCs w:val="21"/>
                <w:u w:val="single"/>
              </w:rPr>
              <w:t>hm</w:t>
            </w:r>
            <w:r>
              <w:rPr>
                <w:sz w:val="21"/>
                <w:szCs w:val="21"/>
                <w:u w:val="single"/>
                <w:vertAlign w:val="superscript"/>
              </w:rPr>
              <w:t>2</w:t>
            </w:r>
          </w:p>
        </w:tc>
        <w:tc>
          <w:tcPr>
            <w:tcW w:w="1984" w:type="dxa"/>
          </w:tcPr>
          <w:p>
            <w:pPr>
              <w:jc w:val="center"/>
              <w:rPr>
                <w:sz w:val="21"/>
                <w:szCs w:val="21"/>
                <w:u w:val="single"/>
              </w:rPr>
            </w:pPr>
            <w:r>
              <w:rPr>
                <w:sz w:val="21"/>
                <w:szCs w:val="21"/>
                <w:u w:val="single"/>
                <w:lang w:val="zh-CN"/>
              </w:rPr>
              <w:t>32.41</w:t>
            </w:r>
            <w:r>
              <w:rPr>
                <w:rFonts w:hint="eastAsia"/>
                <w:sz w:val="21"/>
                <w:szCs w:val="21"/>
                <w:u w:val="single"/>
                <w:lang w:val="zh-CN"/>
              </w:rPr>
              <w:t>公顷</w:t>
            </w:r>
          </w:p>
        </w:tc>
        <w:tc>
          <w:tcPr>
            <w:tcW w:w="2126" w:type="dxa"/>
          </w:tcPr>
          <w:p>
            <w:pPr>
              <w:jc w:val="center"/>
              <w:rPr>
                <w:sz w:val="21"/>
                <w:szCs w:val="21"/>
                <w:u w:val="single"/>
              </w:rPr>
            </w:pPr>
            <w:r>
              <w:rPr>
                <w:sz w:val="21"/>
                <w:szCs w:val="21"/>
                <w:u w:val="single"/>
                <w:lang w:val="zh-CN"/>
              </w:rPr>
              <w:t>33.57</w:t>
            </w:r>
            <w:r>
              <w:rPr>
                <w:rFonts w:hint="eastAsia"/>
                <w:sz w:val="21"/>
                <w:szCs w:val="21"/>
                <w:u w:val="single"/>
                <w:lang w:val="zh-CN"/>
              </w:rPr>
              <w:t>公顷</w:t>
            </w:r>
          </w:p>
        </w:tc>
        <w:tc>
          <w:tcPr>
            <w:tcW w:w="1134" w:type="dxa"/>
            <w:tcBorders>
              <w:right w:val="single" w:color="auto" w:sz="6" w:space="0"/>
            </w:tcBorders>
            <w:vAlign w:val="center"/>
          </w:tcPr>
          <w:p>
            <w:pPr>
              <w:rPr>
                <w:sz w:val="21"/>
                <w:szCs w:val="21"/>
                <w:u w:val="single"/>
              </w:rPr>
            </w:pPr>
            <w:r>
              <w:rPr>
                <w:sz w:val="21"/>
                <w:szCs w:val="21"/>
                <w:u w:val="single"/>
              </w:rPr>
              <w:t xml:space="preserve">  -1.16</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tcBorders>
              <w:left w:val="single" w:color="auto" w:sz="6" w:space="0"/>
            </w:tcBorders>
            <w:vAlign w:val="center"/>
          </w:tcPr>
          <w:p>
            <w:pPr>
              <w:jc w:val="center"/>
              <w:rPr>
                <w:rFonts w:hint="eastAsia" w:eastAsia="宋体"/>
                <w:sz w:val="21"/>
                <w:szCs w:val="21"/>
                <w:u w:val="single"/>
                <w:lang w:eastAsia="zh-CN"/>
              </w:rPr>
            </w:pPr>
            <w:r>
              <w:rPr>
                <w:rFonts w:hint="eastAsia"/>
                <w:sz w:val="21"/>
                <w:szCs w:val="21"/>
                <w:u w:val="single"/>
                <w:lang w:val="en-US" w:eastAsia="zh-CN"/>
              </w:rPr>
              <w:t>9</w:t>
            </w:r>
          </w:p>
        </w:tc>
        <w:tc>
          <w:tcPr>
            <w:tcW w:w="851" w:type="dxa"/>
            <w:vAlign w:val="center"/>
          </w:tcPr>
          <w:p>
            <w:pPr>
              <w:jc w:val="center"/>
              <w:rPr>
                <w:sz w:val="21"/>
                <w:szCs w:val="21"/>
                <w:u w:val="single"/>
              </w:rPr>
            </w:pPr>
            <w:r>
              <w:rPr>
                <w:rFonts w:hint="eastAsia"/>
                <w:sz w:val="21"/>
                <w:szCs w:val="21"/>
                <w:u w:val="single"/>
              </w:rPr>
              <w:t>造价</w:t>
            </w:r>
          </w:p>
        </w:tc>
        <w:tc>
          <w:tcPr>
            <w:tcW w:w="1417" w:type="dxa"/>
            <w:vAlign w:val="center"/>
          </w:tcPr>
          <w:p>
            <w:pPr>
              <w:jc w:val="center"/>
              <w:rPr>
                <w:sz w:val="21"/>
                <w:szCs w:val="21"/>
                <w:u w:val="single"/>
              </w:rPr>
            </w:pPr>
            <w:r>
              <w:rPr>
                <w:rFonts w:hint="eastAsia"/>
                <w:sz w:val="21"/>
                <w:szCs w:val="21"/>
                <w:u w:val="single"/>
              </w:rPr>
              <w:t>估算总金额</w:t>
            </w:r>
          </w:p>
        </w:tc>
        <w:tc>
          <w:tcPr>
            <w:tcW w:w="993" w:type="dxa"/>
            <w:vAlign w:val="center"/>
          </w:tcPr>
          <w:p>
            <w:pPr>
              <w:jc w:val="center"/>
              <w:rPr>
                <w:sz w:val="21"/>
                <w:szCs w:val="21"/>
                <w:u w:val="single"/>
              </w:rPr>
            </w:pPr>
            <w:r>
              <w:rPr>
                <w:rFonts w:hint="eastAsia"/>
                <w:sz w:val="21"/>
                <w:szCs w:val="21"/>
                <w:u w:val="single"/>
              </w:rPr>
              <w:t>万元</w:t>
            </w:r>
          </w:p>
        </w:tc>
        <w:tc>
          <w:tcPr>
            <w:tcW w:w="1984" w:type="dxa"/>
            <w:vAlign w:val="center"/>
          </w:tcPr>
          <w:p>
            <w:pPr>
              <w:jc w:val="center"/>
              <w:rPr>
                <w:sz w:val="21"/>
                <w:szCs w:val="21"/>
                <w:u w:val="single"/>
                <w:lang w:val="zh-CN"/>
              </w:rPr>
            </w:pPr>
            <w:r>
              <w:rPr>
                <w:sz w:val="21"/>
                <w:szCs w:val="21"/>
                <w:u w:val="single"/>
                <w:lang w:val="zh-CN"/>
              </w:rPr>
              <w:t>24018.59</w:t>
            </w:r>
          </w:p>
        </w:tc>
        <w:tc>
          <w:tcPr>
            <w:tcW w:w="2126" w:type="dxa"/>
          </w:tcPr>
          <w:p>
            <w:pPr>
              <w:jc w:val="center"/>
              <w:rPr>
                <w:sz w:val="21"/>
                <w:szCs w:val="21"/>
                <w:u w:val="single"/>
                <w:lang w:val="zh-CN"/>
              </w:rPr>
            </w:pPr>
            <w:r>
              <w:rPr>
                <w:sz w:val="21"/>
                <w:szCs w:val="21"/>
                <w:u w:val="single"/>
                <w:lang w:val="zh-CN"/>
              </w:rPr>
              <w:t>25069.19</w:t>
            </w:r>
          </w:p>
        </w:tc>
        <w:tc>
          <w:tcPr>
            <w:tcW w:w="1134" w:type="dxa"/>
            <w:tcBorders>
              <w:right w:val="single" w:color="auto" w:sz="6" w:space="0"/>
            </w:tcBorders>
            <w:vAlign w:val="center"/>
          </w:tcPr>
          <w:p>
            <w:pPr>
              <w:jc w:val="center"/>
              <w:rPr>
                <w:sz w:val="21"/>
                <w:szCs w:val="21"/>
                <w:u w:val="single"/>
              </w:rPr>
            </w:pPr>
            <w:r>
              <w:rPr>
                <w:sz w:val="21"/>
                <w:szCs w:val="21"/>
                <w:u w:val="single"/>
              </w:rPr>
              <w:t>-1050.6</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681" w:type="dxa"/>
            <w:tcBorders>
              <w:left w:val="single" w:color="auto" w:sz="6" w:space="0"/>
              <w:bottom w:val="thickThinSmallGap" w:color="auto" w:sz="12" w:space="0"/>
            </w:tcBorders>
            <w:vAlign w:val="center"/>
          </w:tcPr>
          <w:p>
            <w:pPr>
              <w:jc w:val="center"/>
              <w:rPr>
                <w:rFonts w:hint="eastAsia" w:eastAsia="宋体"/>
                <w:sz w:val="21"/>
                <w:szCs w:val="21"/>
                <w:u w:val="single"/>
                <w:lang w:eastAsia="zh-CN"/>
              </w:rPr>
            </w:pPr>
            <w:r>
              <w:rPr>
                <w:rFonts w:hint="eastAsia"/>
                <w:sz w:val="21"/>
                <w:szCs w:val="21"/>
                <w:u w:val="single"/>
                <w:lang w:val="en-US" w:eastAsia="zh-CN"/>
              </w:rPr>
              <w:t>10</w:t>
            </w:r>
          </w:p>
        </w:tc>
        <w:tc>
          <w:tcPr>
            <w:tcW w:w="2268" w:type="dxa"/>
            <w:gridSpan w:val="2"/>
            <w:tcBorders>
              <w:bottom w:val="thickThinSmallGap" w:color="auto" w:sz="12" w:space="0"/>
            </w:tcBorders>
            <w:vAlign w:val="center"/>
          </w:tcPr>
          <w:p>
            <w:pPr>
              <w:ind w:firstLine="420"/>
              <w:jc w:val="center"/>
              <w:rPr>
                <w:sz w:val="21"/>
                <w:szCs w:val="21"/>
                <w:u w:val="single"/>
              </w:rPr>
            </w:pPr>
            <w:r>
              <w:rPr>
                <w:rFonts w:hint="eastAsia"/>
                <w:sz w:val="21"/>
                <w:szCs w:val="21"/>
                <w:u w:val="single"/>
              </w:rPr>
              <w:t>推荐意见</w:t>
            </w:r>
          </w:p>
        </w:tc>
        <w:tc>
          <w:tcPr>
            <w:tcW w:w="993" w:type="dxa"/>
            <w:tcBorders>
              <w:bottom w:val="thickThinSmallGap" w:color="auto" w:sz="12" w:space="0"/>
            </w:tcBorders>
            <w:vAlign w:val="center"/>
          </w:tcPr>
          <w:p>
            <w:pPr>
              <w:ind w:firstLine="420"/>
              <w:jc w:val="center"/>
              <w:rPr>
                <w:sz w:val="21"/>
                <w:szCs w:val="21"/>
                <w:u w:val="single"/>
              </w:rPr>
            </w:pPr>
          </w:p>
        </w:tc>
        <w:tc>
          <w:tcPr>
            <w:tcW w:w="1984" w:type="dxa"/>
            <w:tcBorders>
              <w:bottom w:val="thickThinSmallGap" w:color="auto" w:sz="12" w:space="0"/>
            </w:tcBorders>
            <w:vAlign w:val="center"/>
          </w:tcPr>
          <w:p>
            <w:pPr>
              <w:jc w:val="center"/>
              <w:rPr>
                <w:sz w:val="21"/>
                <w:szCs w:val="21"/>
                <w:u w:val="single"/>
                <w:lang w:val="zh-CN"/>
              </w:rPr>
            </w:pPr>
            <w:r>
              <w:rPr>
                <w:rFonts w:hint="eastAsia"/>
                <w:sz w:val="21"/>
                <w:szCs w:val="21"/>
                <w:u w:val="single"/>
                <w:lang w:val="zh-CN"/>
              </w:rPr>
              <w:t>推荐</w:t>
            </w:r>
          </w:p>
        </w:tc>
        <w:tc>
          <w:tcPr>
            <w:tcW w:w="2126" w:type="dxa"/>
            <w:tcBorders>
              <w:bottom w:val="thickThinSmallGap" w:color="auto" w:sz="12" w:space="0"/>
            </w:tcBorders>
            <w:vAlign w:val="center"/>
          </w:tcPr>
          <w:p>
            <w:pPr>
              <w:jc w:val="center"/>
              <w:rPr>
                <w:sz w:val="21"/>
                <w:szCs w:val="21"/>
                <w:u w:val="single"/>
                <w:lang w:val="zh-CN"/>
              </w:rPr>
            </w:pPr>
          </w:p>
        </w:tc>
        <w:tc>
          <w:tcPr>
            <w:tcW w:w="1134" w:type="dxa"/>
            <w:tcBorders>
              <w:bottom w:val="thickThinSmallGap" w:color="auto" w:sz="12" w:space="0"/>
              <w:right w:val="single" w:color="auto" w:sz="6" w:space="0"/>
            </w:tcBorders>
            <w:vAlign w:val="center"/>
          </w:tcPr>
          <w:p>
            <w:pPr>
              <w:jc w:val="center"/>
              <w:rPr>
                <w:sz w:val="21"/>
                <w:szCs w:val="21"/>
                <w:u w:val="single"/>
              </w:rPr>
            </w:pPr>
          </w:p>
        </w:tc>
      </w:tr>
    </w:tbl>
    <w:p>
      <w:pPr>
        <w:tabs>
          <w:tab w:val="left" w:pos="1206"/>
        </w:tabs>
        <w:spacing w:line="360" w:lineRule="auto"/>
        <w:ind w:firstLine="31680" w:firstLineChars="200"/>
        <w:rPr>
          <w:rFonts w:cs="宋体"/>
          <w:kern w:val="0"/>
          <w:sz w:val="24"/>
          <w:u w:val="single"/>
        </w:rPr>
      </w:pPr>
      <w:r>
        <w:rPr>
          <w:rFonts w:hint="eastAsia" w:cs="宋体"/>
          <w:kern w:val="0"/>
          <w:sz w:val="24"/>
          <w:u w:val="single"/>
        </w:rPr>
        <w:t>从经济等方面综合比较且</w:t>
      </w:r>
      <w:r>
        <w:rPr>
          <w:rFonts w:cs="宋体"/>
          <w:kern w:val="0"/>
          <w:sz w:val="24"/>
          <w:u w:val="single"/>
        </w:rPr>
        <w:t>K</w:t>
      </w:r>
      <w:r>
        <w:rPr>
          <w:rFonts w:hint="eastAsia" w:cs="宋体"/>
          <w:kern w:val="0"/>
          <w:sz w:val="24"/>
          <w:u w:val="single"/>
        </w:rPr>
        <w:t>线里程较</w:t>
      </w:r>
      <w:r>
        <w:rPr>
          <w:rFonts w:cs="宋体"/>
          <w:kern w:val="0"/>
          <w:sz w:val="24"/>
          <w:u w:val="single"/>
        </w:rPr>
        <w:t>A</w:t>
      </w:r>
      <w:r>
        <w:rPr>
          <w:rFonts w:hint="eastAsia" w:cs="宋体"/>
          <w:kern w:val="0"/>
          <w:sz w:val="24"/>
          <w:u w:val="single"/>
        </w:rPr>
        <w:t>线短，新增土地少，拆迁量较</w:t>
      </w:r>
      <w:r>
        <w:rPr>
          <w:rFonts w:cs="宋体"/>
          <w:kern w:val="0"/>
          <w:sz w:val="24"/>
          <w:u w:val="single"/>
        </w:rPr>
        <w:t>A</w:t>
      </w:r>
      <w:r>
        <w:rPr>
          <w:rFonts w:hint="eastAsia" w:cs="宋体"/>
          <w:kern w:val="0"/>
          <w:sz w:val="24"/>
          <w:u w:val="single"/>
        </w:rPr>
        <w:t>线少，同时结合当地政府的意见。综上所述，可研推荐采用</w:t>
      </w:r>
      <w:r>
        <w:rPr>
          <w:rFonts w:cs="宋体"/>
          <w:kern w:val="0"/>
          <w:sz w:val="24"/>
          <w:u w:val="single"/>
        </w:rPr>
        <w:t>K</w:t>
      </w:r>
      <w:r>
        <w:rPr>
          <w:rFonts w:hint="eastAsia" w:cs="宋体"/>
          <w:kern w:val="0"/>
          <w:sz w:val="24"/>
          <w:u w:val="single"/>
        </w:rPr>
        <w:t>线方案。</w:t>
      </w:r>
    </w:p>
    <w:p>
      <w:pPr>
        <w:adjustRightInd w:val="0"/>
        <w:spacing w:line="360" w:lineRule="auto"/>
        <w:ind w:firstLine="31680" w:firstLineChars="200"/>
        <w:jc w:val="left"/>
        <w:rPr>
          <w:rFonts w:hAnsi="宋体"/>
          <w:sz w:val="24"/>
          <w:szCs w:val="24"/>
          <w:u w:val="single"/>
        </w:rPr>
      </w:pPr>
      <w:r>
        <w:rPr>
          <w:sz w:val="24"/>
          <w:szCs w:val="24"/>
          <w:u w:val="single"/>
        </w:rPr>
        <w:t>c</w:t>
      </w:r>
      <w:r>
        <w:rPr>
          <w:rFonts w:hint="eastAsia" w:hAnsi="宋体"/>
          <w:sz w:val="24"/>
          <w:szCs w:val="24"/>
          <w:u w:val="single"/>
        </w:rPr>
        <w:t>）</w:t>
      </w:r>
      <w:r>
        <w:rPr>
          <w:rFonts w:hAnsi="宋体"/>
          <w:sz w:val="24"/>
          <w:szCs w:val="24"/>
          <w:u w:val="single"/>
        </w:rPr>
        <w:t>K</w:t>
      </w:r>
      <w:r>
        <w:rPr>
          <w:rFonts w:hint="eastAsia" w:hAnsi="宋体"/>
          <w:sz w:val="24"/>
          <w:szCs w:val="24"/>
          <w:u w:val="single"/>
        </w:rPr>
        <w:t>线、</w:t>
      </w:r>
      <w:r>
        <w:rPr>
          <w:rFonts w:hAnsi="宋体"/>
          <w:sz w:val="24"/>
          <w:szCs w:val="24"/>
          <w:u w:val="single"/>
        </w:rPr>
        <w:t>A</w:t>
      </w:r>
      <w:r>
        <w:rPr>
          <w:rFonts w:hint="eastAsia" w:hAnsi="宋体"/>
          <w:sz w:val="24"/>
          <w:szCs w:val="24"/>
          <w:u w:val="single"/>
        </w:rPr>
        <w:t>线环境因素对比</w:t>
      </w:r>
    </w:p>
    <w:p>
      <w:pPr>
        <w:tabs>
          <w:tab w:val="left" w:pos="1206"/>
        </w:tabs>
        <w:spacing w:line="360" w:lineRule="auto"/>
        <w:ind w:firstLine="31680" w:firstLineChars="200"/>
        <w:rPr>
          <w:rFonts w:cs="宋体"/>
          <w:kern w:val="0"/>
          <w:sz w:val="24"/>
          <w:u w:val="single"/>
        </w:rPr>
      </w:pPr>
      <w:r>
        <w:rPr>
          <w:rFonts w:hint="eastAsia" w:cs="宋体"/>
          <w:kern w:val="0"/>
          <w:sz w:val="24"/>
          <w:u w:val="single"/>
        </w:rPr>
        <w:t>从环境因素比较，</w:t>
      </w:r>
      <w:r>
        <w:rPr>
          <w:rFonts w:cs="宋体"/>
          <w:kern w:val="0"/>
          <w:sz w:val="24"/>
          <w:u w:val="single"/>
        </w:rPr>
        <w:t>K</w:t>
      </w:r>
      <w:r>
        <w:rPr>
          <w:rFonts w:hint="eastAsia" w:cs="宋体"/>
          <w:kern w:val="0"/>
          <w:sz w:val="24"/>
          <w:u w:val="single"/>
        </w:rPr>
        <w:t>线较</w:t>
      </w:r>
      <w:r>
        <w:rPr>
          <w:rFonts w:cs="宋体"/>
          <w:kern w:val="0"/>
          <w:sz w:val="24"/>
          <w:u w:val="single"/>
        </w:rPr>
        <w:t>A</w:t>
      </w:r>
      <w:r>
        <w:rPr>
          <w:rFonts w:hint="eastAsia" w:cs="宋体"/>
          <w:kern w:val="0"/>
          <w:sz w:val="24"/>
          <w:u w:val="single"/>
        </w:rPr>
        <w:t>线里程少</w:t>
      </w:r>
      <w:r>
        <w:rPr>
          <w:rFonts w:cs="宋体"/>
          <w:kern w:val="0"/>
          <w:sz w:val="24"/>
          <w:u w:val="single"/>
        </w:rPr>
        <w:t>0.491km</w:t>
      </w:r>
      <w:r>
        <w:rPr>
          <w:rFonts w:hint="eastAsia" w:cs="宋体"/>
          <w:kern w:val="0"/>
          <w:sz w:val="24"/>
          <w:u w:val="single"/>
        </w:rPr>
        <w:t>，新增土地少</w:t>
      </w:r>
      <w:r>
        <w:rPr>
          <w:rFonts w:cs="宋体"/>
          <w:kern w:val="0"/>
          <w:sz w:val="24"/>
          <w:u w:val="single"/>
        </w:rPr>
        <w:t>1.16</w:t>
      </w:r>
      <w:r>
        <w:rPr>
          <w:rFonts w:hint="eastAsia" w:cs="宋体"/>
          <w:kern w:val="0"/>
          <w:sz w:val="24"/>
          <w:u w:val="single"/>
        </w:rPr>
        <w:t>公顷，土石方量少</w:t>
      </w:r>
      <w:r>
        <w:rPr>
          <w:rFonts w:cs="宋体"/>
          <w:kern w:val="0"/>
          <w:sz w:val="24"/>
          <w:u w:val="single"/>
        </w:rPr>
        <w:t>89534m</w:t>
      </w:r>
      <w:r>
        <w:rPr>
          <w:rFonts w:cs="宋体"/>
          <w:kern w:val="0"/>
          <w:sz w:val="24"/>
          <w:u w:val="single"/>
          <w:vertAlign w:val="superscript"/>
        </w:rPr>
        <w:t>3</w:t>
      </w:r>
      <w:r>
        <w:rPr>
          <w:rFonts w:hint="eastAsia" w:cs="宋体"/>
          <w:kern w:val="0"/>
          <w:sz w:val="24"/>
          <w:u w:val="single"/>
        </w:rPr>
        <w:t>，拆迁面积少</w:t>
      </w:r>
      <w:r>
        <w:rPr>
          <w:rFonts w:cs="宋体"/>
          <w:kern w:val="0"/>
          <w:sz w:val="24"/>
          <w:u w:val="single"/>
        </w:rPr>
        <w:t>558m</w:t>
      </w:r>
      <w:r>
        <w:rPr>
          <w:rFonts w:cs="宋体"/>
          <w:kern w:val="0"/>
          <w:sz w:val="24"/>
          <w:u w:val="single"/>
          <w:vertAlign w:val="superscript"/>
        </w:rPr>
        <w:t>2</w:t>
      </w:r>
      <w:r>
        <w:rPr>
          <w:rFonts w:hint="eastAsia" w:cs="宋体"/>
          <w:kern w:val="0"/>
          <w:sz w:val="24"/>
          <w:u w:val="single"/>
        </w:rPr>
        <w:t>，且</w:t>
      </w:r>
      <w:r>
        <w:rPr>
          <w:rFonts w:cs="宋体"/>
          <w:kern w:val="0"/>
          <w:sz w:val="24"/>
          <w:u w:val="single"/>
        </w:rPr>
        <w:t>K</w:t>
      </w:r>
      <w:r>
        <w:rPr>
          <w:rFonts w:hint="eastAsia" w:cs="宋体"/>
          <w:kern w:val="0"/>
          <w:sz w:val="24"/>
          <w:u w:val="single"/>
        </w:rPr>
        <w:t>线全部为新建路线，扰动面积、损坏植被面积和可能造成的水土流失量较少，并避开了集中分布居民点，沿线居民受施工期和营运期影响不大，对社会环境的影响也优于</w:t>
      </w:r>
      <w:r>
        <w:rPr>
          <w:rFonts w:cs="宋体"/>
          <w:kern w:val="0"/>
          <w:sz w:val="24"/>
          <w:u w:val="single"/>
        </w:rPr>
        <w:t>A</w:t>
      </w:r>
      <w:r>
        <w:rPr>
          <w:rFonts w:hint="eastAsia" w:cs="宋体"/>
          <w:kern w:val="0"/>
          <w:sz w:val="24"/>
          <w:u w:val="single"/>
        </w:rPr>
        <w:t>线，由以上综合考虑，本评价同意工可推荐采用的</w:t>
      </w:r>
      <w:r>
        <w:rPr>
          <w:rFonts w:cs="宋体"/>
          <w:kern w:val="0"/>
          <w:sz w:val="24"/>
          <w:u w:val="single"/>
        </w:rPr>
        <w:t>K</w:t>
      </w:r>
      <w:r>
        <w:rPr>
          <w:rFonts w:hint="eastAsia" w:cs="宋体"/>
          <w:kern w:val="0"/>
          <w:sz w:val="24"/>
          <w:u w:val="single"/>
        </w:rPr>
        <w:t>线方案。走廊带方案环境因素比选详见表</w:t>
      </w:r>
      <w:r>
        <w:rPr>
          <w:rFonts w:cs="宋体"/>
          <w:kern w:val="0"/>
          <w:sz w:val="24"/>
          <w:u w:val="single"/>
        </w:rPr>
        <w:t>8.2-2</w:t>
      </w:r>
      <w:r>
        <w:rPr>
          <w:rFonts w:hint="eastAsia" w:cs="宋体"/>
          <w:kern w:val="0"/>
          <w:sz w:val="24"/>
          <w:u w:val="single"/>
        </w:rPr>
        <w:t>。</w:t>
      </w:r>
    </w:p>
    <w:p>
      <w:pPr>
        <w:spacing w:line="360" w:lineRule="auto"/>
        <w:jc w:val="center"/>
        <w:rPr>
          <w:rFonts w:eastAsia="黑体"/>
          <w:sz w:val="24"/>
          <w:szCs w:val="24"/>
          <w:u w:val="single"/>
        </w:rPr>
      </w:pPr>
      <w:r>
        <w:rPr>
          <w:rFonts w:hint="eastAsia" w:hAnsi="黑体" w:eastAsia="黑体"/>
          <w:sz w:val="24"/>
          <w:szCs w:val="24"/>
          <w:u w:val="single"/>
        </w:rPr>
        <w:t>表</w:t>
      </w:r>
      <w:r>
        <w:rPr>
          <w:rFonts w:eastAsia="黑体"/>
          <w:sz w:val="24"/>
          <w:szCs w:val="24"/>
          <w:u w:val="single"/>
        </w:rPr>
        <w:t xml:space="preserve">8.2-2    </w:t>
      </w:r>
      <w:r>
        <w:rPr>
          <w:rFonts w:hAnsi="黑体" w:eastAsia="黑体"/>
          <w:sz w:val="24"/>
          <w:szCs w:val="24"/>
          <w:u w:val="single"/>
        </w:rPr>
        <w:t>K</w:t>
      </w:r>
      <w:r>
        <w:rPr>
          <w:rFonts w:hint="eastAsia" w:hAnsi="黑体" w:eastAsia="黑体"/>
          <w:sz w:val="24"/>
          <w:szCs w:val="24"/>
          <w:u w:val="single"/>
        </w:rPr>
        <w:t>线、</w:t>
      </w:r>
      <w:r>
        <w:rPr>
          <w:rFonts w:hAnsi="黑体" w:eastAsia="黑体"/>
          <w:sz w:val="24"/>
          <w:szCs w:val="24"/>
          <w:u w:val="single"/>
        </w:rPr>
        <w:t>A</w:t>
      </w:r>
      <w:r>
        <w:rPr>
          <w:rFonts w:hint="eastAsia" w:hAnsi="黑体" w:eastAsia="黑体"/>
          <w:sz w:val="24"/>
          <w:szCs w:val="24"/>
          <w:u w:val="single"/>
        </w:rPr>
        <w:t>线方案环境因素比选</w:t>
      </w:r>
    </w:p>
    <w:tbl>
      <w:tblPr>
        <w:tblStyle w:val="65"/>
        <w:tblW w:w="95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49"/>
        <w:gridCol w:w="3297"/>
        <w:gridCol w:w="3260"/>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680" w:type="dxa"/>
            <w:vAlign w:val="center"/>
          </w:tcPr>
          <w:p>
            <w:pPr>
              <w:pStyle w:val="112"/>
              <w:rPr>
                <w:sz w:val="18"/>
                <w:szCs w:val="18"/>
                <w:u w:val="single"/>
              </w:rPr>
            </w:pPr>
            <w:r>
              <w:rPr>
                <w:rFonts w:hint="eastAsia" w:hAnsi="宋体"/>
                <w:sz w:val="18"/>
                <w:szCs w:val="18"/>
                <w:u w:val="single"/>
              </w:rPr>
              <w:t>类别</w:t>
            </w:r>
          </w:p>
        </w:tc>
        <w:tc>
          <w:tcPr>
            <w:tcW w:w="1149" w:type="dxa"/>
            <w:vAlign w:val="center"/>
          </w:tcPr>
          <w:p>
            <w:pPr>
              <w:pStyle w:val="112"/>
              <w:rPr>
                <w:sz w:val="18"/>
                <w:szCs w:val="18"/>
                <w:u w:val="single"/>
              </w:rPr>
            </w:pPr>
            <w:r>
              <w:rPr>
                <w:rFonts w:hint="eastAsia" w:hAnsi="宋体"/>
                <w:sz w:val="18"/>
                <w:szCs w:val="18"/>
                <w:u w:val="single"/>
              </w:rPr>
              <w:t>比选内容</w:t>
            </w:r>
          </w:p>
        </w:tc>
        <w:tc>
          <w:tcPr>
            <w:tcW w:w="3297" w:type="dxa"/>
            <w:vAlign w:val="center"/>
          </w:tcPr>
          <w:p>
            <w:pPr>
              <w:pStyle w:val="112"/>
              <w:rPr>
                <w:bCs/>
                <w:sz w:val="18"/>
                <w:szCs w:val="18"/>
                <w:u w:val="single"/>
              </w:rPr>
            </w:pPr>
            <w:r>
              <w:rPr>
                <w:rFonts w:hAnsi="宋体"/>
                <w:bCs/>
                <w:sz w:val="18"/>
                <w:szCs w:val="18"/>
                <w:u w:val="single"/>
              </w:rPr>
              <w:t>K</w:t>
            </w:r>
            <w:r>
              <w:rPr>
                <w:rFonts w:hint="eastAsia" w:hAnsi="宋体"/>
                <w:bCs/>
                <w:sz w:val="18"/>
                <w:szCs w:val="18"/>
                <w:u w:val="single"/>
              </w:rPr>
              <w:t>线</w:t>
            </w:r>
          </w:p>
        </w:tc>
        <w:tc>
          <w:tcPr>
            <w:tcW w:w="3260" w:type="dxa"/>
            <w:vAlign w:val="center"/>
          </w:tcPr>
          <w:p>
            <w:pPr>
              <w:pStyle w:val="112"/>
              <w:rPr>
                <w:bCs/>
                <w:sz w:val="18"/>
                <w:szCs w:val="18"/>
                <w:u w:val="single"/>
              </w:rPr>
            </w:pPr>
            <w:r>
              <w:rPr>
                <w:rFonts w:hAnsi="宋体"/>
                <w:kern w:val="2"/>
                <w:sz w:val="18"/>
                <w:szCs w:val="18"/>
                <w:u w:val="single"/>
              </w:rPr>
              <w:t>A</w:t>
            </w:r>
            <w:r>
              <w:rPr>
                <w:rFonts w:hint="eastAsia" w:hAnsi="宋体"/>
                <w:kern w:val="2"/>
                <w:sz w:val="18"/>
                <w:szCs w:val="18"/>
                <w:u w:val="single"/>
              </w:rPr>
              <w:t>线</w:t>
            </w:r>
          </w:p>
        </w:tc>
        <w:tc>
          <w:tcPr>
            <w:tcW w:w="1203" w:type="dxa"/>
            <w:vAlign w:val="center"/>
          </w:tcPr>
          <w:p>
            <w:pPr>
              <w:pStyle w:val="112"/>
              <w:rPr>
                <w:sz w:val="18"/>
                <w:szCs w:val="18"/>
                <w:u w:val="single"/>
              </w:rPr>
            </w:pPr>
            <w:r>
              <w:rPr>
                <w:rFonts w:hint="eastAsia" w:hAnsi="宋体"/>
                <w:sz w:val="18"/>
                <w:szCs w:val="18"/>
                <w:u w:val="single"/>
              </w:rPr>
              <w:t>比较结果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pStyle w:val="112"/>
              <w:rPr>
                <w:sz w:val="18"/>
                <w:szCs w:val="18"/>
                <w:highlight w:val="yellow"/>
                <w:u w:val="single"/>
              </w:rPr>
            </w:pPr>
            <w:r>
              <w:rPr>
                <w:rFonts w:hint="eastAsia" w:hAnsi="宋体"/>
                <w:sz w:val="18"/>
                <w:szCs w:val="18"/>
                <w:u w:val="single"/>
              </w:rPr>
              <w:t>生态环境</w:t>
            </w:r>
          </w:p>
        </w:tc>
        <w:tc>
          <w:tcPr>
            <w:tcW w:w="1149" w:type="dxa"/>
            <w:vAlign w:val="center"/>
          </w:tcPr>
          <w:p>
            <w:pPr>
              <w:pStyle w:val="112"/>
              <w:rPr>
                <w:rFonts w:hAnsi="宋体"/>
                <w:sz w:val="18"/>
                <w:szCs w:val="18"/>
                <w:u w:val="single"/>
              </w:rPr>
            </w:pPr>
            <w:r>
              <w:rPr>
                <w:rFonts w:hint="eastAsia" w:hAnsi="宋体"/>
                <w:sz w:val="18"/>
                <w:szCs w:val="18"/>
                <w:u w:val="single"/>
              </w:rPr>
              <w:t>新增</w:t>
            </w:r>
          </w:p>
          <w:p>
            <w:pPr>
              <w:pStyle w:val="112"/>
              <w:rPr>
                <w:sz w:val="18"/>
                <w:szCs w:val="18"/>
                <w:u w:val="single"/>
              </w:rPr>
            </w:pPr>
            <w:r>
              <w:rPr>
                <w:rFonts w:hint="eastAsia" w:hAnsi="宋体"/>
                <w:sz w:val="18"/>
                <w:szCs w:val="18"/>
                <w:u w:val="single"/>
              </w:rPr>
              <w:t>占用土地</w:t>
            </w:r>
          </w:p>
        </w:tc>
        <w:tc>
          <w:tcPr>
            <w:tcW w:w="3297" w:type="dxa"/>
            <w:vAlign w:val="center"/>
          </w:tcPr>
          <w:p>
            <w:pPr>
              <w:pStyle w:val="112"/>
              <w:rPr>
                <w:kern w:val="2"/>
                <w:sz w:val="18"/>
                <w:szCs w:val="18"/>
                <w:u w:val="single"/>
              </w:rPr>
            </w:pPr>
            <w:r>
              <w:rPr>
                <w:rFonts w:hAnsi="宋体"/>
                <w:kern w:val="2"/>
                <w:sz w:val="18"/>
                <w:szCs w:val="18"/>
                <w:u w:val="single"/>
              </w:rPr>
              <w:t>32.41hm</w:t>
            </w:r>
            <w:r>
              <w:rPr>
                <w:rFonts w:hAnsi="宋体"/>
                <w:kern w:val="2"/>
                <w:sz w:val="18"/>
                <w:szCs w:val="18"/>
                <w:u w:val="single"/>
                <w:vertAlign w:val="superscript"/>
              </w:rPr>
              <w:t>2</w:t>
            </w:r>
          </w:p>
        </w:tc>
        <w:tc>
          <w:tcPr>
            <w:tcW w:w="3260" w:type="dxa"/>
            <w:vAlign w:val="center"/>
          </w:tcPr>
          <w:p>
            <w:pPr>
              <w:pStyle w:val="112"/>
              <w:rPr>
                <w:kern w:val="2"/>
                <w:sz w:val="18"/>
                <w:szCs w:val="18"/>
                <w:u w:val="single"/>
              </w:rPr>
            </w:pPr>
            <w:r>
              <w:rPr>
                <w:rFonts w:hAnsi="宋体"/>
                <w:kern w:val="2"/>
                <w:sz w:val="18"/>
                <w:szCs w:val="18"/>
                <w:u w:val="single"/>
              </w:rPr>
              <w:t>33.57hm</w:t>
            </w:r>
            <w:r>
              <w:rPr>
                <w:rFonts w:hAnsi="宋体"/>
                <w:kern w:val="2"/>
                <w:sz w:val="18"/>
                <w:szCs w:val="18"/>
                <w:u w:val="single"/>
                <w:vertAlign w:val="superscript"/>
              </w:rPr>
              <w:t>2</w:t>
            </w:r>
          </w:p>
        </w:tc>
        <w:tc>
          <w:tcPr>
            <w:tcW w:w="1203" w:type="dxa"/>
            <w:vAlign w:val="center"/>
          </w:tcPr>
          <w:p>
            <w:pPr>
              <w:pStyle w:val="112"/>
              <w:rPr>
                <w:sz w:val="18"/>
                <w:szCs w:val="18"/>
                <w:u w:val="single"/>
              </w:rPr>
            </w:pPr>
            <w:r>
              <w:rPr>
                <w:rFonts w:hAnsi="宋体"/>
                <w:sz w:val="18"/>
                <w:szCs w:val="18"/>
                <w:u w:val="single"/>
              </w:rPr>
              <w:t>k</w:t>
            </w:r>
            <w:r>
              <w:rPr>
                <w:rFonts w:hint="eastAsia" w:hAnsi="宋体"/>
                <w:sz w:val="18"/>
                <w:szCs w:val="18"/>
                <w:u w:val="single"/>
              </w:rPr>
              <w:t>线优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pStyle w:val="112"/>
              <w:rPr>
                <w:sz w:val="18"/>
                <w:szCs w:val="18"/>
                <w:highlight w:val="yellow"/>
                <w:u w:val="single"/>
              </w:rPr>
            </w:pPr>
          </w:p>
        </w:tc>
        <w:tc>
          <w:tcPr>
            <w:tcW w:w="1149" w:type="dxa"/>
            <w:vAlign w:val="center"/>
          </w:tcPr>
          <w:p>
            <w:pPr>
              <w:pStyle w:val="112"/>
              <w:rPr>
                <w:sz w:val="18"/>
                <w:szCs w:val="18"/>
                <w:u w:val="single"/>
              </w:rPr>
            </w:pPr>
            <w:r>
              <w:rPr>
                <w:rFonts w:hint="eastAsia" w:hAnsi="宋体"/>
                <w:sz w:val="18"/>
                <w:szCs w:val="18"/>
                <w:u w:val="single"/>
              </w:rPr>
              <w:t>水土流失</w:t>
            </w:r>
          </w:p>
        </w:tc>
        <w:tc>
          <w:tcPr>
            <w:tcW w:w="3297" w:type="dxa"/>
            <w:vAlign w:val="center"/>
          </w:tcPr>
          <w:p>
            <w:pPr>
              <w:pStyle w:val="112"/>
              <w:rPr>
                <w:rFonts w:hAnsi="宋体"/>
                <w:sz w:val="18"/>
                <w:szCs w:val="18"/>
                <w:u w:val="single"/>
              </w:rPr>
            </w:pPr>
            <w:r>
              <w:rPr>
                <w:rFonts w:hint="eastAsia" w:hAnsi="宋体"/>
                <w:sz w:val="18"/>
                <w:szCs w:val="18"/>
                <w:u w:val="single"/>
              </w:rPr>
              <w:t>线路长度</w:t>
            </w:r>
            <w:r>
              <w:rPr>
                <w:rFonts w:hAnsi="宋体"/>
                <w:sz w:val="18"/>
                <w:szCs w:val="18"/>
                <w:u w:val="single"/>
              </w:rPr>
              <w:t>8.369km</w:t>
            </w:r>
            <w:r>
              <w:rPr>
                <w:rFonts w:hint="eastAsia" w:hAnsi="宋体"/>
                <w:sz w:val="18"/>
                <w:szCs w:val="18"/>
                <w:u w:val="single"/>
              </w:rPr>
              <w:t>，地表开挖量较少、路基挖填造成水土流失较小</w:t>
            </w:r>
          </w:p>
        </w:tc>
        <w:tc>
          <w:tcPr>
            <w:tcW w:w="3260" w:type="dxa"/>
            <w:vAlign w:val="center"/>
          </w:tcPr>
          <w:p>
            <w:pPr>
              <w:pStyle w:val="112"/>
              <w:rPr>
                <w:rFonts w:hAnsi="宋体"/>
                <w:sz w:val="18"/>
                <w:szCs w:val="18"/>
                <w:u w:val="single"/>
              </w:rPr>
            </w:pPr>
            <w:r>
              <w:rPr>
                <w:rFonts w:hint="eastAsia" w:hAnsi="宋体"/>
                <w:sz w:val="18"/>
                <w:szCs w:val="18"/>
                <w:u w:val="single"/>
              </w:rPr>
              <w:t>线路长度</w:t>
            </w:r>
            <w:r>
              <w:rPr>
                <w:rFonts w:hAnsi="宋体"/>
                <w:sz w:val="18"/>
                <w:szCs w:val="18"/>
                <w:u w:val="single"/>
              </w:rPr>
              <w:t>8.555km</w:t>
            </w:r>
            <w:r>
              <w:rPr>
                <w:rFonts w:hint="eastAsia" w:hAnsi="宋体"/>
                <w:sz w:val="18"/>
                <w:szCs w:val="18"/>
                <w:u w:val="single"/>
              </w:rPr>
              <w:t>，地表开挖量较多，造成的水土流失量较大</w:t>
            </w:r>
          </w:p>
        </w:tc>
        <w:tc>
          <w:tcPr>
            <w:tcW w:w="1203" w:type="dxa"/>
            <w:vAlign w:val="center"/>
          </w:tcPr>
          <w:p>
            <w:pPr>
              <w:pStyle w:val="112"/>
              <w:rPr>
                <w:sz w:val="18"/>
                <w:szCs w:val="18"/>
                <w:u w:val="single"/>
              </w:rPr>
            </w:pPr>
            <w:r>
              <w:rPr>
                <w:rFonts w:hAnsi="宋体"/>
                <w:sz w:val="18"/>
                <w:szCs w:val="18"/>
                <w:u w:val="single"/>
              </w:rPr>
              <w:t>K</w:t>
            </w:r>
            <w:r>
              <w:rPr>
                <w:rFonts w:hint="eastAsia" w:hAnsi="宋体"/>
                <w:sz w:val="18"/>
                <w:szCs w:val="18"/>
                <w:u w:val="single"/>
              </w:rPr>
              <w:t>线优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pStyle w:val="112"/>
              <w:rPr>
                <w:sz w:val="18"/>
                <w:szCs w:val="18"/>
                <w:highlight w:val="yellow"/>
                <w:u w:val="single"/>
              </w:rPr>
            </w:pPr>
          </w:p>
        </w:tc>
        <w:tc>
          <w:tcPr>
            <w:tcW w:w="1149" w:type="dxa"/>
            <w:vAlign w:val="center"/>
          </w:tcPr>
          <w:p>
            <w:pPr>
              <w:pStyle w:val="112"/>
              <w:rPr>
                <w:rFonts w:hAnsi="宋体"/>
                <w:sz w:val="18"/>
                <w:szCs w:val="18"/>
                <w:u w:val="single"/>
              </w:rPr>
            </w:pPr>
            <w:r>
              <w:rPr>
                <w:rFonts w:hint="eastAsia" w:hAnsi="宋体"/>
                <w:sz w:val="18"/>
                <w:szCs w:val="18"/>
                <w:u w:val="single"/>
              </w:rPr>
              <w:t>开挖土石方</w:t>
            </w:r>
          </w:p>
        </w:tc>
        <w:tc>
          <w:tcPr>
            <w:tcW w:w="3297" w:type="dxa"/>
          </w:tcPr>
          <w:p>
            <w:pPr>
              <w:jc w:val="center"/>
              <w:rPr>
                <w:sz w:val="18"/>
                <w:szCs w:val="18"/>
                <w:u w:val="single"/>
              </w:rPr>
            </w:pPr>
            <w:r>
              <w:rPr>
                <w:sz w:val="21"/>
                <w:szCs w:val="21"/>
                <w:u w:val="single"/>
              </w:rPr>
              <w:t>787513</w:t>
            </w:r>
            <w:r>
              <w:rPr>
                <w:sz w:val="21"/>
                <w:szCs w:val="21"/>
                <w:u w:val="single"/>
                <w:lang w:val="zh-CN"/>
              </w:rPr>
              <w:t>m</w:t>
            </w:r>
            <w:r>
              <w:rPr>
                <w:sz w:val="21"/>
                <w:szCs w:val="21"/>
                <w:u w:val="single"/>
                <w:vertAlign w:val="superscript"/>
                <w:lang w:val="zh-CN"/>
              </w:rPr>
              <w:t>3</w:t>
            </w:r>
          </w:p>
        </w:tc>
        <w:tc>
          <w:tcPr>
            <w:tcW w:w="3260" w:type="dxa"/>
          </w:tcPr>
          <w:p>
            <w:pPr>
              <w:jc w:val="center"/>
              <w:rPr>
                <w:sz w:val="18"/>
                <w:szCs w:val="18"/>
                <w:u w:val="single"/>
              </w:rPr>
            </w:pPr>
            <w:r>
              <w:rPr>
                <w:sz w:val="21"/>
                <w:szCs w:val="21"/>
                <w:u w:val="single"/>
                <w:lang w:val="zh-CN"/>
              </w:rPr>
              <w:t>827850m</w:t>
            </w:r>
            <w:r>
              <w:rPr>
                <w:sz w:val="21"/>
                <w:szCs w:val="21"/>
                <w:u w:val="single"/>
                <w:vertAlign w:val="superscript"/>
                <w:lang w:val="zh-CN"/>
              </w:rPr>
              <w:t>3</w:t>
            </w:r>
          </w:p>
        </w:tc>
        <w:tc>
          <w:tcPr>
            <w:tcW w:w="1203" w:type="dxa"/>
            <w:vAlign w:val="center"/>
          </w:tcPr>
          <w:p>
            <w:pPr>
              <w:pStyle w:val="112"/>
              <w:rPr>
                <w:rFonts w:hAnsi="宋体"/>
                <w:sz w:val="18"/>
                <w:szCs w:val="18"/>
                <w:u w:val="single"/>
              </w:rPr>
            </w:pPr>
            <w:r>
              <w:rPr>
                <w:rFonts w:hAnsi="宋体"/>
                <w:sz w:val="18"/>
                <w:szCs w:val="18"/>
                <w:u w:val="single"/>
              </w:rPr>
              <w:t>K</w:t>
            </w:r>
            <w:r>
              <w:rPr>
                <w:rFonts w:hint="eastAsia" w:hAnsi="宋体"/>
                <w:sz w:val="18"/>
                <w:szCs w:val="18"/>
                <w:u w:val="single"/>
              </w:rPr>
              <w:t>线优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pStyle w:val="112"/>
              <w:rPr>
                <w:sz w:val="18"/>
                <w:szCs w:val="18"/>
                <w:highlight w:val="yellow"/>
                <w:u w:val="single"/>
              </w:rPr>
            </w:pPr>
          </w:p>
        </w:tc>
        <w:tc>
          <w:tcPr>
            <w:tcW w:w="1149" w:type="dxa"/>
            <w:vAlign w:val="center"/>
          </w:tcPr>
          <w:p>
            <w:pPr>
              <w:pStyle w:val="112"/>
              <w:rPr>
                <w:rFonts w:hAnsi="宋体"/>
                <w:sz w:val="18"/>
                <w:szCs w:val="18"/>
                <w:u w:val="single"/>
              </w:rPr>
            </w:pPr>
            <w:r>
              <w:rPr>
                <w:rFonts w:hint="eastAsia"/>
                <w:sz w:val="18"/>
                <w:szCs w:val="18"/>
                <w:u w:val="single"/>
              </w:rPr>
              <w:t>拆迁房屋</w:t>
            </w:r>
          </w:p>
        </w:tc>
        <w:tc>
          <w:tcPr>
            <w:tcW w:w="3297" w:type="dxa"/>
          </w:tcPr>
          <w:p>
            <w:pPr>
              <w:jc w:val="center"/>
              <w:rPr>
                <w:sz w:val="18"/>
                <w:szCs w:val="18"/>
                <w:u w:val="single"/>
              </w:rPr>
            </w:pPr>
            <w:r>
              <w:rPr>
                <w:sz w:val="21"/>
                <w:szCs w:val="21"/>
                <w:u w:val="single"/>
                <w:lang w:val="zh-CN"/>
              </w:rPr>
              <w:t>6124</w:t>
            </w:r>
            <w:r>
              <w:rPr>
                <w:sz w:val="21"/>
                <w:szCs w:val="21"/>
                <w:u w:val="single"/>
              </w:rPr>
              <w:t>m</w:t>
            </w:r>
            <w:r>
              <w:rPr>
                <w:sz w:val="21"/>
                <w:szCs w:val="21"/>
                <w:u w:val="single"/>
                <w:vertAlign w:val="superscript"/>
              </w:rPr>
              <w:t>2</w:t>
            </w:r>
          </w:p>
        </w:tc>
        <w:tc>
          <w:tcPr>
            <w:tcW w:w="3260" w:type="dxa"/>
          </w:tcPr>
          <w:p>
            <w:pPr>
              <w:jc w:val="center"/>
              <w:rPr>
                <w:sz w:val="18"/>
                <w:szCs w:val="18"/>
                <w:u w:val="single"/>
              </w:rPr>
            </w:pPr>
            <w:r>
              <w:rPr>
                <w:sz w:val="21"/>
                <w:szCs w:val="21"/>
                <w:u w:val="single"/>
              </w:rPr>
              <w:t>6682m</w:t>
            </w:r>
            <w:r>
              <w:rPr>
                <w:sz w:val="21"/>
                <w:szCs w:val="21"/>
                <w:u w:val="single"/>
                <w:vertAlign w:val="superscript"/>
              </w:rPr>
              <w:t>2</w:t>
            </w:r>
          </w:p>
        </w:tc>
        <w:tc>
          <w:tcPr>
            <w:tcW w:w="1203" w:type="dxa"/>
            <w:vAlign w:val="center"/>
          </w:tcPr>
          <w:p>
            <w:pPr>
              <w:pStyle w:val="112"/>
              <w:rPr>
                <w:rFonts w:hAnsi="宋体"/>
                <w:sz w:val="18"/>
                <w:szCs w:val="18"/>
                <w:u w:val="single"/>
              </w:rPr>
            </w:pPr>
            <w:r>
              <w:rPr>
                <w:rFonts w:hAnsi="宋体"/>
                <w:sz w:val="18"/>
                <w:szCs w:val="18"/>
                <w:u w:val="single"/>
              </w:rPr>
              <w:t>K</w:t>
            </w:r>
            <w:r>
              <w:rPr>
                <w:rFonts w:hint="eastAsia" w:hAnsi="宋体"/>
                <w:sz w:val="18"/>
                <w:szCs w:val="18"/>
                <w:u w:val="single"/>
              </w:rPr>
              <w:t>线优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pStyle w:val="112"/>
              <w:rPr>
                <w:sz w:val="18"/>
                <w:szCs w:val="18"/>
                <w:highlight w:val="yellow"/>
                <w:u w:val="single"/>
              </w:rPr>
            </w:pPr>
          </w:p>
        </w:tc>
        <w:tc>
          <w:tcPr>
            <w:tcW w:w="1149" w:type="dxa"/>
            <w:vAlign w:val="center"/>
          </w:tcPr>
          <w:p>
            <w:pPr>
              <w:pStyle w:val="112"/>
              <w:rPr>
                <w:sz w:val="18"/>
                <w:szCs w:val="18"/>
                <w:u w:val="single"/>
              </w:rPr>
            </w:pPr>
            <w:r>
              <w:rPr>
                <w:rFonts w:hint="eastAsia" w:hAnsi="宋体"/>
                <w:sz w:val="18"/>
                <w:szCs w:val="18"/>
                <w:u w:val="single"/>
              </w:rPr>
              <w:t>生态敏感区分布</w:t>
            </w:r>
          </w:p>
        </w:tc>
        <w:tc>
          <w:tcPr>
            <w:tcW w:w="3297" w:type="dxa"/>
            <w:vAlign w:val="center"/>
          </w:tcPr>
          <w:p>
            <w:pPr>
              <w:pStyle w:val="112"/>
              <w:rPr>
                <w:sz w:val="18"/>
                <w:szCs w:val="18"/>
                <w:u w:val="single"/>
              </w:rPr>
            </w:pPr>
            <w:r>
              <w:rPr>
                <w:rFonts w:hint="eastAsia" w:hAnsi="宋体"/>
                <w:sz w:val="18"/>
                <w:szCs w:val="18"/>
                <w:u w:val="single"/>
              </w:rPr>
              <w:t>无</w:t>
            </w:r>
          </w:p>
        </w:tc>
        <w:tc>
          <w:tcPr>
            <w:tcW w:w="3260" w:type="dxa"/>
            <w:vAlign w:val="center"/>
          </w:tcPr>
          <w:p>
            <w:pPr>
              <w:pStyle w:val="112"/>
              <w:rPr>
                <w:sz w:val="18"/>
                <w:szCs w:val="18"/>
                <w:u w:val="single"/>
              </w:rPr>
            </w:pPr>
            <w:r>
              <w:rPr>
                <w:rFonts w:hint="eastAsia" w:hAnsi="宋体"/>
                <w:sz w:val="18"/>
                <w:szCs w:val="18"/>
                <w:u w:val="single"/>
              </w:rPr>
              <w:t>无</w:t>
            </w:r>
          </w:p>
        </w:tc>
        <w:tc>
          <w:tcPr>
            <w:tcW w:w="1203" w:type="dxa"/>
            <w:vAlign w:val="center"/>
          </w:tcPr>
          <w:p>
            <w:pPr>
              <w:pStyle w:val="112"/>
              <w:rPr>
                <w:sz w:val="18"/>
                <w:szCs w:val="18"/>
                <w:u w:val="single"/>
              </w:rPr>
            </w:pPr>
            <w:r>
              <w:rPr>
                <w:rFonts w:hAnsi="宋体"/>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pStyle w:val="112"/>
              <w:rPr>
                <w:sz w:val="18"/>
                <w:szCs w:val="18"/>
                <w:u w:val="single"/>
              </w:rPr>
            </w:pPr>
            <w:r>
              <w:rPr>
                <w:rFonts w:hint="eastAsia" w:hAnsi="宋体"/>
                <w:sz w:val="18"/>
                <w:szCs w:val="18"/>
                <w:u w:val="single"/>
              </w:rPr>
              <w:t>大气与声环境</w:t>
            </w:r>
          </w:p>
        </w:tc>
        <w:tc>
          <w:tcPr>
            <w:tcW w:w="1149" w:type="dxa"/>
            <w:vAlign w:val="center"/>
          </w:tcPr>
          <w:p>
            <w:pPr>
              <w:pStyle w:val="112"/>
              <w:rPr>
                <w:sz w:val="18"/>
                <w:szCs w:val="18"/>
                <w:u w:val="single"/>
              </w:rPr>
            </w:pPr>
            <w:r>
              <w:rPr>
                <w:rFonts w:hint="eastAsia" w:hAnsi="宋体"/>
                <w:sz w:val="18"/>
                <w:szCs w:val="18"/>
                <w:u w:val="single"/>
              </w:rPr>
              <w:t>敏感点</w:t>
            </w:r>
          </w:p>
          <w:p>
            <w:pPr>
              <w:pStyle w:val="112"/>
              <w:rPr>
                <w:sz w:val="18"/>
                <w:szCs w:val="18"/>
                <w:u w:val="single"/>
              </w:rPr>
            </w:pPr>
            <w:r>
              <w:rPr>
                <w:rFonts w:hint="eastAsia" w:hAnsi="宋体"/>
                <w:sz w:val="18"/>
                <w:szCs w:val="18"/>
                <w:u w:val="single"/>
              </w:rPr>
              <w:t>特征</w:t>
            </w:r>
          </w:p>
        </w:tc>
        <w:tc>
          <w:tcPr>
            <w:tcW w:w="3297" w:type="dxa"/>
            <w:vAlign w:val="center"/>
          </w:tcPr>
          <w:p>
            <w:pPr>
              <w:pStyle w:val="112"/>
              <w:rPr>
                <w:sz w:val="18"/>
                <w:szCs w:val="18"/>
                <w:u w:val="single"/>
              </w:rPr>
            </w:pPr>
            <w:r>
              <w:rPr>
                <w:rFonts w:hint="eastAsia" w:hAnsi="宋体"/>
                <w:sz w:val="18"/>
                <w:szCs w:val="18"/>
                <w:u w:val="single"/>
              </w:rPr>
              <w:t>全部为新线，避开集中分布居民点</w:t>
            </w:r>
          </w:p>
        </w:tc>
        <w:tc>
          <w:tcPr>
            <w:tcW w:w="3260" w:type="dxa"/>
            <w:vAlign w:val="center"/>
          </w:tcPr>
          <w:p>
            <w:pPr>
              <w:pStyle w:val="112"/>
              <w:rPr>
                <w:kern w:val="2"/>
                <w:sz w:val="18"/>
                <w:szCs w:val="18"/>
                <w:u w:val="single"/>
              </w:rPr>
            </w:pPr>
            <w:r>
              <w:rPr>
                <w:rFonts w:hint="eastAsia" w:hAnsi="宋体"/>
                <w:sz w:val="18"/>
                <w:szCs w:val="18"/>
                <w:u w:val="single"/>
              </w:rPr>
              <w:t>全部为新线，避开集中分布居民点</w:t>
            </w:r>
          </w:p>
        </w:tc>
        <w:tc>
          <w:tcPr>
            <w:tcW w:w="1203" w:type="dxa"/>
            <w:vMerge w:val="restart"/>
            <w:vAlign w:val="center"/>
          </w:tcPr>
          <w:p>
            <w:pPr>
              <w:pStyle w:val="112"/>
              <w:rPr>
                <w:bCs/>
                <w:sz w:val="18"/>
                <w:szCs w:val="18"/>
                <w:u w:val="single"/>
              </w:rPr>
            </w:pPr>
            <w:r>
              <w:rPr>
                <w:rFonts w:hint="eastAsia" w:hAnsi="宋体"/>
                <w:sz w:val="18"/>
                <w:szCs w:val="18"/>
                <w:u w:val="single"/>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pStyle w:val="112"/>
              <w:rPr>
                <w:sz w:val="18"/>
                <w:szCs w:val="18"/>
                <w:highlight w:val="yellow"/>
                <w:u w:val="single"/>
              </w:rPr>
            </w:pPr>
          </w:p>
        </w:tc>
        <w:tc>
          <w:tcPr>
            <w:tcW w:w="1149" w:type="dxa"/>
            <w:vAlign w:val="center"/>
          </w:tcPr>
          <w:p>
            <w:pPr>
              <w:pStyle w:val="112"/>
              <w:rPr>
                <w:sz w:val="18"/>
                <w:szCs w:val="18"/>
                <w:u w:val="single"/>
              </w:rPr>
            </w:pPr>
            <w:r>
              <w:rPr>
                <w:rFonts w:hint="eastAsia" w:hAnsi="宋体"/>
                <w:sz w:val="18"/>
                <w:szCs w:val="18"/>
                <w:u w:val="single"/>
              </w:rPr>
              <w:t>受影响</w:t>
            </w:r>
          </w:p>
          <w:p>
            <w:pPr>
              <w:pStyle w:val="112"/>
              <w:rPr>
                <w:sz w:val="18"/>
                <w:szCs w:val="18"/>
                <w:u w:val="single"/>
              </w:rPr>
            </w:pPr>
            <w:r>
              <w:rPr>
                <w:rFonts w:hint="eastAsia" w:hAnsi="宋体"/>
                <w:sz w:val="18"/>
                <w:szCs w:val="18"/>
                <w:u w:val="single"/>
              </w:rPr>
              <w:t>程度</w:t>
            </w:r>
          </w:p>
        </w:tc>
        <w:tc>
          <w:tcPr>
            <w:tcW w:w="3297" w:type="dxa"/>
            <w:vAlign w:val="center"/>
          </w:tcPr>
          <w:p>
            <w:pPr>
              <w:pStyle w:val="112"/>
              <w:rPr>
                <w:sz w:val="18"/>
                <w:szCs w:val="18"/>
                <w:u w:val="single"/>
              </w:rPr>
            </w:pPr>
            <w:r>
              <w:rPr>
                <w:rFonts w:hint="eastAsia" w:hAnsi="宋体"/>
                <w:sz w:val="18"/>
                <w:szCs w:val="18"/>
                <w:u w:val="single"/>
              </w:rPr>
              <w:t>全部为新线，避开集中分布居民点</w:t>
            </w:r>
          </w:p>
        </w:tc>
        <w:tc>
          <w:tcPr>
            <w:tcW w:w="3260" w:type="dxa"/>
            <w:vAlign w:val="center"/>
          </w:tcPr>
          <w:p>
            <w:pPr>
              <w:pStyle w:val="112"/>
              <w:rPr>
                <w:sz w:val="18"/>
                <w:szCs w:val="18"/>
                <w:u w:val="single"/>
              </w:rPr>
            </w:pPr>
            <w:r>
              <w:rPr>
                <w:rFonts w:hint="eastAsia" w:hAnsi="宋体"/>
                <w:sz w:val="18"/>
                <w:szCs w:val="18"/>
                <w:u w:val="single"/>
              </w:rPr>
              <w:t>全部为新线，避开集中分布居民点</w:t>
            </w:r>
          </w:p>
        </w:tc>
        <w:tc>
          <w:tcPr>
            <w:tcW w:w="1203" w:type="dxa"/>
            <w:vMerge w:val="continue"/>
            <w:vAlign w:val="center"/>
          </w:tcPr>
          <w:p>
            <w:pPr>
              <w:pStyle w:val="112"/>
              <w:rPr>
                <w:sz w:val="18"/>
                <w:szCs w:val="18"/>
                <w:highlight w:val="yellow"/>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restart"/>
            <w:vAlign w:val="center"/>
          </w:tcPr>
          <w:p>
            <w:pPr>
              <w:pStyle w:val="112"/>
              <w:rPr>
                <w:sz w:val="18"/>
                <w:szCs w:val="18"/>
                <w:u w:val="single"/>
              </w:rPr>
            </w:pPr>
            <w:r>
              <w:rPr>
                <w:rFonts w:hint="eastAsia" w:hAnsi="宋体"/>
                <w:sz w:val="18"/>
                <w:szCs w:val="18"/>
                <w:u w:val="single"/>
              </w:rPr>
              <w:t>水环境</w:t>
            </w:r>
          </w:p>
        </w:tc>
        <w:tc>
          <w:tcPr>
            <w:tcW w:w="1149" w:type="dxa"/>
            <w:vAlign w:val="center"/>
          </w:tcPr>
          <w:p>
            <w:pPr>
              <w:pStyle w:val="112"/>
              <w:rPr>
                <w:sz w:val="18"/>
                <w:szCs w:val="18"/>
                <w:u w:val="single"/>
              </w:rPr>
            </w:pPr>
            <w:r>
              <w:rPr>
                <w:rFonts w:hint="eastAsia" w:hAnsi="宋体"/>
                <w:sz w:val="18"/>
                <w:szCs w:val="18"/>
                <w:u w:val="single"/>
              </w:rPr>
              <w:t>影响水体</w:t>
            </w:r>
          </w:p>
        </w:tc>
        <w:tc>
          <w:tcPr>
            <w:tcW w:w="3297" w:type="dxa"/>
            <w:tcBorders>
              <w:top w:val="nil"/>
            </w:tcBorders>
            <w:vAlign w:val="center"/>
          </w:tcPr>
          <w:p>
            <w:pPr>
              <w:pStyle w:val="112"/>
              <w:rPr>
                <w:sz w:val="18"/>
                <w:szCs w:val="18"/>
                <w:u w:val="single"/>
              </w:rPr>
            </w:pPr>
            <w:r>
              <w:rPr>
                <w:rFonts w:hint="eastAsia" w:hAnsi="宋体"/>
                <w:sz w:val="18"/>
                <w:szCs w:val="18"/>
                <w:u w:val="single"/>
              </w:rPr>
              <w:t>无名小溪</w:t>
            </w:r>
          </w:p>
        </w:tc>
        <w:tc>
          <w:tcPr>
            <w:tcW w:w="3260" w:type="dxa"/>
            <w:tcBorders>
              <w:top w:val="nil"/>
            </w:tcBorders>
            <w:vAlign w:val="center"/>
          </w:tcPr>
          <w:p>
            <w:pPr>
              <w:pStyle w:val="112"/>
              <w:rPr>
                <w:sz w:val="18"/>
                <w:szCs w:val="18"/>
                <w:u w:val="single"/>
              </w:rPr>
            </w:pPr>
            <w:r>
              <w:rPr>
                <w:rFonts w:hint="eastAsia" w:hAnsi="宋体"/>
                <w:sz w:val="18"/>
                <w:szCs w:val="18"/>
                <w:u w:val="single"/>
              </w:rPr>
              <w:t>无名小溪</w:t>
            </w:r>
          </w:p>
        </w:tc>
        <w:tc>
          <w:tcPr>
            <w:tcW w:w="1203" w:type="dxa"/>
            <w:vMerge w:val="restart"/>
            <w:vAlign w:val="center"/>
          </w:tcPr>
          <w:p>
            <w:pPr>
              <w:pStyle w:val="112"/>
              <w:rPr>
                <w:sz w:val="18"/>
                <w:szCs w:val="18"/>
                <w:highlight w:val="yellow"/>
                <w:u w:val="single"/>
              </w:rPr>
            </w:pPr>
            <w:r>
              <w:rPr>
                <w:rFonts w:hint="eastAsia" w:hAnsi="宋体"/>
                <w:sz w:val="18"/>
                <w:szCs w:val="18"/>
                <w:u w:val="single"/>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pStyle w:val="112"/>
              <w:rPr>
                <w:sz w:val="18"/>
                <w:szCs w:val="18"/>
                <w:u w:val="single"/>
              </w:rPr>
            </w:pPr>
          </w:p>
        </w:tc>
        <w:tc>
          <w:tcPr>
            <w:tcW w:w="1149" w:type="dxa"/>
            <w:vAlign w:val="center"/>
          </w:tcPr>
          <w:p>
            <w:pPr>
              <w:jc w:val="center"/>
              <w:rPr>
                <w:sz w:val="18"/>
                <w:szCs w:val="18"/>
                <w:u w:val="single"/>
              </w:rPr>
            </w:pPr>
            <w:r>
              <w:rPr>
                <w:rFonts w:hint="eastAsia" w:hAnsi="宋体"/>
                <w:kern w:val="0"/>
                <w:sz w:val="18"/>
                <w:szCs w:val="18"/>
                <w:u w:val="single"/>
              </w:rPr>
              <w:t>水体敏感程度</w:t>
            </w:r>
          </w:p>
        </w:tc>
        <w:tc>
          <w:tcPr>
            <w:tcW w:w="3297" w:type="dxa"/>
            <w:tcBorders>
              <w:top w:val="nil"/>
            </w:tcBorders>
            <w:vAlign w:val="center"/>
          </w:tcPr>
          <w:p>
            <w:pPr>
              <w:jc w:val="center"/>
              <w:rPr>
                <w:kern w:val="0"/>
                <w:sz w:val="18"/>
                <w:szCs w:val="18"/>
                <w:u w:val="single"/>
              </w:rPr>
            </w:pPr>
            <w:r>
              <w:rPr>
                <w:rFonts w:hint="eastAsia" w:hAnsi="宋体"/>
                <w:kern w:val="0"/>
                <w:sz w:val="18"/>
                <w:szCs w:val="18"/>
                <w:u w:val="single"/>
              </w:rPr>
              <w:t>涉及饮用水源保护区，水环境较敏感</w:t>
            </w:r>
          </w:p>
        </w:tc>
        <w:tc>
          <w:tcPr>
            <w:tcW w:w="3260" w:type="dxa"/>
            <w:tcBorders>
              <w:top w:val="nil"/>
            </w:tcBorders>
            <w:vAlign w:val="center"/>
          </w:tcPr>
          <w:p>
            <w:pPr>
              <w:jc w:val="center"/>
              <w:rPr>
                <w:kern w:val="0"/>
                <w:sz w:val="18"/>
                <w:szCs w:val="18"/>
                <w:u w:val="single"/>
              </w:rPr>
            </w:pPr>
            <w:r>
              <w:rPr>
                <w:rFonts w:hint="eastAsia" w:hAnsi="宋体"/>
                <w:kern w:val="0"/>
                <w:sz w:val="18"/>
                <w:szCs w:val="18"/>
                <w:u w:val="single"/>
              </w:rPr>
              <w:t>涉及饮用水源保护区，水环境较敏感</w:t>
            </w:r>
          </w:p>
        </w:tc>
        <w:tc>
          <w:tcPr>
            <w:tcW w:w="1203" w:type="dxa"/>
            <w:vMerge w:val="continue"/>
            <w:vAlign w:val="center"/>
          </w:tcPr>
          <w:p>
            <w:pPr>
              <w:pStyle w:val="112"/>
              <w:rPr>
                <w:sz w:val="18"/>
                <w:szCs w:val="1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pStyle w:val="112"/>
              <w:rPr>
                <w:sz w:val="18"/>
                <w:szCs w:val="18"/>
                <w:u w:val="single"/>
              </w:rPr>
            </w:pPr>
          </w:p>
        </w:tc>
        <w:tc>
          <w:tcPr>
            <w:tcW w:w="1149" w:type="dxa"/>
            <w:vAlign w:val="center"/>
          </w:tcPr>
          <w:p>
            <w:pPr>
              <w:jc w:val="center"/>
              <w:rPr>
                <w:kern w:val="0"/>
                <w:sz w:val="18"/>
                <w:szCs w:val="18"/>
                <w:u w:val="single"/>
              </w:rPr>
            </w:pPr>
            <w:r>
              <w:rPr>
                <w:rFonts w:hint="eastAsia" w:hAnsi="宋体"/>
                <w:kern w:val="0"/>
                <w:sz w:val="18"/>
                <w:szCs w:val="18"/>
                <w:u w:val="single"/>
              </w:rPr>
              <w:t>对水体扰动程度</w:t>
            </w:r>
          </w:p>
        </w:tc>
        <w:tc>
          <w:tcPr>
            <w:tcW w:w="3297" w:type="dxa"/>
            <w:vAlign w:val="center"/>
          </w:tcPr>
          <w:p>
            <w:pPr>
              <w:jc w:val="center"/>
              <w:rPr>
                <w:kern w:val="0"/>
                <w:sz w:val="18"/>
                <w:szCs w:val="18"/>
                <w:u w:val="single"/>
              </w:rPr>
            </w:pPr>
            <w:r>
              <w:rPr>
                <w:rFonts w:hint="eastAsia" w:hAnsi="宋体"/>
                <w:kern w:val="0"/>
                <w:sz w:val="18"/>
                <w:szCs w:val="18"/>
                <w:u w:val="single"/>
              </w:rPr>
              <w:t>中小桥</w:t>
            </w:r>
            <w:r>
              <w:rPr>
                <w:rFonts w:hAnsi="宋体"/>
                <w:kern w:val="0"/>
                <w:sz w:val="18"/>
                <w:szCs w:val="18"/>
                <w:u w:val="single"/>
              </w:rPr>
              <w:t>52m/2</w:t>
            </w:r>
            <w:r>
              <w:rPr>
                <w:rFonts w:hint="eastAsia" w:hAnsi="宋体"/>
                <w:kern w:val="0"/>
                <w:sz w:val="18"/>
                <w:szCs w:val="18"/>
                <w:u w:val="single"/>
              </w:rPr>
              <w:t>座，涵洞</w:t>
            </w:r>
            <w:r>
              <w:rPr>
                <w:rFonts w:hAnsi="宋体"/>
                <w:kern w:val="0"/>
                <w:sz w:val="18"/>
                <w:szCs w:val="18"/>
                <w:u w:val="single"/>
              </w:rPr>
              <w:t>42</w:t>
            </w:r>
            <w:r>
              <w:rPr>
                <w:rFonts w:hint="eastAsia" w:hAnsi="宋体"/>
                <w:kern w:val="0"/>
                <w:sz w:val="18"/>
                <w:szCs w:val="18"/>
                <w:u w:val="single"/>
              </w:rPr>
              <w:t>道</w:t>
            </w:r>
          </w:p>
        </w:tc>
        <w:tc>
          <w:tcPr>
            <w:tcW w:w="3260" w:type="dxa"/>
            <w:vAlign w:val="center"/>
          </w:tcPr>
          <w:p>
            <w:pPr>
              <w:jc w:val="center"/>
              <w:rPr>
                <w:kern w:val="0"/>
                <w:sz w:val="18"/>
                <w:szCs w:val="18"/>
                <w:u w:val="single"/>
              </w:rPr>
            </w:pPr>
            <w:r>
              <w:rPr>
                <w:rFonts w:hint="eastAsia" w:hAnsi="宋体"/>
                <w:kern w:val="0"/>
                <w:sz w:val="18"/>
                <w:szCs w:val="18"/>
                <w:u w:val="single"/>
              </w:rPr>
              <w:t>中小桥</w:t>
            </w:r>
            <w:r>
              <w:rPr>
                <w:rFonts w:hAnsi="宋体"/>
                <w:kern w:val="0"/>
                <w:sz w:val="18"/>
                <w:szCs w:val="18"/>
                <w:u w:val="single"/>
              </w:rPr>
              <w:t>52m/2</w:t>
            </w:r>
            <w:r>
              <w:rPr>
                <w:rFonts w:hint="eastAsia" w:hAnsi="宋体"/>
                <w:kern w:val="0"/>
                <w:sz w:val="18"/>
                <w:szCs w:val="18"/>
                <w:u w:val="single"/>
              </w:rPr>
              <w:t>座，涵洞</w:t>
            </w:r>
            <w:r>
              <w:rPr>
                <w:rFonts w:hAnsi="宋体"/>
                <w:kern w:val="0"/>
                <w:sz w:val="18"/>
                <w:szCs w:val="18"/>
                <w:u w:val="single"/>
              </w:rPr>
              <w:t>43</w:t>
            </w:r>
            <w:r>
              <w:rPr>
                <w:rFonts w:hint="eastAsia" w:hAnsi="宋体"/>
                <w:kern w:val="0"/>
                <w:sz w:val="18"/>
                <w:szCs w:val="18"/>
                <w:u w:val="single"/>
              </w:rPr>
              <w:t>道</w:t>
            </w:r>
          </w:p>
        </w:tc>
        <w:tc>
          <w:tcPr>
            <w:tcW w:w="1203" w:type="dxa"/>
            <w:vMerge w:val="continue"/>
            <w:vAlign w:val="center"/>
          </w:tcPr>
          <w:p>
            <w:pPr>
              <w:pStyle w:val="112"/>
              <w:rPr>
                <w:i/>
                <w:sz w:val="18"/>
                <w:szCs w:val="18"/>
                <w:highlight w:val="yellow"/>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680" w:type="dxa"/>
            <w:vMerge w:val="restart"/>
            <w:vAlign w:val="center"/>
          </w:tcPr>
          <w:p>
            <w:pPr>
              <w:pStyle w:val="112"/>
              <w:rPr>
                <w:sz w:val="18"/>
                <w:szCs w:val="18"/>
                <w:u w:val="single"/>
              </w:rPr>
            </w:pPr>
            <w:r>
              <w:rPr>
                <w:rFonts w:hint="eastAsia" w:hAnsi="宋体"/>
                <w:sz w:val="18"/>
                <w:szCs w:val="18"/>
                <w:u w:val="single"/>
              </w:rPr>
              <w:t>社会环境</w:t>
            </w:r>
          </w:p>
        </w:tc>
        <w:tc>
          <w:tcPr>
            <w:tcW w:w="1149" w:type="dxa"/>
            <w:vAlign w:val="center"/>
          </w:tcPr>
          <w:p>
            <w:pPr>
              <w:pStyle w:val="112"/>
              <w:rPr>
                <w:sz w:val="18"/>
                <w:szCs w:val="18"/>
                <w:u w:val="single"/>
              </w:rPr>
            </w:pPr>
            <w:r>
              <w:rPr>
                <w:rFonts w:hint="eastAsia" w:hAnsi="宋体"/>
                <w:sz w:val="18"/>
                <w:szCs w:val="18"/>
                <w:u w:val="single"/>
              </w:rPr>
              <w:t>对现有的交通影响</w:t>
            </w:r>
          </w:p>
        </w:tc>
        <w:tc>
          <w:tcPr>
            <w:tcW w:w="3297" w:type="dxa"/>
            <w:vAlign w:val="center"/>
          </w:tcPr>
          <w:p>
            <w:pPr>
              <w:pStyle w:val="112"/>
              <w:rPr>
                <w:sz w:val="18"/>
                <w:szCs w:val="18"/>
                <w:u w:val="single"/>
              </w:rPr>
            </w:pPr>
            <w:r>
              <w:rPr>
                <w:rFonts w:hint="eastAsia" w:hAnsi="宋体"/>
                <w:sz w:val="18"/>
                <w:szCs w:val="18"/>
                <w:u w:val="single"/>
              </w:rPr>
              <w:t>可利用现有道路作为施工期保通道路，对现有道路交通影响较小。</w:t>
            </w:r>
          </w:p>
        </w:tc>
        <w:tc>
          <w:tcPr>
            <w:tcW w:w="3260" w:type="dxa"/>
            <w:vAlign w:val="center"/>
          </w:tcPr>
          <w:p>
            <w:pPr>
              <w:pStyle w:val="112"/>
              <w:rPr>
                <w:sz w:val="18"/>
                <w:szCs w:val="18"/>
                <w:u w:val="single"/>
              </w:rPr>
            </w:pPr>
            <w:r>
              <w:rPr>
                <w:rFonts w:hint="eastAsia" w:hAnsi="宋体"/>
                <w:sz w:val="18"/>
                <w:szCs w:val="18"/>
                <w:u w:val="single"/>
              </w:rPr>
              <w:t>可利用现有道路作为施工期保通道路，对现有道路交通影响较小。</w:t>
            </w:r>
          </w:p>
        </w:tc>
        <w:tc>
          <w:tcPr>
            <w:tcW w:w="1203" w:type="dxa"/>
            <w:vAlign w:val="center"/>
          </w:tcPr>
          <w:p>
            <w:pPr>
              <w:jc w:val="center"/>
              <w:rPr>
                <w:sz w:val="18"/>
                <w:szCs w:val="18"/>
                <w:u w:val="single"/>
              </w:rPr>
            </w:pPr>
            <w:r>
              <w:rPr>
                <w:rFonts w:hint="eastAsia" w:hAnsi="宋体"/>
                <w:kern w:val="0"/>
                <w:sz w:val="18"/>
                <w:szCs w:val="18"/>
                <w:u w:val="single"/>
              </w:rPr>
              <w:t>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pStyle w:val="112"/>
              <w:rPr>
                <w:sz w:val="18"/>
                <w:szCs w:val="18"/>
                <w:u w:val="single"/>
              </w:rPr>
            </w:pPr>
          </w:p>
        </w:tc>
        <w:tc>
          <w:tcPr>
            <w:tcW w:w="1149" w:type="dxa"/>
            <w:vAlign w:val="center"/>
          </w:tcPr>
          <w:p>
            <w:pPr>
              <w:pStyle w:val="112"/>
              <w:rPr>
                <w:sz w:val="18"/>
                <w:szCs w:val="18"/>
                <w:u w:val="single"/>
              </w:rPr>
            </w:pPr>
            <w:r>
              <w:rPr>
                <w:rFonts w:hint="eastAsia" w:hAnsi="宋体"/>
                <w:sz w:val="18"/>
                <w:szCs w:val="18"/>
                <w:u w:val="single"/>
              </w:rPr>
              <w:t>当地政府意见</w:t>
            </w:r>
          </w:p>
        </w:tc>
        <w:tc>
          <w:tcPr>
            <w:tcW w:w="6557" w:type="dxa"/>
            <w:gridSpan w:val="2"/>
            <w:vAlign w:val="center"/>
          </w:tcPr>
          <w:p>
            <w:pPr>
              <w:pStyle w:val="112"/>
              <w:rPr>
                <w:sz w:val="18"/>
                <w:szCs w:val="18"/>
                <w:u w:val="single"/>
              </w:rPr>
            </w:pPr>
            <w:r>
              <w:rPr>
                <w:rFonts w:hint="eastAsia" w:hAnsi="宋体"/>
                <w:sz w:val="18"/>
                <w:szCs w:val="18"/>
                <w:u w:val="single"/>
              </w:rPr>
              <w:t>当地政府推荐</w:t>
            </w:r>
            <w:r>
              <w:rPr>
                <w:rFonts w:hAnsi="宋体"/>
                <w:sz w:val="18"/>
                <w:szCs w:val="18"/>
                <w:u w:val="single"/>
              </w:rPr>
              <w:t>K</w:t>
            </w:r>
            <w:r>
              <w:rPr>
                <w:rFonts w:hint="eastAsia" w:hAnsi="宋体"/>
                <w:sz w:val="18"/>
                <w:szCs w:val="18"/>
                <w:u w:val="single"/>
              </w:rPr>
              <w:t>线</w:t>
            </w:r>
          </w:p>
        </w:tc>
        <w:tc>
          <w:tcPr>
            <w:tcW w:w="1203" w:type="dxa"/>
            <w:vAlign w:val="center"/>
          </w:tcPr>
          <w:p>
            <w:pPr>
              <w:pStyle w:val="112"/>
              <w:rPr>
                <w:sz w:val="18"/>
                <w:szCs w:val="18"/>
                <w:u w:val="single"/>
              </w:rPr>
            </w:pPr>
            <w:r>
              <w:rPr>
                <w:rFonts w:hAnsi="宋体"/>
                <w:sz w:val="18"/>
                <w:szCs w:val="18"/>
                <w:u w:val="single"/>
              </w:rPr>
              <w:t>K</w:t>
            </w:r>
            <w:r>
              <w:rPr>
                <w:rFonts w:hint="eastAsia" w:hAnsi="宋体"/>
                <w:sz w:val="18"/>
                <w:szCs w:val="18"/>
                <w:u w:val="single"/>
              </w:rPr>
              <w:t>线优</w:t>
            </w:r>
          </w:p>
        </w:tc>
      </w:tr>
    </w:tbl>
    <w:p>
      <w:pPr>
        <w:pStyle w:val="3"/>
        <w:ind w:firstLine="31680"/>
        <w:rPr>
          <w:kern w:val="2"/>
          <w:szCs w:val="24"/>
          <w:u w:val="single"/>
        </w:rPr>
      </w:pPr>
      <w:r>
        <w:rPr>
          <w:kern w:val="2"/>
          <w:szCs w:val="24"/>
          <w:u w:val="single"/>
        </w:rPr>
        <w:t>d</w:t>
      </w:r>
      <w:r>
        <w:rPr>
          <w:rFonts w:hint="eastAsia"/>
          <w:kern w:val="2"/>
          <w:szCs w:val="24"/>
          <w:u w:val="single"/>
        </w:rPr>
        <w:t>）比选结论</w:t>
      </w:r>
    </w:p>
    <w:p>
      <w:pPr>
        <w:pStyle w:val="3"/>
        <w:ind w:firstLine="31680"/>
        <w:rPr>
          <w:kern w:val="2"/>
          <w:szCs w:val="24"/>
          <w:u w:val="single"/>
        </w:rPr>
      </w:pPr>
      <w:r>
        <w:rPr>
          <w:rFonts w:hint="eastAsia"/>
          <w:kern w:val="2"/>
          <w:szCs w:val="24"/>
          <w:u w:val="single"/>
        </w:rPr>
        <w:t>根据表分析可知，</w:t>
      </w:r>
      <w:r>
        <w:rPr>
          <w:rFonts w:hint="eastAsia" w:cs="宋体"/>
          <w:u w:val="single"/>
        </w:rPr>
        <w:t>虽然</w:t>
      </w:r>
      <w:r>
        <w:rPr>
          <w:rFonts w:cs="宋体"/>
          <w:u w:val="single"/>
        </w:rPr>
        <w:t>A</w:t>
      </w:r>
      <w:r>
        <w:rPr>
          <w:rFonts w:hint="eastAsia" w:cs="宋体"/>
          <w:u w:val="single"/>
        </w:rPr>
        <w:t>线方案与规划的桃花路线位完全一致，但由于其未利用区域有利的地形条件，路基填切方大，同时桥梁规模也较大，占用农田较多。经过优化的</w:t>
      </w:r>
      <w:r>
        <w:rPr>
          <w:rFonts w:cs="宋体"/>
          <w:u w:val="single"/>
        </w:rPr>
        <w:t>K</w:t>
      </w:r>
      <w:r>
        <w:rPr>
          <w:rFonts w:hint="eastAsia" w:cs="宋体"/>
          <w:u w:val="single"/>
        </w:rPr>
        <w:t>线方案虽然与规划线位有一定差异，但路线里程较短，土石方规模和征地拆迁数量均较小。根据测算</w:t>
      </w:r>
      <w:r>
        <w:rPr>
          <w:rFonts w:cs="宋体"/>
          <w:u w:val="single"/>
        </w:rPr>
        <w:t>K</w:t>
      </w:r>
      <w:r>
        <w:rPr>
          <w:rFonts w:hint="eastAsia" w:cs="宋体"/>
          <w:u w:val="single"/>
        </w:rPr>
        <w:t>线总投资比</w:t>
      </w:r>
      <w:r>
        <w:rPr>
          <w:rFonts w:cs="宋体"/>
          <w:u w:val="single"/>
        </w:rPr>
        <w:t>A</w:t>
      </w:r>
      <w:r>
        <w:rPr>
          <w:rFonts w:hint="eastAsia" w:cs="宋体"/>
          <w:u w:val="single"/>
        </w:rPr>
        <w:t>线节省</w:t>
      </w:r>
      <w:r>
        <w:rPr>
          <w:rFonts w:cs="宋体"/>
          <w:u w:val="single"/>
        </w:rPr>
        <w:t>1050.60</w:t>
      </w:r>
      <w:r>
        <w:rPr>
          <w:rFonts w:hint="eastAsia" w:cs="宋体"/>
          <w:u w:val="single"/>
        </w:rPr>
        <w:t>万元，平均每公里节省</w:t>
      </w:r>
      <w:r>
        <w:rPr>
          <w:rFonts w:cs="宋体"/>
          <w:u w:val="single"/>
        </w:rPr>
        <w:t>60.41</w:t>
      </w:r>
      <w:r>
        <w:rPr>
          <w:rFonts w:hint="eastAsia" w:cs="宋体"/>
          <w:u w:val="single"/>
        </w:rPr>
        <w:t>万元。</w:t>
      </w:r>
      <w:r>
        <w:rPr>
          <w:rFonts w:hint="eastAsia"/>
          <w:kern w:val="2"/>
          <w:szCs w:val="24"/>
          <w:u w:val="single"/>
        </w:rPr>
        <w:t>本次评价认为从环境因素考虑，综合技术经济比较和弼时镇政府的意见，本次评价同意工可的推荐</w:t>
      </w:r>
      <w:r>
        <w:rPr>
          <w:kern w:val="2"/>
          <w:szCs w:val="24"/>
          <w:u w:val="single"/>
        </w:rPr>
        <w:t>K</w:t>
      </w:r>
      <w:r>
        <w:rPr>
          <w:rFonts w:hint="eastAsia"/>
          <w:kern w:val="2"/>
          <w:szCs w:val="24"/>
          <w:u w:val="single"/>
        </w:rPr>
        <w:t>线方案。</w:t>
      </w:r>
    </w:p>
    <w:p>
      <w:pPr>
        <w:pStyle w:val="5"/>
        <w:ind w:left="567" w:hanging="567"/>
      </w:pPr>
      <w:r>
        <w:rPr>
          <w:rFonts w:hint="eastAsia"/>
        </w:rPr>
        <w:t>项目选线的合理性分析</w:t>
      </w:r>
    </w:p>
    <w:p>
      <w:pPr>
        <w:pStyle w:val="3"/>
        <w:ind w:firstLine="31680"/>
      </w:pPr>
      <w:r>
        <w:rPr>
          <w:rFonts w:hint="eastAsia"/>
        </w:rPr>
        <w:t>根据现场踏勘及走访调查，评价范围内无风景名胜区、自然保护区、森林公园、鱼类三场、距离大里塘饮用水源保护区有</w:t>
      </w:r>
      <w:r>
        <w:t>93m</w:t>
      </w:r>
      <w:r>
        <w:rPr>
          <w:rFonts w:hint="eastAsia"/>
        </w:rPr>
        <w:t>（不在大里塘水库饮用水源一级保护区范围内）等环境敏感区，不违反《风景名胜区条例》、《自然保护区条例》、《中华人民共和国森林公园管理办法》、《国家级森林公园管理办法》等相关规定；公路沿线除有水杉、银杏、杜仲外无其他珍稀保护植物存在以及古大树分布，项目区无珍稀濒危国家保护动物种类分布；项目选线符合湖南省交通运输交通规划和《汨罗市综合交通体系规划（</w:t>
      </w:r>
      <w:r>
        <w:t>2014-2030</w:t>
      </w:r>
      <w:r>
        <w:rPr>
          <w:rFonts w:hint="eastAsia"/>
        </w:rPr>
        <w:t>）》；根据建设用地项目压覆矿产资源调查报告和建设场地地质灾害危险性评估报告，项目建设用地未压覆已探明的具有工业价值的重要矿床，也没有设置探矿权和采矿权，工程建设加剧滑坡、崩塌、泥石流、岩溶地面塌陷、采空区地面塌陷等地质灾害危险性小，因此，本工程的线位布设合理。</w:t>
      </w:r>
    </w:p>
    <w:p>
      <w:pPr>
        <w:pStyle w:val="4"/>
        <w:ind w:left="567" w:hanging="567"/>
      </w:pPr>
      <w:bookmarkStart w:id="262" w:name="_Toc14805"/>
      <w:r>
        <w:rPr>
          <w:rFonts w:hint="eastAsia"/>
        </w:rPr>
        <w:t>临时占地选址的合理性</w:t>
      </w:r>
      <w:bookmarkEnd w:id="262"/>
    </w:p>
    <w:p>
      <w:pPr>
        <w:pStyle w:val="5"/>
        <w:ind w:left="567" w:hanging="567"/>
      </w:pPr>
      <w:r>
        <w:rPr>
          <w:rFonts w:hint="eastAsia"/>
        </w:rPr>
        <w:t>取土场设置的合理性分析</w:t>
      </w:r>
    </w:p>
    <w:p>
      <w:pPr>
        <w:pStyle w:val="168"/>
        <w:ind w:firstLine="31680"/>
      </w:pPr>
      <w:r>
        <w:rPr>
          <w:rFonts w:hint="eastAsia"/>
        </w:rPr>
        <w:t>根据“工可”设计方案及水土保持方案，本工程需开挖土石方总量为</w:t>
      </w:r>
      <w:r>
        <w:t>787513m</w:t>
      </w:r>
      <w:r>
        <w:rPr>
          <w:vertAlign w:val="superscript"/>
        </w:rPr>
        <w:t>3</w:t>
      </w:r>
      <w:r>
        <w:rPr>
          <w:rFonts w:hint="eastAsia"/>
        </w:rPr>
        <w:t>，填方总量为</w:t>
      </w:r>
      <w:r>
        <w:t>757928m</w:t>
      </w:r>
      <w:r>
        <w:rPr>
          <w:vertAlign w:val="superscript"/>
        </w:rPr>
        <w:t>3</w:t>
      </w:r>
      <w:r>
        <w:rPr>
          <w:rFonts w:hint="eastAsia"/>
        </w:rPr>
        <w:t>，产生的弃渣总量为</w:t>
      </w:r>
      <w:r>
        <w:t>29585m</w:t>
      </w:r>
      <w:r>
        <w:rPr>
          <w:vertAlign w:val="superscript"/>
        </w:rPr>
        <w:t>3</w:t>
      </w:r>
      <w:r>
        <w:rPr>
          <w:rFonts w:hint="eastAsia"/>
        </w:rPr>
        <w:t>，不需设置取土场。</w:t>
      </w:r>
    </w:p>
    <w:p>
      <w:pPr>
        <w:pStyle w:val="5"/>
        <w:ind w:left="567" w:hanging="567"/>
        <w:rPr>
          <w:u w:val="single"/>
        </w:rPr>
      </w:pPr>
      <w:r>
        <w:rPr>
          <w:rFonts w:hint="eastAsia"/>
          <w:u w:val="single"/>
        </w:rPr>
        <w:t>弃渣场设置合理性分析</w:t>
      </w:r>
    </w:p>
    <w:p>
      <w:pPr>
        <w:pStyle w:val="3"/>
        <w:ind w:firstLine="31680"/>
        <w:rPr>
          <w:u w:val="single"/>
        </w:rPr>
      </w:pPr>
      <w:r>
        <w:rPr>
          <w:rFonts w:hint="eastAsia"/>
          <w:u w:val="single"/>
        </w:rPr>
        <w:t>根据“工可”设计方案，本工程弃方总量</w:t>
      </w:r>
      <w:r>
        <w:rPr>
          <w:u w:val="single"/>
        </w:rPr>
        <w:t>29585m</w:t>
      </w:r>
      <w:r>
        <w:rPr>
          <w:u w:val="single"/>
          <w:vertAlign w:val="superscript"/>
        </w:rPr>
        <w:t>3</w:t>
      </w:r>
      <w:r>
        <w:rPr>
          <w:rFonts w:hint="eastAsia"/>
          <w:u w:val="single"/>
        </w:rPr>
        <w:t>，主要为场地基清理及各路段开挖产生的不可利用渣土。本工程施工期拟设置</w:t>
      </w:r>
      <w:r>
        <w:rPr>
          <w:u w:val="single"/>
        </w:rPr>
        <w:t>3</w:t>
      </w:r>
      <w:r>
        <w:rPr>
          <w:rFonts w:hint="eastAsia"/>
          <w:u w:val="single"/>
        </w:rPr>
        <w:t>处弃渣场，分布在公路沿线附近的凹地，现状用地主要为旱地及林地，占地面积</w:t>
      </w:r>
      <w:r>
        <w:rPr>
          <w:u w:val="single"/>
        </w:rPr>
        <w:t>0.99hm</w:t>
      </w:r>
      <w:r>
        <w:rPr>
          <w:u w:val="single"/>
          <w:vertAlign w:val="superscript"/>
        </w:rPr>
        <w:t>2</w:t>
      </w:r>
      <w:r>
        <w:rPr>
          <w:rFonts w:hint="eastAsia"/>
          <w:u w:val="single"/>
        </w:rPr>
        <w:t>。</w:t>
      </w:r>
    </w:p>
    <w:p>
      <w:pPr>
        <w:pStyle w:val="3"/>
        <w:ind w:firstLine="31680"/>
        <w:rPr>
          <w:u w:val="single"/>
        </w:rPr>
      </w:pPr>
      <w:r>
        <w:rPr>
          <w:rFonts w:hint="eastAsia"/>
          <w:u w:val="single"/>
        </w:rPr>
        <w:t>弃渣场的选择应遵守以下原则：</w:t>
      </w:r>
    </w:p>
    <w:p>
      <w:pPr>
        <w:pStyle w:val="3"/>
        <w:ind w:firstLine="31680"/>
        <w:rPr>
          <w:u w:val="single"/>
        </w:rPr>
      </w:pPr>
      <w:r>
        <w:rPr>
          <w:u w:val="single"/>
        </w:rPr>
        <w:t>a</w:t>
      </w:r>
      <w:r>
        <w:rPr>
          <w:rFonts w:hint="eastAsia"/>
          <w:u w:val="single"/>
        </w:rPr>
        <w:t>）不得影响周边公共设施及居民点安全；</w:t>
      </w:r>
    </w:p>
    <w:p>
      <w:pPr>
        <w:pStyle w:val="3"/>
        <w:ind w:firstLine="31680"/>
        <w:rPr>
          <w:u w:val="single"/>
        </w:rPr>
      </w:pPr>
      <w:r>
        <w:rPr>
          <w:u w:val="single"/>
        </w:rPr>
        <w:t>b</w:t>
      </w:r>
      <w:r>
        <w:rPr>
          <w:rFonts w:hint="eastAsia"/>
          <w:u w:val="single"/>
        </w:rPr>
        <w:t>）禁止在对重要基础设施、人民生命财产安全及行洪安全有重大影响的区域布设；</w:t>
      </w:r>
    </w:p>
    <w:p>
      <w:pPr>
        <w:pStyle w:val="3"/>
        <w:ind w:firstLine="31680"/>
        <w:rPr>
          <w:u w:val="single"/>
        </w:rPr>
      </w:pPr>
      <w:r>
        <w:rPr>
          <w:u w:val="single"/>
        </w:rPr>
        <w:t>c</w:t>
      </w:r>
      <w:r>
        <w:rPr>
          <w:rFonts w:hint="eastAsia"/>
          <w:u w:val="single"/>
        </w:rPr>
        <w:t>）尽量利用荒坡和地势较低的凹地，少占农田和林地；</w:t>
      </w:r>
    </w:p>
    <w:p>
      <w:pPr>
        <w:pStyle w:val="3"/>
        <w:ind w:firstLine="31680"/>
        <w:rPr>
          <w:u w:val="single"/>
        </w:rPr>
      </w:pPr>
      <w:r>
        <w:rPr>
          <w:u w:val="single"/>
        </w:rPr>
        <w:t>d</w:t>
      </w:r>
      <w:r>
        <w:rPr>
          <w:rFonts w:hint="eastAsia"/>
          <w:u w:val="single"/>
        </w:rPr>
        <w:t>）尽量远离河岸，不侵占洪道；</w:t>
      </w:r>
    </w:p>
    <w:p>
      <w:pPr>
        <w:pStyle w:val="3"/>
        <w:ind w:firstLine="31680"/>
        <w:rPr>
          <w:u w:val="single"/>
        </w:rPr>
      </w:pPr>
      <w:r>
        <w:rPr>
          <w:u w:val="single"/>
        </w:rPr>
        <w:t>e</w:t>
      </w:r>
      <w:r>
        <w:rPr>
          <w:rFonts w:hint="eastAsia"/>
          <w:u w:val="single"/>
        </w:rPr>
        <w:t>）交通运输方便；</w:t>
      </w:r>
    </w:p>
    <w:p>
      <w:pPr>
        <w:pStyle w:val="3"/>
        <w:ind w:firstLine="31680"/>
        <w:rPr>
          <w:u w:val="single"/>
        </w:rPr>
      </w:pPr>
      <w:r>
        <w:rPr>
          <w:u w:val="single"/>
        </w:rPr>
        <w:t>f</w:t>
      </w:r>
      <w:r>
        <w:rPr>
          <w:rFonts w:hint="eastAsia"/>
          <w:u w:val="single"/>
        </w:rPr>
        <w:t>）严禁在河道、泥石流沟、冲沟上游设置渣场；</w:t>
      </w:r>
    </w:p>
    <w:p>
      <w:pPr>
        <w:pStyle w:val="3"/>
        <w:ind w:firstLine="31680"/>
        <w:rPr>
          <w:u w:val="single"/>
        </w:rPr>
      </w:pPr>
      <w:r>
        <w:rPr>
          <w:u w:val="single"/>
        </w:rPr>
        <w:t>g</w:t>
      </w:r>
      <w:r>
        <w:rPr>
          <w:rFonts w:hint="eastAsia"/>
          <w:u w:val="single"/>
        </w:rPr>
        <w:t>）渣场不得影响河流、沟谷、排灌沟渠和行洪灌溉功能，并必须保证下游农田、建筑物的安全。</w:t>
      </w:r>
    </w:p>
    <w:p>
      <w:pPr>
        <w:pStyle w:val="3"/>
        <w:ind w:firstLine="31680"/>
        <w:rPr>
          <w:rFonts w:hint="eastAsia"/>
          <w:u w:val="single"/>
        </w:rPr>
      </w:pPr>
      <w:r>
        <w:rPr>
          <w:rFonts w:hint="eastAsia"/>
          <w:u w:val="single"/>
        </w:rPr>
        <w:t>施工期弃渣场的设置情况见表</w:t>
      </w:r>
      <w:r>
        <w:rPr>
          <w:u w:val="single"/>
        </w:rPr>
        <w:t>8.3-2</w:t>
      </w:r>
      <w:r>
        <w:rPr>
          <w:rFonts w:hint="eastAsia"/>
          <w:u w:val="single"/>
        </w:rPr>
        <w:t>。</w:t>
      </w:r>
    </w:p>
    <w:p>
      <w:pPr>
        <w:pStyle w:val="3"/>
        <w:ind w:firstLine="31680"/>
        <w:rPr>
          <w:rFonts w:hint="eastAsia"/>
          <w:u w:val="single"/>
        </w:rPr>
      </w:pPr>
    </w:p>
    <w:p>
      <w:pPr>
        <w:pStyle w:val="3"/>
        <w:ind w:firstLine="31680"/>
        <w:rPr>
          <w:rFonts w:hint="eastAsia"/>
          <w:u w:val="single"/>
        </w:rPr>
      </w:pPr>
    </w:p>
    <w:p>
      <w:pPr>
        <w:pStyle w:val="3"/>
        <w:ind w:firstLine="31680"/>
        <w:rPr>
          <w:rFonts w:hint="eastAsia"/>
          <w:u w:val="single"/>
        </w:rPr>
      </w:pPr>
    </w:p>
    <w:p>
      <w:pPr>
        <w:pStyle w:val="3"/>
        <w:ind w:firstLine="31680"/>
        <w:rPr>
          <w:rFonts w:hint="eastAsia"/>
          <w:u w:val="single"/>
        </w:rPr>
      </w:pPr>
    </w:p>
    <w:p>
      <w:pPr>
        <w:pStyle w:val="3"/>
        <w:ind w:firstLine="31680"/>
        <w:rPr>
          <w:rFonts w:hint="eastAsia"/>
          <w:u w:val="single"/>
        </w:rPr>
      </w:pPr>
    </w:p>
    <w:p>
      <w:pPr>
        <w:pStyle w:val="3"/>
        <w:ind w:firstLine="31680"/>
        <w:rPr>
          <w:rFonts w:hint="eastAsia"/>
          <w:u w:val="single"/>
        </w:rPr>
      </w:pPr>
    </w:p>
    <w:p>
      <w:pPr>
        <w:pStyle w:val="19"/>
        <w:jc w:val="center"/>
        <w:rPr>
          <w:szCs w:val="24"/>
          <w:u w:val="single"/>
        </w:rPr>
      </w:pPr>
      <w:bookmarkStart w:id="263" w:name="_Ref355884990"/>
      <w:r>
        <w:rPr>
          <w:rFonts w:hint="eastAsia" w:hAnsi="黑体"/>
          <w:szCs w:val="24"/>
          <w:u w:val="single"/>
        </w:rPr>
        <w:t>表</w:t>
      </w:r>
      <w:bookmarkEnd w:id="263"/>
      <w:r>
        <w:rPr>
          <w:szCs w:val="24"/>
          <w:u w:val="single"/>
        </w:rPr>
        <w:t xml:space="preserve">8.3-2   </w:t>
      </w:r>
      <w:r>
        <w:rPr>
          <w:rFonts w:hint="eastAsia" w:hAnsi="黑体"/>
          <w:szCs w:val="24"/>
          <w:u w:val="single"/>
        </w:rPr>
        <w:t>弃渣场环境合理性分析</w:t>
      </w:r>
    </w:p>
    <w:tbl>
      <w:tblPr>
        <w:tblStyle w:val="65"/>
        <w:tblW w:w="9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012"/>
        <w:gridCol w:w="773"/>
        <w:gridCol w:w="708"/>
        <w:gridCol w:w="709"/>
        <w:gridCol w:w="1701"/>
        <w:gridCol w:w="3185"/>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blHeader/>
          <w:jc w:val="center"/>
        </w:trPr>
        <w:tc>
          <w:tcPr>
            <w:tcW w:w="450" w:type="dxa"/>
            <w:vAlign w:val="center"/>
          </w:tcPr>
          <w:p>
            <w:pPr>
              <w:pStyle w:val="112"/>
              <w:rPr>
                <w:szCs w:val="21"/>
                <w:u w:val="single"/>
              </w:rPr>
            </w:pPr>
            <w:r>
              <w:rPr>
                <w:rFonts w:hint="eastAsia"/>
                <w:szCs w:val="21"/>
                <w:u w:val="single"/>
              </w:rPr>
              <w:t>序号</w:t>
            </w:r>
          </w:p>
        </w:tc>
        <w:tc>
          <w:tcPr>
            <w:tcW w:w="1012" w:type="dxa"/>
            <w:vAlign w:val="center"/>
          </w:tcPr>
          <w:p>
            <w:pPr>
              <w:pStyle w:val="112"/>
              <w:rPr>
                <w:szCs w:val="21"/>
                <w:u w:val="single"/>
              </w:rPr>
            </w:pPr>
            <w:r>
              <w:rPr>
                <w:rFonts w:hint="eastAsia"/>
                <w:szCs w:val="21"/>
                <w:u w:val="single"/>
              </w:rPr>
              <w:t>相对位置</w:t>
            </w:r>
          </w:p>
        </w:tc>
        <w:tc>
          <w:tcPr>
            <w:tcW w:w="773" w:type="dxa"/>
            <w:vAlign w:val="center"/>
          </w:tcPr>
          <w:p>
            <w:pPr>
              <w:pStyle w:val="112"/>
              <w:rPr>
                <w:szCs w:val="21"/>
                <w:u w:val="single"/>
              </w:rPr>
            </w:pPr>
            <w:r>
              <w:rPr>
                <w:rFonts w:hint="eastAsia"/>
                <w:szCs w:val="21"/>
                <w:u w:val="single"/>
              </w:rPr>
              <w:t>渣场地形</w:t>
            </w:r>
          </w:p>
        </w:tc>
        <w:tc>
          <w:tcPr>
            <w:tcW w:w="708" w:type="dxa"/>
            <w:vAlign w:val="center"/>
          </w:tcPr>
          <w:p>
            <w:pPr>
              <w:pStyle w:val="112"/>
              <w:rPr>
                <w:szCs w:val="21"/>
                <w:u w:val="single"/>
              </w:rPr>
            </w:pPr>
            <w:r>
              <w:rPr>
                <w:rFonts w:hint="eastAsia"/>
                <w:szCs w:val="21"/>
                <w:u w:val="single"/>
              </w:rPr>
              <w:t>容量</w:t>
            </w:r>
            <w:r>
              <w:rPr>
                <w:szCs w:val="21"/>
                <w:u w:val="single"/>
              </w:rPr>
              <w:t>(</w:t>
            </w:r>
            <w:r>
              <w:rPr>
                <w:rFonts w:hint="eastAsia"/>
                <w:szCs w:val="21"/>
                <w:u w:val="single"/>
              </w:rPr>
              <w:t>万</w:t>
            </w:r>
            <w:r>
              <w:rPr>
                <w:szCs w:val="21"/>
                <w:u w:val="single"/>
              </w:rPr>
              <w:t>m</w:t>
            </w:r>
            <w:r>
              <w:rPr>
                <w:szCs w:val="21"/>
                <w:u w:val="single"/>
                <w:vertAlign w:val="superscript"/>
              </w:rPr>
              <w:t>3</w:t>
            </w:r>
            <w:r>
              <w:rPr>
                <w:szCs w:val="21"/>
                <w:u w:val="single"/>
              </w:rPr>
              <w:t>)</w:t>
            </w:r>
          </w:p>
        </w:tc>
        <w:tc>
          <w:tcPr>
            <w:tcW w:w="709" w:type="dxa"/>
            <w:vAlign w:val="center"/>
          </w:tcPr>
          <w:p>
            <w:pPr>
              <w:pStyle w:val="112"/>
              <w:rPr>
                <w:szCs w:val="21"/>
                <w:u w:val="single"/>
              </w:rPr>
            </w:pPr>
            <w:r>
              <w:rPr>
                <w:rFonts w:hint="eastAsia"/>
                <w:szCs w:val="21"/>
                <w:u w:val="single"/>
              </w:rPr>
              <w:t>弃渣量</w:t>
            </w:r>
            <w:r>
              <w:rPr>
                <w:szCs w:val="21"/>
                <w:u w:val="single"/>
              </w:rPr>
              <w:t>(</w:t>
            </w:r>
            <w:r>
              <w:rPr>
                <w:rFonts w:hint="eastAsia"/>
                <w:szCs w:val="21"/>
                <w:u w:val="single"/>
              </w:rPr>
              <w:t>万</w:t>
            </w:r>
            <w:r>
              <w:rPr>
                <w:szCs w:val="21"/>
                <w:u w:val="single"/>
              </w:rPr>
              <w:t>m</w:t>
            </w:r>
            <w:r>
              <w:rPr>
                <w:szCs w:val="21"/>
                <w:u w:val="single"/>
                <w:vertAlign w:val="superscript"/>
              </w:rPr>
              <w:t>3</w:t>
            </w:r>
            <w:r>
              <w:rPr>
                <w:szCs w:val="21"/>
                <w:u w:val="single"/>
              </w:rPr>
              <w:t>)</w:t>
            </w:r>
          </w:p>
        </w:tc>
        <w:tc>
          <w:tcPr>
            <w:tcW w:w="1701" w:type="dxa"/>
            <w:vAlign w:val="center"/>
          </w:tcPr>
          <w:p>
            <w:pPr>
              <w:pStyle w:val="112"/>
              <w:rPr>
                <w:szCs w:val="21"/>
                <w:u w:val="single"/>
              </w:rPr>
            </w:pPr>
            <w:r>
              <w:rPr>
                <w:rFonts w:hint="eastAsia"/>
                <w:szCs w:val="21"/>
                <w:u w:val="single"/>
              </w:rPr>
              <w:t>服务范围</w:t>
            </w:r>
          </w:p>
        </w:tc>
        <w:tc>
          <w:tcPr>
            <w:tcW w:w="3185" w:type="dxa"/>
            <w:vAlign w:val="center"/>
          </w:tcPr>
          <w:p>
            <w:pPr>
              <w:pStyle w:val="112"/>
              <w:rPr>
                <w:szCs w:val="21"/>
                <w:u w:val="single"/>
              </w:rPr>
            </w:pPr>
            <w:r>
              <w:rPr>
                <w:rFonts w:hint="eastAsia"/>
                <w:szCs w:val="21"/>
                <w:u w:val="single"/>
              </w:rPr>
              <w:t>环境特征</w:t>
            </w:r>
          </w:p>
        </w:tc>
        <w:tc>
          <w:tcPr>
            <w:tcW w:w="636" w:type="dxa"/>
            <w:vAlign w:val="center"/>
          </w:tcPr>
          <w:p>
            <w:pPr>
              <w:pStyle w:val="112"/>
              <w:rPr>
                <w:szCs w:val="21"/>
                <w:u w:val="single"/>
              </w:rPr>
            </w:pPr>
            <w:r>
              <w:rPr>
                <w:rFonts w:hint="eastAsia"/>
                <w:szCs w:val="21"/>
                <w:u w:val="single"/>
              </w:rPr>
              <w:t>环境合理性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50" w:type="dxa"/>
            <w:vAlign w:val="center"/>
          </w:tcPr>
          <w:p>
            <w:pPr>
              <w:jc w:val="center"/>
              <w:rPr>
                <w:sz w:val="21"/>
                <w:szCs w:val="21"/>
                <w:u w:val="single"/>
              </w:rPr>
            </w:pPr>
            <w:r>
              <w:rPr>
                <w:sz w:val="21"/>
                <w:szCs w:val="21"/>
                <w:u w:val="single"/>
              </w:rPr>
              <w:t>Z1</w:t>
            </w:r>
          </w:p>
        </w:tc>
        <w:tc>
          <w:tcPr>
            <w:tcW w:w="1012" w:type="dxa"/>
            <w:vAlign w:val="center"/>
          </w:tcPr>
          <w:p>
            <w:pPr>
              <w:pStyle w:val="112"/>
              <w:rPr>
                <w:szCs w:val="21"/>
                <w:u w:val="single"/>
              </w:rPr>
            </w:pPr>
            <w:r>
              <w:rPr>
                <w:rFonts w:hAnsi="宋体"/>
                <w:kern w:val="2"/>
                <w:szCs w:val="21"/>
                <w:u w:val="single"/>
              </w:rPr>
              <w:t>K0+000</w:t>
            </w:r>
            <w:r>
              <w:rPr>
                <w:rFonts w:hint="eastAsia" w:hAnsi="宋体"/>
                <w:kern w:val="2"/>
                <w:szCs w:val="21"/>
                <w:u w:val="single"/>
              </w:rPr>
              <w:t>东侧</w:t>
            </w:r>
            <w:r>
              <w:rPr>
                <w:rFonts w:hAnsi="宋体"/>
                <w:kern w:val="2"/>
                <w:szCs w:val="21"/>
                <w:u w:val="single"/>
              </w:rPr>
              <w:t>25m</w:t>
            </w:r>
          </w:p>
        </w:tc>
        <w:tc>
          <w:tcPr>
            <w:tcW w:w="773" w:type="dxa"/>
            <w:vAlign w:val="center"/>
          </w:tcPr>
          <w:p>
            <w:pPr>
              <w:jc w:val="center"/>
              <w:rPr>
                <w:sz w:val="21"/>
                <w:szCs w:val="21"/>
                <w:u w:val="single"/>
              </w:rPr>
            </w:pPr>
            <w:r>
              <w:rPr>
                <w:rFonts w:hint="eastAsia"/>
                <w:sz w:val="21"/>
                <w:szCs w:val="21"/>
                <w:u w:val="single"/>
              </w:rPr>
              <w:t>凹地</w:t>
            </w:r>
          </w:p>
        </w:tc>
        <w:tc>
          <w:tcPr>
            <w:tcW w:w="708" w:type="dxa"/>
            <w:vAlign w:val="center"/>
          </w:tcPr>
          <w:p>
            <w:pPr>
              <w:adjustRightInd w:val="0"/>
              <w:snapToGrid w:val="0"/>
              <w:jc w:val="center"/>
              <w:rPr>
                <w:szCs w:val="21"/>
                <w:u w:val="single"/>
              </w:rPr>
            </w:pPr>
            <w:r>
              <w:rPr>
                <w:snapToGrid w:val="0"/>
                <w:sz w:val="18"/>
                <w:szCs w:val="18"/>
                <w:u w:val="single"/>
              </w:rPr>
              <w:t>1.27</w:t>
            </w:r>
          </w:p>
        </w:tc>
        <w:tc>
          <w:tcPr>
            <w:tcW w:w="709" w:type="dxa"/>
            <w:vAlign w:val="center"/>
          </w:tcPr>
          <w:p>
            <w:pPr>
              <w:adjustRightInd w:val="0"/>
              <w:snapToGrid w:val="0"/>
              <w:jc w:val="center"/>
              <w:rPr>
                <w:szCs w:val="21"/>
                <w:u w:val="single"/>
              </w:rPr>
            </w:pPr>
            <w:r>
              <w:rPr>
                <w:kern w:val="0"/>
                <w:sz w:val="18"/>
                <w:szCs w:val="18"/>
                <w:u w:val="single"/>
              </w:rPr>
              <w:t>0.98</w:t>
            </w:r>
          </w:p>
        </w:tc>
        <w:tc>
          <w:tcPr>
            <w:tcW w:w="1701" w:type="dxa"/>
            <w:vAlign w:val="center"/>
          </w:tcPr>
          <w:p>
            <w:pPr>
              <w:adjustRightInd w:val="0"/>
              <w:snapToGrid w:val="0"/>
              <w:jc w:val="center"/>
              <w:rPr>
                <w:szCs w:val="21"/>
                <w:u w:val="single"/>
              </w:rPr>
            </w:pPr>
            <w:r>
              <w:rPr>
                <w:kern w:val="0"/>
                <w:sz w:val="18"/>
                <w:szCs w:val="18"/>
                <w:u w:val="single"/>
              </w:rPr>
              <w:t>K0+000~K2+700</w:t>
            </w:r>
          </w:p>
        </w:tc>
        <w:tc>
          <w:tcPr>
            <w:tcW w:w="3185" w:type="dxa"/>
            <w:vAlign w:val="center"/>
          </w:tcPr>
          <w:p>
            <w:pPr>
              <w:pStyle w:val="112"/>
              <w:rPr>
                <w:szCs w:val="21"/>
                <w:u w:val="single"/>
              </w:rPr>
            </w:pPr>
            <w:r>
              <w:rPr>
                <w:rFonts w:hint="eastAsia"/>
                <w:szCs w:val="21"/>
                <w:u w:val="single"/>
              </w:rPr>
              <w:t>用地类型为旱地和林地，渣场容量较大，距离公路较近，运输方便。弃渣场</w:t>
            </w:r>
            <w:r>
              <w:rPr>
                <w:rFonts w:hint="eastAsia"/>
                <w:kern w:val="2"/>
                <w:szCs w:val="21"/>
                <w:u w:val="single"/>
              </w:rPr>
              <w:t>西侧</w:t>
            </w:r>
            <w:r>
              <w:rPr>
                <w:kern w:val="2"/>
                <w:szCs w:val="21"/>
                <w:u w:val="single"/>
              </w:rPr>
              <w:t>40m</w:t>
            </w:r>
            <w:r>
              <w:rPr>
                <w:rFonts w:hint="eastAsia"/>
                <w:kern w:val="2"/>
                <w:szCs w:val="21"/>
                <w:u w:val="single"/>
              </w:rPr>
              <w:t>、西南侧</w:t>
            </w:r>
            <w:r>
              <w:rPr>
                <w:kern w:val="2"/>
                <w:szCs w:val="21"/>
                <w:u w:val="single"/>
              </w:rPr>
              <w:t>40m</w:t>
            </w:r>
            <w:r>
              <w:rPr>
                <w:rFonts w:hint="eastAsia"/>
                <w:szCs w:val="21"/>
                <w:u w:val="single"/>
              </w:rPr>
              <w:t>分布有铜盆村居民点（</w:t>
            </w:r>
            <w:r>
              <w:rPr>
                <w:rFonts w:hint="eastAsia" w:hAnsi="宋体"/>
                <w:kern w:val="2"/>
                <w:szCs w:val="21"/>
                <w:u w:val="single"/>
              </w:rPr>
              <w:t>亦为本项目沿线环境敏感目标</w:t>
            </w:r>
            <w:r>
              <w:rPr>
                <w:rFonts w:hint="eastAsia"/>
                <w:szCs w:val="21"/>
                <w:u w:val="single"/>
              </w:rPr>
              <w:t>）</w:t>
            </w:r>
            <w:r>
              <w:rPr>
                <w:rFonts w:hint="eastAsia"/>
                <w:szCs w:val="21"/>
                <w:u w:val="single"/>
                <w:lang w:val="en-US" w:eastAsia="zh-CN"/>
              </w:rPr>
              <w:t>且有小山体作为隔阻</w:t>
            </w:r>
            <w:r>
              <w:rPr>
                <w:rFonts w:hint="eastAsia"/>
                <w:szCs w:val="21"/>
                <w:u w:val="single"/>
              </w:rPr>
              <w:t>；弃渣场下游无水环境敏感区。</w:t>
            </w:r>
          </w:p>
        </w:tc>
        <w:tc>
          <w:tcPr>
            <w:tcW w:w="636" w:type="dxa"/>
            <w:vAlign w:val="center"/>
          </w:tcPr>
          <w:p>
            <w:pPr>
              <w:pStyle w:val="112"/>
              <w:rPr>
                <w:szCs w:val="21"/>
                <w:u w:val="single"/>
              </w:rPr>
            </w:pPr>
            <w:r>
              <w:rPr>
                <w:rFonts w:hint="eastAsia"/>
                <w:szCs w:val="21"/>
                <w:u w:val="single"/>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50" w:type="dxa"/>
            <w:vAlign w:val="center"/>
          </w:tcPr>
          <w:p>
            <w:pPr>
              <w:jc w:val="center"/>
              <w:rPr>
                <w:sz w:val="21"/>
                <w:szCs w:val="21"/>
                <w:u w:val="single"/>
              </w:rPr>
            </w:pPr>
            <w:r>
              <w:rPr>
                <w:sz w:val="21"/>
                <w:szCs w:val="21"/>
                <w:u w:val="single"/>
              </w:rPr>
              <w:t>Z2</w:t>
            </w:r>
          </w:p>
        </w:tc>
        <w:tc>
          <w:tcPr>
            <w:tcW w:w="1012" w:type="dxa"/>
            <w:vAlign w:val="center"/>
          </w:tcPr>
          <w:p>
            <w:pPr>
              <w:adjustRightInd w:val="0"/>
              <w:snapToGrid w:val="0"/>
              <w:jc w:val="center"/>
              <w:rPr>
                <w:sz w:val="21"/>
                <w:szCs w:val="21"/>
                <w:u w:val="single"/>
              </w:rPr>
            </w:pPr>
            <w:r>
              <w:rPr>
                <w:rFonts w:hAnsi="宋体"/>
                <w:szCs w:val="21"/>
                <w:u w:val="single"/>
              </w:rPr>
              <w:t>K4+200</w:t>
            </w:r>
            <w:r>
              <w:rPr>
                <w:rFonts w:hint="eastAsia" w:hAnsi="宋体"/>
                <w:sz w:val="21"/>
                <w:szCs w:val="21"/>
                <w:u w:val="single"/>
              </w:rPr>
              <w:t>东侧</w:t>
            </w:r>
            <w:r>
              <w:rPr>
                <w:rFonts w:hAnsi="宋体"/>
                <w:szCs w:val="21"/>
                <w:u w:val="single"/>
              </w:rPr>
              <w:t>20m</w:t>
            </w:r>
          </w:p>
        </w:tc>
        <w:tc>
          <w:tcPr>
            <w:tcW w:w="773" w:type="dxa"/>
            <w:vAlign w:val="center"/>
          </w:tcPr>
          <w:p>
            <w:pPr>
              <w:jc w:val="center"/>
              <w:rPr>
                <w:sz w:val="21"/>
                <w:szCs w:val="21"/>
                <w:u w:val="single"/>
              </w:rPr>
            </w:pPr>
            <w:r>
              <w:rPr>
                <w:rFonts w:hint="eastAsia"/>
                <w:sz w:val="21"/>
                <w:szCs w:val="21"/>
                <w:u w:val="single"/>
              </w:rPr>
              <w:t>凹地</w:t>
            </w:r>
          </w:p>
        </w:tc>
        <w:tc>
          <w:tcPr>
            <w:tcW w:w="708" w:type="dxa"/>
            <w:vAlign w:val="center"/>
          </w:tcPr>
          <w:p>
            <w:pPr>
              <w:adjustRightInd w:val="0"/>
              <w:snapToGrid w:val="0"/>
              <w:jc w:val="center"/>
              <w:rPr>
                <w:szCs w:val="21"/>
                <w:u w:val="single"/>
              </w:rPr>
            </w:pPr>
            <w:r>
              <w:rPr>
                <w:snapToGrid w:val="0"/>
                <w:sz w:val="18"/>
                <w:szCs w:val="18"/>
                <w:u w:val="single"/>
              </w:rPr>
              <w:t>1.45</w:t>
            </w:r>
          </w:p>
        </w:tc>
        <w:tc>
          <w:tcPr>
            <w:tcW w:w="709" w:type="dxa"/>
            <w:vAlign w:val="center"/>
          </w:tcPr>
          <w:p>
            <w:pPr>
              <w:adjustRightInd w:val="0"/>
              <w:snapToGrid w:val="0"/>
              <w:jc w:val="center"/>
              <w:rPr>
                <w:szCs w:val="21"/>
                <w:u w:val="single"/>
              </w:rPr>
            </w:pPr>
            <w:r>
              <w:rPr>
                <w:snapToGrid w:val="0"/>
                <w:sz w:val="18"/>
                <w:szCs w:val="18"/>
                <w:u w:val="single"/>
              </w:rPr>
              <w:t>1.12</w:t>
            </w:r>
          </w:p>
        </w:tc>
        <w:tc>
          <w:tcPr>
            <w:tcW w:w="1701" w:type="dxa"/>
            <w:vAlign w:val="center"/>
          </w:tcPr>
          <w:p>
            <w:pPr>
              <w:adjustRightInd w:val="0"/>
              <w:snapToGrid w:val="0"/>
              <w:jc w:val="center"/>
              <w:rPr>
                <w:szCs w:val="21"/>
                <w:u w:val="single"/>
              </w:rPr>
            </w:pPr>
            <w:r>
              <w:rPr>
                <w:kern w:val="0"/>
                <w:sz w:val="18"/>
                <w:szCs w:val="18"/>
                <w:u w:val="single"/>
              </w:rPr>
              <w:t>K2+700~K6+100</w:t>
            </w:r>
          </w:p>
        </w:tc>
        <w:tc>
          <w:tcPr>
            <w:tcW w:w="3185" w:type="dxa"/>
            <w:vAlign w:val="center"/>
          </w:tcPr>
          <w:p>
            <w:pPr>
              <w:pStyle w:val="112"/>
              <w:rPr>
                <w:szCs w:val="21"/>
                <w:u w:val="single"/>
              </w:rPr>
            </w:pPr>
            <w:r>
              <w:rPr>
                <w:rFonts w:hint="eastAsia"/>
                <w:szCs w:val="21"/>
                <w:u w:val="single"/>
              </w:rPr>
              <w:t>用地类型为旱地和林地，渣场容量较大较大，距离公路较近，运输方便。弃渣场北侧</w:t>
            </w:r>
            <w:r>
              <w:rPr>
                <w:szCs w:val="21"/>
                <w:u w:val="single"/>
              </w:rPr>
              <w:t>60m</w:t>
            </w:r>
            <w:r>
              <w:rPr>
                <w:rFonts w:hint="eastAsia"/>
                <w:szCs w:val="21"/>
                <w:u w:val="single"/>
              </w:rPr>
              <w:t>、东侧</w:t>
            </w:r>
            <w:r>
              <w:rPr>
                <w:szCs w:val="21"/>
                <w:u w:val="single"/>
              </w:rPr>
              <w:t>108m</w:t>
            </w:r>
            <w:r>
              <w:rPr>
                <w:rFonts w:hint="eastAsia"/>
                <w:szCs w:val="21"/>
                <w:u w:val="single"/>
              </w:rPr>
              <w:t>分布有桃花村居民点（</w:t>
            </w:r>
            <w:r>
              <w:rPr>
                <w:rFonts w:hint="eastAsia" w:hAnsi="宋体"/>
                <w:kern w:val="2"/>
                <w:szCs w:val="21"/>
                <w:u w:val="single"/>
              </w:rPr>
              <w:t>亦为本项目沿线环境敏感目标</w:t>
            </w:r>
            <w:r>
              <w:rPr>
                <w:rFonts w:hint="eastAsia"/>
                <w:szCs w:val="21"/>
                <w:u w:val="single"/>
              </w:rPr>
              <w:t>）</w:t>
            </w:r>
            <w:r>
              <w:rPr>
                <w:rFonts w:hint="eastAsia"/>
                <w:szCs w:val="21"/>
                <w:u w:val="single"/>
                <w:lang w:val="en-US" w:eastAsia="zh-CN"/>
              </w:rPr>
              <w:t>且有小山体作为隔阻</w:t>
            </w:r>
            <w:r>
              <w:rPr>
                <w:rFonts w:hint="eastAsia"/>
                <w:szCs w:val="21"/>
                <w:u w:val="single"/>
              </w:rPr>
              <w:t>；弃渣场下游无水环境敏感区。</w:t>
            </w:r>
          </w:p>
        </w:tc>
        <w:tc>
          <w:tcPr>
            <w:tcW w:w="636" w:type="dxa"/>
            <w:vAlign w:val="center"/>
          </w:tcPr>
          <w:p>
            <w:pPr>
              <w:pStyle w:val="112"/>
              <w:rPr>
                <w:szCs w:val="21"/>
                <w:u w:val="single"/>
              </w:rPr>
            </w:pPr>
            <w:r>
              <w:rPr>
                <w:rFonts w:hint="eastAsia"/>
                <w:szCs w:val="21"/>
                <w:u w:val="single"/>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50" w:type="dxa"/>
            <w:vAlign w:val="center"/>
          </w:tcPr>
          <w:p>
            <w:pPr>
              <w:jc w:val="center"/>
              <w:rPr>
                <w:sz w:val="21"/>
                <w:szCs w:val="21"/>
                <w:u w:val="single"/>
              </w:rPr>
            </w:pPr>
            <w:r>
              <w:rPr>
                <w:sz w:val="21"/>
                <w:szCs w:val="21"/>
                <w:u w:val="single"/>
              </w:rPr>
              <w:t>Z3</w:t>
            </w:r>
          </w:p>
        </w:tc>
        <w:tc>
          <w:tcPr>
            <w:tcW w:w="1012" w:type="dxa"/>
            <w:vAlign w:val="center"/>
          </w:tcPr>
          <w:p>
            <w:pPr>
              <w:adjustRightInd w:val="0"/>
              <w:snapToGrid w:val="0"/>
              <w:jc w:val="center"/>
              <w:rPr>
                <w:snapToGrid w:val="0"/>
                <w:sz w:val="21"/>
                <w:szCs w:val="21"/>
                <w:u w:val="single"/>
              </w:rPr>
            </w:pPr>
            <w:r>
              <w:rPr>
                <w:rFonts w:hAnsi="宋体"/>
                <w:szCs w:val="21"/>
                <w:u w:val="single"/>
              </w:rPr>
              <w:t>K7+700</w:t>
            </w:r>
            <w:r>
              <w:rPr>
                <w:rFonts w:hint="eastAsia" w:hAnsi="宋体"/>
                <w:sz w:val="21"/>
                <w:szCs w:val="21"/>
                <w:u w:val="single"/>
              </w:rPr>
              <w:t>西侧</w:t>
            </w:r>
            <w:r>
              <w:rPr>
                <w:rFonts w:hAnsi="宋体"/>
                <w:sz w:val="21"/>
                <w:szCs w:val="21"/>
                <w:u w:val="single"/>
              </w:rPr>
              <w:t>200</w:t>
            </w:r>
            <w:r>
              <w:rPr>
                <w:rFonts w:hAnsi="宋体"/>
                <w:szCs w:val="21"/>
                <w:u w:val="single"/>
              </w:rPr>
              <w:t>m</w:t>
            </w:r>
          </w:p>
        </w:tc>
        <w:tc>
          <w:tcPr>
            <w:tcW w:w="773" w:type="dxa"/>
            <w:vAlign w:val="center"/>
          </w:tcPr>
          <w:p>
            <w:pPr>
              <w:jc w:val="center"/>
              <w:rPr>
                <w:sz w:val="21"/>
                <w:szCs w:val="21"/>
                <w:u w:val="single"/>
              </w:rPr>
            </w:pPr>
            <w:r>
              <w:rPr>
                <w:rFonts w:hint="eastAsia"/>
                <w:sz w:val="21"/>
                <w:szCs w:val="21"/>
                <w:u w:val="single"/>
              </w:rPr>
              <w:t>凹地</w:t>
            </w:r>
          </w:p>
        </w:tc>
        <w:tc>
          <w:tcPr>
            <w:tcW w:w="708" w:type="dxa"/>
            <w:vAlign w:val="center"/>
          </w:tcPr>
          <w:p>
            <w:pPr>
              <w:adjustRightInd w:val="0"/>
              <w:snapToGrid w:val="0"/>
              <w:jc w:val="center"/>
              <w:rPr>
                <w:szCs w:val="21"/>
                <w:u w:val="single"/>
              </w:rPr>
            </w:pPr>
            <w:r>
              <w:rPr>
                <w:snapToGrid w:val="0"/>
                <w:sz w:val="18"/>
                <w:szCs w:val="18"/>
                <w:u w:val="single"/>
              </w:rPr>
              <w:t>1.12</w:t>
            </w:r>
          </w:p>
        </w:tc>
        <w:tc>
          <w:tcPr>
            <w:tcW w:w="709" w:type="dxa"/>
            <w:vAlign w:val="center"/>
          </w:tcPr>
          <w:p>
            <w:pPr>
              <w:adjustRightInd w:val="0"/>
              <w:snapToGrid w:val="0"/>
              <w:jc w:val="center"/>
              <w:rPr>
                <w:szCs w:val="21"/>
                <w:u w:val="single"/>
              </w:rPr>
            </w:pPr>
            <w:r>
              <w:rPr>
                <w:snapToGrid w:val="0"/>
                <w:sz w:val="18"/>
                <w:szCs w:val="18"/>
                <w:u w:val="single"/>
              </w:rPr>
              <w:t>0.86</w:t>
            </w:r>
          </w:p>
        </w:tc>
        <w:tc>
          <w:tcPr>
            <w:tcW w:w="1701" w:type="dxa"/>
            <w:vAlign w:val="center"/>
          </w:tcPr>
          <w:p>
            <w:pPr>
              <w:adjustRightInd w:val="0"/>
              <w:snapToGrid w:val="0"/>
              <w:jc w:val="center"/>
              <w:rPr>
                <w:szCs w:val="21"/>
                <w:u w:val="single"/>
              </w:rPr>
            </w:pPr>
            <w:r>
              <w:rPr>
                <w:kern w:val="0"/>
                <w:sz w:val="18"/>
                <w:szCs w:val="18"/>
                <w:u w:val="single"/>
              </w:rPr>
              <w:t>K6+100~K8+369</w:t>
            </w:r>
          </w:p>
        </w:tc>
        <w:tc>
          <w:tcPr>
            <w:tcW w:w="3185" w:type="dxa"/>
            <w:vAlign w:val="center"/>
          </w:tcPr>
          <w:p>
            <w:pPr>
              <w:pStyle w:val="112"/>
              <w:rPr>
                <w:szCs w:val="21"/>
                <w:u w:val="single"/>
              </w:rPr>
            </w:pPr>
            <w:r>
              <w:rPr>
                <w:rFonts w:hint="eastAsia"/>
                <w:szCs w:val="21"/>
                <w:u w:val="single"/>
              </w:rPr>
              <w:t>用地类型为旱地和林地，渣场容量较大较大，距离公路较近，运输方便。弃渣场南侧</w:t>
            </w:r>
            <w:r>
              <w:rPr>
                <w:szCs w:val="21"/>
                <w:u w:val="single"/>
              </w:rPr>
              <w:t>75m</w:t>
            </w:r>
            <w:r>
              <w:rPr>
                <w:rFonts w:hint="eastAsia"/>
                <w:szCs w:val="21"/>
                <w:u w:val="single"/>
              </w:rPr>
              <w:t>范围内分布着大里塘村散户；弃渣场下游无水环境敏感区。</w:t>
            </w:r>
          </w:p>
        </w:tc>
        <w:tc>
          <w:tcPr>
            <w:tcW w:w="636" w:type="dxa"/>
            <w:vAlign w:val="center"/>
          </w:tcPr>
          <w:p>
            <w:pPr>
              <w:pStyle w:val="112"/>
              <w:rPr>
                <w:szCs w:val="21"/>
                <w:u w:val="single"/>
              </w:rPr>
            </w:pPr>
            <w:r>
              <w:rPr>
                <w:rFonts w:hint="eastAsia"/>
                <w:szCs w:val="21"/>
                <w:u w:val="single"/>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235" w:type="dxa"/>
            <w:gridSpan w:val="3"/>
            <w:vAlign w:val="center"/>
          </w:tcPr>
          <w:p>
            <w:pPr>
              <w:jc w:val="center"/>
              <w:rPr>
                <w:sz w:val="21"/>
                <w:szCs w:val="21"/>
                <w:u w:val="single"/>
              </w:rPr>
            </w:pPr>
            <w:r>
              <w:rPr>
                <w:rFonts w:hint="eastAsia"/>
                <w:sz w:val="21"/>
                <w:szCs w:val="21"/>
                <w:u w:val="single"/>
              </w:rPr>
              <w:t>合计</w:t>
            </w:r>
          </w:p>
        </w:tc>
        <w:tc>
          <w:tcPr>
            <w:tcW w:w="708" w:type="dxa"/>
            <w:vAlign w:val="center"/>
          </w:tcPr>
          <w:p>
            <w:pPr>
              <w:jc w:val="center"/>
              <w:rPr>
                <w:sz w:val="21"/>
                <w:szCs w:val="21"/>
                <w:u w:val="single"/>
              </w:rPr>
            </w:pPr>
            <w:r>
              <w:rPr>
                <w:snapToGrid w:val="0"/>
                <w:sz w:val="18"/>
                <w:szCs w:val="18"/>
                <w:u w:val="single"/>
              </w:rPr>
              <w:t>3.85</w:t>
            </w:r>
          </w:p>
        </w:tc>
        <w:tc>
          <w:tcPr>
            <w:tcW w:w="709" w:type="dxa"/>
            <w:vAlign w:val="center"/>
          </w:tcPr>
          <w:p>
            <w:pPr>
              <w:adjustRightInd w:val="0"/>
              <w:snapToGrid w:val="0"/>
              <w:jc w:val="center"/>
              <w:rPr>
                <w:kern w:val="0"/>
                <w:sz w:val="21"/>
                <w:szCs w:val="21"/>
                <w:u w:val="single"/>
              </w:rPr>
            </w:pPr>
            <w:r>
              <w:rPr>
                <w:snapToGrid w:val="0"/>
                <w:sz w:val="18"/>
                <w:szCs w:val="18"/>
                <w:u w:val="single"/>
              </w:rPr>
              <w:t>2.96</w:t>
            </w:r>
          </w:p>
        </w:tc>
        <w:tc>
          <w:tcPr>
            <w:tcW w:w="1701" w:type="dxa"/>
            <w:vAlign w:val="center"/>
          </w:tcPr>
          <w:p>
            <w:pPr>
              <w:jc w:val="center"/>
              <w:rPr>
                <w:sz w:val="21"/>
                <w:szCs w:val="21"/>
                <w:u w:val="single"/>
              </w:rPr>
            </w:pPr>
          </w:p>
        </w:tc>
        <w:tc>
          <w:tcPr>
            <w:tcW w:w="3185" w:type="dxa"/>
            <w:vAlign w:val="center"/>
          </w:tcPr>
          <w:p>
            <w:pPr>
              <w:pStyle w:val="112"/>
              <w:rPr>
                <w:color w:val="FF0000"/>
                <w:szCs w:val="21"/>
                <w:u w:val="single"/>
              </w:rPr>
            </w:pPr>
          </w:p>
        </w:tc>
        <w:tc>
          <w:tcPr>
            <w:tcW w:w="636" w:type="dxa"/>
            <w:vAlign w:val="center"/>
          </w:tcPr>
          <w:p>
            <w:pPr>
              <w:pStyle w:val="112"/>
              <w:rPr>
                <w:color w:val="FF0000"/>
                <w:szCs w:val="21"/>
                <w:u w:val="single"/>
              </w:rPr>
            </w:pPr>
          </w:p>
        </w:tc>
      </w:tr>
    </w:tbl>
    <w:p>
      <w:pPr>
        <w:pStyle w:val="3"/>
        <w:ind w:firstLine="31680"/>
        <w:rPr>
          <w:u w:val="single"/>
        </w:rPr>
      </w:pPr>
      <w:r>
        <w:rPr>
          <w:rFonts w:hint="eastAsia"/>
          <w:u w:val="single"/>
        </w:rPr>
        <w:t>根据上表的弃渣场选址环境合理性分析可知，</w:t>
      </w:r>
      <w:r>
        <w:rPr>
          <w:u w:val="single"/>
        </w:rPr>
        <w:t>Z1</w:t>
      </w:r>
      <w:r>
        <w:rPr>
          <w:rFonts w:hint="eastAsia"/>
          <w:u w:val="single"/>
        </w:rPr>
        <w:t>、</w:t>
      </w:r>
      <w:r>
        <w:rPr>
          <w:u w:val="single"/>
        </w:rPr>
        <w:t>Z2</w:t>
      </w:r>
      <w:r>
        <w:rPr>
          <w:rFonts w:hint="eastAsia"/>
          <w:u w:val="single"/>
        </w:rPr>
        <w:t>、</w:t>
      </w:r>
      <w:r>
        <w:rPr>
          <w:u w:val="single"/>
        </w:rPr>
        <w:t>Z3</w:t>
      </w:r>
      <w:r>
        <w:rPr>
          <w:rFonts w:hint="eastAsia"/>
          <w:u w:val="single"/>
        </w:rPr>
        <w:t>弃渣场现状用地均为荒地，弃渣场容量均能满足相应服务路段的弃渣量。虽然弃渣场附近分布有居民点，但是这些居民点均沿本项目路侧分布，同时也是本项目沿线环境敏感目标，从影响范围来看，弃渣场附近的敏感目标并非新增；从时序来看，道路施工将先于弃渣作业开始，并晚于弃渣作业结束。且弃渣场不属于河道、泥石流沟、冲沟上游，下游无水环境敏感区，因此从环境保护的角度项目拟选的</w:t>
      </w:r>
      <w:r>
        <w:rPr>
          <w:u w:val="single"/>
        </w:rPr>
        <w:t>3</w:t>
      </w:r>
      <w:r>
        <w:rPr>
          <w:rFonts w:hint="eastAsia"/>
          <w:u w:val="single"/>
        </w:rPr>
        <w:t>处弃渣场选址基本合理。</w:t>
      </w:r>
    </w:p>
    <w:p>
      <w:pPr>
        <w:pStyle w:val="3"/>
        <w:ind w:firstLine="31680"/>
        <w:rPr>
          <w:u w:val="single"/>
        </w:rPr>
      </w:pPr>
      <w:r>
        <w:rPr>
          <w:rFonts w:hint="eastAsia"/>
          <w:u w:val="single"/>
        </w:rPr>
        <w:t>整体上看，本项目弃渣场选址从环境保持的角度分析是可行的，在下一阶段需通过采取合理水土保持措施和土石方进一步平衡调配措施，减少弃渣场对土地的占用。弃渣场一旦选定，应加强施工控制，严格按设计进行绿化防护，对工程占地内的成林应尽量加以保护，使工程对植被的不利影响降至最低。施工结束后应考虑原有土地类型，因地制宜，复垦成耕地或林地，减轻水土流失的影响。</w:t>
      </w:r>
    </w:p>
    <w:p>
      <w:pPr>
        <w:pStyle w:val="4"/>
        <w:ind w:left="567" w:hanging="567"/>
      </w:pPr>
      <w:bookmarkStart w:id="264" w:name="_Toc21327"/>
      <w:r>
        <w:rPr>
          <w:rFonts w:hint="eastAsia"/>
        </w:rPr>
        <w:t>环境制约因素分析</w:t>
      </w:r>
      <w:bookmarkEnd w:id="264"/>
    </w:p>
    <w:p>
      <w:pPr>
        <w:spacing w:line="360" w:lineRule="auto"/>
        <w:ind w:firstLine="31680" w:firstLineChars="200"/>
        <w:rPr>
          <w:rFonts w:hAnsi="宋体"/>
          <w:sz w:val="24"/>
        </w:rPr>
      </w:pPr>
      <w:r>
        <w:rPr>
          <w:rFonts w:hint="eastAsia" w:hAnsi="宋体"/>
          <w:sz w:val="24"/>
        </w:rPr>
        <w:t>本工程无明显的环境制约因素。</w:t>
      </w:r>
    </w:p>
    <w:p>
      <w:pPr>
        <w:spacing w:line="360" w:lineRule="auto"/>
        <w:ind w:firstLine="31680" w:firstLineChars="200"/>
        <w:rPr>
          <w:rFonts w:hAnsi="宋体"/>
          <w:color w:val="FF0000"/>
          <w:sz w:val="24"/>
        </w:rPr>
      </w:pPr>
    </w:p>
    <w:p>
      <w:pPr>
        <w:pStyle w:val="3"/>
        <w:ind w:firstLine="31680"/>
        <w:rPr>
          <w:color w:val="FF0000"/>
          <w:highlight w:val="yellow"/>
        </w:rPr>
        <w:sectPr>
          <w:pgSz w:w="11907" w:h="16840"/>
          <w:pgMar w:top="1474" w:right="1361" w:bottom="1474" w:left="1588" w:header="1020" w:footer="851" w:gutter="0"/>
          <w:pgBorders>
            <w:top w:val="none" w:sz="0" w:space="0"/>
            <w:left w:val="none" w:sz="0" w:space="0"/>
            <w:bottom w:val="none" w:sz="0" w:space="0"/>
            <w:right w:val="none" w:sz="0" w:space="0"/>
          </w:pgBorders>
          <w:cols w:space="425" w:num="1"/>
          <w:docGrid w:linePitch="286" w:charSpace="0"/>
        </w:sectPr>
      </w:pPr>
    </w:p>
    <w:bookmarkEnd w:id="208"/>
    <w:bookmarkEnd w:id="209"/>
    <w:p>
      <w:pPr>
        <w:pStyle w:val="2"/>
        <w:rPr>
          <w:u w:val="single"/>
        </w:rPr>
      </w:pPr>
      <w:bookmarkStart w:id="265" w:name="_Toc21119"/>
      <w:bookmarkStart w:id="266" w:name="_Toc429908487"/>
      <w:r>
        <w:rPr>
          <w:rFonts w:hint="eastAsia"/>
          <w:u w:val="single"/>
        </w:rPr>
        <w:t>水土保持方案</w:t>
      </w:r>
      <w:bookmarkEnd w:id="265"/>
    </w:p>
    <w:p>
      <w:pPr>
        <w:autoSpaceDE w:val="0"/>
        <w:autoSpaceDN w:val="0"/>
        <w:spacing w:line="360" w:lineRule="auto"/>
        <w:ind w:firstLine="31680" w:firstLineChars="200"/>
        <w:jc w:val="left"/>
        <w:rPr>
          <w:u w:val="single"/>
        </w:rPr>
      </w:pPr>
      <w:r>
        <w:rPr>
          <w:rFonts w:hint="eastAsia"/>
          <w:kern w:val="0"/>
          <w:sz w:val="24"/>
          <w:szCs w:val="24"/>
          <w:u w:val="single"/>
        </w:rPr>
        <w:t>建设单位已专门委托湖南省三九环境工程咨询有限公司编制了《弼时镇铜盆至青山铺公路工程水土保持</w:t>
      </w:r>
      <w:r>
        <w:rPr>
          <w:rFonts w:hint="eastAsia" w:hAnsi="宋体"/>
          <w:kern w:val="0"/>
          <w:sz w:val="24"/>
          <w:u w:val="single"/>
        </w:rPr>
        <w:t>方案报告书》。本章内容引自该水保报告书的主要内容及结论。</w:t>
      </w:r>
    </w:p>
    <w:p>
      <w:pPr>
        <w:pStyle w:val="4"/>
        <w:ind w:left="576"/>
        <w:rPr>
          <w:u w:val="single"/>
        </w:rPr>
      </w:pPr>
      <w:bookmarkStart w:id="267" w:name="_Toc23813"/>
      <w:r>
        <w:rPr>
          <w:rFonts w:hint="eastAsia"/>
          <w:u w:val="single"/>
        </w:rPr>
        <w:t>工程区水土流失现状</w:t>
      </w:r>
      <w:bookmarkEnd w:id="267"/>
    </w:p>
    <w:p>
      <w:pPr>
        <w:autoSpaceDE w:val="0"/>
        <w:autoSpaceDN w:val="0"/>
        <w:spacing w:line="360" w:lineRule="auto"/>
        <w:ind w:firstLine="31680" w:firstLineChars="200"/>
        <w:jc w:val="left"/>
        <w:rPr>
          <w:rFonts w:hAnsi="宋体"/>
          <w:kern w:val="0"/>
          <w:sz w:val="24"/>
          <w:u w:val="single"/>
        </w:rPr>
      </w:pPr>
      <w:r>
        <w:rPr>
          <w:rFonts w:hint="eastAsia" w:hAnsi="宋体"/>
          <w:kern w:val="0"/>
          <w:sz w:val="24"/>
          <w:u w:val="single"/>
        </w:rPr>
        <w:t>根据《土壤侵蚀分类分级标准》（</w:t>
      </w:r>
      <w:r>
        <w:rPr>
          <w:rFonts w:hAnsi="宋体"/>
          <w:kern w:val="0"/>
          <w:sz w:val="24"/>
          <w:u w:val="single"/>
        </w:rPr>
        <w:t>SL190-2007</w:t>
      </w:r>
      <w:r>
        <w:rPr>
          <w:rFonts w:hint="eastAsia" w:hAnsi="宋体"/>
          <w:kern w:val="0"/>
          <w:sz w:val="24"/>
          <w:u w:val="single"/>
        </w:rPr>
        <w:t>）中土壤侵蚀强度分类分级标准，在全国土壤侵蚀类型区划上，本项目所在的汨罗市属于以水力侵蚀为主的类型区中的湘中红壤丘陵区，其土壤容许流失量为</w:t>
      </w:r>
      <w:r>
        <w:rPr>
          <w:rFonts w:hAnsi="宋体"/>
          <w:kern w:val="0"/>
          <w:sz w:val="24"/>
          <w:u w:val="single"/>
        </w:rPr>
        <w:t>500t/km</w:t>
      </w:r>
      <w:r>
        <w:rPr>
          <w:rFonts w:hAnsi="宋体"/>
          <w:kern w:val="0"/>
          <w:sz w:val="24"/>
          <w:u w:val="single"/>
          <w:vertAlign w:val="superscript"/>
        </w:rPr>
        <w:t>2</w:t>
      </w:r>
      <w:r>
        <w:rPr>
          <w:rFonts w:hAnsi="宋体"/>
          <w:kern w:val="0"/>
          <w:sz w:val="24"/>
          <w:u w:val="single"/>
        </w:rPr>
        <w:t>.a</w:t>
      </w:r>
      <w:r>
        <w:rPr>
          <w:rFonts w:hint="eastAsia" w:hAnsi="宋体"/>
          <w:kern w:val="0"/>
          <w:sz w:val="24"/>
          <w:u w:val="single"/>
        </w:rPr>
        <w:t>。项目区水土流失侵蚀形态以轻度水力侵蚀为主，水蚀又以面蚀为主，沟蚀次之。</w:t>
      </w:r>
    </w:p>
    <w:p>
      <w:pPr>
        <w:pStyle w:val="4"/>
        <w:ind w:left="0" w:firstLine="0"/>
        <w:rPr>
          <w:u w:val="single"/>
        </w:rPr>
      </w:pPr>
      <w:bookmarkStart w:id="268" w:name="_Toc9313"/>
      <w:r>
        <w:rPr>
          <w:rFonts w:hint="eastAsia"/>
          <w:u w:val="single"/>
        </w:rPr>
        <w:t>水土流失防治等级及目标</w:t>
      </w:r>
      <w:bookmarkEnd w:id="268"/>
    </w:p>
    <w:p>
      <w:pPr>
        <w:autoSpaceDE w:val="0"/>
        <w:autoSpaceDN w:val="0"/>
        <w:spacing w:line="360" w:lineRule="auto"/>
        <w:ind w:firstLine="31680" w:firstLineChars="200"/>
        <w:jc w:val="left"/>
        <w:rPr>
          <w:rFonts w:hAnsi="宋体"/>
          <w:kern w:val="0"/>
          <w:sz w:val="24"/>
          <w:u w:val="single"/>
        </w:rPr>
      </w:pPr>
      <w:r>
        <w:rPr>
          <w:rFonts w:hint="eastAsia" w:hAnsi="宋体"/>
          <w:kern w:val="0"/>
          <w:sz w:val="24"/>
          <w:u w:val="single"/>
        </w:rPr>
        <w:t>根据《湖南省人民政府关于划分水土流失重点防治区的公告》</w:t>
      </w:r>
      <w:r>
        <w:rPr>
          <w:rFonts w:hAnsi="宋体"/>
          <w:kern w:val="0"/>
          <w:sz w:val="24"/>
          <w:u w:val="single"/>
        </w:rPr>
        <w:t>(</w:t>
      </w:r>
      <w:r>
        <w:rPr>
          <w:rFonts w:hint="eastAsia" w:hAnsi="宋体"/>
          <w:kern w:val="0"/>
          <w:sz w:val="24"/>
          <w:u w:val="single"/>
        </w:rPr>
        <w:t>湘政函</w:t>
      </w:r>
      <w:r>
        <w:rPr>
          <w:rFonts w:hAnsi="宋体"/>
          <w:kern w:val="0"/>
          <w:sz w:val="24"/>
          <w:u w:val="single"/>
        </w:rPr>
        <w:t>[1999]115</w:t>
      </w:r>
      <w:r>
        <w:rPr>
          <w:rFonts w:hint="eastAsia" w:hAnsi="宋体"/>
          <w:kern w:val="0"/>
          <w:sz w:val="24"/>
          <w:u w:val="single"/>
        </w:rPr>
        <w:t>号</w:t>
      </w:r>
      <w:r>
        <w:rPr>
          <w:rFonts w:hAnsi="宋体"/>
          <w:kern w:val="0"/>
          <w:sz w:val="24"/>
          <w:u w:val="single"/>
        </w:rPr>
        <w:t>)</w:t>
      </w:r>
      <w:r>
        <w:rPr>
          <w:rFonts w:hint="eastAsia" w:hAnsi="宋体"/>
          <w:kern w:val="0"/>
          <w:sz w:val="24"/>
          <w:u w:val="single"/>
        </w:rPr>
        <w:t>及开发建设项目水土流失防治标准中的等级划分标准</w:t>
      </w:r>
      <w:r>
        <w:rPr>
          <w:rFonts w:hint="eastAsia" w:hAnsi="宋体"/>
          <w:kern w:val="0"/>
          <w:sz w:val="24"/>
          <w:u w:val="single"/>
          <w:lang w:eastAsia="zh-CN"/>
        </w:rPr>
        <w:t>，</w:t>
      </w:r>
      <w:r>
        <w:rPr>
          <w:rFonts w:hint="eastAsia" w:hAnsi="宋体"/>
          <w:kern w:val="0"/>
          <w:sz w:val="24"/>
          <w:u w:val="single"/>
        </w:rPr>
        <w:t>本项目属湘中红壤丘陵重点治理区</w:t>
      </w:r>
      <w:r>
        <w:rPr>
          <w:rFonts w:hint="eastAsia"/>
          <w:kern w:val="0"/>
          <w:sz w:val="24"/>
          <w:szCs w:val="24"/>
          <w:u w:val="single"/>
        </w:rPr>
        <w:t>。</w:t>
      </w:r>
      <w:r>
        <w:rPr>
          <w:rFonts w:hint="eastAsia" w:hAnsi="宋体"/>
          <w:kern w:val="0"/>
          <w:sz w:val="24"/>
          <w:u w:val="single"/>
        </w:rPr>
        <w:t>根据湖南省第三次土壤侵蚀遥感调查报告，项目所经地区所在汨罗市全面积</w:t>
      </w:r>
      <w:r>
        <w:rPr>
          <w:rFonts w:hAnsi="宋体"/>
          <w:kern w:val="0"/>
          <w:sz w:val="24"/>
          <w:u w:val="single"/>
        </w:rPr>
        <w:t>1670km</w:t>
      </w:r>
      <w:r>
        <w:rPr>
          <w:rFonts w:hAnsi="宋体"/>
          <w:kern w:val="0"/>
          <w:sz w:val="24"/>
          <w:u w:val="single"/>
          <w:vertAlign w:val="superscript"/>
        </w:rPr>
        <w:t>2</w:t>
      </w:r>
      <w:r>
        <w:rPr>
          <w:rFonts w:hint="eastAsia" w:hAnsi="宋体"/>
          <w:kern w:val="0"/>
          <w:sz w:val="24"/>
          <w:u w:val="single"/>
        </w:rPr>
        <w:t>，水土流失面积为</w:t>
      </w:r>
      <w:r>
        <w:rPr>
          <w:rFonts w:hAnsi="宋体"/>
          <w:kern w:val="0"/>
          <w:sz w:val="24"/>
          <w:u w:val="single"/>
        </w:rPr>
        <w:t>149km</w:t>
      </w:r>
      <w:r>
        <w:rPr>
          <w:rFonts w:hAnsi="宋体"/>
          <w:kern w:val="0"/>
          <w:sz w:val="24"/>
          <w:u w:val="single"/>
          <w:vertAlign w:val="superscript"/>
        </w:rPr>
        <w:t>2</w:t>
      </w:r>
      <w:r>
        <w:rPr>
          <w:rFonts w:hint="eastAsia" w:hAnsi="宋体"/>
          <w:kern w:val="0"/>
          <w:sz w:val="24"/>
          <w:u w:val="single"/>
        </w:rPr>
        <w:t>，占土地总面积的</w:t>
      </w:r>
      <w:r>
        <w:rPr>
          <w:rFonts w:hAnsi="宋体"/>
          <w:kern w:val="0"/>
          <w:sz w:val="24"/>
          <w:u w:val="single"/>
        </w:rPr>
        <w:t>8.9%</w:t>
      </w:r>
      <w:r>
        <w:rPr>
          <w:rFonts w:hint="eastAsia" w:hAnsi="宋体"/>
          <w:kern w:val="0"/>
          <w:sz w:val="24"/>
          <w:u w:val="single"/>
        </w:rPr>
        <w:t>，按水土流失强度分级为：轻度侵蚀面积</w:t>
      </w:r>
      <w:r>
        <w:rPr>
          <w:rFonts w:hAnsi="宋体"/>
          <w:kern w:val="0"/>
          <w:sz w:val="24"/>
          <w:u w:val="single"/>
        </w:rPr>
        <w:t>141km</w:t>
      </w:r>
      <w:r>
        <w:rPr>
          <w:rFonts w:hAnsi="宋体"/>
          <w:kern w:val="0"/>
          <w:sz w:val="24"/>
          <w:u w:val="single"/>
          <w:vertAlign w:val="superscript"/>
        </w:rPr>
        <w:t>2</w:t>
      </w:r>
      <w:r>
        <w:rPr>
          <w:rFonts w:hint="eastAsia" w:hAnsi="宋体"/>
          <w:kern w:val="0"/>
          <w:sz w:val="24"/>
          <w:u w:val="single"/>
        </w:rPr>
        <w:t>，占水土流失总面积的</w:t>
      </w:r>
      <w:r>
        <w:rPr>
          <w:rFonts w:hAnsi="宋体"/>
          <w:kern w:val="0"/>
          <w:sz w:val="24"/>
          <w:u w:val="single"/>
        </w:rPr>
        <w:t>94.63%</w:t>
      </w:r>
      <w:r>
        <w:rPr>
          <w:rFonts w:hint="eastAsia" w:hAnsi="宋体"/>
          <w:kern w:val="0"/>
          <w:sz w:val="24"/>
          <w:u w:val="single"/>
        </w:rPr>
        <w:t>；中度侵蚀面积</w:t>
      </w:r>
      <w:r>
        <w:rPr>
          <w:rFonts w:hAnsi="宋体"/>
          <w:kern w:val="0"/>
          <w:sz w:val="24"/>
          <w:u w:val="single"/>
        </w:rPr>
        <w:t>6km</w:t>
      </w:r>
      <w:r>
        <w:rPr>
          <w:rFonts w:hAnsi="宋体"/>
          <w:kern w:val="0"/>
          <w:sz w:val="24"/>
          <w:u w:val="single"/>
          <w:vertAlign w:val="superscript"/>
        </w:rPr>
        <w:t>2</w:t>
      </w:r>
      <w:r>
        <w:rPr>
          <w:rFonts w:hint="eastAsia" w:hAnsi="宋体"/>
          <w:kern w:val="0"/>
          <w:sz w:val="24"/>
          <w:u w:val="single"/>
        </w:rPr>
        <w:t>，占水土流失总面积的</w:t>
      </w:r>
      <w:r>
        <w:rPr>
          <w:rFonts w:hAnsi="宋体"/>
          <w:kern w:val="0"/>
          <w:sz w:val="24"/>
          <w:u w:val="single"/>
        </w:rPr>
        <w:t>4.03%</w:t>
      </w:r>
      <w:r>
        <w:rPr>
          <w:rFonts w:hint="eastAsia" w:hAnsi="宋体"/>
          <w:kern w:val="0"/>
          <w:sz w:val="24"/>
          <w:u w:val="single"/>
        </w:rPr>
        <w:t>；强烈侵蚀面积</w:t>
      </w:r>
      <w:r>
        <w:rPr>
          <w:rFonts w:hAnsi="宋体"/>
          <w:kern w:val="0"/>
          <w:sz w:val="24"/>
          <w:u w:val="single"/>
        </w:rPr>
        <w:t>1km</w:t>
      </w:r>
      <w:r>
        <w:rPr>
          <w:rFonts w:hAnsi="宋体"/>
          <w:kern w:val="0"/>
          <w:sz w:val="24"/>
          <w:u w:val="single"/>
          <w:vertAlign w:val="superscript"/>
        </w:rPr>
        <w:t>2</w:t>
      </w:r>
      <w:r>
        <w:rPr>
          <w:rFonts w:hint="eastAsia" w:hAnsi="宋体"/>
          <w:kern w:val="0"/>
          <w:sz w:val="24"/>
          <w:u w:val="single"/>
        </w:rPr>
        <w:t>，占水土流失总面积的</w:t>
      </w:r>
      <w:r>
        <w:rPr>
          <w:rFonts w:hAnsi="宋体"/>
          <w:kern w:val="0"/>
          <w:sz w:val="24"/>
          <w:u w:val="single"/>
        </w:rPr>
        <w:t>0.67%</w:t>
      </w:r>
      <w:r>
        <w:rPr>
          <w:rFonts w:hint="eastAsia" w:hAnsi="宋体"/>
          <w:kern w:val="0"/>
          <w:sz w:val="24"/>
          <w:u w:val="single"/>
        </w:rPr>
        <w:t>，极强烈侵蚀面积</w:t>
      </w:r>
      <w:r>
        <w:rPr>
          <w:rFonts w:hAnsi="宋体"/>
          <w:kern w:val="0"/>
          <w:sz w:val="24"/>
          <w:u w:val="single"/>
        </w:rPr>
        <w:t>1km</w:t>
      </w:r>
      <w:r>
        <w:rPr>
          <w:rFonts w:hAnsi="宋体"/>
          <w:kern w:val="0"/>
          <w:sz w:val="24"/>
          <w:u w:val="single"/>
          <w:vertAlign w:val="superscript"/>
        </w:rPr>
        <w:t>2</w:t>
      </w:r>
      <w:r>
        <w:rPr>
          <w:rFonts w:hint="eastAsia" w:hAnsi="宋体"/>
          <w:kern w:val="0"/>
          <w:sz w:val="24"/>
          <w:u w:val="single"/>
        </w:rPr>
        <w:t>，占水土流失总面积的</w:t>
      </w:r>
      <w:r>
        <w:rPr>
          <w:rFonts w:hAnsi="宋体"/>
          <w:kern w:val="0"/>
          <w:sz w:val="24"/>
          <w:u w:val="single"/>
        </w:rPr>
        <w:t>0.67%</w:t>
      </w:r>
      <w:r>
        <w:rPr>
          <w:rFonts w:hint="eastAsia" w:hAnsi="宋体"/>
          <w:kern w:val="0"/>
          <w:sz w:val="24"/>
          <w:u w:val="single"/>
        </w:rPr>
        <w:t>，剧烈侵蚀面积</w:t>
      </w:r>
      <w:r>
        <w:rPr>
          <w:rFonts w:hAnsi="宋体"/>
          <w:kern w:val="0"/>
          <w:sz w:val="24"/>
          <w:u w:val="single"/>
        </w:rPr>
        <w:t>1km</w:t>
      </w:r>
      <w:r>
        <w:rPr>
          <w:rFonts w:hAnsi="宋体"/>
          <w:kern w:val="0"/>
          <w:sz w:val="24"/>
          <w:u w:val="single"/>
          <w:vertAlign w:val="superscript"/>
        </w:rPr>
        <w:t>2</w:t>
      </w:r>
      <w:r>
        <w:rPr>
          <w:rFonts w:hint="eastAsia" w:hAnsi="宋体"/>
          <w:kern w:val="0"/>
          <w:sz w:val="24"/>
          <w:u w:val="single"/>
        </w:rPr>
        <w:t>，占水土流失总面积的</w:t>
      </w:r>
      <w:r>
        <w:rPr>
          <w:rFonts w:hAnsi="宋体"/>
          <w:kern w:val="0"/>
          <w:sz w:val="24"/>
          <w:u w:val="single"/>
        </w:rPr>
        <w:t>0.67%</w:t>
      </w:r>
      <w:r>
        <w:rPr>
          <w:rFonts w:hint="eastAsia" w:hAnsi="宋体"/>
          <w:kern w:val="0"/>
          <w:sz w:val="24"/>
          <w:u w:val="single"/>
        </w:rPr>
        <w:t>。水土流失分布特点是点多面广，蚀地类以耕地、林地为主，荒草地、农用地次之。</w:t>
      </w:r>
    </w:p>
    <w:p>
      <w:pPr>
        <w:pStyle w:val="4"/>
        <w:ind w:left="0" w:firstLine="0"/>
        <w:rPr>
          <w:u w:val="single"/>
        </w:rPr>
      </w:pPr>
      <w:bookmarkStart w:id="269" w:name="_Toc23538"/>
      <w:r>
        <w:rPr>
          <w:rFonts w:hint="eastAsia"/>
          <w:u w:val="single"/>
        </w:rPr>
        <w:t>主体工程水土保持分析评价结论</w:t>
      </w:r>
      <w:bookmarkEnd w:id="269"/>
    </w:p>
    <w:p>
      <w:pPr>
        <w:autoSpaceDE w:val="0"/>
        <w:autoSpaceDN w:val="0"/>
        <w:spacing w:line="360" w:lineRule="auto"/>
        <w:ind w:firstLine="31680" w:firstLineChars="200"/>
        <w:jc w:val="left"/>
        <w:rPr>
          <w:kern w:val="0"/>
          <w:sz w:val="24"/>
          <w:szCs w:val="24"/>
          <w:u w:val="single"/>
        </w:rPr>
      </w:pPr>
      <w:r>
        <w:rPr>
          <w:rFonts w:hint="eastAsia"/>
          <w:kern w:val="0"/>
          <w:sz w:val="24"/>
          <w:szCs w:val="24"/>
          <w:u w:val="single"/>
          <w:lang w:eastAsia="zh-CN"/>
        </w:rPr>
        <w:t>弼时镇铜盆至青山铺公路（飞地工业园区主干道桃花路）工程建设项目</w:t>
      </w:r>
      <w:r>
        <w:rPr>
          <w:rFonts w:hint="eastAsia"/>
          <w:kern w:val="0"/>
          <w:sz w:val="24"/>
          <w:szCs w:val="24"/>
          <w:u w:val="single"/>
        </w:rPr>
        <w:t>的开发建设符合国家、地方经济发展、功能定位要求，符合国家、地方水土保持、土地资源管理等法律法规的要求。</w:t>
      </w:r>
    </w:p>
    <w:p>
      <w:pPr>
        <w:pStyle w:val="168"/>
        <w:ind w:firstLine="31680"/>
        <w:rPr>
          <w:u w:val="single"/>
        </w:rPr>
      </w:pPr>
      <w:r>
        <w:rPr>
          <w:rFonts w:hint="eastAsia"/>
          <w:u w:val="single"/>
        </w:rPr>
        <w:t>水土保持角度分析，本工程在施工过程中将会造成新增水土流失，对项目区生态环境产生一定影响，但影响是局部的、暂时的，通过采取合理有效的水保措施后，可有效防治工程建设产生的水土流失，项目不存在水土保持方面的制约因素，工程建设是总体可行的。</w:t>
      </w:r>
    </w:p>
    <w:p>
      <w:pPr>
        <w:pStyle w:val="4"/>
        <w:ind w:left="0" w:firstLine="0"/>
        <w:rPr>
          <w:u w:val="single"/>
        </w:rPr>
      </w:pPr>
      <w:bookmarkStart w:id="270" w:name="_Toc1276"/>
      <w:r>
        <w:rPr>
          <w:rFonts w:hint="eastAsia"/>
          <w:u w:val="single"/>
        </w:rPr>
        <w:t>水土流失防治责任范围及防治分区</w:t>
      </w:r>
      <w:bookmarkEnd w:id="270"/>
    </w:p>
    <w:p>
      <w:pPr>
        <w:pStyle w:val="168"/>
        <w:ind w:firstLine="31680"/>
        <w:rPr>
          <w:u w:val="single"/>
        </w:rPr>
      </w:pPr>
      <w:r>
        <w:rPr>
          <w:rFonts w:hint="eastAsia"/>
          <w:u w:val="single"/>
        </w:rPr>
        <w:t>本项目水土流失防治责任范围面积</w:t>
      </w:r>
      <w:r>
        <w:rPr>
          <w:u w:val="single"/>
        </w:rPr>
        <w:t>48.81hm</w:t>
      </w:r>
      <w:r>
        <w:rPr>
          <w:u w:val="single"/>
          <w:vertAlign w:val="superscript"/>
        </w:rPr>
        <w:t>2</w:t>
      </w:r>
      <w:r>
        <w:rPr>
          <w:rFonts w:hint="eastAsia"/>
          <w:u w:val="single"/>
        </w:rPr>
        <w:t>，其中项目建设区总面积</w:t>
      </w:r>
      <w:r>
        <w:rPr>
          <w:u w:val="single"/>
        </w:rPr>
        <w:t>39.22hm</w:t>
      </w:r>
      <w:r>
        <w:rPr>
          <w:u w:val="single"/>
          <w:vertAlign w:val="superscript"/>
        </w:rPr>
        <w:t>2</w:t>
      </w:r>
      <w:r>
        <w:rPr>
          <w:rFonts w:hint="eastAsia"/>
          <w:u w:val="single"/>
        </w:rPr>
        <w:t>，直接影响区总面积</w:t>
      </w:r>
      <w:r>
        <w:rPr>
          <w:u w:val="single"/>
        </w:rPr>
        <w:t>9.59hm</w:t>
      </w:r>
      <w:r>
        <w:rPr>
          <w:u w:val="single"/>
          <w:vertAlign w:val="superscript"/>
        </w:rPr>
        <w:t>2</w:t>
      </w:r>
      <w:r>
        <w:rPr>
          <w:rFonts w:hint="eastAsia"/>
          <w:u w:val="single"/>
        </w:rPr>
        <w:t>。</w:t>
      </w:r>
    </w:p>
    <w:p>
      <w:pPr>
        <w:pStyle w:val="168"/>
        <w:ind w:firstLine="31680"/>
        <w:rPr>
          <w:u w:val="single"/>
        </w:rPr>
      </w:pPr>
      <w:r>
        <w:rPr>
          <w:rFonts w:hint="eastAsia"/>
          <w:u w:val="single"/>
        </w:rPr>
        <w:t>本项目水土流失防治共分</w:t>
      </w:r>
      <w:r>
        <w:rPr>
          <w:u w:val="single"/>
        </w:rPr>
        <w:t>5</w:t>
      </w:r>
      <w:r>
        <w:rPr>
          <w:rFonts w:hint="eastAsia"/>
          <w:u w:val="single"/>
        </w:rPr>
        <w:t>个一级区：路基工程区、桥梁工程区、弃渣场区、施工生产生活区、施工便道区，将施工生产生活区分为施工场地区和临时堆土区</w:t>
      </w:r>
      <w:r>
        <w:rPr>
          <w:u w:val="single"/>
        </w:rPr>
        <w:t>2</w:t>
      </w:r>
      <w:r>
        <w:rPr>
          <w:rFonts w:hint="eastAsia"/>
          <w:u w:val="single"/>
        </w:rPr>
        <w:t>个二级分区。</w:t>
      </w:r>
    </w:p>
    <w:p>
      <w:pPr>
        <w:pStyle w:val="4"/>
        <w:ind w:left="567" w:hanging="567"/>
        <w:rPr>
          <w:u w:val="single"/>
        </w:rPr>
      </w:pPr>
      <w:bookmarkStart w:id="271" w:name="_Toc28824"/>
      <w:r>
        <w:rPr>
          <w:rFonts w:hint="eastAsia"/>
          <w:u w:val="single"/>
        </w:rPr>
        <w:t>水土流失预测结果</w:t>
      </w:r>
      <w:bookmarkEnd w:id="271"/>
    </w:p>
    <w:p>
      <w:pPr>
        <w:pStyle w:val="168"/>
        <w:ind w:firstLine="31680"/>
        <w:rPr>
          <w:u w:val="single"/>
        </w:rPr>
      </w:pPr>
      <w:r>
        <w:rPr>
          <w:rFonts w:hint="eastAsia"/>
          <w:u w:val="single"/>
        </w:rPr>
        <w:t>本工程建设扰动地表面积为</w:t>
      </w:r>
      <w:r>
        <w:rPr>
          <w:u w:val="single"/>
        </w:rPr>
        <w:t>39.22hm</w:t>
      </w:r>
      <w:r>
        <w:rPr>
          <w:u w:val="single"/>
          <w:vertAlign w:val="superscript"/>
        </w:rPr>
        <w:t>2</w:t>
      </w:r>
      <w:r>
        <w:rPr>
          <w:rFonts w:hint="eastAsia"/>
          <w:u w:val="single"/>
        </w:rPr>
        <w:t>，损坏水土保持设施面积为</w:t>
      </w:r>
      <w:r>
        <w:rPr>
          <w:u w:val="single"/>
        </w:rPr>
        <w:t>39.22hm</w:t>
      </w:r>
      <w:r>
        <w:rPr>
          <w:u w:val="single"/>
          <w:vertAlign w:val="superscript"/>
        </w:rPr>
        <w:t>2</w:t>
      </w:r>
      <w:r>
        <w:rPr>
          <w:rFonts w:hint="eastAsia"/>
          <w:u w:val="single"/>
        </w:rPr>
        <w:t>。工程建设产生弃渣</w:t>
      </w:r>
      <w:r>
        <w:rPr>
          <w:u w:val="single"/>
        </w:rPr>
        <w:t>2.96</w:t>
      </w:r>
      <w:r>
        <w:rPr>
          <w:rFonts w:hint="eastAsia"/>
          <w:u w:val="single"/>
        </w:rPr>
        <w:t>万</w:t>
      </w:r>
      <w:r>
        <w:rPr>
          <w:u w:val="single"/>
        </w:rPr>
        <w:t>m</w:t>
      </w:r>
      <w:r>
        <w:rPr>
          <w:u w:val="single"/>
          <w:vertAlign w:val="superscript"/>
        </w:rPr>
        <w:t>3</w:t>
      </w:r>
      <w:r>
        <w:rPr>
          <w:rFonts w:hint="eastAsia"/>
          <w:u w:val="single"/>
        </w:rPr>
        <w:t>，全线表土临时堆置共计</w:t>
      </w:r>
      <w:r>
        <w:rPr>
          <w:u w:val="single"/>
        </w:rPr>
        <w:t>3.82</w:t>
      </w:r>
      <w:r>
        <w:rPr>
          <w:rFonts w:hint="eastAsia"/>
          <w:u w:val="single"/>
        </w:rPr>
        <w:t>万</w:t>
      </w:r>
      <w:r>
        <w:rPr>
          <w:u w:val="single"/>
        </w:rPr>
        <w:t>m</w:t>
      </w:r>
      <w:r>
        <w:rPr>
          <w:u w:val="single"/>
          <w:vertAlign w:val="superscript"/>
        </w:rPr>
        <w:t>3</w:t>
      </w:r>
      <w:r>
        <w:rPr>
          <w:rFonts w:hint="eastAsia"/>
          <w:u w:val="single"/>
        </w:rPr>
        <w:t>。如不采取防护措施，预计建设期将产生水土流失总量为</w:t>
      </w:r>
      <w:r>
        <w:rPr>
          <w:u w:val="single"/>
        </w:rPr>
        <w:t>6463t</w:t>
      </w:r>
      <w:r>
        <w:rPr>
          <w:rFonts w:hint="eastAsia"/>
          <w:u w:val="single"/>
        </w:rPr>
        <w:t>；新增水土流失量为</w:t>
      </w:r>
      <w:r>
        <w:rPr>
          <w:u w:val="single"/>
        </w:rPr>
        <w:t>6128t</w:t>
      </w:r>
      <w:r>
        <w:rPr>
          <w:rFonts w:hint="eastAsia"/>
          <w:u w:val="single"/>
        </w:rPr>
        <w:t>，水土流失的发生的主要时段为建设期。水土流失主要发生在路基工程区，这是本项目水土流失防治和监测的重点区域。</w:t>
      </w:r>
    </w:p>
    <w:p>
      <w:pPr>
        <w:pStyle w:val="168"/>
        <w:ind w:firstLine="31680"/>
        <w:rPr>
          <w:u w:val="single"/>
        </w:rPr>
      </w:pPr>
      <w:r>
        <w:rPr>
          <w:rFonts w:hint="eastAsia"/>
          <w:u w:val="single"/>
        </w:rPr>
        <w:t>项目建设将产生大面积的裸露面，破坏了表层土壤的结构，降低工程区域内的植被覆盖率，在雨水、地表汇流或洪水冲刷下，松散表土层将会发生剧烈的水土流失，对地表水资源造成损失，对自然环境造成破坏。</w:t>
      </w:r>
    </w:p>
    <w:p>
      <w:pPr>
        <w:pStyle w:val="4"/>
        <w:ind w:left="0" w:firstLine="0"/>
        <w:rPr>
          <w:u w:val="single"/>
        </w:rPr>
      </w:pPr>
      <w:bookmarkStart w:id="272" w:name="_Toc14279"/>
      <w:r>
        <w:rPr>
          <w:rFonts w:hint="eastAsia"/>
          <w:u w:val="single"/>
        </w:rPr>
        <w:t>水土保持措施布总体布局及防治措施</w:t>
      </w:r>
      <w:bookmarkEnd w:id="272"/>
    </w:p>
    <w:p>
      <w:pPr>
        <w:pStyle w:val="5"/>
        <w:ind w:left="567" w:hanging="567"/>
        <w:rPr>
          <w:u w:val="single"/>
        </w:rPr>
      </w:pPr>
      <w:r>
        <w:rPr>
          <w:rFonts w:hint="eastAsia"/>
          <w:u w:val="single"/>
        </w:rPr>
        <w:t>路基工程区</w:t>
      </w:r>
    </w:p>
    <w:p>
      <w:pPr>
        <w:autoSpaceDE w:val="0"/>
        <w:autoSpaceDN w:val="0"/>
        <w:adjustRightInd w:val="0"/>
        <w:spacing w:line="360" w:lineRule="auto"/>
        <w:ind w:firstLine="480" w:firstLineChars="200"/>
        <w:jc w:val="left"/>
        <w:rPr>
          <w:rFonts w:hint="eastAsia"/>
          <w:sz w:val="24"/>
          <w:szCs w:val="24"/>
          <w:u w:val="single"/>
        </w:rPr>
      </w:pPr>
      <w:r>
        <w:rPr>
          <w:rFonts w:hint="eastAsia"/>
          <w:sz w:val="24"/>
          <w:szCs w:val="24"/>
          <w:u w:val="single"/>
        </w:rPr>
        <w:t>路基工程区主要是做好施工过程中的临时拦挡、排水、沉沙和覆盖等防护，修建路基排水沟设施、做好边坡防护和公路植被绿化，美化公路周边景观。</w:t>
      </w:r>
      <w:r>
        <w:rPr>
          <w:color w:val="auto"/>
          <w:kern w:val="0"/>
          <w:sz w:val="24"/>
          <w:u w:val="single"/>
        </w:rPr>
        <w:t>路基采用集中排水，由路拱横坡、拱形骨架送水槽和路堑边沟以及边沟急流槽、路堤边沟等设施组成完善的排水系统。路基设计洪水频率为</w:t>
      </w:r>
      <w:r>
        <w:rPr>
          <w:rFonts w:hint="eastAsia"/>
          <w:color w:val="auto"/>
          <w:kern w:val="0"/>
          <w:sz w:val="24"/>
          <w:u w:val="single"/>
        </w:rPr>
        <w:t>10</w:t>
      </w:r>
      <w:r>
        <w:rPr>
          <w:color w:val="auto"/>
          <w:kern w:val="0"/>
          <w:sz w:val="24"/>
          <w:u w:val="single"/>
        </w:rPr>
        <w:t>0年一遇。</w:t>
      </w:r>
      <w:r>
        <w:rPr>
          <w:rFonts w:hint="eastAsia"/>
          <w:sz w:val="24"/>
          <w:szCs w:val="24"/>
          <w:u w:val="single"/>
        </w:rPr>
        <w:t>其中路基工程区工程量为工程措施：截水沟</w:t>
      </w:r>
      <w:r>
        <w:rPr>
          <w:sz w:val="24"/>
          <w:szCs w:val="24"/>
          <w:u w:val="single"/>
        </w:rPr>
        <w:t>1322m</w:t>
      </w:r>
      <w:r>
        <w:rPr>
          <w:rFonts w:hint="eastAsia"/>
          <w:sz w:val="24"/>
          <w:szCs w:val="24"/>
          <w:u w:val="single"/>
        </w:rPr>
        <w:t>，排水沟</w:t>
      </w:r>
      <w:r>
        <w:rPr>
          <w:sz w:val="24"/>
          <w:szCs w:val="24"/>
          <w:u w:val="single"/>
        </w:rPr>
        <w:t>14612m</w:t>
      </w:r>
      <w:r>
        <w:rPr>
          <w:rFonts w:hint="eastAsia"/>
          <w:sz w:val="24"/>
          <w:szCs w:val="24"/>
          <w:u w:val="single"/>
        </w:rPr>
        <w:t>，顺接排水沟</w:t>
      </w:r>
      <w:r>
        <w:rPr>
          <w:sz w:val="24"/>
          <w:szCs w:val="24"/>
          <w:u w:val="single"/>
        </w:rPr>
        <w:t>620m</w:t>
      </w:r>
      <w:r>
        <w:rPr>
          <w:rFonts w:hint="eastAsia"/>
          <w:sz w:val="24"/>
          <w:szCs w:val="24"/>
          <w:u w:val="single"/>
        </w:rPr>
        <w:t>，浆砌石沉砂池</w:t>
      </w:r>
      <w:r>
        <w:rPr>
          <w:sz w:val="24"/>
          <w:szCs w:val="24"/>
          <w:u w:val="single"/>
        </w:rPr>
        <w:t>8</w:t>
      </w:r>
      <w:r>
        <w:rPr>
          <w:rFonts w:hint="eastAsia"/>
          <w:sz w:val="24"/>
          <w:szCs w:val="24"/>
          <w:u w:val="single"/>
        </w:rPr>
        <w:t>个，场地平整</w:t>
      </w:r>
      <w:r>
        <w:rPr>
          <w:sz w:val="24"/>
          <w:szCs w:val="24"/>
          <w:u w:val="single"/>
        </w:rPr>
        <w:t>9.36hm</w:t>
      </w:r>
      <w:r>
        <w:rPr>
          <w:sz w:val="24"/>
          <w:szCs w:val="24"/>
          <w:u w:val="single"/>
          <w:vertAlign w:val="superscript"/>
        </w:rPr>
        <w:t>2</w:t>
      </w:r>
      <w:r>
        <w:rPr>
          <w:rFonts w:hint="eastAsia"/>
          <w:sz w:val="24"/>
          <w:szCs w:val="24"/>
          <w:u w:val="single"/>
        </w:rPr>
        <w:t>；骨架护坡</w:t>
      </w:r>
      <w:r>
        <w:rPr>
          <w:sz w:val="24"/>
          <w:szCs w:val="24"/>
          <w:u w:val="single"/>
        </w:rPr>
        <w:t>1.26hm</w:t>
      </w:r>
      <w:r>
        <w:rPr>
          <w:sz w:val="24"/>
          <w:szCs w:val="24"/>
          <w:u w:val="single"/>
          <w:vertAlign w:val="superscript"/>
        </w:rPr>
        <w:t>2</w:t>
      </w:r>
      <w:r>
        <w:rPr>
          <w:rFonts w:hint="eastAsia"/>
          <w:sz w:val="24"/>
          <w:szCs w:val="24"/>
          <w:u w:val="single"/>
          <w:vertAlign w:val="superscript"/>
        </w:rPr>
        <w:t>，</w:t>
      </w:r>
      <w:r>
        <w:rPr>
          <w:rFonts w:hint="eastAsia"/>
          <w:sz w:val="24"/>
          <w:szCs w:val="24"/>
          <w:u w:val="single"/>
        </w:rPr>
        <w:t>，植草护坡</w:t>
      </w:r>
      <w:r>
        <w:rPr>
          <w:sz w:val="24"/>
          <w:szCs w:val="24"/>
          <w:u w:val="single"/>
        </w:rPr>
        <w:t>4.38hm</w:t>
      </w:r>
      <w:r>
        <w:rPr>
          <w:sz w:val="24"/>
          <w:szCs w:val="24"/>
          <w:u w:val="single"/>
          <w:vertAlign w:val="superscript"/>
        </w:rPr>
        <w:t>2</w:t>
      </w:r>
      <w:r>
        <w:rPr>
          <w:rFonts w:hint="eastAsia"/>
          <w:sz w:val="24"/>
          <w:szCs w:val="24"/>
          <w:u w:val="single"/>
        </w:rPr>
        <w:t>，铺植草皮</w:t>
      </w:r>
      <w:r>
        <w:rPr>
          <w:sz w:val="24"/>
          <w:szCs w:val="24"/>
          <w:u w:val="single"/>
        </w:rPr>
        <w:t>6.07hm</w:t>
      </w:r>
      <w:r>
        <w:rPr>
          <w:sz w:val="24"/>
          <w:szCs w:val="24"/>
          <w:u w:val="single"/>
          <w:vertAlign w:val="superscript"/>
        </w:rPr>
        <w:t>2</w:t>
      </w:r>
      <w:r>
        <w:rPr>
          <w:rFonts w:hint="eastAsia"/>
          <w:sz w:val="24"/>
          <w:szCs w:val="24"/>
          <w:u w:val="single"/>
        </w:rPr>
        <w:t>，种植乔灌木共计</w:t>
      </w:r>
      <w:r>
        <w:rPr>
          <w:sz w:val="24"/>
          <w:szCs w:val="24"/>
          <w:u w:val="single"/>
        </w:rPr>
        <w:t>12554</w:t>
      </w:r>
      <w:r>
        <w:rPr>
          <w:rFonts w:hint="eastAsia"/>
          <w:sz w:val="24"/>
          <w:szCs w:val="24"/>
          <w:u w:val="single"/>
        </w:rPr>
        <w:t>株；临时排水沟</w:t>
      </w:r>
      <w:r>
        <w:rPr>
          <w:sz w:val="24"/>
          <w:szCs w:val="24"/>
          <w:u w:val="single"/>
        </w:rPr>
        <w:t>19129m</w:t>
      </w:r>
      <w:r>
        <w:rPr>
          <w:rFonts w:hint="eastAsia"/>
          <w:sz w:val="24"/>
          <w:szCs w:val="24"/>
          <w:u w:val="single"/>
        </w:rPr>
        <w:t>，临时拦挡</w:t>
      </w:r>
      <w:r>
        <w:rPr>
          <w:sz w:val="24"/>
          <w:szCs w:val="24"/>
          <w:u w:val="single"/>
        </w:rPr>
        <w:t>4159m</w:t>
      </w:r>
      <w:r>
        <w:rPr>
          <w:rFonts w:hint="eastAsia"/>
          <w:sz w:val="24"/>
          <w:szCs w:val="24"/>
          <w:u w:val="single"/>
        </w:rPr>
        <w:t>，临时沉沙池</w:t>
      </w:r>
      <w:r>
        <w:rPr>
          <w:sz w:val="24"/>
          <w:szCs w:val="24"/>
          <w:u w:val="single"/>
        </w:rPr>
        <w:t>38</w:t>
      </w:r>
      <w:r>
        <w:rPr>
          <w:rFonts w:hint="eastAsia"/>
          <w:sz w:val="24"/>
          <w:szCs w:val="24"/>
          <w:u w:val="single"/>
        </w:rPr>
        <w:t>个，彩条布覆盖</w:t>
      </w:r>
      <w:r>
        <w:rPr>
          <w:sz w:val="24"/>
          <w:szCs w:val="24"/>
          <w:u w:val="single"/>
        </w:rPr>
        <w:t>2.93hm</w:t>
      </w:r>
      <w:r>
        <w:rPr>
          <w:sz w:val="24"/>
          <w:szCs w:val="24"/>
          <w:u w:val="single"/>
          <w:vertAlign w:val="superscript"/>
        </w:rPr>
        <w:t>2</w:t>
      </w:r>
      <w:r>
        <w:rPr>
          <w:rFonts w:hint="eastAsia"/>
          <w:sz w:val="24"/>
          <w:szCs w:val="24"/>
          <w:u w:val="single"/>
        </w:rPr>
        <w:t>，表土剥离</w:t>
      </w:r>
      <w:r>
        <w:rPr>
          <w:sz w:val="24"/>
          <w:szCs w:val="24"/>
          <w:u w:val="single"/>
        </w:rPr>
        <w:t>2.61</w:t>
      </w:r>
      <w:r>
        <w:rPr>
          <w:rFonts w:hint="eastAsia"/>
          <w:sz w:val="24"/>
          <w:szCs w:val="24"/>
          <w:u w:val="single"/>
        </w:rPr>
        <w:t>万</w:t>
      </w:r>
      <w:r>
        <w:rPr>
          <w:sz w:val="24"/>
          <w:szCs w:val="24"/>
          <w:u w:val="single"/>
        </w:rPr>
        <w:t>m</w:t>
      </w:r>
      <w:r>
        <w:rPr>
          <w:sz w:val="24"/>
          <w:szCs w:val="24"/>
          <w:u w:val="single"/>
          <w:vertAlign w:val="superscript"/>
        </w:rPr>
        <w:t>3</w:t>
      </w:r>
      <w:r>
        <w:rPr>
          <w:rFonts w:hint="eastAsia"/>
          <w:sz w:val="24"/>
          <w:szCs w:val="24"/>
          <w:u w:val="single"/>
        </w:rPr>
        <w:t>，表土回填</w:t>
      </w:r>
      <w:r>
        <w:rPr>
          <w:sz w:val="24"/>
          <w:szCs w:val="24"/>
          <w:u w:val="single"/>
        </w:rPr>
        <w:t>2.61</w:t>
      </w:r>
      <w:r>
        <w:rPr>
          <w:rFonts w:hint="eastAsia"/>
          <w:sz w:val="24"/>
          <w:szCs w:val="24"/>
          <w:u w:val="single"/>
        </w:rPr>
        <w:t>万</w:t>
      </w:r>
      <w:r>
        <w:rPr>
          <w:sz w:val="24"/>
          <w:szCs w:val="24"/>
          <w:u w:val="single"/>
        </w:rPr>
        <w:t>m</w:t>
      </w:r>
      <w:r>
        <w:rPr>
          <w:sz w:val="24"/>
          <w:szCs w:val="24"/>
          <w:u w:val="single"/>
          <w:vertAlign w:val="superscript"/>
        </w:rPr>
        <w:t>3</w:t>
      </w:r>
      <w:r>
        <w:rPr>
          <w:rFonts w:hint="eastAsia"/>
          <w:sz w:val="24"/>
          <w:szCs w:val="24"/>
          <w:u w:val="single"/>
        </w:rPr>
        <w:t>。</w:t>
      </w:r>
    </w:p>
    <w:p>
      <w:pPr>
        <w:autoSpaceDE w:val="0"/>
        <w:autoSpaceDN w:val="0"/>
        <w:adjustRightInd w:val="0"/>
        <w:spacing w:line="360" w:lineRule="auto"/>
        <w:ind w:firstLine="480" w:firstLineChars="200"/>
        <w:jc w:val="left"/>
        <w:rPr>
          <w:color w:val="auto"/>
          <w:kern w:val="0"/>
          <w:sz w:val="24"/>
          <w:u w:val="single"/>
        </w:rPr>
      </w:pPr>
      <w:r>
        <w:rPr>
          <w:color w:val="auto"/>
          <w:kern w:val="0"/>
          <w:sz w:val="24"/>
          <w:u w:val="single"/>
        </w:rPr>
        <w:t>路基设计高程为中心线高程。路肩高程不低于1/50洪水频率计算水位加壅水高度及波浪侵袭高加0.5m。</w:t>
      </w:r>
    </w:p>
    <w:p>
      <w:pPr>
        <w:pStyle w:val="5"/>
        <w:ind w:left="567" w:hanging="567"/>
        <w:rPr>
          <w:u w:val="single"/>
        </w:rPr>
      </w:pPr>
      <w:r>
        <w:rPr>
          <w:rFonts w:hint="eastAsia"/>
          <w:u w:val="single"/>
        </w:rPr>
        <w:t>桥梁工程区</w:t>
      </w:r>
    </w:p>
    <w:p>
      <w:pPr>
        <w:pStyle w:val="168"/>
        <w:ind w:firstLine="480"/>
        <w:rPr>
          <w:color w:val="auto"/>
          <w:u w:val="single"/>
        </w:rPr>
      </w:pPr>
      <w:r>
        <w:rPr>
          <w:rFonts w:hint="eastAsia"/>
          <w:u w:val="single"/>
        </w:rPr>
        <w:t>桥梁工程区主要做好桥的排水措施，锥坡坡面的防护及施工过程中的临时排水、拦挡、覆盖防护及迹地的恢复。工程量为：浆砌石排水沟</w:t>
      </w:r>
      <w:r>
        <w:rPr>
          <w:u w:val="single"/>
        </w:rPr>
        <w:t>120m;</w:t>
      </w:r>
      <w:r>
        <w:rPr>
          <w:rFonts w:hint="eastAsia"/>
          <w:u w:val="single"/>
        </w:rPr>
        <w:t>临时排水沟</w:t>
      </w:r>
      <w:r>
        <w:rPr>
          <w:u w:val="single"/>
        </w:rPr>
        <w:t>150m</w:t>
      </w:r>
      <w:r>
        <w:rPr>
          <w:rFonts w:hint="eastAsia"/>
          <w:u w:val="single"/>
        </w:rPr>
        <w:t>，临时沉沙池</w:t>
      </w:r>
      <w:r>
        <w:rPr>
          <w:u w:val="single"/>
        </w:rPr>
        <w:t>2</w:t>
      </w:r>
      <w:r>
        <w:rPr>
          <w:rFonts w:hint="eastAsia"/>
          <w:u w:val="single"/>
        </w:rPr>
        <w:t>个，袋装土垒砌拦挡</w:t>
      </w:r>
      <w:r>
        <w:rPr>
          <w:u w:val="single"/>
        </w:rPr>
        <w:t>42m;</w:t>
      </w:r>
      <w:r>
        <w:rPr>
          <w:rFonts w:hint="eastAsia"/>
          <w:u w:val="single"/>
        </w:rPr>
        <w:t>植草护坡</w:t>
      </w:r>
      <w:r>
        <w:rPr>
          <w:u w:val="single"/>
        </w:rPr>
        <w:t>310m</w:t>
      </w:r>
      <w:r>
        <w:rPr>
          <w:u w:val="single"/>
          <w:vertAlign w:val="superscript"/>
        </w:rPr>
        <w:t>2</w:t>
      </w:r>
      <w:r>
        <w:rPr>
          <w:rFonts w:hint="eastAsia"/>
          <w:u w:val="single"/>
        </w:rPr>
        <w:t>。</w:t>
      </w:r>
      <w:r>
        <w:rPr>
          <w:color w:val="auto"/>
          <w:u w:val="single"/>
        </w:rPr>
        <w:t>设计洪水频率为1/</w:t>
      </w:r>
      <w:r>
        <w:rPr>
          <w:rFonts w:hint="eastAsia"/>
          <w:color w:val="auto"/>
          <w:u w:val="single"/>
          <w:lang w:val="en-US" w:eastAsia="zh-CN"/>
        </w:rPr>
        <w:t>10</w:t>
      </w:r>
      <w:r>
        <w:rPr>
          <w:color w:val="auto"/>
          <w:u w:val="single"/>
        </w:rPr>
        <w:t>0。</w:t>
      </w:r>
    </w:p>
    <w:p>
      <w:pPr>
        <w:pStyle w:val="168"/>
        <w:ind w:firstLine="31680"/>
        <w:rPr>
          <w:u w:val="single"/>
        </w:rPr>
      </w:pPr>
    </w:p>
    <w:p>
      <w:pPr>
        <w:pStyle w:val="5"/>
        <w:ind w:left="567" w:hanging="567"/>
        <w:rPr>
          <w:u w:val="single"/>
        </w:rPr>
      </w:pPr>
      <w:r>
        <w:rPr>
          <w:rFonts w:hint="eastAsia"/>
          <w:u w:val="single"/>
        </w:rPr>
        <w:t>取土场区</w:t>
      </w:r>
    </w:p>
    <w:p>
      <w:pPr>
        <w:pStyle w:val="3"/>
        <w:ind w:firstLine="31680"/>
        <w:rPr>
          <w:u w:val="single"/>
        </w:rPr>
      </w:pPr>
      <w:r>
        <w:rPr>
          <w:rFonts w:hint="eastAsia"/>
          <w:u w:val="single"/>
        </w:rPr>
        <w:t>本项目不需借土，不用设置取土场。</w:t>
      </w:r>
    </w:p>
    <w:p>
      <w:pPr>
        <w:pStyle w:val="5"/>
        <w:ind w:left="567" w:hanging="567"/>
        <w:rPr>
          <w:u w:val="single"/>
        </w:rPr>
      </w:pPr>
      <w:r>
        <w:rPr>
          <w:rFonts w:hint="eastAsia"/>
          <w:u w:val="single"/>
        </w:rPr>
        <w:t>弃渣场区</w:t>
      </w:r>
    </w:p>
    <w:p>
      <w:pPr>
        <w:pStyle w:val="168"/>
        <w:ind w:firstLine="480"/>
        <w:rPr>
          <w:rFonts w:hint="eastAsia"/>
          <w:u w:val="single"/>
        </w:rPr>
      </w:pPr>
      <w:r>
        <w:rPr>
          <w:rFonts w:hint="eastAsia"/>
          <w:u w:val="single"/>
        </w:rPr>
        <w:t>弃渣场区应修好截排水设施、挡渣墙，弃渣完毕后修整边坡并护坡，对弃渣面进行平整，修好排水沟，覆土进行复耕，动工前表土剥离</w:t>
      </w:r>
      <w:r>
        <w:rPr>
          <w:rFonts w:hint="eastAsia"/>
          <w:u w:val="single"/>
          <w:lang w:eastAsia="zh-CN"/>
        </w:rPr>
        <w:t>；</w:t>
      </w:r>
      <w:r>
        <w:rPr>
          <w:color w:val="auto"/>
          <w:u w:val="single"/>
        </w:rPr>
        <w:t>场地一般应满足5%洪水频率防洪要求</w:t>
      </w:r>
      <w:r>
        <w:rPr>
          <w:rFonts w:hint="eastAsia"/>
          <w:color w:val="auto"/>
          <w:u w:val="single"/>
          <w:lang w:eastAsia="zh-CN"/>
        </w:rPr>
        <w:t>。</w:t>
      </w:r>
      <w:r>
        <w:rPr>
          <w:rFonts w:hint="eastAsia"/>
          <w:u w:val="single"/>
        </w:rPr>
        <w:t>工程量为：土地平整</w:t>
      </w:r>
      <w:r>
        <w:rPr>
          <w:u w:val="single"/>
        </w:rPr>
        <w:t>0.20hm</w:t>
      </w:r>
      <w:r>
        <w:rPr>
          <w:u w:val="single"/>
          <w:vertAlign w:val="superscript"/>
        </w:rPr>
        <w:t>2</w:t>
      </w:r>
      <w:r>
        <w:rPr>
          <w:rFonts w:hint="eastAsia"/>
          <w:u w:val="single"/>
        </w:rPr>
        <w:t>，复耕</w:t>
      </w:r>
      <w:r>
        <w:rPr>
          <w:u w:val="single"/>
        </w:rPr>
        <w:t>0.69hm</w:t>
      </w:r>
      <w:r>
        <w:rPr>
          <w:u w:val="single"/>
          <w:vertAlign w:val="superscript"/>
        </w:rPr>
        <w:t>2</w:t>
      </w:r>
      <w:r>
        <w:rPr>
          <w:rFonts w:hint="eastAsia"/>
          <w:u w:val="single"/>
        </w:rPr>
        <w:t>，浆砌石挡渣墙</w:t>
      </w:r>
      <w:r>
        <w:rPr>
          <w:u w:val="single"/>
        </w:rPr>
        <w:t>121m</w:t>
      </w:r>
      <w:r>
        <w:rPr>
          <w:rFonts w:hint="eastAsia"/>
          <w:u w:val="single"/>
        </w:rPr>
        <w:t>，浆砌石截水沟</w:t>
      </w:r>
      <w:r>
        <w:rPr>
          <w:u w:val="single"/>
        </w:rPr>
        <w:t>550m</w:t>
      </w:r>
      <w:r>
        <w:rPr>
          <w:rFonts w:hint="eastAsia"/>
          <w:u w:val="single"/>
        </w:rPr>
        <w:t>，浆砌石排水沟</w:t>
      </w:r>
      <w:r>
        <w:rPr>
          <w:u w:val="single"/>
        </w:rPr>
        <w:t>785m</w:t>
      </w:r>
      <w:r>
        <w:rPr>
          <w:rFonts w:hint="eastAsia"/>
          <w:u w:val="single"/>
        </w:rPr>
        <w:t>，浆砌石沉沙池</w:t>
      </w:r>
      <w:r>
        <w:rPr>
          <w:u w:val="single"/>
        </w:rPr>
        <w:t>3</w:t>
      </w:r>
      <w:r>
        <w:rPr>
          <w:rFonts w:hint="eastAsia"/>
          <w:u w:val="single"/>
        </w:rPr>
        <w:t>个；表土剥离</w:t>
      </w:r>
      <w:r>
        <w:rPr>
          <w:u w:val="single"/>
        </w:rPr>
        <w:t>0.25</w:t>
      </w:r>
      <w:r>
        <w:rPr>
          <w:rFonts w:hint="eastAsia"/>
          <w:u w:val="single"/>
        </w:rPr>
        <w:t>万</w:t>
      </w:r>
      <w:r>
        <w:rPr>
          <w:u w:val="single"/>
        </w:rPr>
        <w:t>m</w:t>
      </w:r>
      <w:r>
        <w:rPr>
          <w:u w:val="single"/>
          <w:vertAlign w:val="superscript"/>
        </w:rPr>
        <w:t>3</w:t>
      </w:r>
      <w:r>
        <w:rPr>
          <w:rFonts w:hint="eastAsia"/>
          <w:u w:val="single"/>
        </w:rPr>
        <w:t>，表土回填</w:t>
      </w:r>
      <w:r>
        <w:rPr>
          <w:u w:val="single"/>
        </w:rPr>
        <w:t>0.25</w:t>
      </w:r>
      <w:r>
        <w:rPr>
          <w:rFonts w:hint="eastAsia"/>
          <w:u w:val="single"/>
        </w:rPr>
        <w:t>万</w:t>
      </w:r>
      <w:r>
        <w:rPr>
          <w:u w:val="single"/>
        </w:rPr>
        <w:t>m</w:t>
      </w:r>
      <w:r>
        <w:rPr>
          <w:u w:val="single"/>
          <w:vertAlign w:val="superscript"/>
        </w:rPr>
        <w:t>3</w:t>
      </w:r>
      <w:r>
        <w:rPr>
          <w:rFonts w:hint="eastAsia"/>
          <w:u w:val="single"/>
        </w:rPr>
        <w:t>，临时排水沟</w:t>
      </w:r>
      <w:r>
        <w:rPr>
          <w:u w:val="single"/>
        </w:rPr>
        <w:t>253m</w:t>
      </w:r>
      <w:r>
        <w:rPr>
          <w:rFonts w:hint="eastAsia"/>
          <w:u w:val="single"/>
        </w:rPr>
        <w:t>，临时沉砂池</w:t>
      </w:r>
      <w:r>
        <w:rPr>
          <w:u w:val="single"/>
        </w:rPr>
        <w:t>3</w:t>
      </w:r>
      <w:r>
        <w:rPr>
          <w:rFonts w:hint="eastAsia"/>
          <w:u w:val="single"/>
        </w:rPr>
        <w:t>个，彩条布覆盖</w:t>
      </w:r>
      <w:r>
        <w:rPr>
          <w:u w:val="single"/>
        </w:rPr>
        <w:t>0.18hm</w:t>
      </w:r>
      <w:r>
        <w:rPr>
          <w:u w:val="single"/>
          <w:vertAlign w:val="superscript"/>
        </w:rPr>
        <w:t>2</w:t>
      </w:r>
      <w:r>
        <w:rPr>
          <w:rFonts w:hint="eastAsia"/>
          <w:u w:val="single"/>
        </w:rPr>
        <w:t>；植草护坡</w:t>
      </w:r>
      <w:r>
        <w:rPr>
          <w:u w:val="single"/>
        </w:rPr>
        <w:t>0.20hm</w:t>
      </w:r>
      <w:r>
        <w:rPr>
          <w:u w:val="single"/>
          <w:vertAlign w:val="superscript"/>
        </w:rPr>
        <w:t>2</w:t>
      </w:r>
      <w:r>
        <w:rPr>
          <w:rFonts w:hint="eastAsia"/>
          <w:u w:val="single"/>
        </w:rPr>
        <w:t>。</w:t>
      </w:r>
    </w:p>
    <w:p>
      <w:pPr>
        <w:pStyle w:val="168"/>
        <w:ind w:firstLine="480"/>
        <w:rPr>
          <w:rFonts w:hint="eastAsia"/>
          <w:u w:val="single"/>
          <w:lang w:val="en-US" w:eastAsia="zh-CN"/>
        </w:rPr>
      </w:pPr>
      <w:r>
        <w:rPr>
          <w:rFonts w:hint="eastAsia"/>
          <w:u w:val="single"/>
          <w:lang w:val="en-US" w:eastAsia="zh-CN"/>
        </w:rPr>
        <w:t>防治措施：</w:t>
      </w:r>
    </w:p>
    <w:p>
      <w:pPr>
        <w:pStyle w:val="168"/>
        <w:ind w:firstLine="480"/>
        <w:rPr>
          <w:color w:val="auto"/>
          <w:u w:val="single"/>
        </w:rPr>
      </w:pPr>
      <w:r>
        <w:rPr>
          <w:rFonts w:hint="eastAsia"/>
          <w:color w:val="auto"/>
          <w:u w:val="single"/>
          <w:lang w:val="en-US" w:eastAsia="zh-CN"/>
        </w:rPr>
        <w:t>①</w:t>
      </w:r>
      <w:r>
        <w:rPr>
          <w:rFonts w:hint="eastAsia"/>
          <w:color w:val="auto"/>
          <w:u w:val="single"/>
        </w:rPr>
        <w:t>拦渣工程</w:t>
      </w:r>
    </w:p>
    <w:p>
      <w:pPr>
        <w:pStyle w:val="168"/>
        <w:ind w:firstLine="480"/>
        <w:rPr>
          <w:color w:val="auto"/>
          <w:u w:val="single"/>
        </w:rPr>
      </w:pPr>
      <w:r>
        <w:rPr>
          <w:color w:val="auto"/>
          <w:u w:val="single"/>
        </w:rPr>
        <w:t>根据弃渣堆放的位置和地形特点，设置适宜的拦渣工程，有效控制水土流失。根据渣场初选结果，弃渣点占地一般为</w:t>
      </w:r>
      <w:r>
        <w:rPr>
          <w:rFonts w:hint="eastAsia"/>
          <w:color w:val="auto"/>
          <w:u w:val="single"/>
        </w:rPr>
        <w:t>荒地</w:t>
      </w:r>
      <w:r>
        <w:rPr>
          <w:color w:val="auto"/>
          <w:u w:val="single"/>
        </w:rPr>
        <w:t>和林地，为了防止弃渣造成的水土流失，渣场坡脚需设置挡土墙拦挡防护。</w:t>
      </w:r>
    </w:p>
    <w:p>
      <w:pPr>
        <w:pStyle w:val="168"/>
        <w:ind w:firstLine="480"/>
        <w:rPr>
          <w:color w:val="auto"/>
          <w:u w:val="single"/>
        </w:rPr>
      </w:pPr>
      <w:r>
        <w:rPr>
          <w:rFonts w:hint="eastAsia"/>
          <w:color w:val="auto"/>
          <w:u w:val="single"/>
          <w:lang w:val="en-US" w:eastAsia="zh-CN"/>
        </w:rPr>
        <w:t>②</w:t>
      </w:r>
      <w:r>
        <w:rPr>
          <w:rFonts w:hint="eastAsia"/>
          <w:color w:val="auto"/>
          <w:u w:val="single"/>
        </w:rPr>
        <w:t>截排水工程</w:t>
      </w:r>
    </w:p>
    <w:p>
      <w:pPr>
        <w:pStyle w:val="168"/>
        <w:ind w:firstLine="480"/>
        <w:rPr>
          <w:color w:val="auto"/>
          <w:u w:val="single"/>
        </w:rPr>
      </w:pPr>
      <w:r>
        <w:rPr>
          <w:color w:val="auto"/>
          <w:u w:val="single"/>
        </w:rPr>
        <w:t>弃渣场周边应修建排水设施，拦截坡面上方来水及引排周边集水。</w:t>
      </w:r>
      <w:r>
        <w:rPr>
          <w:rFonts w:hint="eastAsia"/>
          <w:color w:val="auto"/>
          <w:u w:val="single"/>
        </w:rPr>
        <w:t>山坳型渣场</w:t>
      </w:r>
      <w:r>
        <w:rPr>
          <w:color w:val="auto"/>
          <w:u w:val="single"/>
        </w:rPr>
        <w:t>为防止坡面洪水直接排入弃渣场，导致堆积较松散的渣场失事，在渣场周边布设截水沟与原排水系统连接</w:t>
      </w:r>
      <w:r>
        <w:rPr>
          <w:rFonts w:hint="eastAsia"/>
          <w:color w:val="auto"/>
          <w:u w:val="single"/>
        </w:rPr>
        <w:t>。</w:t>
      </w:r>
      <w:r>
        <w:rPr>
          <w:color w:val="auto"/>
          <w:u w:val="single"/>
        </w:rPr>
        <w:t>主要包括开挖边坡坡顶截水沟、排洪沟（排洪标准10％洪水频率），渣场坡脚设置挡渣墙、开挖边坡护面墙及各类骨架内草皮护坡等</w:t>
      </w:r>
      <w:r>
        <w:rPr>
          <w:rFonts w:hint="eastAsia"/>
          <w:color w:val="auto"/>
          <w:u w:val="single"/>
          <w:lang w:eastAsia="zh-CN"/>
        </w:rPr>
        <w:t>。</w:t>
      </w:r>
    </w:p>
    <w:p>
      <w:pPr>
        <w:pStyle w:val="168"/>
        <w:ind w:firstLine="480"/>
        <w:rPr>
          <w:color w:val="auto"/>
          <w:u w:val="single"/>
        </w:rPr>
      </w:pPr>
      <w:r>
        <w:rPr>
          <w:rFonts w:hint="eastAsia"/>
          <w:color w:val="auto"/>
          <w:u w:val="single"/>
          <w:lang w:val="en-US" w:eastAsia="zh-CN"/>
        </w:rPr>
        <w:t>③</w:t>
      </w:r>
      <w:r>
        <w:rPr>
          <w:rFonts w:hint="eastAsia"/>
          <w:color w:val="auto"/>
          <w:u w:val="single"/>
        </w:rPr>
        <w:t>土地平整</w:t>
      </w:r>
    </w:p>
    <w:p>
      <w:pPr>
        <w:pStyle w:val="168"/>
        <w:ind w:firstLine="480"/>
        <w:rPr>
          <w:color w:val="auto"/>
          <w:u w:val="single"/>
        </w:rPr>
      </w:pPr>
      <w:r>
        <w:rPr>
          <w:color w:val="auto"/>
          <w:u w:val="single"/>
        </w:rPr>
        <w:t>弃渣结束后应对弃渣面及边坡进行平整，回填种植土，</w:t>
      </w:r>
      <w:r>
        <w:rPr>
          <w:rFonts w:hint="eastAsia"/>
          <w:color w:val="auto"/>
          <w:u w:val="single"/>
          <w:lang w:eastAsia="zh-CN"/>
        </w:rPr>
        <w:t>进行复耕</w:t>
      </w:r>
      <w:r>
        <w:rPr>
          <w:rFonts w:hint="eastAsia"/>
          <w:color w:val="auto"/>
          <w:u w:val="single"/>
        </w:rPr>
        <w:t>。</w:t>
      </w:r>
      <w:r>
        <w:rPr>
          <w:color w:val="auto"/>
          <w:u w:val="single"/>
        </w:rPr>
        <w:t>植物措施一般采用乡土树种，坚持适地适树的原则，对施工迹地在尽量复耕的前提下栽植水保林草、铺设草皮或播撒草籽绿化，尽快减少地表裸露时间</w:t>
      </w:r>
      <w:r>
        <w:rPr>
          <w:rFonts w:hint="eastAsia"/>
          <w:color w:val="auto"/>
          <w:u w:val="single"/>
          <w:lang w:eastAsia="zh-CN"/>
        </w:rPr>
        <w:t>。</w:t>
      </w:r>
    </w:p>
    <w:p>
      <w:pPr>
        <w:pStyle w:val="167"/>
        <w:ind w:firstLine="480" w:firstLineChars="200"/>
        <w:rPr>
          <w:b w:val="0"/>
          <w:color w:val="auto"/>
          <w:u w:val="single"/>
        </w:rPr>
      </w:pPr>
      <w:r>
        <w:rPr>
          <w:rFonts w:hint="eastAsia"/>
          <w:b w:val="0"/>
          <w:color w:val="auto"/>
          <w:u w:val="single"/>
          <w:lang w:val="en-US" w:eastAsia="zh-CN"/>
        </w:rPr>
        <w:t>④</w:t>
      </w:r>
      <w:r>
        <w:rPr>
          <w:b w:val="0"/>
          <w:color w:val="auto"/>
          <w:u w:val="single"/>
        </w:rPr>
        <w:t>其它措施</w:t>
      </w:r>
    </w:p>
    <w:p>
      <w:pPr>
        <w:pStyle w:val="168"/>
        <w:ind w:firstLine="480"/>
        <w:rPr>
          <w:color w:val="auto"/>
          <w:u w:val="single"/>
        </w:rPr>
      </w:pPr>
      <w:r>
        <w:rPr>
          <w:color w:val="auto"/>
          <w:u w:val="single"/>
        </w:rPr>
        <w:t>弃渣场弃渣场前需将弃渣场内的表土或基层进行清理，避免渣体底部摩擦力不足造成渣体滑动，对剥离表土采取彩条布覆盖防护；临时措施主要是要求开挖表土应设置专门的堆放场地，对施工过程中的裸露边坡进行遮盖。</w:t>
      </w:r>
    </w:p>
    <w:p>
      <w:pPr>
        <w:pStyle w:val="5"/>
        <w:ind w:left="567" w:hanging="567"/>
        <w:rPr>
          <w:u w:val="single"/>
        </w:rPr>
      </w:pPr>
      <w:r>
        <w:rPr>
          <w:rFonts w:hint="eastAsia"/>
          <w:u w:val="single"/>
        </w:rPr>
        <w:t>施工便道区</w:t>
      </w:r>
    </w:p>
    <w:p>
      <w:pPr>
        <w:pStyle w:val="168"/>
        <w:ind w:firstLine="480"/>
        <w:rPr>
          <w:rFonts w:hint="eastAsia"/>
          <w:color w:val="auto"/>
          <w:u w:val="single"/>
        </w:rPr>
      </w:pPr>
      <w:r>
        <w:rPr>
          <w:color w:val="auto"/>
          <w:u w:val="single"/>
        </w:rPr>
        <w:t xml:space="preserve"> </w:t>
      </w:r>
      <w:r>
        <w:rPr>
          <w:rFonts w:hint="eastAsia"/>
          <w:color w:val="auto"/>
          <w:u w:val="single"/>
        </w:rPr>
        <w:t>施工便道主要做好道路两侧排水及边坡防护措施，施工结束后对迹地恢复林草及复耕。工程量为：工程措施：土地平整</w:t>
      </w:r>
      <w:r>
        <w:rPr>
          <w:color w:val="auto"/>
          <w:u w:val="single"/>
        </w:rPr>
        <w:t>2.59hm2</w:t>
      </w:r>
      <w:r>
        <w:rPr>
          <w:rFonts w:hint="eastAsia"/>
          <w:color w:val="auto"/>
          <w:u w:val="single"/>
        </w:rPr>
        <w:t>，复耕</w:t>
      </w:r>
      <w:r>
        <w:rPr>
          <w:color w:val="auto"/>
          <w:u w:val="single"/>
        </w:rPr>
        <w:t>1.06hm2</w:t>
      </w:r>
      <w:r>
        <w:rPr>
          <w:rFonts w:hint="eastAsia"/>
          <w:color w:val="auto"/>
          <w:u w:val="single"/>
        </w:rPr>
        <w:t>；表土剥离</w:t>
      </w:r>
      <w:r>
        <w:rPr>
          <w:color w:val="auto"/>
          <w:u w:val="single"/>
        </w:rPr>
        <w:t>0.52</w:t>
      </w:r>
      <w:r>
        <w:rPr>
          <w:rFonts w:hint="eastAsia"/>
          <w:color w:val="auto"/>
          <w:u w:val="single"/>
        </w:rPr>
        <w:t>万</w:t>
      </w:r>
      <w:r>
        <w:rPr>
          <w:color w:val="auto"/>
          <w:u w:val="single"/>
        </w:rPr>
        <w:t>m3</w:t>
      </w:r>
      <w:r>
        <w:rPr>
          <w:rFonts w:hint="eastAsia"/>
          <w:color w:val="auto"/>
          <w:u w:val="single"/>
        </w:rPr>
        <w:t>，表土回填</w:t>
      </w:r>
      <w:r>
        <w:rPr>
          <w:color w:val="auto"/>
          <w:u w:val="single"/>
        </w:rPr>
        <w:t>0.52</w:t>
      </w:r>
      <w:r>
        <w:rPr>
          <w:rFonts w:hint="eastAsia"/>
          <w:color w:val="auto"/>
          <w:u w:val="single"/>
        </w:rPr>
        <w:t>万</w:t>
      </w:r>
      <w:r>
        <w:rPr>
          <w:color w:val="auto"/>
          <w:u w:val="single"/>
        </w:rPr>
        <w:t>m3</w:t>
      </w:r>
      <w:r>
        <w:rPr>
          <w:rFonts w:hint="eastAsia"/>
          <w:color w:val="auto"/>
          <w:u w:val="single"/>
        </w:rPr>
        <w:t>，临时排水沟</w:t>
      </w:r>
      <w:r>
        <w:rPr>
          <w:color w:val="auto"/>
          <w:u w:val="single"/>
        </w:rPr>
        <w:t>8370m</w:t>
      </w:r>
      <w:r>
        <w:rPr>
          <w:rFonts w:hint="eastAsia"/>
          <w:color w:val="auto"/>
          <w:u w:val="single"/>
        </w:rPr>
        <w:t>，临时沉沙池</w:t>
      </w:r>
      <w:r>
        <w:rPr>
          <w:color w:val="auto"/>
          <w:u w:val="single"/>
        </w:rPr>
        <w:t>16</w:t>
      </w:r>
      <w:r>
        <w:rPr>
          <w:rFonts w:hint="eastAsia"/>
          <w:color w:val="auto"/>
          <w:u w:val="single"/>
        </w:rPr>
        <w:t>个；撒播草籽</w:t>
      </w:r>
      <w:r>
        <w:rPr>
          <w:color w:val="auto"/>
          <w:u w:val="single"/>
        </w:rPr>
        <w:t>2.58hm2</w:t>
      </w:r>
      <w:r>
        <w:rPr>
          <w:rFonts w:hint="eastAsia"/>
          <w:color w:val="auto"/>
          <w:u w:val="single"/>
        </w:rPr>
        <w:t>，植枫香</w:t>
      </w:r>
      <w:r>
        <w:rPr>
          <w:color w:val="auto"/>
          <w:u w:val="single"/>
        </w:rPr>
        <w:t>2063</w:t>
      </w:r>
      <w:r>
        <w:rPr>
          <w:rFonts w:hint="eastAsia"/>
          <w:color w:val="auto"/>
          <w:u w:val="single"/>
        </w:rPr>
        <w:t>株，植香樟</w:t>
      </w:r>
      <w:r>
        <w:rPr>
          <w:color w:val="auto"/>
          <w:u w:val="single"/>
        </w:rPr>
        <w:t>2063</w:t>
      </w:r>
      <w:r>
        <w:rPr>
          <w:rFonts w:hint="eastAsia"/>
          <w:color w:val="auto"/>
          <w:u w:val="single"/>
        </w:rPr>
        <w:t>株，植紫穗槐</w:t>
      </w:r>
      <w:r>
        <w:rPr>
          <w:color w:val="auto"/>
          <w:u w:val="single"/>
        </w:rPr>
        <w:t>8253</w:t>
      </w:r>
      <w:r>
        <w:rPr>
          <w:rFonts w:hint="eastAsia"/>
          <w:color w:val="auto"/>
          <w:u w:val="single"/>
        </w:rPr>
        <w:t>株。</w:t>
      </w:r>
    </w:p>
    <w:p>
      <w:pPr>
        <w:pStyle w:val="168"/>
        <w:ind w:firstLine="480"/>
        <w:rPr>
          <w:rFonts w:hint="eastAsia"/>
          <w:color w:val="auto"/>
          <w:u w:val="single"/>
          <w:lang w:val="en-US" w:eastAsia="zh-CN"/>
        </w:rPr>
      </w:pPr>
      <w:r>
        <w:rPr>
          <w:rFonts w:hint="eastAsia"/>
          <w:color w:val="auto"/>
          <w:u w:val="single"/>
          <w:lang w:val="en-US" w:eastAsia="zh-CN"/>
        </w:rPr>
        <w:t>防治措施:</w:t>
      </w:r>
    </w:p>
    <w:p>
      <w:pPr>
        <w:pStyle w:val="168"/>
        <w:ind w:firstLine="480"/>
        <w:rPr>
          <w:color w:val="auto"/>
          <w:u w:val="single"/>
        </w:rPr>
      </w:pPr>
      <w:r>
        <w:rPr>
          <w:rFonts w:hint="eastAsia"/>
          <w:color w:val="auto"/>
          <w:u w:val="single"/>
        </w:rPr>
        <w:t>1</w:t>
      </w:r>
      <w:r>
        <w:rPr>
          <w:color w:val="auto"/>
          <w:u w:val="single"/>
        </w:rPr>
        <w:t>、排水措施</w:t>
      </w:r>
    </w:p>
    <w:p>
      <w:pPr>
        <w:pStyle w:val="168"/>
        <w:ind w:firstLine="480"/>
        <w:rPr>
          <w:color w:val="auto"/>
          <w:u w:val="single"/>
        </w:rPr>
      </w:pPr>
      <w:r>
        <w:rPr>
          <w:rFonts w:hint="eastAsia"/>
          <w:color w:val="auto"/>
          <w:u w:val="single"/>
        </w:rPr>
        <w:t>（</w:t>
      </w:r>
      <w:r>
        <w:rPr>
          <w:color w:val="auto"/>
          <w:u w:val="single"/>
        </w:rPr>
        <w:t>1</w:t>
      </w:r>
      <w:r>
        <w:rPr>
          <w:rFonts w:hint="eastAsia"/>
          <w:color w:val="auto"/>
          <w:u w:val="single"/>
        </w:rPr>
        <w:t>）</w:t>
      </w:r>
      <w:r>
        <w:rPr>
          <w:color w:val="auto"/>
          <w:u w:val="single"/>
        </w:rPr>
        <w:t>施工过程中在路基两侧开挖临时排水沟；</w:t>
      </w:r>
    </w:p>
    <w:p>
      <w:pPr>
        <w:pStyle w:val="168"/>
        <w:ind w:firstLine="480"/>
        <w:rPr>
          <w:color w:val="auto"/>
          <w:u w:val="single"/>
        </w:rPr>
      </w:pPr>
      <w:r>
        <w:rPr>
          <w:rFonts w:hint="eastAsia"/>
          <w:color w:val="auto"/>
          <w:u w:val="single"/>
        </w:rPr>
        <w:t>（</w:t>
      </w:r>
      <w:r>
        <w:rPr>
          <w:color w:val="auto"/>
          <w:u w:val="single"/>
        </w:rPr>
        <w:t>2</w:t>
      </w:r>
      <w:r>
        <w:rPr>
          <w:rFonts w:hint="eastAsia"/>
          <w:color w:val="auto"/>
          <w:u w:val="single"/>
        </w:rPr>
        <w:t>）</w:t>
      </w:r>
      <w:r>
        <w:rPr>
          <w:color w:val="auto"/>
          <w:u w:val="single"/>
        </w:rPr>
        <w:t>各类排水沟出口设置沉沙池，连接周边溪沟或其它排水系统。</w:t>
      </w:r>
    </w:p>
    <w:p>
      <w:pPr>
        <w:pStyle w:val="167"/>
        <w:rPr>
          <w:b w:val="0"/>
          <w:color w:val="auto"/>
          <w:u w:val="single"/>
        </w:rPr>
      </w:pPr>
      <w:r>
        <w:rPr>
          <w:rFonts w:hint="eastAsia"/>
          <w:b w:val="0"/>
          <w:color w:val="auto"/>
          <w:u w:val="single"/>
        </w:rPr>
        <w:t>2</w:t>
      </w:r>
      <w:r>
        <w:rPr>
          <w:b w:val="0"/>
          <w:color w:val="auto"/>
          <w:u w:val="single"/>
        </w:rPr>
        <w:t>、表土剥离与防护措施</w:t>
      </w:r>
    </w:p>
    <w:p>
      <w:pPr>
        <w:pStyle w:val="168"/>
        <w:ind w:firstLine="480"/>
        <w:rPr>
          <w:color w:val="auto"/>
          <w:u w:val="single"/>
        </w:rPr>
      </w:pPr>
      <w:r>
        <w:rPr>
          <w:color w:val="auto"/>
          <w:u w:val="single"/>
        </w:rPr>
        <w:t>施工前，将场地内农林用地的表土剥离并集中保存，以保护珍贵的土壤资源，并对表土堆置采取周边排水及覆盖措施；</w:t>
      </w:r>
    </w:p>
    <w:p>
      <w:pPr>
        <w:pStyle w:val="167"/>
        <w:rPr>
          <w:b w:val="0"/>
          <w:color w:val="auto"/>
          <w:u w:val="single"/>
        </w:rPr>
      </w:pPr>
      <w:r>
        <w:rPr>
          <w:rFonts w:hint="eastAsia"/>
          <w:b w:val="0"/>
          <w:color w:val="auto"/>
          <w:u w:val="single"/>
        </w:rPr>
        <w:t>3</w:t>
      </w:r>
      <w:r>
        <w:rPr>
          <w:b w:val="0"/>
          <w:color w:val="auto"/>
          <w:u w:val="single"/>
        </w:rPr>
        <w:t>、整地及迹地恢复措施</w:t>
      </w:r>
    </w:p>
    <w:p>
      <w:pPr>
        <w:pStyle w:val="168"/>
        <w:ind w:firstLine="480"/>
        <w:rPr>
          <w:color w:val="auto"/>
          <w:u w:val="single"/>
        </w:rPr>
      </w:pPr>
      <w:r>
        <w:rPr>
          <w:color w:val="auto"/>
          <w:u w:val="single"/>
        </w:rPr>
        <w:t>从实地调查可知，施工便道迹地植物生长的立地条件较好，土层较厚，对迹地落实整地措施后可满足水土保持植物生长的需要。方案设计在施工便道路基边坡采用</w:t>
      </w:r>
      <w:r>
        <w:rPr>
          <w:rFonts w:hint="eastAsia"/>
          <w:color w:val="auto"/>
          <w:u w:val="single"/>
        </w:rPr>
        <w:t>撒播</w:t>
      </w:r>
      <w:r>
        <w:rPr>
          <w:color w:val="auto"/>
          <w:u w:val="single"/>
        </w:rPr>
        <w:t>草籽防护，施工期在路面及边坡以灌草结合栽植水土保持林草植被。施工结束后恢复施工迹地的植被，林草措施包括栽植</w:t>
      </w:r>
      <w:r>
        <w:rPr>
          <w:rFonts w:hint="eastAsia"/>
          <w:color w:val="auto"/>
          <w:u w:val="single"/>
          <w:lang w:eastAsia="zh-CN"/>
        </w:rPr>
        <w:t>香樟</w:t>
      </w:r>
      <w:r>
        <w:rPr>
          <w:rFonts w:hint="eastAsia"/>
          <w:color w:val="auto"/>
          <w:u w:val="single"/>
        </w:rPr>
        <w:t>、枫香、紫穗槐</w:t>
      </w:r>
      <w:r>
        <w:rPr>
          <w:color w:val="auto"/>
          <w:u w:val="single"/>
        </w:rPr>
        <w:t>和撒播草籽。</w:t>
      </w:r>
    </w:p>
    <w:p>
      <w:pPr>
        <w:pStyle w:val="5"/>
        <w:ind w:left="567" w:hanging="567"/>
        <w:rPr>
          <w:u w:val="single"/>
        </w:rPr>
      </w:pPr>
      <w:r>
        <w:rPr>
          <w:rFonts w:hint="eastAsia"/>
          <w:u w:val="single"/>
        </w:rPr>
        <w:t>施工生产生活区</w:t>
      </w:r>
    </w:p>
    <w:p>
      <w:pPr>
        <w:pStyle w:val="168"/>
        <w:ind w:firstLine="31680"/>
        <w:rPr>
          <w:rFonts w:hint="eastAsia"/>
          <w:u w:val="single"/>
        </w:rPr>
      </w:pPr>
      <w:r>
        <w:rPr>
          <w:rFonts w:hint="eastAsia"/>
          <w:u w:val="single"/>
        </w:rPr>
        <w:t>施工生产生活区主要是施工期场地周边排水及迹地的林草恢复。工程量为：复耕</w:t>
      </w:r>
      <w:r>
        <w:rPr>
          <w:u w:val="single"/>
        </w:rPr>
        <w:t>2.23hm</w:t>
      </w:r>
      <w:r>
        <w:rPr>
          <w:u w:val="single"/>
          <w:vertAlign w:val="superscript"/>
        </w:rPr>
        <w:t>2</w:t>
      </w:r>
      <w:r>
        <w:rPr>
          <w:rFonts w:hint="eastAsia"/>
          <w:u w:val="single"/>
        </w:rPr>
        <w:t>；表土剥离</w:t>
      </w:r>
      <w:r>
        <w:rPr>
          <w:u w:val="single"/>
        </w:rPr>
        <w:t>0.45</w:t>
      </w:r>
      <w:r>
        <w:rPr>
          <w:rFonts w:hint="eastAsia"/>
          <w:u w:val="single"/>
        </w:rPr>
        <w:t>万</w:t>
      </w:r>
      <w:r>
        <w:rPr>
          <w:u w:val="single"/>
        </w:rPr>
        <w:t>m</w:t>
      </w:r>
      <w:r>
        <w:rPr>
          <w:u w:val="single"/>
          <w:vertAlign w:val="superscript"/>
        </w:rPr>
        <w:t>3</w:t>
      </w:r>
      <w:r>
        <w:rPr>
          <w:rFonts w:hint="eastAsia"/>
          <w:u w:val="single"/>
        </w:rPr>
        <w:t>，表土回填</w:t>
      </w:r>
      <w:r>
        <w:rPr>
          <w:u w:val="single"/>
        </w:rPr>
        <w:t>0.45</w:t>
      </w:r>
      <w:r>
        <w:rPr>
          <w:rFonts w:hint="eastAsia"/>
          <w:u w:val="single"/>
        </w:rPr>
        <w:t>万</w:t>
      </w:r>
      <w:r>
        <w:rPr>
          <w:u w:val="single"/>
        </w:rPr>
        <w:t>m</w:t>
      </w:r>
      <w:r>
        <w:rPr>
          <w:u w:val="single"/>
          <w:vertAlign w:val="superscript"/>
        </w:rPr>
        <w:t>3</w:t>
      </w:r>
      <w:r>
        <w:rPr>
          <w:rFonts w:hint="eastAsia"/>
          <w:u w:val="single"/>
        </w:rPr>
        <w:t>，临时排水沟</w:t>
      </w:r>
      <w:r>
        <w:rPr>
          <w:u w:val="single"/>
        </w:rPr>
        <w:t>1237m</w:t>
      </w:r>
      <w:r>
        <w:rPr>
          <w:rFonts w:hint="eastAsia"/>
          <w:u w:val="single"/>
        </w:rPr>
        <w:t>，临时沉沙池</w:t>
      </w:r>
      <w:r>
        <w:rPr>
          <w:u w:val="single"/>
        </w:rPr>
        <w:t>3</w:t>
      </w:r>
      <w:r>
        <w:rPr>
          <w:rFonts w:hint="eastAsia"/>
          <w:u w:val="single"/>
        </w:rPr>
        <w:t>个，彩条布覆盖</w:t>
      </w:r>
      <w:r>
        <w:rPr>
          <w:u w:val="single"/>
        </w:rPr>
        <w:t>1.99hm</w:t>
      </w:r>
      <w:r>
        <w:rPr>
          <w:u w:val="single"/>
          <w:vertAlign w:val="superscript"/>
        </w:rPr>
        <w:t>2</w:t>
      </w:r>
      <w:r>
        <w:rPr>
          <w:rFonts w:hint="eastAsia"/>
          <w:u w:val="single"/>
        </w:rPr>
        <w:t>。</w:t>
      </w:r>
    </w:p>
    <w:p>
      <w:pPr>
        <w:pStyle w:val="168"/>
        <w:ind w:firstLine="31680"/>
        <w:rPr>
          <w:rFonts w:hint="eastAsia"/>
          <w:u w:val="single"/>
          <w:lang w:val="en-US" w:eastAsia="zh-CN"/>
        </w:rPr>
      </w:pPr>
      <w:r>
        <w:rPr>
          <w:rFonts w:hint="eastAsia"/>
          <w:u w:val="single"/>
          <w:lang w:val="en-US" w:eastAsia="zh-CN"/>
        </w:rPr>
        <w:t>防治措施：</w:t>
      </w:r>
    </w:p>
    <w:p>
      <w:pPr>
        <w:pStyle w:val="167"/>
        <w:rPr>
          <w:b w:val="0"/>
          <w:color w:val="auto"/>
          <w:u w:val="single"/>
        </w:rPr>
      </w:pPr>
      <w:r>
        <w:rPr>
          <w:rFonts w:hint="eastAsia"/>
          <w:b w:val="0"/>
          <w:color w:val="auto"/>
          <w:u w:val="single"/>
          <w:lang w:val="en-US" w:eastAsia="zh-CN"/>
        </w:rPr>
        <w:t>①</w:t>
      </w:r>
      <w:r>
        <w:rPr>
          <w:b w:val="0"/>
          <w:color w:val="auto"/>
          <w:u w:val="single"/>
        </w:rPr>
        <w:t>排水措施</w:t>
      </w:r>
    </w:p>
    <w:p>
      <w:pPr>
        <w:pStyle w:val="168"/>
        <w:ind w:firstLine="480"/>
        <w:rPr>
          <w:color w:val="auto"/>
          <w:u w:val="single"/>
        </w:rPr>
      </w:pPr>
      <w:r>
        <w:rPr>
          <w:color w:val="auto"/>
          <w:u w:val="single"/>
        </w:rPr>
        <w:t>各施工生产生活区周边布设临时排水沟，在表土堆置外围开挖临时排水沟，用于排除场地内外积水，排水沟末端需增设沉沙池，连接自然水系或公路排水系统；</w:t>
      </w:r>
    </w:p>
    <w:p>
      <w:pPr>
        <w:pStyle w:val="167"/>
        <w:rPr>
          <w:b w:val="0"/>
          <w:color w:val="auto"/>
          <w:u w:val="single"/>
        </w:rPr>
      </w:pPr>
      <w:r>
        <w:rPr>
          <w:rFonts w:hint="eastAsia"/>
          <w:b w:val="0"/>
          <w:color w:val="auto"/>
          <w:u w:val="single"/>
          <w:lang w:val="en-US" w:eastAsia="zh-CN"/>
        </w:rPr>
        <w:t>②</w:t>
      </w:r>
      <w:r>
        <w:rPr>
          <w:b w:val="0"/>
          <w:color w:val="auto"/>
          <w:u w:val="single"/>
        </w:rPr>
        <w:t>表土剥离与防护</w:t>
      </w:r>
    </w:p>
    <w:p>
      <w:pPr>
        <w:pStyle w:val="168"/>
        <w:ind w:firstLine="480"/>
        <w:rPr>
          <w:color w:val="auto"/>
          <w:u w:val="single"/>
        </w:rPr>
      </w:pPr>
      <w:r>
        <w:rPr>
          <w:color w:val="auto"/>
          <w:u w:val="single"/>
        </w:rPr>
        <w:t>施工前，将施工区内地面表土剥离并集中保存，拟对临时堆土区采取临时覆盖措施，临时堆土表面应夯实，防止表面土壤颗粒滑动，减少降雨时土壤侵蚀量。</w:t>
      </w:r>
    </w:p>
    <w:p>
      <w:pPr>
        <w:pStyle w:val="168"/>
        <w:snapToGrid/>
        <w:ind w:firstLine="480"/>
        <w:rPr>
          <w:bCs/>
          <w:color w:val="auto"/>
          <w:u w:val="single"/>
        </w:rPr>
      </w:pPr>
      <w:r>
        <w:rPr>
          <w:rFonts w:hint="eastAsia"/>
          <w:bCs/>
          <w:color w:val="auto"/>
          <w:u w:val="single"/>
          <w:lang w:val="en-US" w:eastAsia="zh-CN"/>
        </w:rPr>
        <w:t>③</w:t>
      </w:r>
      <w:r>
        <w:rPr>
          <w:bCs/>
          <w:color w:val="auto"/>
          <w:u w:val="single"/>
        </w:rPr>
        <w:t>整地及迹地恢复措施</w:t>
      </w:r>
    </w:p>
    <w:p>
      <w:pPr>
        <w:pStyle w:val="168"/>
        <w:snapToGrid/>
        <w:ind w:firstLine="480"/>
        <w:rPr>
          <w:color w:val="auto"/>
          <w:u w:val="single"/>
        </w:rPr>
      </w:pPr>
      <w:r>
        <w:rPr>
          <w:color w:val="auto"/>
          <w:szCs w:val="28"/>
          <w:u w:val="single"/>
        </w:rPr>
        <w:t>施工结束后，</w:t>
      </w:r>
      <w:r>
        <w:rPr>
          <w:color w:val="auto"/>
          <w:u w:val="single"/>
        </w:rPr>
        <w:t>需将硬化地面、碎石路面全部拆除，拆除后进行场地平整，覆盖表土，恢复为</w:t>
      </w:r>
      <w:r>
        <w:rPr>
          <w:rFonts w:hint="eastAsia"/>
          <w:color w:val="auto"/>
          <w:u w:val="single"/>
          <w:lang w:eastAsia="zh-CN"/>
        </w:rPr>
        <w:t>耕地</w:t>
      </w:r>
      <w:r>
        <w:rPr>
          <w:color w:val="auto"/>
          <w:u w:val="single"/>
        </w:rPr>
        <w:t>。</w:t>
      </w:r>
    </w:p>
    <w:p>
      <w:pPr>
        <w:pStyle w:val="4"/>
        <w:widowControl/>
        <w:ind w:left="567" w:hanging="567"/>
        <w:jc w:val="left"/>
      </w:pPr>
      <w:bookmarkStart w:id="273" w:name="_Toc18851"/>
      <w:r>
        <w:rPr>
          <w:rFonts w:hint="eastAsia"/>
        </w:rPr>
        <w:t>水土保持监测</w:t>
      </w:r>
      <w:bookmarkEnd w:id="273"/>
    </w:p>
    <w:p>
      <w:pPr>
        <w:spacing w:line="360" w:lineRule="auto"/>
        <w:ind w:firstLine="31680" w:firstLineChars="200"/>
        <w:rPr>
          <w:sz w:val="24"/>
          <w:szCs w:val="24"/>
        </w:rPr>
      </w:pPr>
      <w:r>
        <w:rPr>
          <w:rFonts w:hint="eastAsia"/>
          <w:sz w:val="24"/>
          <w:szCs w:val="24"/>
        </w:rPr>
        <w:t>本工程监测时段从</w:t>
      </w:r>
      <w:r>
        <w:rPr>
          <w:sz w:val="24"/>
          <w:szCs w:val="24"/>
        </w:rPr>
        <w:t>2017</w:t>
      </w:r>
      <w:r>
        <w:rPr>
          <w:rFonts w:hint="eastAsia"/>
          <w:sz w:val="24"/>
          <w:szCs w:val="24"/>
        </w:rPr>
        <w:t>年</w:t>
      </w:r>
      <w:r>
        <w:rPr>
          <w:rFonts w:hint="eastAsia"/>
          <w:sz w:val="24"/>
          <w:szCs w:val="24"/>
          <w:lang w:val="en-US" w:eastAsia="zh-CN"/>
        </w:rPr>
        <w:t>5</w:t>
      </w:r>
      <w:r>
        <w:rPr>
          <w:rFonts w:hint="eastAsia"/>
          <w:sz w:val="24"/>
          <w:szCs w:val="24"/>
        </w:rPr>
        <w:t>月开始至</w:t>
      </w:r>
      <w:r>
        <w:rPr>
          <w:sz w:val="24"/>
          <w:szCs w:val="24"/>
        </w:rPr>
        <w:t>2019</w:t>
      </w:r>
      <w:r>
        <w:rPr>
          <w:rFonts w:hint="eastAsia"/>
          <w:sz w:val="24"/>
          <w:szCs w:val="24"/>
        </w:rPr>
        <w:t>年</w:t>
      </w:r>
      <w:r>
        <w:rPr>
          <w:rFonts w:hint="eastAsia"/>
          <w:sz w:val="24"/>
          <w:szCs w:val="24"/>
          <w:lang w:val="en-US" w:eastAsia="zh-CN"/>
        </w:rPr>
        <w:t>10</w:t>
      </w:r>
      <w:r>
        <w:rPr>
          <w:rFonts w:hint="eastAsia"/>
          <w:sz w:val="24"/>
          <w:szCs w:val="24"/>
        </w:rPr>
        <w:t>月，监测期共计</w:t>
      </w:r>
      <w:r>
        <w:rPr>
          <w:sz w:val="24"/>
          <w:szCs w:val="24"/>
        </w:rPr>
        <w:t>2.5</w:t>
      </w:r>
      <w:r>
        <w:rPr>
          <w:rFonts w:hint="eastAsia"/>
          <w:sz w:val="24"/>
          <w:szCs w:val="24"/>
        </w:rPr>
        <w:t>年，其中施工期</w:t>
      </w:r>
      <w:r>
        <w:rPr>
          <w:sz w:val="24"/>
          <w:szCs w:val="24"/>
        </w:rPr>
        <w:t>1.5</w:t>
      </w:r>
      <w:r>
        <w:rPr>
          <w:rFonts w:hint="eastAsia"/>
          <w:sz w:val="24"/>
          <w:szCs w:val="24"/>
        </w:rPr>
        <w:t>年，自然恢复期</w:t>
      </w:r>
      <w:r>
        <w:rPr>
          <w:sz w:val="24"/>
          <w:szCs w:val="24"/>
        </w:rPr>
        <w:t>1</w:t>
      </w:r>
      <w:r>
        <w:rPr>
          <w:rFonts w:hint="eastAsia"/>
          <w:sz w:val="24"/>
          <w:szCs w:val="24"/>
        </w:rPr>
        <w:t>年。监测内容为水土保持生态环境变化、水土流失动态监测及水土保持措施防治效果监测。</w:t>
      </w:r>
    </w:p>
    <w:p>
      <w:pPr>
        <w:spacing w:line="360" w:lineRule="auto"/>
        <w:ind w:firstLine="31680" w:firstLineChars="200"/>
        <w:rPr>
          <w:sz w:val="24"/>
          <w:szCs w:val="24"/>
        </w:rPr>
      </w:pPr>
      <w:r>
        <w:rPr>
          <w:rFonts w:hint="eastAsia"/>
          <w:sz w:val="24"/>
          <w:szCs w:val="24"/>
        </w:rPr>
        <w:t>项目监测方法拟采用定点监测与调查监测相结合的方法，共布设固定监测点</w:t>
      </w:r>
      <w:r>
        <w:rPr>
          <w:sz w:val="24"/>
          <w:szCs w:val="24"/>
        </w:rPr>
        <w:t>12</w:t>
      </w:r>
      <w:r>
        <w:rPr>
          <w:rFonts w:hint="eastAsia"/>
          <w:sz w:val="24"/>
          <w:szCs w:val="24"/>
        </w:rPr>
        <w:t>处，其中本方案设简易坡面观测场法监测点</w:t>
      </w:r>
      <w:r>
        <w:rPr>
          <w:sz w:val="24"/>
          <w:szCs w:val="24"/>
        </w:rPr>
        <w:t>7</w:t>
      </w:r>
      <w:r>
        <w:rPr>
          <w:rFonts w:hint="eastAsia"/>
          <w:sz w:val="24"/>
          <w:szCs w:val="24"/>
        </w:rPr>
        <w:t>处，分别布设在弃渣场</w:t>
      </w:r>
      <w:r>
        <w:rPr>
          <w:sz w:val="24"/>
          <w:szCs w:val="24"/>
        </w:rPr>
        <w:t>K0+000</w:t>
      </w:r>
      <w:r>
        <w:rPr>
          <w:rFonts w:hint="eastAsia"/>
          <w:sz w:val="24"/>
          <w:szCs w:val="24"/>
        </w:rPr>
        <w:t>、</w:t>
      </w:r>
      <w:r>
        <w:rPr>
          <w:sz w:val="24"/>
          <w:szCs w:val="24"/>
        </w:rPr>
        <w:t>K4+200</w:t>
      </w:r>
      <w:r>
        <w:rPr>
          <w:rFonts w:hint="eastAsia"/>
          <w:sz w:val="24"/>
          <w:szCs w:val="24"/>
        </w:rPr>
        <w:t>和</w:t>
      </w:r>
      <w:r>
        <w:rPr>
          <w:sz w:val="24"/>
          <w:szCs w:val="24"/>
        </w:rPr>
        <w:t>K7+770</w:t>
      </w:r>
      <w:r>
        <w:rPr>
          <w:rFonts w:hint="eastAsia"/>
          <w:sz w:val="24"/>
          <w:szCs w:val="24"/>
        </w:rPr>
        <w:t>弃渣边坡；路基</w:t>
      </w:r>
      <w:r>
        <w:rPr>
          <w:sz w:val="24"/>
          <w:szCs w:val="24"/>
        </w:rPr>
        <w:t>K0+930</w:t>
      </w:r>
      <w:r>
        <w:rPr>
          <w:rFonts w:hint="eastAsia"/>
          <w:sz w:val="24"/>
          <w:szCs w:val="24"/>
        </w:rPr>
        <w:t>和</w:t>
      </w:r>
      <w:r>
        <w:rPr>
          <w:sz w:val="24"/>
          <w:szCs w:val="24"/>
        </w:rPr>
        <w:t>K3+330</w:t>
      </w:r>
      <w:r>
        <w:rPr>
          <w:rFonts w:hint="eastAsia"/>
          <w:sz w:val="24"/>
          <w:szCs w:val="24"/>
        </w:rPr>
        <w:t>路堤边坡；路基</w:t>
      </w:r>
      <w:r>
        <w:rPr>
          <w:sz w:val="24"/>
          <w:szCs w:val="24"/>
        </w:rPr>
        <w:t xml:space="preserve"> K5+640</w:t>
      </w:r>
      <w:r>
        <w:rPr>
          <w:rFonts w:hint="eastAsia"/>
          <w:sz w:val="24"/>
          <w:szCs w:val="24"/>
        </w:rPr>
        <w:t>和</w:t>
      </w:r>
      <w:r>
        <w:rPr>
          <w:sz w:val="24"/>
          <w:szCs w:val="24"/>
        </w:rPr>
        <w:t>K7+400</w:t>
      </w:r>
      <w:r>
        <w:rPr>
          <w:rFonts w:hint="eastAsia"/>
          <w:sz w:val="24"/>
          <w:szCs w:val="24"/>
        </w:rPr>
        <w:t>路堑边坡。沉砂池法监测点</w:t>
      </w:r>
      <w:r>
        <w:rPr>
          <w:sz w:val="24"/>
          <w:szCs w:val="24"/>
        </w:rPr>
        <w:t>5</w:t>
      </w:r>
      <w:r>
        <w:rPr>
          <w:rFonts w:hint="eastAsia"/>
          <w:sz w:val="24"/>
          <w:szCs w:val="24"/>
        </w:rPr>
        <w:t>个，布设在</w:t>
      </w:r>
      <w:r>
        <w:rPr>
          <w:sz w:val="24"/>
          <w:szCs w:val="24"/>
        </w:rPr>
        <w:t>K4+950</w:t>
      </w:r>
      <w:r>
        <w:rPr>
          <w:rFonts w:hint="eastAsia"/>
          <w:sz w:val="24"/>
          <w:szCs w:val="24"/>
        </w:rPr>
        <w:t>施工生产生活区、</w:t>
      </w:r>
      <w:r>
        <w:rPr>
          <w:sz w:val="24"/>
          <w:szCs w:val="24"/>
        </w:rPr>
        <w:t>K0+640</w:t>
      </w:r>
      <w:r>
        <w:rPr>
          <w:rFonts w:hint="eastAsia"/>
          <w:sz w:val="24"/>
          <w:szCs w:val="24"/>
        </w:rPr>
        <w:t>、</w:t>
      </w:r>
      <w:r>
        <w:rPr>
          <w:sz w:val="24"/>
          <w:szCs w:val="24"/>
        </w:rPr>
        <w:t>K2+090</w:t>
      </w:r>
      <w:r>
        <w:rPr>
          <w:rFonts w:hint="eastAsia"/>
          <w:sz w:val="24"/>
          <w:szCs w:val="24"/>
        </w:rPr>
        <w:t>和</w:t>
      </w:r>
      <w:r>
        <w:rPr>
          <w:sz w:val="24"/>
          <w:szCs w:val="24"/>
        </w:rPr>
        <w:t>K2+550</w:t>
      </w:r>
      <w:r>
        <w:rPr>
          <w:rFonts w:hint="eastAsia"/>
          <w:sz w:val="24"/>
          <w:szCs w:val="24"/>
        </w:rPr>
        <w:t>路基工程区以及</w:t>
      </w:r>
      <w:r>
        <w:rPr>
          <w:sz w:val="24"/>
          <w:szCs w:val="24"/>
        </w:rPr>
        <w:t>K2+330</w:t>
      </w:r>
      <w:r>
        <w:rPr>
          <w:rFonts w:hint="eastAsia"/>
          <w:sz w:val="24"/>
          <w:szCs w:val="24"/>
        </w:rPr>
        <w:t>桥梁出水口的排水沟出口处。监测成果应及时进行整编，并定期向水行政主管部门提交监测报告。</w:t>
      </w:r>
    </w:p>
    <w:p>
      <w:pPr>
        <w:pStyle w:val="4"/>
        <w:ind w:left="567" w:hanging="567"/>
      </w:pPr>
      <w:bookmarkStart w:id="274" w:name="_Toc3461"/>
      <w:r>
        <w:rPr>
          <w:rFonts w:hint="eastAsia"/>
        </w:rPr>
        <w:t>水土保持投资估算及效益分析</w:t>
      </w:r>
      <w:bookmarkEnd w:id="274"/>
    </w:p>
    <w:p>
      <w:pPr>
        <w:pStyle w:val="168"/>
        <w:ind w:firstLine="31680"/>
      </w:pPr>
      <w:bookmarkStart w:id="275" w:name="_Toc216578821"/>
      <w:bookmarkStart w:id="276" w:name="_Toc228182379"/>
      <w:r>
        <w:rPr>
          <w:rFonts w:hint="eastAsia"/>
        </w:rPr>
        <w:t>本项目水土保持总投资</w:t>
      </w:r>
      <w:r>
        <w:t>2130.16</w:t>
      </w:r>
      <w:r>
        <w:rPr>
          <w:rFonts w:hint="eastAsia"/>
        </w:rPr>
        <w:t>万元，其中主体已有</w:t>
      </w:r>
      <w:r>
        <w:t>1139.70</w:t>
      </w:r>
      <w:r>
        <w:rPr>
          <w:rFonts w:hint="eastAsia"/>
        </w:rPr>
        <w:t>万元，方案新增</w:t>
      </w:r>
      <w:r>
        <w:t>990.46</w:t>
      </w:r>
      <w:r>
        <w:rPr>
          <w:rFonts w:hint="eastAsia"/>
        </w:rPr>
        <w:t>万元。总投资中工程措施费为</w:t>
      </w:r>
      <w:r>
        <w:t>1250.77</w:t>
      </w:r>
      <w:r>
        <w:rPr>
          <w:rFonts w:hint="eastAsia"/>
        </w:rPr>
        <w:t>万元，植物措施费为</w:t>
      </w:r>
      <w:r>
        <w:t>548.69</w:t>
      </w:r>
      <w:r>
        <w:rPr>
          <w:rFonts w:hint="eastAsia"/>
        </w:rPr>
        <w:t>万元，临时工程费用为</w:t>
      </w:r>
      <w:r>
        <w:t>72.31</w:t>
      </w:r>
      <w:r>
        <w:rPr>
          <w:rFonts w:hint="eastAsia"/>
        </w:rPr>
        <w:t>万元，独立费用为</w:t>
      </w:r>
      <w:r>
        <w:t>146.81</w:t>
      </w:r>
      <w:r>
        <w:rPr>
          <w:rFonts w:hint="eastAsia"/>
        </w:rPr>
        <w:t>万元（其中监理费为</w:t>
      </w:r>
      <w:r>
        <w:t>16.86</w:t>
      </w:r>
      <w:r>
        <w:rPr>
          <w:rFonts w:hint="eastAsia"/>
        </w:rPr>
        <w:t>万元，监测费为</w:t>
      </w:r>
      <w:r>
        <w:t>48.59</w:t>
      </w:r>
      <w:r>
        <w:rPr>
          <w:rFonts w:hint="eastAsia"/>
        </w:rPr>
        <w:t>万元），基本预备费为</w:t>
      </w:r>
      <w:r>
        <w:t>52.75</w:t>
      </w:r>
      <w:r>
        <w:rPr>
          <w:rFonts w:hint="eastAsia"/>
        </w:rPr>
        <w:t>万元，水土保持补偿费</w:t>
      </w:r>
      <w:r>
        <w:t>58.83</w:t>
      </w:r>
      <w:r>
        <w:rPr>
          <w:rFonts w:hint="eastAsia"/>
        </w:rPr>
        <w:t>万元。</w:t>
      </w:r>
    </w:p>
    <w:p>
      <w:pPr>
        <w:pStyle w:val="168"/>
        <w:ind w:firstLine="31680"/>
      </w:pPr>
      <w:r>
        <w:rPr>
          <w:rFonts w:hint="eastAsia"/>
        </w:rPr>
        <w:t>经分析，本方案实施后，水土保持方案中的各区水土保持防治措施在设计的基础上通过实施和良好运行将产生明显的保水、保土效益。本方案实施后（设计水平年），通过本方案水土保持措施的实施，共整治水土流失面积</w:t>
      </w:r>
      <w:r>
        <w:t>23.67hm</w:t>
      </w:r>
      <w:r>
        <w:rPr>
          <w:vertAlign w:val="superscript"/>
        </w:rPr>
        <w:t>2</w:t>
      </w:r>
      <w:r>
        <w:rPr>
          <w:rFonts w:hint="eastAsia"/>
        </w:rPr>
        <w:t>，扰动土地治理率超</w:t>
      </w:r>
      <w:r>
        <w:t>99%</w:t>
      </w:r>
      <w:r>
        <w:rPr>
          <w:rFonts w:hint="eastAsia"/>
        </w:rPr>
        <w:t>。本方案实施后，可减少水土流失量</w:t>
      </w:r>
      <w:r>
        <w:t>5556t</w:t>
      </w:r>
      <w:r>
        <w:rPr>
          <w:rFonts w:hint="eastAsia"/>
        </w:rPr>
        <w:t>，减沙减蚀率达到</w:t>
      </w:r>
      <w:r>
        <w:t>90%</w:t>
      </w:r>
      <w:r>
        <w:rPr>
          <w:rFonts w:hint="eastAsia"/>
        </w:rPr>
        <w:t>以上，可达到如下目标：工程扰动土地整治率为</w:t>
      </w:r>
      <w:r>
        <w:t>99</w:t>
      </w:r>
      <w:r>
        <w:rPr>
          <w:rFonts w:hint="eastAsia"/>
        </w:rPr>
        <w:t>％，水土流失总治理度为</w:t>
      </w:r>
      <w:r>
        <w:t>99</w:t>
      </w:r>
      <w:r>
        <w:rPr>
          <w:rFonts w:hint="eastAsia"/>
        </w:rPr>
        <w:t>％，土壤流失控制比为</w:t>
      </w:r>
      <w:r>
        <w:t>1.0</w:t>
      </w:r>
      <w:r>
        <w:rPr>
          <w:rFonts w:hint="eastAsia"/>
        </w:rPr>
        <w:t>，拦渣率为</w:t>
      </w:r>
      <w:r>
        <w:t>99</w:t>
      </w:r>
      <w:r>
        <w:rPr>
          <w:rFonts w:hint="eastAsia"/>
        </w:rPr>
        <w:t>％，林草植被恢复率为</w:t>
      </w:r>
      <w:r>
        <w:t>99</w:t>
      </w:r>
      <w:r>
        <w:rPr>
          <w:rFonts w:hint="eastAsia"/>
        </w:rPr>
        <w:t>％，林草覆盖率为</w:t>
      </w:r>
      <w:r>
        <w:t>37</w:t>
      </w:r>
      <w:r>
        <w:rPr>
          <w:rFonts w:hint="eastAsia"/>
        </w:rPr>
        <w:t>％。本方案各项水土保持措施实施后，项目各项指标均能达到或超过预期的治理目标，治理效益是显著的。</w:t>
      </w:r>
    </w:p>
    <w:bookmarkEnd w:id="275"/>
    <w:bookmarkEnd w:id="276"/>
    <w:p>
      <w:pPr>
        <w:pStyle w:val="4"/>
        <w:ind w:left="567" w:hanging="567"/>
      </w:pPr>
      <w:bookmarkStart w:id="277" w:name="_Toc1642"/>
      <w:r>
        <w:rPr>
          <w:rFonts w:hint="eastAsia"/>
        </w:rPr>
        <w:t>综合结论</w:t>
      </w:r>
      <w:bookmarkEnd w:id="277"/>
    </w:p>
    <w:p>
      <w:pPr>
        <w:pStyle w:val="3"/>
        <w:ind w:firstLine="31680"/>
      </w:pPr>
      <w:r>
        <w:rPr>
          <w:rFonts w:hint="eastAsia"/>
        </w:rPr>
        <w:t>从水土保持角度分析，</w:t>
      </w:r>
      <w:r>
        <w:rPr>
          <w:rFonts w:hint="eastAsia"/>
          <w:lang w:eastAsia="zh-CN"/>
        </w:rPr>
        <w:t>弼时镇铜盆至青山铺公路（飞地工业园区主干道桃花路）工程建设项目不违反《水土保持法》、《</w:t>
      </w:r>
      <w:r>
        <w:rPr>
          <w:rFonts w:hint="eastAsia"/>
        </w:rPr>
        <w:t>水利设施用地部关于严格开发建设项目水土保持方案审查审批工作的通知》（水保</w:t>
      </w:r>
      <w:r>
        <w:t>[2007]184</w:t>
      </w:r>
      <w:r>
        <w:rPr>
          <w:rFonts w:hint="eastAsia"/>
        </w:rPr>
        <w:t>号）的有关规定，也符合《开发建设项目水土保持技术规范》</w:t>
      </w:r>
      <w:r>
        <w:t>(GB 50433-2008)</w:t>
      </w:r>
      <w:r>
        <w:rPr>
          <w:rFonts w:hint="eastAsia"/>
        </w:rPr>
        <w:t>有关要求。通过对路线选线、主体工程确定的布局、工程施工组织等方面进行分析，项目区不存在水土保持限制性制约因素</w:t>
      </w:r>
      <w:r>
        <w:rPr>
          <w:rFonts w:hint="eastAsia"/>
          <w:lang w:val="en-GB"/>
        </w:rPr>
        <w:t>，工程建设基本可行。</w:t>
      </w:r>
    </w:p>
    <w:bookmarkEnd w:id="266"/>
    <w:p>
      <w:pPr>
        <w:pStyle w:val="3"/>
        <w:ind w:firstLine="31680"/>
        <w:sectPr>
          <w:pgSz w:w="11906" w:h="16838"/>
          <w:pgMar w:top="1588" w:right="1361" w:bottom="1474" w:left="1588" w:header="851" w:footer="851" w:gutter="0"/>
          <w:pgBorders>
            <w:top w:val="none" w:sz="0" w:space="0"/>
            <w:left w:val="none" w:sz="0" w:space="0"/>
            <w:bottom w:val="none" w:sz="0" w:space="0"/>
            <w:right w:val="none" w:sz="0" w:space="0"/>
          </w:pgBorders>
          <w:cols w:space="425" w:num="1"/>
          <w:docGrid w:linePitch="326" w:charSpace="0"/>
        </w:sectPr>
      </w:pPr>
    </w:p>
    <w:p>
      <w:pPr>
        <w:pStyle w:val="2"/>
        <w:ind w:left="567" w:hanging="567"/>
      </w:pPr>
      <w:bookmarkStart w:id="278" w:name="_Toc408503598"/>
      <w:bookmarkStart w:id="279" w:name="_Toc31567"/>
      <w:bookmarkStart w:id="280" w:name="_Toc243276946"/>
      <w:bookmarkStart w:id="281" w:name="_Toc317762499"/>
      <w:bookmarkStart w:id="282" w:name="_Toc7476"/>
      <w:bookmarkStart w:id="283" w:name="_Toc245802441"/>
      <w:bookmarkStart w:id="284" w:name="_Toc243202397"/>
      <w:bookmarkStart w:id="285" w:name="_Toc376443276"/>
      <w:r>
        <w:rPr>
          <w:rFonts w:hint="eastAsia"/>
        </w:rPr>
        <w:t>环境保护措施</w:t>
      </w:r>
      <w:bookmarkEnd w:id="278"/>
      <w:bookmarkEnd w:id="279"/>
    </w:p>
    <w:p>
      <w:pPr>
        <w:pStyle w:val="4"/>
        <w:ind w:left="567" w:hanging="567"/>
      </w:pPr>
      <w:bookmarkStart w:id="286" w:name="_Toc354558935"/>
      <w:bookmarkStart w:id="287" w:name="_Toc408503599"/>
      <w:bookmarkStart w:id="288" w:name="_Toc13909"/>
      <w:bookmarkStart w:id="289" w:name="_Toc354581918"/>
      <w:bookmarkStart w:id="290" w:name="_Toc354581738"/>
      <w:r>
        <w:rPr>
          <w:rFonts w:hint="eastAsia"/>
        </w:rPr>
        <w:t>设计期环保对策措施</w:t>
      </w:r>
      <w:bookmarkEnd w:id="286"/>
      <w:bookmarkEnd w:id="287"/>
      <w:bookmarkEnd w:id="288"/>
      <w:bookmarkEnd w:id="289"/>
      <w:bookmarkEnd w:id="290"/>
    </w:p>
    <w:p>
      <w:pPr>
        <w:pStyle w:val="5"/>
        <w:ind w:left="567" w:hanging="567"/>
      </w:pPr>
      <w:r>
        <w:rPr>
          <w:rFonts w:hint="eastAsia"/>
        </w:rPr>
        <w:t>设计前期的环保措施</w:t>
      </w:r>
    </w:p>
    <w:p>
      <w:pPr>
        <w:pStyle w:val="3"/>
        <w:ind w:firstLine="31680"/>
      </w:pPr>
      <w:r>
        <w:t>a</w:t>
      </w:r>
      <w:r>
        <w:rPr>
          <w:rFonts w:hint="eastAsia"/>
        </w:rPr>
        <w:t>）在本工程设计中，结合当地生态、自然人文景观、村镇规划、社会环境的实际情况选取了推荐方案。工程在选线定线时，依据地形、地势、地质条件，很大程度上减少了对生态环境和植被的破坏。路线走向注重与当地规划相协调，做到经济技术指标高、平纵面线形美观流畅、工程量小、投资经济、对沿线环境影响小。</w:t>
      </w:r>
    </w:p>
    <w:p>
      <w:pPr>
        <w:pStyle w:val="3"/>
        <w:ind w:firstLine="31680"/>
      </w:pPr>
      <w:r>
        <w:t>b</w:t>
      </w:r>
      <w:r>
        <w:rPr>
          <w:rFonts w:hint="eastAsia"/>
        </w:rPr>
        <w:t>）线路设计上，线路选线消除了公路建设法律障碍，减少了对生态环境的影响。</w:t>
      </w:r>
    </w:p>
    <w:p>
      <w:pPr>
        <w:pStyle w:val="3"/>
        <w:ind w:firstLine="31680"/>
      </w:pPr>
      <w:r>
        <w:t>c</w:t>
      </w:r>
      <w:r>
        <w:rPr>
          <w:rFonts w:hint="eastAsia"/>
        </w:rPr>
        <w:t>）本工程根据项目沿线农田灌溉沟渠布置的实际情况，设置了完善的路面径流和路基过水桥涵，对沿线水利和灌溉等设施不会造成大的影响。</w:t>
      </w:r>
    </w:p>
    <w:p>
      <w:pPr>
        <w:pStyle w:val="3"/>
        <w:ind w:firstLine="31680"/>
      </w:pPr>
      <w:r>
        <w:t>d</w:t>
      </w:r>
      <w:r>
        <w:rPr>
          <w:rFonts w:hint="eastAsia"/>
        </w:rPr>
        <w:t>）在路基设计中力求填挖平衡，避免大填大挖，减少路基占地，减少对生态环境和植被的破坏。</w:t>
      </w:r>
    </w:p>
    <w:p>
      <w:pPr>
        <w:pStyle w:val="3"/>
        <w:ind w:firstLine="31680"/>
      </w:pPr>
      <w:r>
        <w:t>e</w:t>
      </w:r>
      <w:r>
        <w:rPr>
          <w:rFonts w:hint="eastAsia"/>
        </w:rPr>
        <w:t>）路线设计在保证行车安全、舒适、迅速的前提下，使工程数量小，工程开挖量小，造价低，运营费用省，效益好，有利于施工和养护。</w:t>
      </w:r>
    </w:p>
    <w:p>
      <w:pPr>
        <w:pStyle w:val="3"/>
        <w:ind w:firstLine="31680"/>
      </w:pPr>
      <w:r>
        <w:t>f</w:t>
      </w:r>
      <w:r>
        <w:rPr>
          <w:rFonts w:hint="eastAsia"/>
        </w:rPr>
        <w:t>）选线时少占耕地，注意与周围环境自然景观相协调，避绕穿越集镇等居民集中区，减少了工程拆迁量，使人们生产、生活受影响降至最低。</w:t>
      </w:r>
    </w:p>
    <w:p>
      <w:pPr>
        <w:pStyle w:val="3"/>
        <w:ind w:firstLine="31680"/>
      </w:pPr>
      <w:r>
        <w:t>g</w:t>
      </w:r>
      <w:r>
        <w:rPr>
          <w:rFonts w:hint="eastAsia"/>
        </w:rPr>
        <w:t>）路线两侧宜林地带，植树造林，使道路行成绿色林带。</w:t>
      </w:r>
    </w:p>
    <w:p>
      <w:pPr>
        <w:pStyle w:val="3"/>
        <w:ind w:firstLine="31680"/>
      </w:pPr>
      <w:r>
        <w:t>h</w:t>
      </w:r>
      <w:r>
        <w:rPr>
          <w:rFonts w:hint="eastAsia"/>
        </w:rPr>
        <w:t>）在临时施工道路的占地上，尽量利用现有道路做为施工便道，减少了施工过程中对植被的破坏。</w:t>
      </w:r>
    </w:p>
    <w:p>
      <w:pPr>
        <w:pStyle w:val="3"/>
        <w:ind w:firstLine="31680"/>
      </w:pPr>
      <w:r>
        <w:t>i</w:t>
      </w:r>
      <w:r>
        <w:rPr>
          <w:rFonts w:hint="eastAsia"/>
        </w:rPr>
        <w:t>）在施工前全面踏勘电力、通讯设施，并与有关部门协调，共同做好这些基础设施的保护与拆迁工作。拆迁前妥善重建或临时组建电力、通讯线路，保证周围居民生活及企业生产不受影响，尽量避免不必要的拆迁。</w:t>
      </w:r>
    </w:p>
    <w:p>
      <w:pPr>
        <w:pStyle w:val="5"/>
        <w:ind w:left="567" w:hanging="567"/>
      </w:pPr>
      <w:r>
        <w:rPr>
          <w:rFonts w:hint="eastAsia"/>
        </w:rPr>
        <w:t>设计期环保设计措施要求</w:t>
      </w:r>
    </w:p>
    <w:p>
      <w:pPr>
        <w:spacing w:line="360" w:lineRule="auto"/>
        <w:ind w:firstLine="31680" w:firstLineChars="200"/>
        <w:rPr>
          <w:sz w:val="24"/>
          <w:szCs w:val="24"/>
        </w:rPr>
      </w:pPr>
      <w:r>
        <w:rPr>
          <w:rFonts w:hint="eastAsia"/>
          <w:sz w:val="24"/>
          <w:szCs w:val="24"/>
        </w:rPr>
        <w:t>设计期线路摆动应注意的环境控制要求如下：</w:t>
      </w:r>
    </w:p>
    <w:p>
      <w:pPr>
        <w:widowControl/>
        <w:numPr>
          <w:ilvl w:val="0"/>
          <w:numId w:val="12"/>
        </w:numPr>
        <w:adjustRightInd w:val="0"/>
        <w:snapToGrid w:val="0"/>
        <w:spacing w:line="360" w:lineRule="auto"/>
        <w:ind w:left="0" w:firstLine="480"/>
        <w:rPr>
          <w:sz w:val="24"/>
          <w:szCs w:val="24"/>
        </w:rPr>
      </w:pPr>
      <w:r>
        <w:rPr>
          <w:rFonts w:hint="eastAsia"/>
          <w:sz w:val="24"/>
          <w:szCs w:val="24"/>
        </w:rPr>
        <w:t>合理安排施工计划，尽量缩短施工时间；合理安排临近集中居民区范围内道路的施工时间，尽可能减少施工对居民出行及交叉路段交通造成的阻碍；</w:t>
      </w:r>
    </w:p>
    <w:p>
      <w:pPr>
        <w:widowControl/>
        <w:numPr>
          <w:ilvl w:val="0"/>
          <w:numId w:val="12"/>
        </w:numPr>
        <w:adjustRightInd w:val="0"/>
        <w:snapToGrid w:val="0"/>
        <w:spacing w:line="360" w:lineRule="auto"/>
        <w:ind w:left="0" w:firstLine="480"/>
        <w:rPr>
          <w:sz w:val="24"/>
          <w:szCs w:val="24"/>
        </w:rPr>
      </w:pPr>
      <w:r>
        <w:rPr>
          <w:rFonts w:hint="eastAsia"/>
          <w:sz w:val="24"/>
          <w:szCs w:val="24"/>
        </w:rPr>
        <w:t>做好路基排水和防护工程设计，防治水土流失；</w:t>
      </w:r>
    </w:p>
    <w:p>
      <w:pPr>
        <w:widowControl/>
        <w:numPr>
          <w:ilvl w:val="0"/>
          <w:numId w:val="12"/>
        </w:numPr>
        <w:adjustRightInd w:val="0"/>
        <w:snapToGrid w:val="0"/>
        <w:spacing w:line="360" w:lineRule="auto"/>
        <w:ind w:left="0" w:firstLine="480"/>
        <w:rPr>
          <w:sz w:val="24"/>
          <w:szCs w:val="24"/>
        </w:rPr>
      </w:pPr>
      <w:r>
        <w:rPr>
          <w:rFonts w:hint="eastAsia"/>
          <w:sz w:val="24"/>
          <w:szCs w:val="24"/>
        </w:rPr>
        <w:t>对施工期与营运期将产生的污染应采取相应措施，进行综合治理；</w:t>
      </w:r>
    </w:p>
    <w:p>
      <w:pPr>
        <w:widowControl/>
        <w:numPr>
          <w:ilvl w:val="0"/>
          <w:numId w:val="12"/>
        </w:numPr>
        <w:adjustRightInd w:val="0"/>
        <w:snapToGrid w:val="0"/>
        <w:spacing w:line="360" w:lineRule="auto"/>
        <w:ind w:left="0" w:firstLine="480"/>
        <w:rPr>
          <w:sz w:val="24"/>
          <w:szCs w:val="24"/>
        </w:rPr>
      </w:pPr>
      <w:r>
        <w:rPr>
          <w:rFonts w:hint="eastAsia"/>
          <w:sz w:val="24"/>
          <w:szCs w:val="24"/>
        </w:rPr>
        <w:t>按相关规定提高绿化率，绿化以乔木为主；</w:t>
      </w:r>
    </w:p>
    <w:p>
      <w:pPr>
        <w:pStyle w:val="5"/>
        <w:widowControl/>
        <w:ind w:left="567" w:hanging="567"/>
      </w:pPr>
      <w:r>
        <w:rPr>
          <w:rFonts w:hint="eastAsia"/>
        </w:rPr>
        <w:t>下阶段建议优化设计的环保对策</w:t>
      </w:r>
    </w:p>
    <w:p>
      <w:pPr>
        <w:pStyle w:val="6"/>
        <w:widowControl/>
        <w:ind w:left="567" w:hanging="567"/>
        <w:jc w:val="left"/>
      </w:pPr>
      <w:r>
        <w:rPr>
          <w:rFonts w:hint="eastAsia"/>
        </w:rPr>
        <w:t>进一步优化工程设计方案</w:t>
      </w:r>
    </w:p>
    <w:p>
      <w:pPr>
        <w:spacing w:line="360" w:lineRule="auto"/>
        <w:ind w:firstLine="31680" w:firstLineChars="200"/>
        <w:rPr>
          <w:bCs/>
          <w:sz w:val="24"/>
          <w:szCs w:val="24"/>
        </w:rPr>
      </w:pPr>
      <w:r>
        <w:rPr>
          <w:bCs/>
          <w:sz w:val="24"/>
          <w:szCs w:val="24"/>
        </w:rPr>
        <w:t>a)</w:t>
      </w:r>
      <w:r>
        <w:rPr>
          <w:bCs/>
          <w:sz w:val="24"/>
          <w:szCs w:val="24"/>
        </w:rPr>
        <w:tab/>
      </w:r>
      <w:r>
        <w:rPr>
          <w:rFonts w:hint="eastAsia"/>
          <w:bCs/>
          <w:sz w:val="24"/>
          <w:szCs w:val="24"/>
        </w:rPr>
        <w:t>复核施工期土石方平衡方案，尽可能做到挖填平衡，减少弃渣场、临时施工便道及施工生产生活区等临时用地的设置。</w:t>
      </w:r>
    </w:p>
    <w:p>
      <w:pPr>
        <w:spacing w:line="360" w:lineRule="auto"/>
        <w:ind w:firstLine="31680" w:firstLineChars="200"/>
        <w:rPr>
          <w:bCs/>
          <w:sz w:val="24"/>
          <w:szCs w:val="24"/>
        </w:rPr>
      </w:pPr>
      <w:r>
        <w:t>b</w:t>
      </w:r>
      <w:r>
        <w:rPr>
          <w:rFonts w:hint="eastAsia"/>
        </w:rPr>
        <w:t>）</w:t>
      </w:r>
      <w:r>
        <w:rPr>
          <w:rFonts w:hint="eastAsia"/>
          <w:bCs/>
          <w:sz w:val="24"/>
          <w:szCs w:val="24"/>
        </w:rPr>
        <w:t>应尽可能充分利用挖方，最大限度地减少取土、弃渣等临时占地造成的水土流失和对周边生态环境的破坏。</w:t>
      </w:r>
    </w:p>
    <w:p>
      <w:pPr>
        <w:pStyle w:val="6"/>
        <w:widowControl/>
        <w:ind w:left="567" w:hanging="567"/>
        <w:jc w:val="left"/>
      </w:pPr>
      <w:r>
        <w:rPr>
          <w:rFonts w:hint="eastAsia"/>
        </w:rPr>
        <w:t>土地节约措施</w:t>
      </w:r>
    </w:p>
    <w:p>
      <w:pPr>
        <w:spacing w:line="360" w:lineRule="auto"/>
        <w:ind w:firstLine="31680" w:firstLineChars="200"/>
        <w:rPr>
          <w:sz w:val="24"/>
          <w:szCs w:val="24"/>
        </w:rPr>
      </w:pPr>
      <w:r>
        <w:rPr>
          <w:sz w:val="24"/>
          <w:szCs w:val="24"/>
        </w:rPr>
        <w:t>a</w:t>
      </w:r>
      <w:r>
        <w:rPr>
          <w:rFonts w:hint="eastAsia"/>
          <w:sz w:val="24"/>
          <w:szCs w:val="24"/>
        </w:rPr>
        <w:t>）认真贯彻交公路发</w:t>
      </w:r>
      <w:r>
        <w:rPr>
          <w:sz w:val="24"/>
          <w:szCs w:val="24"/>
        </w:rPr>
        <w:t>[2004]64</w:t>
      </w:r>
      <w:r>
        <w:rPr>
          <w:rFonts w:hint="eastAsia"/>
          <w:sz w:val="24"/>
          <w:szCs w:val="24"/>
        </w:rPr>
        <w:t>号文《关于在公路建设中实行最严格的耕地保护制度的若干意见》，减少新增占地；</w:t>
      </w:r>
    </w:p>
    <w:p>
      <w:pPr>
        <w:spacing w:line="360" w:lineRule="auto"/>
        <w:ind w:firstLine="31680" w:firstLineChars="200"/>
        <w:rPr>
          <w:sz w:val="24"/>
          <w:szCs w:val="24"/>
        </w:rPr>
      </w:pPr>
      <w:r>
        <w:rPr>
          <w:sz w:val="24"/>
          <w:szCs w:val="24"/>
        </w:rPr>
        <w:t>b</w:t>
      </w:r>
      <w:r>
        <w:rPr>
          <w:rFonts w:hint="eastAsia"/>
          <w:sz w:val="24"/>
          <w:szCs w:val="24"/>
        </w:rPr>
        <w:t>）在环境与技术条件可能的情况下，应尽量降低路堤填土高度；</w:t>
      </w:r>
    </w:p>
    <w:p>
      <w:pPr>
        <w:spacing w:line="360" w:lineRule="auto"/>
        <w:ind w:firstLine="31680" w:firstLineChars="200"/>
        <w:rPr>
          <w:sz w:val="24"/>
          <w:szCs w:val="24"/>
        </w:rPr>
      </w:pPr>
      <w:r>
        <w:rPr>
          <w:sz w:val="24"/>
          <w:szCs w:val="24"/>
        </w:rPr>
        <w:t>c</w:t>
      </w:r>
      <w:r>
        <w:rPr>
          <w:rFonts w:hint="eastAsia"/>
          <w:sz w:val="24"/>
          <w:szCs w:val="24"/>
        </w:rPr>
        <w:t>）在路基、交叉工程土石方调配中，应在技术经济比较的基础上，尽量移挖做填土和集中弃土，以减少施工土石方、弃土堆用地；在通过新修路段，应在技术经济比较的基础上，尽量考虑设置挡墙、护坡、护脚等防护设施，缩短边坡长度，节约用地；</w:t>
      </w:r>
    </w:p>
    <w:p>
      <w:pPr>
        <w:spacing w:line="360" w:lineRule="auto"/>
        <w:ind w:firstLine="31680" w:firstLineChars="200"/>
        <w:rPr>
          <w:sz w:val="24"/>
          <w:szCs w:val="24"/>
        </w:rPr>
      </w:pPr>
      <w:r>
        <w:rPr>
          <w:sz w:val="24"/>
          <w:szCs w:val="24"/>
        </w:rPr>
        <w:t>d</w:t>
      </w:r>
      <w:r>
        <w:rPr>
          <w:rFonts w:hint="eastAsia"/>
          <w:sz w:val="24"/>
          <w:szCs w:val="24"/>
        </w:rPr>
        <w:t>）施工便道、施工场地及工程中的一些临时性料、渣堆放用地等临时工程占地应合理规划，严格控制占用耕地（特别是基本农田）和林地，施工场地、施工生产生活区等临时占地尽量选择在永久占地范围内，以减少临时占地，有效保护沿线的耕地。施工便道尽量利用现有道路。</w:t>
      </w:r>
    </w:p>
    <w:p>
      <w:pPr>
        <w:spacing w:line="360" w:lineRule="auto"/>
        <w:ind w:firstLine="31680" w:firstLineChars="200"/>
        <w:rPr>
          <w:sz w:val="24"/>
          <w:szCs w:val="24"/>
        </w:rPr>
      </w:pPr>
      <w:r>
        <w:rPr>
          <w:sz w:val="24"/>
          <w:szCs w:val="24"/>
        </w:rPr>
        <w:t>e</w:t>
      </w:r>
      <w:r>
        <w:rPr>
          <w:rFonts w:hint="eastAsia"/>
          <w:sz w:val="24"/>
          <w:szCs w:val="24"/>
        </w:rPr>
        <w:t>）对依法批准占用的基本农田实行“占一补一，占补平衡”制度，尽可能避免占用基本农田。</w:t>
      </w:r>
    </w:p>
    <w:p>
      <w:pPr>
        <w:pStyle w:val="6"/>
        <w:widowControl/>
        <w:ind w:left="567" w:hanging="567"/>
        <w:jc w:val="left"/>
      </w:pPr>
      <w:r>
        <w:rPr>
          <w:rFonts w:hint="eastAsia"/>
        </w:rPr>
        <w:t>保护熟土及土地复垦</w:t>
      </w:r>
    </w:p>
    <w:p>
      <w:pPr>
        <w:spacing w:line="360" w:lineRule="auto"/>
        <w:ind w:firstLine="31680" w:firstLineChars="200"/>
        <w:rPr>
          <w:sz w:val="24"/>
          <w:szCs w:val="24"/>
        </w:rPr>
      </w:pPr>
      <w:r>
        <w:rPr>
          <w:rFonts w:hint="eastAsia"/>
          <w:sz w:val="24"/>
          <w:szCs w:val="24"/>
        </w:rPr>
        <w:t>施工组织设计中，应明确对于工程征地内需剥离的原土地类别为水田、旱地、园地的土地有肥力的原始表土层，应运送到附近的施工场、弃渣场等进行临时存放，以备工程后期用作公路绿化及弃渣场复耕用土。耕地（水田、旱地、园地）剥离表土层厚度一般为</w:t>
      </w:r>
      <w:r>
        <w:rPr>
          <w:sz w:val="24"/>
          <w:szCs w:val="24"/>
        </w:rPr>
        <w:t>40~100cm</w:t>
      </w:r>
      <w:r>
        <w:rPr>
          <w:rFonts w:hint="eastAsia"/>
          <w:sz w:val="24"/>
          <w:szCs w:val="24"/>
        </w:rPr>
        <w:t>，林地约</w:t>
      </w:r>
      <w:r>
        <w:rPr>
          <w:sz w:val="24"/>
          <w:szCs w:val="24"/>
        </w:rPr>
        <w:t>15~60cm</w:t>
      </w:r>
      <w:r>
        <w:rPr>
          <w:rFonts w:hint="eastAsia"/>
          <w:sz w:val="24"/>
          <w:szCs w:val="24"/>
        </w:rPr>
        <w:t>厚，即土壤耕作层。</w:t>
      </w:r>
    </w:p>
    <w:p>
      <w:pPr>
        <w:pStyle w:val="6"/>
        <w:widowControl/>
        <w:ind w:left="567" w:hanging="567"/>
        <w:jc w:val="left"/>
      </w:pPr>
      <w:r>
        <w:rPr>
          <w:rFonts w:hint="eastAsia"/>
        </w:rPr>
        <w:t>植被保护和植被恢复</w:t>
      </w:r>
    </w:p>
    <w:p>
      <w:pPr>
        <w:spacing w:line="360" w:lineRule="auto"/>
        <w:ind w:firstLine="31680" w:firstLineChars="200"/>
        <w:rPr>
          <w:sz w:val="24"/>
          <w:szCs w:val="24"/>
        </w:rPr>
      </w:pPr>
      <w:r>
        <w:rPr>
          <w:rFonts w:hint="eastAsia"/>
          <w:sz w:val="24"/>
          <w:szCs w:val="24"/>
        </w:rPr>
        <w:t>应注重沿线植被保护工作，减少因路基填筑占压和路基开挖砍伐树木对植被的破坏。结合环境现状及生态环境建设的要求，对弃渣场和其他裸地提出植被恢复方案，特别是新建线路的路基坡面的稳固和绿化工作，减少项目建设造成水土流失，尽量种植当地树种和草本植物，从而尽量降低对环境的人为破坏及新增的水土流失危害影响。</w:t>
      </w:r>
    </w:p>
    <w:p>
      <w:pPr>
        <w:pStyle w:val="6"/>
        <w:widowControl/>
        <w:ind w:left="567" w:hanging="567"/>
        <w:jc w:val="left"/>
      </w:pPr>
      <w:r>
        <w:rPr>
          <w:rFonts w:hint="eastAsia"/>
        </w:rPr>
        <w:t>景观与绿化设计</w:t>
      </w:r>
    </w:p>
    <w:p>
      <w:pPr>
        <w:spacing w:line="360" w:lineRule="auto"/>
        <w:ind w:firstLine="31680" w:firstLineChars="200"/>
        <w:rPr>
          <w:sz w:val="24"/>
          <w:szCs w:val="24"/>
        </w:rPr>
      </w:pPr>
      <w:r>
        <w:rPr>
          <w:sz w:val="24"/>
          <w:szCs w:val="24"/>
        </w:rPr>
        <w:t>a</w:t>
      </w:r>
      <w:r>
        <w:rPr>
          <w:rFonts w:hint="eastAsia"/>
          <w:sz w:val="24"/>
          <w:szCs w:val="24"/>
        </w:rPr>
        <w:t>）总体线型通畅，顺应地形地貌，不要过分追求高标准而破坏自然景观，并从区域视觉景观的角度尽可能增加公路工程的隐藏性。对于路段施工条件差，植被发育情况较好的路段，可适当降低道路技术指标，尽量减少对沿线植被的破坏。</w:t>
      </w:r>
    </w:p>
    <w:p>
      <w:pPr>
        <w:spacing w:line="360" w:lineRule="auto"/>
        <w:ind w:firstLine="31680" w:firstLineChars="200"/>
        <w:rPr>
          <w:sz w:val="24"/>
          <w:szCs w:val="24"/>
        </w:rPr>
      </w:pPr>
      <w:r>
        <w:rPr>
          <w:sz w:val="24"/>
          <w:szCs w:val="24"/>
        </w:rPr>
        <w:t>b</w:t>
      </w:r>
      <w:r>
        <w:rPr>
          <w:rFonts w:hint="eastAsia"/>
          <w:sz w:val="24"/>
          <w:szCs w:val="24"/>
        </w:rPr>
        <w:t>）注意对沿线自然景观与人文景观的保护、利用与开发，尽量给出行者及沿线居民创造一个舒适愉悦的出行及生活空间。</w:t>
      </w:r>
    </w:p>
    <w:p>
      <w:pPr>
        <w:pStyle w:val="6"/>
        <w:widowControl/>
        <w:ind w:left="567" w:hanging="567"/>
        <w:jc w:val="left"/>
      </w:pPr>
      <w:r>
        <w:rPr>
          <w:rFonts w:hint="eastAsia"/>
        </w:rPr>
        <w:t>弃渣场防治措施</w:t>
      </w:r>
    </w:p>
    <w:p>
      <w:pPr>
        <w:pStyle w:val="3"/>
        <w:ind w:firstLine="31680"/>
      </w:pPr>
      <w:bookmarkStart w:id="291" w:name="_Toc354581739"/>
      <w:bookmarkStart w:id="292" w:name="_Toc354581919"/>
      <w:bookmarkStart w:id="293" w:name="_Toc354558936"/>
      <w:r>
        <w:t>a</w:t>
      </w:r>
      <w:r>
        <w:rPr>
          <w:rFonts w:hint="eastAsia"/>
        </w:rPr>
        <w:t>）深入研究土石方的平衡利用，减少工程的弃渣量；</w:t>
      </w:r>
    </w:p>
    <w:p>
      <w:pPr>
        <w:pStyle w:val="168"/>
        <w:ind w:firstLine="480"/>
        <w:rPr>
          <w:color w:val="auto"/>
        </w:rPr>
      </w:pPr>
      <w:r>
        <w:t>b</w:t>
      </w:r>
      <w:r>
        <w:rPr>
          <w:rFonts w:hint="eastAsia"/>
        </w:rPr>
        <w:t>）进一步优化本工程弃渣场的设置，尽量选择疏林地和荒草地，尽量减少设置数量；弃渣场应设置必要的防护设施和排水设施，</w:t>
      </w:r>
      <w:r>
        <w:rPr>
          <w:color w:val="auto"/>
        </w:rPr>
        <w:t>根据渣场初选结果，弃渣点占地一般为</w:t>
      </w:r>
      <w:r>
        <w:rPr>
          <w:rFonts w:hint="eastAsia"/>
          <w:color w:val="auto"/>
        </w:rPr>
        <w:t>荒地</w:t>
      </w:r>
      <w:r>
        <w:rPr>
          <w:color w:val="auto"/>
        </w:rPr>
        <w:t>和林地，为了防止弃渣造成的水土流失，渣场坡脚需设置挡土墙拦挡防护。弃渣场周边应修建排水设施，拦截坡面上方来水及引排周边集水。</w:t>
      </w:r>
      <w:r>
        <w:rPr>
          <w:rFonts w:hint="eastAsia"/>
          <w:color w:val="auto"/>
        </w:rPr>
        <w:t>山坳型渣场</w:t>
      </w:r>
      <w:r>
        <w:rPr>
          <w:color w:val="auto"/>
        </w:rPr>
        <w:t>为防止坡面洪水直接排入弃渣场，导致堆积较松散的渣场失事，在渣场周边布设截水沟与原排水系统连接</w:t>
      </w:r>
      <w:r>
        <w:rPr>
          <w:rFonts w:hint="eastAsia"/>
          <w:color w:val="auto"/>
        </w:rPr>
        <w:t>。</w:t>
      </w:r>
      <w:r>
        <w:rPr>
          <w:rFonts w:hint="eastAsia"/>
        </w:rPr>
        <w:t>弃渣结束后，应及时恢复植被或覆土造地，防止水土流失。</w:t>
      </w:r>
      <w:r>
        <w:rPr>
          <w:color w:val="auto"/>
        </w:rPr>
        <w:t>根据弃渣堆放的位置和地形特点，设置适宜的拦渣工程，有效控制水土流失。</w:t>
      </w:r>
    </w:p>
    <w:p>
      <w:pPr>
        <w:pStyle w:val="3"/>
        <w:ind w:firstLine="31680"/>
        <w:rPr>
          <w:color w:val="auto"/>
        </w:rPr>
      </w:pPr>
      <w:r>
        <w:t>c</w:t>
      </w:r>
      <w:r>
        <w:rPr>
          <w:rFonts w:hint="eastAsia"/>
        </w:rPr>
        <w:t>）为便于后期进行植被恢复前土地整治，要求弃渣前应预先对其表土进行剥离，并集中在不影响施工的角落堆放，表面采用地表剥离的植被进行覆盖，坡脚采用装土编织袋或石块进行拦挡防护。</w:t>
      </w:r>
      <w:r>
        <w:rPr>
          <w:color w:val="auto"/>
        </w:rPr>
        <w:t>弃渣结束后应对弃渣面及边坡进行平整，回填种植土，</w:t>
      </w:r>
      <w:r>
        <w:rPr>
          <w:rFonts w:hint="eastAsia"/>
          <w:color w:val="auto"/>
          <w:lang w:eastAsia="zh-CN"/>
        </w:rPr>
        <w:t>进行复耕</w:t>
      </w:r>
      <w:r>
        <w:rPr>
          <w:rFonts w:hint="eastAsia"/>
          <w:color w:val="auto"/>
        </w:rPr>
        <w:t>。</w:t>
      </w:r>
    </w:p>
    <w:p>
      <w:pPr>
        <w:pStyle w:val="167"/>
        <w:ind w:firstLine="480" w:firstLineChars="200"/>
        <w:rPr>
          <w:rFonts w:hint="eastAsia" w:cs="Times New Roman"/>
          <w:b w:val="0"/>
          <w:bCs w:val="0"/>
          <w:kern w:val="0"/>
          <w:sz w:val="24"/>
          <w:szCs w:val="20"/>
          <w:lang w:val="en-US" w:eastAsia="zh-CN" w:bidi="ar-SA"/>
        </w:rPr>
      </w:pPr>
      <w:r>
        <w:rPr>
          <w:rFonts w:hint="eastAsia"/>
          <w:b w:val="0"/>
          <w:color w:val="auto"/>
          <w:lang w:val="en-US" w:eastAsia="zh-CN"/>
        </w:rPr>
        <w:t>d</w:t>
      </w:r>
      <w:r>
        <w:rPr>
          <w:b w:val="0"/>
          <w:color w:val="auto"/>
        </w:rPr>
        <w:t>）</w:t>
      </w:r>
      <w:r>
        <w:rPr>
          <w:rFonts w:hint="eastAsia" w:ascii="Times New Roman" w:hAnsi="Times New Roman" w:eastAsia="宋体" w:cs="Times New Roman"/>
          <w:b w:val="0"/>
          <w:bCs w:val="0"/>
          <w:kern w:val="0"/>
          <w:sz w:val="24"/>
          <w:szCs w:val="20"/>
          <w:lang w:val="en-US" w:eastAsia="zh-CN" w:bidi="ar-SA"/>
        </w:rPr>
        <w:t>弃渣场弃渣场前需将弃渣场内的表土或基层进行清理，避免渣体底部摩擦力不足造成渣体滑动，对剥离表土采取彩条布覆盖防护</w:t>
      </w:r>
      <w:r>
        <w:rPr>
          <w:rFonts w:hint="eastAsia" w:cs="Times New Roman"/>
          <w:b w:val="0"/>
          <w:bCs w:val="0"/>
          <w:kern w:val="0"/>
          <w:sz w:val="24"/>
          <w:szCs w:val="20"/>
          <w:lang w:val="en-US" w:eastAsia="zh-CN" w:bidi="ar-SA"/>
        </w:rPr>
        <w:t>。</w:t>
      </w:r>
    </w:p>
    <w:p>
      <w:pPr>
        <w:pStyle w:val="168"/>
        <w:ind w:firstLine="480"/>
        <w:rPr>
          <w:color w:val="auto"/>
        </w:rPr>
      </w:pPr>
      <w:r>
        <w:rPr>
          <w:color w:val="auto"/>
        </w:rPr>
        <w:t>经计算，弃渣场区水土保持措施工程量如下：</w:t>
      </w:r>
    </w:p>
    <w:p>
      <w:pPr>
        <w:pStyle w:val="168"/>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（1）工程措施：土地平整</w:t>
      </w:r>
      <w:r>
        <w:rPr>
          <w:rFonts w:hint="default" w:ascii="Times New Roman" w:hAnsi="Times New Roman" w:eastAsia="宋体" w:cs="Times New Roman"/>
          <w:color w:val="auto"/>
          <w:lang w:val="en-US" w:eastAsia="zh-CN"/>
        </w:rPr>
        <w:t>0.20</w:t>
      </w:r>
      <w:r>
        <w:rPr>
          <w:rFonts w:hint="default" w:ascii="Times New Roman" w:hAnsi="Times New Roman" w:eastAsia="宋体" w:cs="Times New Roman"/>
          <w:color w:val="auto"/>
        </w:rPr>
        <w:t>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复耕</w:t>
      </w:r>
      <w:r>
        <w:rPr>
          <w:rFonts w:hint="default" w:ascii="Times New Roman" w:hAnsi="Times New Roman" w:eastAsia="宋体" w:cs="Times New Roman"/>
          <w:color w:val="auto"/>
          <w:lang w:val="en-US" w:eastAsia="zh-CN"/>
        </w:rPr>
        <w:t>0.69</w:t>
      </w:r>
      <w:r>
        <w:rPr>
          <w:rFonts w:hint="default" w:ascii="Times New Roman" w:hAnsi="Times New Roman" w:eastAsia="宋体" w:cs="Times New Roman"/>
          <w:color w:val="auto"/>
        </w:rPr>
        <w:t>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，浆砌石挡渣墙</w:t>
      </w:r>
      <w:r>
        <w:rPr>
          <w:rFonts w:hint="default" w:ascii="Times New Roman" w:hAnsi="Times New Roman" w:eastAsia="宋体" w:cs="Times New Roman"/>
          <w:color w:val="auto"/>
          <w:lang w:val="en-US" w:eastAsia="zh-CN"/>
        </w:rPr>
        <w:t>121</w:t>
      </w:r>
      <w:r>
        <w:rPr>
          <w:rFonts w:hint="default" w:ascii="Times New Roman" w:hAnsi="Times New Roman" w:eastAsia="宋体" w:cs="Times New Roman"/>
          <w:color w:val="auto"/>
        </w:rPr>
        <w:t>m，浆砌石截水沟</w:t>
      </w:r>
      <w:r>
        <w:rPr>
          <w:rFonts w:hint="default" w:ascii="Times New Roman" w:hAnsi="Times New Roman" w:eastAsia="宋体" w:cs="Times New Roman"/>
          <w:color w:val="auto"/>
          <w:lang w:val="en-US" w:eastAsia="zh-CN"/>
        </w:rPr>
        <w:t>550</w:t>
      </w:r>
      <w:r>
        <w:rPr>
          <w:rFonts w:hint="default" w:ascii="Times New Roman" w:hAnsi="Times New Roman" w:eastAsia="宋体" w:cs="Times New Roman"/>
          <w:color w:val="auto"/>
        </w:rPr>
        <w:t>m，浆砌石排水沟</w:t>
      </w:r>
      <w:r>
        <w:rPr>
          <w:rFonts w:hint="default" w:ascii="Times New Roman" w:hAnsi="Times New Roman" w:eastAsia="宋体" w:cs="Times New Roman"/>
          <w:color w:val="auto"/>
          <w:lang w:val="en-US" w:eastAsia="zh-CN"/>
        </w:rPr>
        <w:t>785</w:t>
      </w:r>
      <w:r>
        <w:rPr>
          <w:rFonts w:hint="default" w:ascii="Times New Roman" w:hAnsi="Times New Roman" w:eastAsia="宋体" w:cs="Times New Roman"/>
          <w:color w:val="auto"/>
        </w:rPr>
        <w:t>m，浆砌石沉沙池</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个。</w:t>
      </w:r>
    </w:p>
    <w:p>
      <w:pPr>
        <w:pStyle w:val="168"/>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（2）临时措施：表土剥离0.</w:t>
      </w: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，表土回填0.</w:t>
      </w: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，临时排水沟</w:t>
      </w:r>
      <w:r>
        <w:rPr>
          <w:rFonts w:hint="default" w:ascii="Times New Roman" w:hAnsi="Times New Roman" w:eastAsia="宋体" w:cs="Times New Roman"/>
          <w:color w:val="auto"/>
          <w:lang w:val="en-US" w:eastAsia="zh-CN"/>
        </w:rPr>
        <w:t>253</w:t>
      </w:r>
      <w:r>
        <w:rPr>
          <w:rFonts w:hint="default" w:ascii="Times New Roman" w:hAnsi="Times New Roman" w:eastAsia="宋体" w:cs="Times New Roman"/>
          <w:color w:val="auto"/>
        </w:rPr>
        <w:t>m，临时沉砂池</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个，彩条布覆盖0.</w:t>
      </w:r>
      <w:r>
        <w:rPr>
          <w:rFonts w:hint="default" w:ascii="Times New Roman" w:hAnsi="Times New Roman" w:eastAsia="宋体" w:cs="Times New Roman"/>
          <w:color w:val="auto"/>
          <w:lang w:val="en-US" w:eastAsia="zh-CN"/>
        </w:rPr>
        <w:t>18</w:t>
      </w:r>
      <w:r>
        <w:rPr>
          <w:rFonts w:hint="default" w:ascii="Times New Roman" w:hAnsi="Times New Roman" w:eastAsia="宋体" w:cs="Times New Roman"/>
          <w:color w:val="auto"/>
        </w:rPr>
        <w:t>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pPr>
        <w:pStyle w:val="168"/>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植物</w:t>
      </w:r>
      <w:r>
        <w:rPr>
          <w:rFonts w:hint="default" w:ascii="Times New Roman" w:hAnsi="Times New Roman" w:eastAsia="宋体" w:cs="Times New Roman"/>
          <w:color w:val="auto"/>
        </w:rPr>
        <w:t>措施：</w:t>
      </w:r>
      <w:r>
        <w:rPr>
          <w:rFonts w:hint="default" w:ascii="Times New Roman" w:hAnsi="Times New Roman" w:eastAsia="宋体" w:cs="Times New Roman"/>
          <w:color w:val="auto"/>
          <w:lang w:eastAsia="zh-CN"/>
        </w:rPr>
        <w:t>植草护坡</w:t>
      </w:r>
      <w:r>
        <w:rPr>
          <w:rFonts w:hint="default" w:ascii="Times New Roman" w:hAnsi="Times New Roman" w:eastAsia="宋体" w:cs="Times New Roman"/>
          <w:color w:val="auto"/>
          <w:lang w:val="en-US" w:eastAsia="zh-CN"/>
        </w:rPr>
        <w:t>0.20</w:t>
      </w:r>
      <w:r>
        <w:rPr>
          <w:rFonts w:hint="default" w:ascii="Times New Roman" w:hAnsi="Times New Roman" w:eastAsia="宋体" w:cs="Times New Roman"/>
          <w:color w:val="auto"/>
        </w:rPr>
        <w:t>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pPr>
        <w:pStyle w:val="168"/>
        <w:ind w:firstLine="48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通过采取以上措施，弃渣场对周围环境尤其是大里塘水库的影响不大。</w:t>
      </w:r>
    </w:p>
    <w:p>
      <w:pPr>
        <w:pStyle w:val="4"/>
        <w:ind w:left="567" w:hanging="567"/>
      </w:pPr>
      <w:bookmarkStart w:id="294" w:name="_Toc408503600"/>
      <w:bookmarkStart w:id="295" w:name="_Toc20177"/>
      <w:r>
        <w:rPr>
          <w:rFonts w:hint="eastAsia"/>
        </w:rPr>
        <w:t>施工期环境保护措施及建议</w:t>
      </w:r>
      <w:bookmarkEnd w:id="291"/>
      <w:bookmarkEnd w:id="292"/>
      <w:bookmarkEnd w:id="293"/>
      <w:bookmarkEnd w:id="294"/>
      <w:bookmarkEnd w:id="295"/>
    </w:p>
    <w:p>
      <w:pPr>
        <w:pStyle w:val="5"/>
        <w:ind w:left="567" w:hanging="567"/>
      </w:pPr>
      <w:r>
        <w:rPr>
          <w:rFonts w:hint="eastAsia"/>
        </w:rPr>
        <w:t>施工管理对策及建议</w:t>
      </w:r>
    </w:p>
    <w:p>
      <w:pPr>
        <w:pStyle w:val="6"/>
        <w:ind w:left="567" w:hanging="567"/>
      </w:pPr>
      <w:r>
        <w:rPr>
          <w:rFonts w:hint="eastAsia"/>
        </w:rPr>
        <w:t>建立高效、务实的环境保护管理体系</w:t>
      </w:r>
    </w:p>
    <w:p>
      <w:pPr>
        <w:spacing w:line="360" w:lineRule="auto"/>
        <w:ind w:firstLine="31680" w:firstLineChars="200"/>
        <w:rPr>
          <w:sz w:val="24"/>
          <w:szCs w:val="24"/>
        </w:rPr>
      </w:pPr>
      <w:r>
        <w:rPr>
          <w:sz w:val="24"/>
          <w:szCs w:val="24"/>
        </w:rPr>
        <w:t>a</w:t>
      </w:r>
      <w:r>
        <w:rPr>
          <w:rFonts w:hint="eastAsia"/>
          <w:sz w:val="24"/>
          <w:szCs w:val="24"/>
        </w:rPr>
        <w:t>）成立工程环保管理机构，制定相应的环境管理办法。</w:t>
      </w:r>
    </w:p>
    <w:p>
      <w:pPr>
        <w:spacing w:line="360" w:lineRule="auto"/>
        <w:ind w:firstLine="31680" w:firstLineChars="200"/>
        <w:rPr>
          <w:sz w:val="24"/>
          <w:szCs w:val="24"/>
        </w:rPr>
      </w:pPr>
      <w:r>
        <w:rPr>
          <w:sz w:val="24"/>
          <w:szCs w:val="24"/>
        </w:rPr>
        <w:t>1</w:t>
      </w:r>
      <w:r>
        <w:rPr>
          <w:rFonts w:hint="eastAsia"/>
          <w:sz w:val="24"/>
          <w:szCs w:val="24"/>
        </w:rPr>
        <w:t>）成立工程施工期环境管理办公室，综合协调处理施工期的环境保护问题，并及时与</w:t>
      </w:r>
      <w:r>
        <w:rPr>
          <w:rFonts w:hint="eastAsia"/>
          <w:sz w:val="24"/>
          <w:szCs w:val="24"/>
          <w:lang w:val="en-US" w:eastAsia="zh-CN"/>
        </w:rPr>
        <w:t>汨罗</w:t>
      </w:r>
      <w:r>
        <w:rPr>
          <w:rFonts w:hint="eastAsia"/>
          <w:sz w:val="24"/>
          <w:szCs w:val="24"/>
        </w:rPr>
        <w:t>市环保局进行联系与沟通。</w:t>
      </w:r>
    </w:p>
    <w:p>
      <w:pPr>
        <w:spacing w:line="360" w:lineRule="auto"/>
        <w:ind w:firstLine="31680" w:firstLineChars="200"/>
        <w:rPr>
          <w:sz w:val="24"/>
          <w:szCs w:val="24"/>
        </w:rPr>
      </w:pPr>
      <w:r>
        <w:rPr>
          <w:sz w:val="24"/>
          <w:szCs w:val="24"/>
        </w:rPr>
        <w:t>2</w:t>
      </w:r>
      <w:r>
        <w:rPr>
          <w:rFonts w:hint="eastAsia"/>
          <w:sz w:val="24"/>
          <w:szCs w:val="24"/>
        </w:rPr>
        <w:t>）根据环境影响评价成果，制定系统的、分阶段环境管理目标、方针，确定与项目建设有关单位的环境保护义务、职责和管理办法。</w:t>
      </w:r>
    </w:p>
    <w:p>
      <w:pPr>
        <w:spacing w:line="360" w:lineRule="auto"/>
        <w:ind w:firstLine="31680" w:firstLineChars="200"/>
        <w:rPr>
          <w:sz w:val="24"/>
          <w:szCs w:val="24"/>
        </w:rPr>
      </w:pPr>
      <w:r>
        <w:rPr>
          <w:sz w:val="24"/>
          <w:szCs w:val="24"/>
        </w:rPr>
        <w:t>3</w:t>
      </w:r>
      <w:r>
        <w:rPr>
          <w:rFonts w:hint="eastAsia"/>
          <w:sz w:val="24"/>
          <w:szCs w:val="24"/>
        </w:rPr>
        <w:t>）确定环境管理措施实施效果的监督体系，制定激励和奖惩措施。</w:t>
      </w:r>
    </w:p>
    <w:p>
      <w:pPr>
        <w:spacing w:line="360" w:lineRule="auto"/>
        <w:ind w:firstLine="31680" w:firstLineChars="200"/>
        <w:rPr>
          <w:sz w:val="24"/>
          <w:szCs w:val="24"/>
        </w:rPr>
      </w:pPr>
      <w:r>
        <w:rPr>
          <w:sz w:val="24"/>
          <w:szCs w:val="24"/>
        </w:rPr>
        <w:t>4</w:t>
      </w:r>
      <w:r>
        <w:rPr>
          <w:rFonts w:hint="eastAsia"/>
          <w:sz w:val="24"/>
          <w:szCs w:val="24"/>
        </w:rPr>
        <w:t>）开展施工期的环境保护知识普及和宣教活动。</w:t>
      </w:r>
    </w:p>
    <w:p>
      <w:pPr>
        <w:spacing w:line="360" w:lineRule="auto"/>
        <w:ind w:firstLine="31680" w:firstLineChars="200"/>
        <w:rPr>
          <w:sz w:val="24"/>
          <w:szCs w:val="24"/>
        </w:rPr>
      </w:pPr>
      <w:r>
        <w:rPr>
          <w:sz w:val="24"/>
          <w:szCs w:val="24"/>
        </w:rPr>
        <w:t>5</w:t>
      </w:r>
      <w:r>
        <w:rPr>
          <w:rFonts w:hint="eastAsia"/>
          <w:sz w:val="24"/>
          <w:szCs w:val="24"/>
        </w:rPr>
        <w:t>）监控、评价和改进施工期环境保护管理办法。</w:t>
      </w:r>
    </w:p>
    <w:p>
      <w:pPr>
        <w:spacing w:line="360" w:lineRule="auto"/>
        <w:ind w:firstLine="31680" w:firstLineChars="200"/>
        <w:rPr>
          <w:sz w:val="24"/>
          <w:szCs w:val="24"/>
        </w:rPr>
      </w:pPr>
      <w:r>
        <w:rPr>
          <w:sz w:val="24"/>
          <w:szCs w:val="24"/>
        </w:rPr>
        <w:t>b</w:t>
      </w:r>
      <w:r>
        <w:rPr>
          <w:rFonts w:hint="eastAsia"/>
          <w:sz w:val="24"/>
          <w:szCs w:val="24"/>
        </w:rPr>
        <w:t>）建立信息沟通渠道，接受湖南省环保厅、娄底市环保局、</w:t>
      </w:r>
      <w:r>
        <w:rPr>
          <w:rFonts w:hint="eastAsia"/>
          <w:sz w:val="24"/>
          <w:szCs w:val="24"/>
          <w:lang w:val="en-US" w:eastAsia="zh-CN"/>
        </w:rPr>
        <w:t>汨罗</w:t>
      </w:r>
      <w:r>
        <w:rPr>
          <w:rFonts w:hint="eastAsia"/>
          <w:sz w:val="24"/>
          <w:szCs w:val="24"/>
        </w:rPr>
        <w:t>市环保局的监督管理；</w:t>
      </w:r>
    </w:p>
    <w:p>
      <w:pPr>
        <w:spacing w:line="360" w:lineRule="auto"/>
        <w:ind w:firstLine="31680" w:firstLineChars="200"/>
        <w:rPr>
          <w:sz w:val="24"/>
          <w:szCs w:val="24"/>
        </w:rPr>
      </w:pPr>
      <w:r>
        <w:rPr>
          <w:sz w:val="24"/>
          <w:szCs w:val="24"/>
        </w:rPr>
        <w:t>c</w:t>
      </w:r>
      <w:r>
        <w:rPr>
          <w:rFonts w:hint="eastAsia"/>
          <w:sz w:val="24"/>
          <w:szCs w:val="24"/>
        </w:rPr>
        <w:t>）委托有资质的环境监测单位进行施工期环境监测，落实施工期污染控制措施，建立完善的监测报告编制、上报制度；</w:t>
      </w:r>
    </w:p>
    <w:p>
      <w:pPr>
        <w:spacing w:line="360" w:lineRule="auto"/>
        <w:ind w:firstLine="31680" w:firstLineChars="200"/>
        <w:rPr>
          <w:sz w:val="24"/>
          <w:szCs w:val="24"/>
        </w:rPr>
      </w:pPr>
      <w:r>
        <w:rPr>
          <w:sz w:val="24"/>
          <w:szCs w:val="24"/>
        </w:rPr>
        <w:t>d</w:t>
      </w:r>
      <w:r>
        <w:rPr>
          <w:rFonts w:hint="eastAsia"/>
          <w:sz w:val="24"/>
          <w:szCs w:val="24"/>
        </w:rPr>
        <w:t>）促使施工期建设管理与环境管理的有机结合，为实现工程的环境管理目标提供充足的资源保证，包括合格的环境管理人员、管理和治理资金的到位等；</w:t>
      </w:r>
    </w:p>
    <w:p>
      <w:pPr>
        <w:spacing w:line="360" w:lineRule="auto"/>
        <w:ind w:firstLine="31680" w:firstLineChars="200"/>
        <w:rPr>
          <w:sz w:val="24"/>
          <w:szCs w:val="24"/>
        </w:rPr>
      </w:pPr>
      <w:r>
        <w:rPr>
          <w:sz w:val="24"/>
          <w:szCs w:val="24"/>
        </w:rPr>
        <w:t>e</w:t>
      </w:r>
      <w:r>
        <w:rPr>
          <w:rFonts w:hint="eastAsia"/>
          <w:sz w:val="24"/>
          <w:szCs w:val="24"/>
        </w:rPr>
        <w:t>）充分利用工程支付的调节手段，将工程的环境保护工作落到实处；</w:t>
      </w:r>
    </w:p>
    <w:p>
      <w:pPr>
        <w:spacing w:line="360" w:lineRule="auto"/>
        <w:ind w:firstLine="31680" w:firstLineChars="200"/>
        <w:rPr>
          <w:sz w:val="24"/>
          <w:szCs w:val="24"/>
        </w:rPr>
      </w:pPr>
      <w:r>
        <w:rPr>
          <w:sz w:val="24"/>
          <w:szCs w:val="24"/>
        </w:rPr>
        <w:t>f</w:t>
      </w:r>
      <w:r>
        <w:rPr>
          <w:rFonts w:hint="eastAsia"/>
          <w:sz w:val="24"/>
          <w:szCs w:val="24"/>
        </w:rPr>
        <w:t>）做好工程施工期环境保护工作文档管理工作。</w:t>
      </w:r>
    </w:p>
    <w:p>
      <w:pPr>
        <w:pStyle w:val="6"/>
        <w:widowControl/>
        <w:ind w:left="567" w:hanging="567"/>
        <w:jc w:val="left"/>
      </w:pPr>
      <w:r>
        <w:rPr>
          <w:rFonts w:hint="eastAsia"/>
        </w:rPr>
        <w:t>完善招投标工作中的环保措施嵌入机制</w:t>
      </w:r>
    </w:p>
    <w:p>
      <w:pPr>
        <w:spacing w:line="360" w:lineRule="auto"/>
        <w:ind w:firstLine="31680" w:firstLineChars="200"/>
        <w:rPr>
          <w:sz w:val="24"/>
          <w:szCs w:val="24"/>
        </w:rPr>
      </w:pPr>
      <w:r>
        <w:rPr>
          <w:sz w:val="24"/>
          <w:szCs w:val="24"/>
        </w:rPr>
        <w:t>a</w:t>
      </w:r>
      <w:r>
        <w:rPr>
          <w:rFonts w:hint="eastAsia"/>
          <w:sz w:val="24"/>
          <w:szCs w:val="24"/>
        </w:rPr>
        <w:t>）建设单位招标文件的编制过程中，应将本工程审批通过的环境影响报告书及地灾、压矿和水土保持方案中提出的各项环境保护措施、建议编入相应的条款中。</w:t>
      </w:r>
    </w:p>
    <w:p>
      <w:pPr>
        <w:spacing w:line="360" w:lineRule="auto"/>
        <w:ind w:firstLine="31680" w:firstLineChars="200"/>
        <w:rPr>
          <w:sz w:val="24"/>
          <w:szCs w:val="24"/>
        </w:rPr>
      </w:pPr>
      <w:r>
        <w:rPr>
          <w:sz w:val="24"/>
          <w:szCs w:val="24"/>
        </w:rPr>
        <w:t>b</w:t>
      </w:r>
      <w:r>
        <w:rPr>
          <w:rFonts w:hint="eastAsia"/>
          <w:sz w:val="24"/>
          <w:szCs w:val="24"/>
        </w:rPr>
        <w:t>）投标单位在投标文件中应包含环保措施的落实与实施计划。</w:t>
      </w:r>
    </w:p>
    <w:p>
      <w:pPr>
        <w:spacing w:line="360" w:lineRule="auto"/>
        <w:ind w:firstLine="31680" w:firstLineChars="200"/>
        <w:rPr>
          <w:sz w:val="24"/>
          <w:szCs w:val="24"/>
        </w:rPr>
      </w:pPr>
      <w:r>
        <w:rPr>
          <w:sz w:val="24"/>
          <w:szCs w:val="24"/>
        </w:rPr>
        <w:t>c</w:t>
      </w:r>
      <w:r>
        <w:rPr>
          <w:rFonts w:hint="eastAsia"/>
          <w:sz w:val="24"/>
          <w:szCs w:val="24"/>
        </w:rPr>
        <w:t>）建设单位在评标过程中应邀请相关环保专家对投标文件中的环保部分进行评议，并以此作为一项重要的考核指标。对中标方案的环保措施不足之处应提出完善要求。</w:t>
      </w:r>
    </w:p>
    <w:p>
      <w:pPr>
        <w:spacing w:line="360" w:lineRule="auto"/>
        <w:ind w:firstLine="31680" w:firstLineChars="200"/>
        <w:rPr>
          <w:sz w:val="24"/>
          <w:szCs w:val="24"/>
        </w:rPr>
      </w:pPr>
      <w:r>
        <w:rPr>
          <w:sz w:val="24"/>
          <w:szCs w:val="24"/>
        </w:rPr>
        <w:t>d</w:t>
      </w:r>
      <w:r>
        <w:rPr>
          <w:rFonts w:hint="eastAsia"/>
          <w:sz w:val="24"/>
          <w:szCs w:val="24"/>
        </w:rPr>
        <w:t>）在建设单位与承包商签订的合同当中，应包括承包商对环境所承担的责任与义务。</w:t>
      </w:r>
    </w:p>
    <w:p>
      <w:pPr>
        <w:pStyle w:val="6"/>
        <w:ind w:left="567" w:hanging="567"/>
      </w:pPr>
      <w:r>
        <w:rPr>
          <w:rFonts w:hint="eastAsia"/>
        </w:rPr>
        <w:t>加强项目设计后续服务的管理工作</w:t>
      </w:r>
    </w:p>
    <w:p>
      <w:pPr>
        <w:spacing w:line="360" w:lineRule="auto"/>
        <w:ind w:firstLine="31680" w:firstLineChars="200"/>
        <w:rPr>
          <w:sz w:val="24"/>
          <w:szCs w:val="24"/>
        </w:rPr>
      </w:pPr>
      <w:r>
        <w:rPr>
          <w:sz w:val="24"/>
          <w:szCs w:val="24"/>
        </w:rPr>
        <w:t>a</w:t>
      </w:r>
      <w:r>
        <w:rPr>
          <w:rFonts w:hint="eastAsia"/>
          <w:sz w:val="24"/>
          <w:szCs w:val="24"/>
        </w:rPr>
        <w:t>）要求设计单位根据工程进展情况及时派遣驻地设计代表，设计代表的能力应与施工工序相适应。</w:t>
      </w:r>
    </w:p>
    <w:p>
      <w:pPr>
        <w:spacing w:line="360" w:lineRule="auto"/>
        <w:ind w:firstLine="31680" w:firstLineChars="200"/>
        <w:rPr>
          <w:sz w:val="24"/>
          <w:szCs w:val="24"/>
        </w:rPr>
      </w:pPr>
      <w:r>
        <w:rPr>
          <w:sz w:val="24"/>
          <w:szCs w:val="24"/>
        </w:rPr>
        <w:t>b</w:t>
      </w:r>
      <w:r>
        <w:rPr>
          <w:rFonts w:hint="eastAsia"/>
          <w:sz w:val="24"/>
          <w:szCs w:val="24"/>
        </w:rPr>
        <w:t>）对驻地设计代表的职责权限和设计变更的程序进行明文规定。</w:t>
      </w:r>
    </w:p>
    <w:p>
      <w:pPr>
        <w:spacing w:line="360" w:lineRule="auto"/>
        <w:ind w:firstLine="31680" w:firstLineChars="200"/>
        <w:rPr>
          <w:sz w:val="24"/>
          <w:szCs w:val="24"/>
        </w:rPr>
      </w:pPr>
      <w:r>
        <w:rPr>
          <w:sz w:val="24"/>
          <w:szCs w:val="24"/>
        </w:rPr>
        <w:t>c</w:t>
      </w:r>
      <w:r>
        <w:rPr>
          <w:rFonts w:hint="eastAsia"/>
          <w:sz w:val="24"/>
          <w:szCs w:val="24"/>
        </w:rPr>
        <w:t>）配合监理单位、施工单位加强工程环境影响监督，并对设计变更进行环保优化比选。</w:t>
      </w:r>
    </w:p>
    <w:p>
      <w:pPr>
        <w:pStyle w:val="6"/>
        <w:ind w:left="567" w:hanging="567"/>
      </w:pPr>
      <w:r>
        <w:rPr>
          <w:rFonts w:hint="eastAsia"/>
        </w:rPr>
        <w:t>加强施工单位的环境管理工作</w:t>
      </w:r>
    </w:p>
    <w:p>
      <w:pPr>
        <w:spacing w:line="360" w:lineRule="auto"/>
        <w:ind w:firstLine="31680" w:firstLineChars="200"/>
        <w:rPr>
          <w:sz w:val="24"/>
          <w:szCs w:val="24"/>
        </w:rPr>
      </w:pPr>
      <w:r>
        <w:rPr>
          <w:sz w:val="24"/>
          <w:szCs w:val="24"/>
        </w:rPr>
        <w:t>a</w:t>
      </w:r>
      <w:r>
        <w:rPr>
          <w:rFonts w:hint="eastAsia"/>
          <w:sz w:val="24"/>
          <w:szCs w:val="24"/>
        </w:rPr>
        <w:t>）施工单位必须自觉遵守和维护有关环境保护的政策法规，教育好施工人员爱护施工路段周围的一草一木。在施工前对施工平面图设计进行科学合理的规划，做到文明施工，规范施工，按设计施工。</w:t>
      </w:r>
    </w:p>
    <w:p>
      <w:pPr>
        <w:spacing w:line="360" w:lineRule="auto"/>
        <w:ind w:firstLine="31680" w:firstLineChars="200"/>
        <w:rPr>
          <w:sz w:val="24"/>
          <w:szCs w:val="24"/>
        </w:rPr>
      </w:pPr>
      <w:r>
        <w:rPr>
          <w:sz w:val="24"/>
          <w:szCs w:val="24"/>
        </w:rPr>
        <w:t>b</w:t>
      </w:r>
      <w:r>
        <w:rPr>
          <w:rFonts w:hint="eastAsia"/>
          <w:sz w:val="24"/>
          <w:szCs w:val="24"/>
        </w:rPr>
        <w:t>）施工单位应合理进行施工布置，精心组织施工管理，严格将工程施工区控制在工程征用的土地范围内，在工程开挖过程中，尽量减小和有效控制对施工区生态环境的影响范围和程度。</w:t>
      </w:r>
    </w:p>
    <w:p>
      <w:pPr>
        <w:spacing w:line="360" w:lineRule="auto"/>
        <w:ind w:firstLine="31680" w:firstLineChars="200"/>
        <w:rPr>
          <w:sz w:val="24"/>
          <w:szCs w:val="24"/>
        </w:rPr>
      </w:pPr>
      <w:r>
        <w:rPr>
          <w:sz w:val="24"/>
          <w:szCs w:val="24"/>
        </w:rPr>
        <w:t>c</w:t>
      </w:r>
      <w:r>
        <w:rPr>
          <w:rFonts w:hint="eastAsia"/>
          <w:sz w:val="24"/>
          <w:szCs w:val="24"/>
        </w:rPr>
        <w:t>）合理安排施工季节和作业时间，优化施工方案，减少废弃渣的临时堆放，并尽量避免在雨季进行大量动土和开挖工程，有效减小区域水土流失，从而减小对生态环境的破坏。</w:t>
      </w:r>
    </w:p>
    <w:p>
      <w:pPr>
        <w:spacing w:line="360" w:lineRule="auto"/>
        <w:ind w:firstLine="31680" w:firstLineChars="200"/>
        <w:rPr>
          <w:sz w:val="24"/>
          <w:szCs w:val="24"/>
        </w:rPr>
      </w:pPr>
      <w:r>
        <w:rPr>
          <w:sz w:val="24"/>
          <w:szCs w:val="24"/>
        </w:rPr>
        <w:t>d</w:t>
      </w:r>
      <w:r>
        <w:rPr>
          <w:rFonts w:hint="eastAsia"/>
          <w:sz w:val="24"/>
          <w:szCs w:val="24"/>
        </w:rPr>
        <w:t>）强化施工迹地整治与生态景观的恢复和重建工作。</w:t>
      </w:r>
    </w:p>
    <w:p>
      <w:pPr>
        <w:pStyle w:val="5"/>
        <w:widowControl/>
        <w:ind w:left="567" w:hanging="567"/>
      </w:pPr>
      <w:r>
        <w:rPr>
          <w:rFonts w:hint="eastAsia"/>
        </w:rPr>
        <w:t>施工期声环境保护措施</w:t>
      </w:r>
    </w:p>
    <w:p>
      <w:pPr>
        <w:spacing w:line="360" w:lineRule="auto"/>
        <w:ind w:firstLine="31680" w:firstLineChars="200"/>
        <w:rPr>
          <w:sz w:val="24"/>
          <w:szCs w:val="24"/>
        </w:rPr>
      </w:pPr>
      <w:r>
        <w:rPr>
          <w:sz w:val="24"/>
          <w:szCs w:val="24"/>
        </w:rPr>
        <w:t>a</w:t>
      </w:r>
      <w:r>
        <w:rPr>
          <w:rFonts w:hint="eastAsia"/>
          <w:sz w:val="24"/>
          <w:szCs w:val="24"/>
        </w:rPr>
        <w:t>）施工单位必须选用符合国家有关标准的施工机具和运输车辆，尽量选用低噪声的施工机械和工艺，振动较大的固定机械设备应加装减振机座，固定强噪声源应考虑加装隔音罩，同时应加强各类施工设备的维护和保养，保持其良好的运转，以便从根本上降低噪声源强。</w:t>
      </w:r>
    </w:p>
    <w:p>
      <w:pPr>
        <w:spacing w:line="360" w:lineRule="auto"/>
        <w:ind w:firstLine="31680" w:firstLineChars="200"/>
        <w:rPr>
          <w:sz w:val="24"/>
          <w:szCs w:val="24"/>
        </w:rPr>
      </w:pPr>
      <w:r>
        <w:rPr>
          <w:sz w:val="24"/>
          <w:szCs w:val="24"/>
        </w:rPr>
        <w:t>b</w:t>
      </w:r>
      <w:r>
        <w:rPr>
          <w:rFonts w:hint="eastAsia"/>
          <w:sz w:val="24"/>
          <w:szCs w:val="24"/>
        </w:rPr>
        <w:t>）为保护施工人员的健康，施工单位要合理安排工作人员轮流操作高强噪声的施工机械，减少接触高噪声的时间。对距高强噪声源较近的施工人员，除采取戴保护耳塞或头盔等劳保措施外，还应适当缩短其劳动时间。</w:t>
      </w:r>
    </w:p>
    <w:p>
      <w:pPr>
        <w:spacing w:line="360" w:lineRule="auto"/>
        <w:ind w:firstLine="31680" w:firstLineChars="200"/>
        <w:rPr>
          <w:sz w:val="24"/>
          <w:szCs w:val="24"/>
        </w:rPr>
      </w:pPr>
      <w:r>
        <w:rPr>
          <w:sz w:val="24"/>
          <w:szCs w:val="24"/>
        </w:rPr>
        <w:t>c</w:t>
      </w:r>
      <w:r>
        <w:rPr>
          <w:rFonts w:hint="eastAsia"/>
          <w:sz w:val="24"/>
          <w:szCs w:val="24"/>
        </w:rPr>
        <w:t>）筑路机械施工的噪声具有突发、无规则、不连续、高强度等特点。据调查，施工现场噪声有时高达</w:t>
      </w:r>
      <w:r>
        <w:rPr>
          <w:sz w:val="24"/>
          <w:szCs w:val="24"/>
        </w:rPr>
        <w:t>85dB</w:t>
      </w:r>
      <w:r>
        <w:rPr>
          <w:rFonts w:hint="eastAsia"/>
          <w:sz w:val="24"/>
          <w:szCs w:val="24"/>
        </w:rPr>
        <w:t>，一般可采取施工方法变动措施加以缓解。如噪声源强大的作业可放在昼间（</w:t>
      </w:r>
      <w:r>
        <w:rPr>
          <w:sz w:val="24"/>
          <w:szCs w:val="24"/>
        </w:rPr>
        <w:t>06:00</w:t>
      </w:r>
      <w:r>
        <w:rPr>
          <w:rFonts w:hint="eastAsia"/>
          <w:sz w:val="24"/>
          <w:szCs w:val="24"/>
        </w:rPr>
        <w:t>～</w:t>
      </w:r>
      <w:r>
        <w:rPr>
          <w:sz w:val="24"/>
          <w:szCs w:val="24"/>
        </w:rPr>
        <w:t>22:00</w:t>
      </w:r>
      <w:r>
        <w:rPr>
          <w:rFonts w:hint="eastAsia"/>
          <w:sz w:val="24"/>
          <w:szCs w:val="24"/>
        </w:rPr>
        <w:t>）进行或对各种施工机械操作时间作适当调整。为减少施工期间的材料运输、敲击、人的喊叫等施工活动声源，要求承包商通过文明施工、加强有效管理加以缓解。</w:t>
      </w:r>
    </w:p>
    <w:p>
      <w:pPr>
        <w:spacing w:line="360" w:lineRule="auto"/>
        <w:ind w:firstLine="31680" w:firstLineChars="200"/>
        <w:rPr>
          <w:sz w:val="24"/>
          <w:szCs w:val="24"/>
        </w:rPr>
      </w:pPr>
      <w:r>
        <w:rPr>
          <w:sz w:val="24"/>
          <w:szCs w:val="24"/>
        </w:rPr>
        <w:t>d</w:t>
      </w:r>
      <w:r>
        <w:rPr>
          <w:rFonts w:hint="eastAsia"/>
          <w:sz w:val="24"/>
          <w:szCs w:val="24"/>
        </w:rPr>
        <w:t>）对临近敏感区（铜盆村、大陆村、桃花村、莲花村、大里塘村居民点）的施工现场，噪声大的施工机具在夜间（</w:t>
      </w:r>
      <w:r>
        <w:rPr>
          <w:sz w:val="24"/>
          <w:szCs w:val="24"/>
        </w:rPr>
        <w:t>22:00~06:00</w:t>
      </w:r>
      <w:r>
        <w:rPr>
          <w:rFonts w:hint="eastAsia"/>
          <w:sz w:val="24"/>
          <w:szCs w:val="24"/>
        </w:rPr>
        <w:t>）停止施工。必须连续施工作业的工点，施工单位应视具体情况及时与当地环保部门取得联系，按规定申领夜间施工证，同时发布公告最大限度地争取民众支持。</w:t>
      </w:r>
    </w:p>
    <w:p>
      <w:pPr>
        <w:pStyle w:val="3"/>
        <w:ind w:firstLine="31680"/>
        <w:rPr>
          <w:szCs w:val="24"/>
        </w:rPr>
      </w:pPr>
      <w:r>
        <w:rPr>
          <w:szCs w:val="24"/>
        </w:rPr>
        <w:t>e</w:t>
      </w:r>
      <w:r>
        <w:rPr>
          <w:rFonts w:hint="eastAsia"/>
          <w:szCs w:val="24"/>
        </w:rPr>
        <w:t>）对</w:t>
      </w:r>
      <w:r>
        <w:rPr>
          <w:rFonts w:hint="eastAsia"/>
        </w:rPr>
        <w:t>于临近敏感区</w:t>
      </w:r>
      <w:r>
        <w:rPr>
          <w:rFonts w:hint="eastAsia"/>
          <w:szCs w:val="24"/>
        </w:rPr>
        <w:t>（铜盆村、大陆村、桃花村、莲花村、大里塘村居民点）</w:t>
      </w:r>
      <w:r>
        <w:rPr>
          <w:rFonts w:hint="eastAsia"/>
        </w:rPr>
        <w:t>的施工路段，应设置</w:t>
      </w:r>
      <w:r>
        <w:rPr>
          <w:rFonts w:hint="eastAsia"/>
          <w:szCs w:val="24"/>
        </w:rPr>
        <w:t>移动式或临时声屏障等防噪措施。</w:t>
      </w:r>
    </w:p>
    <w:p>
      <w:pPr>
        <w:spacing w:line="360" w:lineRule="auto"/>
        <w:ind w:firstLine="31680" w:firstLineChars="200"/>
        <w:rPr>
          <w:sz w:val="24"/>
          <w:szCs w:val="24"/>
        </w:rPr>
      </w:pPr>
      <w:r>
        <w:rPr>
          <w:sz w:val="24"/>
          <w:szCs w:val="24"/>
        </w:rPr>
        <w:t>f</w:t>
      </w:r>
      <w:r>
        <w:rPr>
          <w:rFonts w:hint="eastAsia"/>
          <w:sz w:val="24"/>
          <w:szCs w:val="24"/>
        </w:rPr>
        <w:t>）建设单位应责成施工单位在施工现场标明张布通告和投诉电话，建设单位在接到报案后应及时与当地环保部门取得联系，以便及时处理各种环境纠纷。</w:t>
      </w:r>
    </w:p>
    <w:p>
      <w:pPr>
        <w:spacing w:line="360" w:lineRule="auto"/>
        <w:ind w:firstLine="31680" w:firstLineChars="200"/>
        <w:rPr>
          <w:sz w:val="24"/>
          <w:szCs w:val="24"/>
        </w:rPr>
      </w:pPr>
      <w:r>
        <w:rPr>
          <w:sz w:val="24"/>
          <w:szCs w:val="24"/>
        </w:rPr>
        <w:t>g</w:t>
      </w:r>
      <w:r>
        <w:rPr>
          <w:rFonts w:hint="eastAsia"/>
          <w:sz w:val="24"/>
          <w:szCs w:val="24"/>
        </w:rPr>
        <w:t>）施工期间当地环保局应加强环境监管工作，及时发现、制止因施工不当、环保措施不落实等原因引起的噪声扰民事件，促使施工单位文明施工、严格执行环保措施，降低施工期间对沿线村民生活、休息的不利影响。</w:t>
      </w:r>
    </w:p>
    <w:p>
      <w:pPr>
        <w:pStyle w:val="5"/>
        <w:ind w:left="567" w:hanging="567"/>
      </w:pPr>
      <w:r>
        <w:rPr>
          <w:rFonts w:hint="eastAsia"/>
        </w:rPr>
        <w:t>施工期环境空气质量保护措施</w:t>
      </w:r>
    </w:p>
    <w:p>
      <w:pPr>
        <w:pStyle w:val="3"/>
        <w:widowControl/>
        <w:numPr>
          <w:ilvl w:val="0"/>
          <w:numId w:val="13"/>
        </w:numPr>
        <w:ind w:left="0" w:firstLine="480" w:firstLineChars="0"/>
      </w:pPr>
      <w:r>
        <w:rPr>
          <w:rFonts w:hint="eastAsia"/>
        </w:rPr>
        <w:t>施工作业场地、未铺装的施工便道在无雨日、大风条件下极易起尘，要求对施工场地定期洒水，缩短扬尘污染的时段和污染范围，最大限度地减少起尘量。同时对施工道路进行定期养护、清扫、洒水，保证其良好的路况。运输车辆必须采用封闭车辆运输，防止撒漏，运输车辆必须进行喷淋、冲洗，不得带泥土上路。</w:t>
      </w:r>
    </w:p>
    <w:p>
      <w:pPr>
        <w:pStyle w:val="3"/>
        <w:widowControl/>
        <w:numPr>
          <w:ilvl w:val="0"/>
          <w:numId w:val="13"/>
        </w:numPr>
        <w:ind w:left="0" w:firstLine="480" w:firstLineChars="0"/>
      </w:pPr>
      <w:r>
        <w:rPr>
          <w:rFonts w:hint="eastAsia"/>
        </w:rPr>
        <w:t>对堆场加强管理，在物料堆场四周设置挡风墙（网），并合理安排堆垛位置，必要时在堆垛表面掺和外加剂或喷洒润滑剂以使材料稳定；表土堆场覆盖防尘网，减少可能的起尘量。</w:t>
      </w:r>
    </w:p>
    <w:p>
      <w:pPr>
        <w:pStyle w:val="3"/>
        <w:widowControl/>
        <w:numPr>
          <w:ilvl w:val="0"/>
          <w:numId w:val="13"/>
        </w:numPr>
        <w:ind w:left="0" w:firstLine="480" w:firstLineChars="0"/>
      </w:pPr>
      <w:r>
        <w:rPr>
          <w:rFonts w:hint="eastAsia"/>
        </w:rPr>
        <w:t>易洒落散装物料在装卸、使用、运输、转运和临时存放等全部过程中时，必需采取防风遮盖措施或降尘措施，以减少扬尘。注意运输时必须压实，填装高度禁止超过车斗防护栏，避免洒落引起二次扬尘。粉状建筑材料运输时，应选择沿线敏感点少的路段。</w:t>
      </w:r>
    </w:p>
    <w:p>
      <w:pPr>
        <w:pStyle w:val="3"/>
        <w:widowControl/>
        <w:numPr>
          <w:ilvl w:val="0"/>
          <w:numId w:val="13"/>
        </w:numPr>
        <w:ind w:left="0" w:firstLine="480" w:firstLineChars="0"/>
      </w:pPr>
      <w:r>
        <w:rPr>
          <w:rFonts w:hint="eastAsia"/>
        </w:rPr>
        <w:t>为减小沥青混凝土路面铺滩时产生的沥青烟对周边大气环境的污染，在路面沥青铺滩时建议选择铺滩时段为昼间，气象参数选择为晴天并具有二级以上风速，以便于沥青铺滩时产生的烟气能够迅速扩散、稀释与转移。</w:t>
      </w:r>
    </w:p>
    <w:p>
      <w:pPr>
        <w:pStyle w:val="3"/>
        <w:widowControl/>
        <w:numPr>
          <w:ilvl w:val="0"/>
          <w:numId w:val="13"/>
        </w:numPr>
        <w:ind w:left="0" w:firstLine="480" w:firstLineChars="0"/>
      </w:pPr>
      <w:r>
        <w:rPr>
          <w:rFonts w:hint="eastAsia"/>
        </w:rPr>
        <w:t>施工单位必须选用符合国家卫生防护标准的施工机械设备和运输工具，确保其废气排放符合国家有关标准。</w:t>
      </w:r>
    </w:p>
    <w:p>
      <w:pPr>
        <w:pStyle w:val="3"/>
        <w:widowControl/>
        <w:numPr>
          <w:ilvl w:val="0"/>
          <w:numId w:val="13"/>
        </w:numPr>
        <w:ind w:left="0" w:firstLine="480" w:firstLineChars="0"/>
      </w:pPr>
      <w:r>
        <w:rPr>
          <w:rFonts w:hint="eastAsia"/>
        </w:rPr>
        <w:t>施工过程中受环境空气污染的最为严重的是施工人员，施工单位应着重对施工人员采取防护和劳动保护措施，如缩短工作时间和发放防尘口罩等。</w:t>
      </w:r>
    </w:p>
    <w:p>
      <w:pPr>
        <w:pStyle w:val="3"/>
        <w:widowControl/>
        <w:numPr>
          <w:ilvl w:val="0"/>
          <w:numId w:val="13"/>
        </w:numPr>
        <w:ind w:left="0" w:firstLine="480" w:firstLineChars="0"/>
      </w:pPr>
      <w:r>
        <w:rPr>
          <w:rFonts w:hint="eastAsia"/>
        </w:rPr>
        <w:t>距离施工场地较近的敏感点的环境空气质量抽样监测（主要监测</w:t>
      </w:r>
      <w:r>
        <w:t>TSP</w:t>
      </w:r>
      <w:r>
        <w:rPr>
          <w:rFonts w:hint="eastAsia"/>
        </w:rPr>
        <w:t>），视监测结果采取加强洒水强度（主要是洒水次数）等降尘措施。</w:t>
      </w:r>
    </w:p>
    <w:p>
      <w:pPr>
        <w:pStyle w:val="3"/>
        <w:widowControl/>
        <w:numPr>
          <w:ilvl w:val="0"/>
          <w:numId w:val="13"/>
        </w:numPr>
        <w:ind w:left="0" w:firstLine="480" w:firstLineChars="0"/>
      </w:pPr>
      <w:r>
        <w:rPr>
          <w:rFonts w:hint="eastAsia"/>
        </w:rPr>
        <w:t>施工生产生活区餐饮应按地方环保部门规定，使用液化气、电力等清洁能源。</w:t>
      </w:r>
    </w:p>
    <w:p>
      <w:pPr>
        <w:pStyle w:val="3"/>
        <w:widowControl/>
        <w:numPr>
          <w:ilvl w:val="0"/>
          <w:numId w:val="13"/>
        </w:numPr>
        <w:ind w:left="0" w:firstLine="480" w:firstLineChars="0"/>
      </w:pPr>
      <w:r>
        <w:rPr>
          <w:rFonts w:hint="eastAsia"/>
        </w:rPr>
        <w:t>建设单位应责成施工单位在施工现场标明张布通告和投诉电话，建设单位在接到报案后应及时与当地环保部门取得联系，以便及时处理由扬尘引起的扰民事件。</w:t>
      </w:r>
    </w:p>
    <w:p>
      <w:pPr>
        <w:pStyle w:val="3"/>
        <w:widowControl/>
        <w:numPr>
          <w:ilvl w:val="0"/>
          <w:numId w:val="13"/>
        </w:numPr>
        <w:ind w:left="0" w:firstLine="480" w:firstLineChars="0"/>
      </w:pPr>
      <w:r>
        <w:rPr>
          <w:rFonts w:hint="eastAsia"/>
        </w:rPr>
        <w:t>施工期间，当地环保局应加大监管力度，督促建设单位、施工单位严格落实各项降尘措施，减轻扬尘污染，减少各种环境纠纷。</w:t>
      </w:r>
    </w:p>
    <w:p>
      <w:pPr>
        <w:pStyle w:val="5"/>
        <w:ind w:left="567" w:hanging="567"/>
      </w:pPr>
      <w:r>
        <w:rPr>
          <w:rFonts w:hint="eastAsia"/>
        </w:rPr>
        <w:t>施工期水环境保护措施</w:t>
      </w:r>
    </w:p>
    <w:p>
      <w:pPr>
        <w:pStyle w:val="6"/>
        <w:ind w:left="567" w:hanging="567"/>
      </w:pPr>
      <w:r>
        <w:rPr>
          <w:rFonts w:hint="eastAsia"/>
        </w:rPr>
        <w:t>施工作业废水污染防治措施</w:t>
      </w:r>
    </w:p>
    <w:p>
      <w:pPr>
        <w:pStyle w:val="3"/>
        <w:ind w:firstLine="31680"/>
      </w:pPr>
      <w:r>
        <w:t>a</w:t>
      </w:r>
      <w:r>
        <w:rPr>
          <w:rFonts w:hint="eastAsia"/>
        </w:rPr>
        <w:t>）施工废水污染防治措施</w:t>
      </w:r>
    </w:p>
    <w:p>
      <w:pPr>
        <w:pStyle w:val="3"/>
        <w:ind w:firstLine="31680"/>
      </w:pPr>
      <w:r>
        <w:t>1</w:t>
      </w:r>
      <w:r>
        <w:rPr>
          <w:rFonts w:hint="eastAsia"/>
        </w:rPr>
        <w:t>）散体物料堆场应配有草包蓬布等遮盖物并在周围挖设明沟以防止散体物料随径流冲刷至水体；施工材料如沥青、油料、化学品等有害物质堆放场地应设篷盖，以减少雨水冲刷造成污染；</w:t>
      </w:r>
    </w:p>
    <w:p>
      <w:pPr>
        <w:pStyle w:val="3"/>
        <w:ind w:firstLine="31680"/>
      </w:pPr>
      <w:r>
        <w:t>2</w:t>
      </w:r>
      <w:r>
        <w:rPr>
          <w:rFonts w:hint="eastAsia"/>
        </w:rPr>
        <w:t>）拟建工程沿线石料储备丰富，应尽量利用当地附近的筑路材料，减小运距，尽量减少筑路材料运输过程中散体材料进入水体的影响；</w:t>
      </w:r>
    </w:p>
    <w:p>
      <w:pPr>
        <w:pStyle w:val="3"/>
        <w:ind w:firstLine="31680"/>
      </w:pPr>
      <w:r>
        <w:t>3</w:t>
      </w:r>
      <w:r>
        <w:rPr>
          <w:rFonts w:hint="eastAsia"/>
        </w:rPr>
        <w:t>）工程承包合同中应明确筑路材料（如沥青、油料、化学品、粉煤灰等）的运输过程中防止洒漏条款，堆放场地不得设在河流或沿线灌溉水渠附近，以免随雨水冲入水体造成污染。</w:t>
      </w:r>
    </w:p>
    <w:p>
      <w:pPr>
        <w:pStyle w:val="3"/>
        <w:ind w:firstLine="31680"/>
      </w:pPr>
      <w:r>
        <w:t>b</w:t>
      </w:r>
      <w:r>
        <w:rPr>
          <w:rFonts w:hint="eastAsia"/>
        </w:rPr>
        <w:t>）含油污水控制措施</w:t>
      </w:r>
    </w:p>
    <w:p>
      <w:pPr>
        <w:pStyle w:val="3"/>
        <w:ind w:firstLine="31680"/>
      </w:pPr>
      <w:r>
        <w:t>1</w:t>
      </w:r>
      <w:r>
        <w:rPr>
          <w:rFonts w:hint="eastAsia"/>
        </w:rPr>
        <w:t>）尽量选用先进的设备、机械，以有效地减少跑、冒、滴、漏的数量及机械维修的次数，从而减少含油污水的产生量；</w:t>
      </w:r>
    </w:p>
    <w:p>
      <w:pPr>
        <w:pStyle w:val="3"/>
        <w:ind w:firstLine="31680"/>
      </w:pPr>
      <w:r>
        <w:t>2</w:t>
      </w:r>
      <w:r>
        <w:rPr>
          <w:rFonts w:hint="eastAsia"/>
        </w:rPr>
        <w:t>）在不可避免跑、冒、滴、漏的施工过程中尽量采用固态吸油材料（如棉纱、木屑等）将废油收集转化到固态物质中，避免产生过多的含油污水。对渗漏到土壤的油污应及时利用刮削装置收集封存，对收集的浸油废料交由当地专业回收部门回收处理；</w:t>
      </w:r>
    </w:p>
    <w:p>
      <w:pPr>
        <w:pStyle w:val="3"/>
        <w:ind w:firstLine="31680"/>
        <w:rPr>
          <w:rFonts w:hint="eastAsia"/>
        </w:rPr>
      </w:pPr>
      <w:r>
        <w:t>3</w:t>
      </w:r>
      <w:r>
        <w:rPr>
          <w:rFonts w:hint="eastAsia"/>
        </w:rPr>
        <w:t>）机械设备及运输车辆的维修保养可依托</w:t>
      </w:r>
      <w:r>
        <w:rPr>
          <w:rFonts w:hint="eastAsia"/>
          <w:lang w:val="en-US" w:eastAsia="zh-CN"/>
        </w:rPr>
        <w:t>汨罗</w:t>
      </w:r>
      <w:r>
        <w:rPr>
          <w:rFonts w:hint="eastAsia"/>
        </w:rPr>
        <w:t>市桥头河镇的维修点进行，不自设机修站。</w:t>
      </w:r>
    </w:p>
    <w:p>
      <w:pPr>
        <w:pStyle w:val="168"/>
        <w:ind w:firstLine="31680"/>
        <w:rPr>
          <w:rFonts w:hint="eastAsia"/>
        </w:rPr>
      </w:pPr>
      <w:r>
        <w:rPr>
          <w:rFonts w:hint="eastAsia"/>
          <w:lang w:val="en-US" w:eastAsia="zh-CN"/>
        </w:rPr>
        <w:t>c</w:t>
      </w:r>
      <w:r>
        <w:rPr>
          <w:rFonts w:hint="eastAsia"/>
        </w:rPr>
        <w:t>）</w:t>
      </w:r>
      <w:r>
        <w:rPr>
          <w:rFonts w:hint="eastAsia"/>
          <w:lang w:val="en-US" w:eastAsia="zh-CN"/>
        </w:rPr>
        <w:t>桥梁施工对和河流影响</w:t>
      </w:r>
    </w:p>
    <w:p>
      <w:pPr>
        <w:pStyle w:val="168"/>
        <w:ind w:firstLine="480"/>
      </w:pPr>
      <w:r>
        <w:rPr>
          <w:rFonts w:hint="eastAsia"/>
        </w:rPr>
        <w:t>桥梁工程区主要做好桥的排水措施，锥坡坡面的防护及施工过程中的临时排水、拦挡、覆盖防护及迹地的恢复。</w:t>
      </w:r>
      <w:r>
        <w:rPr>
          <w:color w:val="auto"/>
        </w:rPr>
        <w:t>主体设计涉水桥梁施工采在枯水季节进行，能有效的避免水位对施工的影响</w:t>
      </w:r>
      <w:r>
        <w:rPr>
          <w:rFonts w:hint="eastAsia"/>
          <w:color w:val="auto"/>
          <w:lang w:eastAsia="zh-CN"/>
        </w:rPr>
        <w:t>，</w:t>
      </w:r>
      <w:r>
        <w:rPr>
          <w:rFonts w:hint="eastAsia"/>
        </w:rPr>
        <w:t>工程量为：浆砌石排水沟</w:t>
      </w:r>
      <w:r>
        <w:t>120m;</w:t>
      </w:r>
      <w:r>
        <w:rPr>
          <w:rFonts w:hint="eastAsia"/>
        </w:rPr>
        <w:t>临时排水沟</w:t>
      </w:r>
      <w:r>
        <w:t>150m</w:t>
      </w:r>
      <w:r>
        <w:rPr>
          <w:rFonts w:hint="eastAsia"/>
        </w:rPr>
        <w:t>，临时沉沙池</w:t>
      </w:r>
      <w:r>
        <w:t>2</w:t>
      </w:r>
      <w:r>
        <w:rPr>
          <w:rFonts w:hint="eastAsia"/>
        </w:rPr>
        <w:t>个，袋装土垒砌拦挡</w:t>
      </w:r>
      <w:r>
        <w:t>42m;</w:t>
      </w:r>
      <w:r>
        <w:rPr>
          <w:rFonts w:hint="eastAsia"/>
        </w:rPr>
        <w:t>植草护坡</w:t>
      </w:r>
      <w:r>
        <w:t>310m</w:t>
      </w:r>
      <w:r>
        <w:rPr>
          <w:vertAlign w:val="superscript"/>
        </w:rPr>
        <w:t>2</w:t>
      </w:r>
      <w:r>
        <w:rPr>
          <w:rFonts w:hint="eastAsia"/>
        </w:rPr>
        <w:t>。</w:t>
      </w:r>
    </w:p>
    <w:p>
      <w:pPr>
        <w:pStyle w:val="6"/>
        <w:ind w:left="567" w:hanging="567"/>
      </w:pPr>
      <w:r>
        <w:rPr>
          <w:rFonts w:hint="eastAsia"/>
        </w:rPr>
        <w:t>施工期生活污水控制措施</w:t>
      </w:r>
    </w:p>
    <w:p>
      <w:pPr>
        <w:pStyle w:val="3"/>
        <w:ind w:firstLine="31680"/>
      </w:pPr>
      <w:r>
        <w:t>a</w:t>
      </w:r>
      <w:r>
        <w:rPr>
          <w:rFonts w:hint="eastAsia"/>
        </w:rPr>
        <w:t>）施工人员的就餐和洗涤采用集中管理，如集中就餐、洗涤等，采用无磷洗衣粉。洗涤过程中控制洗涤剂的用量，以减少污水中洗涤剂的含量；</w:t>
      </w:r>
    </w:p>
    <w:p>
      <w:pPr>
        <w:pStyle w:val="3"/>
        <w:ind w:firstLine="31680"/>
      </w:pPr>
      <w:r>
        <w:t>b</w:t>
      </w:r>
      <w:r>
        <w:rPr>
          <w:rFonts w:hint="eastAsia"/>
        </w:rPr>
        <w:t>）在施工生产生活区附近设化粪池，将粪便污水和餐饮洗涤污水分别收集，粪便用于肥田，餐饮洗涤污水收集在化粪池中处理。化粪池委托沿线村民定期进行清掏，施工结束后将化粪池覆土掩埋；</w:t>
      </w:r>
    </w:p>
    <w:p>
      <w:pPr>
        <w:pStyle w:val="3"/>
        <w:ind w:firstLine="31680"/>
      </w:pPr>
      <w:r>
        <w:t>c</w:t>
      </w:r>
      <w:r>
        <w:rPr>
          <w:rFonts w:hint="eastAsia"/>
        </w:rPr>
        <w:t>）禁止随意向沿线沟渠倾倒、排放各种生活污水，不能在以上区域附近堆放生活垃圾和建筑垃圾。</w:t>
      </w:r>
    </w:p>
    <w:p>
      <w:pPr>
        <w:pStyle w:val="3"/>
        <w:ind w:firstLine="0" w:firstLineChars="0"/>
      </w:pPr>
      <w:r>
        <w:t>10.2.4.3</w:t>
      </w:r>
      <w:r>
        <w:rPr>
          <w:rFonts w:hint="eastAsia"/>
        </w:rPr>
        <w:t>饮用水源保护区沿线水污染控制措施</w:t>
      </w:r>
    </w:p>
    <w:p>
      <w:pPr>
        <w:pStyle w:val="3"/>
        <w:ind w:firstLine="31680"/>
      </w:pPr>
      <w:r>
        <w:t xml:space="preserve"> </w:t>
      </w:r>
      <w:r>
        <w:rPr>
          <w:rFonts w:hint="eastAsia"/>
        </w:rPr>
        <w:t>①本项目终点处大里塘水库附近开工前，建设单位应制定严格周密的施工计划，以减轻项目建设对大里塘水库及生活用水取水口水质的不利影响。</w:t>
      </w:r>
    </w:p>
    <w:p>
      <w:pPr>
        <w:pStyle w:val="3"/>
        <w:ind w:firstLine="31680"/>
      </w:pPr>
      <w:r>
        <w:t xml:space="preserve"> </w:t>
      </w:r>
      <w:r>
        <w:rPr>
          <w:rFonts w:hint="eastAsia"/>
        </w:rPr>
        <w:t>②施工作业期间，增加大里塘水库取水口水质监测频次，一旦超过国家规定的要求应立即停止施工，以确保饮用水源水质安全。</w:t>
      </w:r>
    </w:p>
    <w:p>
      <w:pPr>
        <w:pStyle w:val="3"/>
        <w:ind w:firstLine="31680"/>
      </w:pPr>
      <w:r>
        <w:t xml:space="preserve"> </w:t>
      </w:r>
      <w:r>
        <w:rPr>
          <w:rFonts w:hint="eastAsia"/>
        </w:rPr>
        <w:t>③为有效保护饮用水源保护区水质，项目大里塘水库保护范围</w:t>
      </w:r>
      <w:r>
        <w:t>200m</w:t>
      </w:r>
      <w:r>
        <w:rPr>
          <w:rFonts w:hint="eastAsia"/>
        </w:rPr>
        <w:t>外不得禁止设立弃渣场和施工生产生活区。施工过程中禁止向水源地水源排放污水。不得堆放任何材料或倾倒任何材料或废弃物，也不得弃渣。</w:t>
      </w:r>
    </w:p>
    <w:p>
      <w:pPr>
        <w:pStyle w:val="3"/>
        <w:ind w:firstLine="31680"/>
      </w:pPr>
      <w:r>
        <w:t xml:space="preserve"> </w:t>
      </w:r>
      <w:r>
        <w:rPr>
          <w:rFonts w:hint="eastAsia"/>
        </w:rPr>
        <w:t>④施工期严禁将施工废弃物排入地表水体。项目终点处大里塘水库附近路段，施工废水由沉淀池收集处理后回用，不得向大里塘水库排放。</w:t>
      </w:r>
    </w:p>
    <w:p>
      <w:pPr>
        <w:pStyle w:val="5"/>
        <w:ind w:left="567" w:hanging="567"/>
      </w:pPr>
      <w:r>
        <w:rPr>
          <w:rFonts w:hint="eastAsia"/>
        </w:rPr>
        <w:t>施工期固体废物处理措施</w:t>
      </w:r>
    </w:p>
    <w:p>
      <w:pPr>
        <w:spacing w:line="360" w:lineRule="auto"/>
        <w:ind w:firstLine="31680" w:firstLineChars="200"/>
        <w:rPr>
          <w:sz w:val="24"/>
          <w:szCs w:val="24"/>
        </w:rPr>
      </w:pPr>
      <w:r>
        <w:rPr>
          <w:sz w:val="24"/>
          <w:szCs w:val="24"/>
        </w:rPr>
        <w:t>a</w:t>
      </w:r>
      <w:r>
        <w:rPr>
          <w:rFonts w:hint="eastAsia"/>
          <w:sz w:val="24"/>
          <w:szCs w:val="24"/>
        </w:rPr>
        <w:t>）施工期间的建筑拆迁产生的垃圾，应按计划和施工操作规程妥善处置，综合利用，若不能回用，尽快将建筑垃圾运送到最近的弃渣场，进行集中管理和处理。</w:t>
      </w:r>
    </w:p>
    <w:p>
      <w:pPr>
        <w:spacing w:line="360" w:lineRule="auto"/>
        <w:ind w:firstLine="31680" w:firstLineChars="200"/>
        <w:rPr>
          <w:sz w:val="24"/>
          <w:szCs w:val="24"/>
        </w:rPr>
      </w:pPr>
      <w:r>
        <w:rPr>
          <w:sz w:val="24"/>
          <w:szCs w:val="24"/>
        </w:rPr>
        <w:t>b</w:t>
      </w:r>
      <w:r>
        <w:rPr>
          <w:rFonts w:hint="eastAsia"/>
          <w:sz w:val="24"/>
          <w:szCs w:val="24"/>
        </w:rPr>
        <w:t>在施工生产生活区、施工现场设置固定的建筑垃圾固体废物收集处，对固体废物进行集中管理，减少其对周围环境和施工人员及居民点的影响。</w:t>
      </w:r>
    </w:p>
    <w:p>
      <w:pPr>
        <w:spacing w:line="360" w:lineRule="auto"/>
        <w:ind w:firstLine="31680" w:firstLineChars="200"/>
        <w:rPr>
          <w:sz w:val="24"/>
          <w:szCs w:val="24"/>
        </w:rPr>
      </w:pPr>
      <w:r>
        <w:rPr>
          <w:sz w:val="24"/>
          <w:szCs w:val="24"/>
        </w:rPr>
        <w:t>c</w:t>
      </w:r>
      <w:r>
        <w:rPr>
          <w:rFonts w:hint="eastAsia"/>
          <w:sz w:val="24"/>
          <w:szCs w:val="24"/>
        </w:rPr>
        <w:t>）施工生产生活区设生活垃圾收运设施（包括垃圾桶、垃圾站），施工生产生活区产生的生活垃圾严禁随意抛弃，应定点堆放、定期清理送至垃圾中转站，由环卫部门统一综合处置，定期送至</w:t>
      </w:r>
      <w:r>
        <w:rPr>
          <w:rFonts w:hint="eastAsia"/>
          <w:sz w:val="24"/>
          <w:szCs w:val="24"/>
          <w:lang w:val="en-US" w:eastAsia="zh-CN"/>
        </w:rPr>
        <w:t>汨罗</w:t>
      </w:r>
      <w:r>
        <w:rPr>
          <w:rFonts w:hint="eastAsia"/>
          <w:sz w:val="24"/>
          <w:szCs w:val="24"/>
        </w:rPr>
        <w:t>市城市垃圾填埋场进行处置。</w:t>
      </w:r>
    </w:p>
    <w:p>
      <w:pPr>
        <w:spacing w:line="360" w:lineRule="auto"/>
        <w:ind w:firstLine="31680" w:firstLineChars="200"/>
        <w:rPr>
          <w:rFonts w:hint="eastAsia"/>
          <w:sz w:val="24"/>
          <w:szCs w:val="24"/>
        </w:rPr>
      </w:pPr>
      <w:r>
        <w:rPr>
          <w:sz w:val="24"/>
          <w:szCs w:val="24"/>
        </w:rPr>
        <w:t>d</w:t>
      </w:r>
      <w:r>
        <w:rPr>
          <w:rFonts w:hint="eastAsia"/>
          <w:sz w:val="24"/>
          <w:szCs w:val="24"/>
        </w:rPr>
        <w:t>）本工程围堰内钻渣的产生量约为</w:t>
      </w:r>
      <w:r>
        <w:rPr>
          <w:sz w:val="24"/>
          <w:szCs w:val="24"/>
        </w:rPr>
        <w:t>10m</w:t>
      </w:r>
      <w:r>
        <w:rPr>
          <w:sz w:val="24"/>
          <w:szCs w:val="24"/>
          <w:vertAlign w:val="superscript"/>
        </w:rPr>
        <w:t>3</w:t>
      </w:r>
      <w:r>
        <w:rPr>
          <w:rFonts w:hint="eastAsia"/>
          <w:sz w:val="24"/>
          <w:szCs w:val="24"/>
        </w:rPr>
        <w:t>，围堰内挖出的钻渣应通过浸出毒性分析后，确认钻渣的固废属性，如属于危险废物，则需交由有资质单位集中收集处理；如属于一般固废，则及时运送至河堤外临时处置场，干化后及时清运至弃渣场，并注意不要沿途洒落。</w:t>
      </w:r>
    </w:p>
    <w:p>
      <w:pPr>
        <w:pStyle w:val="168"/>
        <w:ind w:firstLine="480"/>
        <w:rPr>
          <w:color w:val="auto"/>
        </w:rPr>
      </w:pPr>
      <w:r>
        <w:rPr>
          <w:rFonts w:hint="eastAsia"/>
          <w:sz w:val="24"/>
          <w:szCs w:val="24"/>
          <w:lang w:val="en-US" w:eastAsia="zh-CN"/>
        </w:rPr>
        <w:t>e</w:t>
      </w:r>
      <w:r>
        <w:rPr>
          <w:rFonts w:hint="eastAsia"/>
          <w:sz w:val="24"/>
          <w:szCs w:val="24"/>
        </w:rPr>
        <w:t>）</w:t>
      </w:r>
      <w:r>
        <w:rPr>
          <w:color w:val="auto"/>
        </w:rPr>
        <w:t>桥墩基础开挖施工尽量选用对水土保持有益的施工工艺，严格划定施工区域，将施工作业控制在该区域内。桥梁基础施工要及时清运废弃方，严禁随意乱丢乱弃</w:t>
      </w:r>
      <w:r>
        <w:rPr>
          <w:rFonts w:hint="eastAsia"/>
          <w:color w:val="auto"/>
          <w:lang w:eastAsia="zh-CN"/>
        </w:rPr>
        <w:t>，</w:t>
      </w:r>
      <w:r>
        <w:rPr>
          <w:color w:val="auto"/>
        </w:rPr>
        <w:t>开挖的土石方应及时运输或者利用，避免长时间大量堆积。</w:t>
      </w:r>
    </w:p>
    <w:p>
      <w:pPr>
        <w:pStyle w:val="5"/>
        <w:ind w:left="567" w:hanging="567"/>
      </w:pPr>
      <w:r>
        <w:rPr>
          <w:rFonts w:hint="eastAsia"/>
        </w:rPr>
        <w:t>施工期生态环境保护措施</w:t>
      </w:r>
    </w:p>
    <w:p>
      <w:pPr>
        <w:pStyle w:val="6"/>
        <w:ind w:left="567" w:hanging="567"/>
      </w:pPr>
      <w:r>
        <w:rPr>
          <w:rFonts w:hint="eastAsia"/>
        </w:rPr>
        <w:t>路基边坡防护措施</w:t>
      </w:r>
    </w:p>
    <w:p>
      <w:pPr>
        <w:pStyle w:val="3"/>
        <w:ind w:firstLine="31680"/>
      </w:pPr>
      <w:r>
        <w:rPr>
          <w:rFonts w:hint="eastAsia"/>
        </w:rPr>
        <w:t>路基防护以生态防护为主，工程防护为辅，并根据地形、地质选择合理的型式。</w:t>
      </w:r>
    </w:p>
    <w:p>
      <w:pPr>
        <w:pStyle w:val="3"/>
        <w:ind w:firstLine="31680"/>
      </w:pPr>
      <w:r>
        <w:rPr>
          <w:rFonts w:hint="eastAsia"/>
        </w:rPr>
        <w:t>土质边坡采用植草防护并栽种矮乔、灌木进行点缀；对岩层破碎、节理裂隙发育的风化严重的坡面，适当放缓边坡，采用喷播植草或柔性防护网等措施；小规模的表层碎石土或强风化岩滑坡可采用挡墙或锚喷支护措施。</w:t>
      </w:r>
    </w:p>
    <w:p>
      <w:pPr>
        <w:pStyle w:val="3"/>
        <w:ind w:firstLine="31680"/>
      </w:pPr>
      <w:r>
        <w:rPr>
          <w:rFonts w:hint="eastAsia"/>
        </w:rPr>
        <w:t>对过农田的填土路基地段，采用矮墙和坡脚墙、边坡植草防护；浸水路基地段一般采用浸水挡墙防护，对易产生冲刷的地段则采用铺砌防护。挖方路段，一般采用植草、灌防护，必要时在坡脚设置</w:t>
      </w:r>
      <w:r>
        <w:t>0.8~1.5m</w:t>
      </w:r>
      <w:r>
        <w:rPr>
          <w:rFonts w:hint="eastAsia"/>
        </w:rPr>
        <w:t>的矮墙；陡坡路基，半填半挖路基、临水路基以及受地形、地物限制的地段，根据情况设置路肩挡土墙、路堤坡脚挡土墙、或路堑挡土墙进行防护。</w:t>
      </w:r>
    </w:p>
    <w:p>
      <w:pPr>
        <w:pStyle w:val="6"/>
        <w:ind w:left="567" w:hanging="567"/>
      </w:pPr>
      <w:r>
        <w:rPr>
          <w:rFonts w:hint="eastAsia"/>
        </w:rPr>
        <w:t>临时占地区保护措施</w:t>
      </w:r>
    </w:p>
    <w:p>
      <w:pPr>
        <w:spacing w:line="360" w:lineRule="auto"/>
        <w:ind w:firstLine="31680" w:firstLineChars="200"/>
        <w:rPr>
          <w:sz w:val="24"/>
          <w:szCs w:val="24"/>
        </w:rPr>
      </w:pPr>
      <w:r>
        <w:rPr>
          <w:sz w:val="24"/>
          <w:szCs w:val="24"/>
        </w:rPr>
        <w:t>a</w:t>
      </w:r>
      <w:r>
        <w:rPr>
          <w:rFonts w:hint="eastAsia"/>
          <w:sz w:val="24"/>
          <w:szCs w:val="24"/>
        </w:rPr>
        <w:t>）表土堆置区</w:t>
      </w:r>
    </w:p>
    <w:p>
      <w:pPr>
        <w:spacing w:line="360" w:lineRule="auto"/>
        <w:ind w:firstLine="31680" w:firstLineChars="200"/>
        <w:rPr>
          <w:sz w:val="24"/>
          <w:szCs w:val="24"/>
        </w:rPr>
      </w:pPr>
      <w:r>
        <w:rPr>
          <w:rFonts w:hint="eastAsia"/>
          <w:sz w:val="24"/>
          <w:szCs w:val="24"/>
        </w:rPr>
        <w:t>为了保护珍贵的耕地资源，减少项目实施对当地土地资源的影响，对占用的耕地，剥离的表土应集中堆置，并采取相应的措施，防止水土流失，施工结束后对施工迹地尽可能采取复耕措施。</w:t>
      </w:r>
    </w:p>
    <w:p>
      <w:pPr>
        <w:pStyle w:val="3"/>
        <w:ind w:firstLine="31680"/>
      </w:pPr>
      <w:r>
        <w:rPr>
          <w:rFonts w:hint="eastAsia"/>
        </w:rPr>
        <w:t>由于临时堆土土壤颗粒之间比较松散，抗冲蚀能力较差，在不采取相应措施的情况下易引发严重的水土流失，对临时表土堆土区应采取临时拦挡措施，临时拦挡采用编织袋装土垒砌筑坎，坎高</w:t>
      </w:r>
      <w:r>
        <w:t>0.75m</w:t>
      </w:r>
      <w:r>
        <w:rPr>
          <w:rFonts w:hint="eastAsia"/>
        </w:rPr>
        <w:t>，顶宽</w:t>
      </w:r>
      <w:r>
        <w:t>0.75m</w:t>
      </w:r>
      <w:r>
        <w:rPr>
          <w:rFonts w:hint="eastAsia"/>
        </w:rPr>
        <w:t>，底宽</w:t>
      </w:r>
      <w:r>
        <w:t>1.5m</w:t>
      </w:r>
      <w:r>
        <w:rPr>
          <w:rFonts w:hint="eastAsia"/>
        </w:rPr>
        <w:t>，挡土坎外侧</w:t>
      </w:r>
      <w:r>
        <w:t>0.5~1m</w:t>
      </w:r>
      <w:r>
        <w:rPr>
          <w:rFonts w:hint="eastAsia"/>
        </w:rPr>
        <w:t>处开挖临时排水，临时排水沟深</w:t>
      </w:r>
      <w:r>
        <w:t>0.5m</w:t>
      </w:r>
      <w:r>
        <w:rPr>
          <w:rFonts w:hint="eastAsia"/>
        </w:rPr>
        <w:t>，底宽</w:t>
      </w:r>
      <w:r>
        <w:t>0.5m</w:t>
      </w:r>
      <w:r>
        <w:rPr>
          <w:rFonts w:hint="eastAsia"/>
        </w:rPr>
        <w:t>，顶宽</w:t>
      </w:r>
      <w:r>
        <w:t>0.8m</w:t>
      </w:r>
      <w:r>
        <w:rPr>
          <w:rFonts w:hint="eastAsia"/>
        </w:rPr>
        <w:t>，同时，在排水沟出口处设置临时土质沉沙池，尺寸为</w:t>
      </w:r>
      <w:r>
        <w:t>2m×1.5m×1.5m</w:t>
      </w:r>
      <w:r>
        <w:rPr>
          <w:rFonts w:hint="eastAsia"/>
        </w:rPr>
        <w:t>，以沉降径流泥沙，降低径流流速，施工期沉沙池中的淤泥应定期清运，沉沙池接周边排水系统。临时堆土表面应夯实，防止表面土壤颗粒滑动，减少降雨时土壤侵蚀量。</w:t>
      </w:r>
    </w:p>
    <w:p>
      <w:pPr>
        <w:spacing w:line="360" w:lineRule="auto"/>
        <w:ind w:firstLine="31680" w:firstLineChars="200"/>
        <w:rPr>
          <w:sz w:val="24"/>
          <w:szCs w:val="24"/>
        </w:rPr>
      </w:pPr>
      <w:r>
        <w:rPr>
          <w:sz w:val="24"/>
          <w:szCs w:val="24"/>
        </w:rPr>
        <w:t>b</w:t>
      </w:r>
      <w:r>
        <w:rPr>
          <w:rFonts w:hint="eastAsia"/>
          <w:sz w:val="24"/>
          <w:szCs w:val="24"/>
        </w:rPr>
        <w:t>）弃渣场区</w:t>
      </w:r>
    </w:p>
    <w:p>
      <w:pPr>
        <w:spacing w:line="360" w:lineRule="auto"/>
        <w:ind w:firstLine="31680" w:firstLineChars="200"/>
        <w:rPr>
          <w:sz w:val="24"/>
          <w:szCs w:val="24"/>
        </w:rPr>
      </w:pPr>
      <w:r>
        <w:rPr>
          <w:rFonts w:hint="eastAsia"/>
          <w:sz w:val="24"/>
          <w:szCs w:val="24"/>
        </w:rPr>
        <w:t>本工程弃渣场地形主要为荒地，由于渣体松散，一旦防护不当极易引发水土流失，严重时甚至发生崩塌、泥石流等重大事故。拟采取的防治措施如下：</w:t>
      </w:r>
    </w:p>
    <w:p>
      <w:pPr>
        <w:spacing w:line="360" w:lineRule="auto"/>
        <w:ind w:firstLine="31680" w:firstLineChars="200"/>
        <w:rPr>
          <w:sz w:val="24"/>
          <w:szCs w:val="24"/>
        </w:rPr>
      </w:pPr>
      <w:r>
        <w:rPr>
          <w:sz w:val="24"/>
          <w:szCs w:val="24"/>
        </w:rPr>
        <w:t>1</w:t>
      </w:r>
      <w:r>
        <w:rPr>
          <w:rFonts w:hint="eastAsia"/>
          <w:sz w:val="24"/>
          <w:szCs w:val="24"/>
        </w:rPr>
        <w:t>）为保护有限的土壤资源，弃渣场施工前需将弃渣场内的表土剥离并集中保存，并采取袋装土垒砌拦挡，复合编织土工布覆盖。</w:t>
      </w:r>
    </w:p>
    <w:p>
      <w:pPr>
        <w:spacing w:line="360" w:lineRule="auto"/>
        <w:ind w:firstLine="31680" w:firstLineChars="200"/>
        <w:rPr>
          <w:sz w:val="24"/>
          <w:szCs w:val="24"/>
        </w:rPr>
      </w:pPr>
      <w:r>
        <w:rPr>
          <w:sz w:val="24"/>
          <w:szCs w:val="24"/>
        </w:rPr>
        <w:t>2</w:t>
      </w:r>
      <w:r>
        <w:rPr>
          <w:rFonts w:hint="eastAsia"/>
          <w:sz w:val="24"/>
          <w:szCs w:val="24"/>
        </w:rPr>
        <w:t>）按照</w:t>
      </w:r>
      <w:r>
        <w:rPr>
          <w:sz w:val="24"/>
          <w:szCs w:val="24"/>
        </w:rPr>
        <w:t>“</w:t>
      </w:r>
      <w:r>
        <w:rPr>
          <w:rFonts w:hint="eastAsia"/>
          <w:sz w:val="24"/>
          <w:szCs w:val="24"/>
        </w:rPr>
        <w:t>上截下拦</w:t>
      </w:r>
      <w:r>
        <w:rPr>
          <w:sz w:val="24"/>
          <w:szCs w:val="24"/>
        </w:rPr>
        <w:t>”</w:t>
      </w:r>
      <w:r>
        <w:rPr>
          <w:rFonts w:hint="eastAsia"/>
          <w:sz w:val="24"/>
          <w:szCs w:val="24"/>
        </w:rPr>
        <w:t>的原则，弃渣前在弃渣场下侧修建挡渣墙，挡渣墙修建应根据弃渣堆放的位置和地形特点进行设置，应安全、经济、合理。在弃渣场上侧修截水沟拦截坡面径流，两端修筑沉砂池。当截水沟终端坡降较大时，设消能设施。</w:t>
      </w:r>
    </w:p>
    <w:p>
      <w:pPr>
        <w:spacing w:line="360" w:lineRule="auto"/>
        <w:ind w:firstLine="31680" w:firstLineChars="200"/>
        <w:rPr>
          <w:sz w:val="24"/>
          <w:szCs w:val="24"/>
        </w:rPr>
      </w:pPr>
      <w:r>
        <w:rPr>
          <w:sz w:val="24"/>
          <w:szCs w:val="24"/>
        </w:rPr>
        <w:t>3</w:t>
      </w:r>
      <w:r>
        <w:rPr>
          <w:rFonts w:hint="eastAsia"/>
          <w:sz w:val="24"/>
          <w:szCs w:val="24"/>
        </w:rPr>
        <w:t>）弃渣分层碾压，沿弃渣高度每隔</w:t>
      </w:r>
      <w:r>
        <w:rPr>
          <w:sz w:val="24"/>
          <w:szCs w:val="24"/>
        </w:rPr>
        <w:t>5~6m</w:t>
      </w:r>
      <w:r>
        <w:rPr>
          <w:rFonts w:hint="eastAsia"/>
          <w:sz w:val="24"/>
          <w:szCs w:val="24"/>
        </w:rPr>
        <w:t>设宽</w:t>
      </w:r>
      <w:r>
        <w:rPr>
          <w:sz w:val="24"/>
          <w:szCs w:val="24"/>
        </w:rPr>
        <w:t>1~2m</w:t>
      </w:r>
      <w:r>
        <w:rPr>
          <w:rFonts w:hint="eastAsia"/>
          <w:sz w:val="24"/>
          <w:szCs w:val="24"/>
        </w:rPr>
        <w:t>的平台，平台上设排水沟。</w:t>
      </w:r>
    </w:p>
    <w:p>
      <w:pPr>
        <w:spacing w:line="360" w:lineRule="auto"/>
        <w:ind w:firstLine="31680" w:firstLineChars="200"/>
        <w:rPr>
          <w:sz w:val="24"/>
          <w:szCs w:val="24"/>
        </w:rPr>
      </w:pPr>
      <w:r>
        <w:rPr>
          <w:sz w:val="24"/>
          <w:szCs w:val="24"/>
        </w:rPr>
        <w:t>4</w:t>
      </w:r>
      <w:r>
        <w:rPr>
          <w:rFonts w:hint="eastAsia"/>
          <w:sz w:val="24"/>
          <w:szCs w:val="24"/>
        </w:rPr>
        <w:t>）弃渣完成后应对弃渣面进行平整，回填种植土，种植土来自公路开挖废弃的运至渣场集中堆放的表土，回填的厚度要求为：种草</w:t>
      </w:r>
      <w:r>
        <w:rPr>
          <w:sz w:val="24"/>
          <w:szCs w:val="24"/>
        </w:rPr>
        <w:t>≥0.3m</w:t>
      </w:r>
      <w:r>
        <w:rPr>
          <w:rFonts w:hint="eastAsia"/>
          <w:sz w:val="24"/>
          <w:szCs w:val="24"/>
        </w:rPr>
        <w:t>，种树</w:t>
      </w:r>
      <w:r>
        <w:rPr>
          <w:sz w:val="24"/>
          <w:szCs w:val="24"/>
        </w:rPr>
        <w:t>≥0.5m</w:t>
      </w:r>
      <w:r>
        <w:rPr>
          <w:rFonts w:hint="eastAsia"/>
          <w:sz w:val="24"/>
          <w:szCs w:val="24"/>
        </w:rPr>
        <w:t>，复耕</w:t>
      </w:r>
      <w:r>
        <w:rPr>
          <w:sz w:val="24"/>
          <w:szCs w:val="24"/>
        </w:rPr>
        <w:t>0.5~0.8m</w:t>
      </w:r>
      <w:r>
        <w:rPr>
          <w:rFonts w:hint="eastAsia"/>
          <w:sz w:val="24"/>
          <w:szCs w:val="24"/>
        </w:rPr>
        <w:t>。弃渣面每隔</w:t>
      </w:r>
      <w:r>
        <w:rPr>
          <w:sz w:val="24"/>
          <w:szCs w:val="24"/>
        </w:rPr>
        <w:t>50m~200m</w:t>
      </w:r>
      <w:r>
        <w:rPr>
          <w:rFonts w:hint="eastAsia"/>
          <w:sz w:val="24"/>
          <w:szCs w:val="24"/>
        </w:rPr>
        <w:t>开挖纵、横向排水沟。</w:t>
      </w:r>
    </w:p>
    <w:p>
      <w:pPr>
        <w:spacing w:line="360" w:lineRule="auto"/>
        <w:ind w:firstLine="31680" w:firstLineChars="200"/>
        <w:rPr>
          <w:sz w:val="24"/>
          <w:szCs w:val="24"/>
        </w:rPr>
      </w:pPr>
      <w:r>
        <w:rPr>
          <w:sz w:val="24"/>
          <w:szCs w:val="24"/>
        </w:rPr>
        <w:t>5</w:t>
      </w:r>
      <w:r>
        <w:rPr>
          <w:rFonts w:hint="eastAsia"/>
          <w:sz w:val="24"/>
          <w:szCs w:val="24"/>
        </w:rPr>
        <w:t>）为保证弃渣边坡的稳定，从挡渣墙顶至弃渣面按</w:t>
      </w:r>
      <w:r>
        <w:rPr>
          <w:sz w:val="24"/>
          <w:szCs w:val="24"/>
        </w:rPr>
        <w:t>1:2.0~1:2.5</w:t>
      </w:r>
      <w:r>
        <w:rPr>
          <w:rFonts w:hint="eastAsia"/>
          <w:sz w:val="24"/>
          <w:szCs w:val="24"/>
        </w:rPr>
        <w:t>放坡。</w:t>
      </w:r>
    </w:p>
    <w:p>
      <w:pPr>
        <w:spacing w:line="360" w:lineRule="auto"/>
        <w:ind w:firstLine="31680" w:firstLineChars="200"/>
        <w:rPr>
          <w:sz w:val="24"/>
          <w:szCs w:val="24"/>
        </w:rPr>
      </w:pPr>
      <w:r>
        <w:rPr>
          <w:sz w:val="24"/>
          <w:szCs w:val="24"/>
        </w:rPr>
        <w:t>6</w:t>
      </w:r>
      <w:r>
        <w:rPr>
          <w:rFonts w:hint="eastAsia"/>
          <w:sz w:val="24"/>
          <w:szCs w:val="24"/>
        </w:rPr>
        <w:t>）弃渣边坡采用植草皮护坡。弃渣结束后，对具备复耕条件的弃渣场弃渣面尽量恢复耕种，对不具备复耕条件的营造水保林草，林草措施落实前，需对绿化场地实施土地平整措施。</w:t>
      </w:r>
    </w:p>
    <w:p>
      <w:pPr>
        <w:spacing w:line="360" w:lineRule="auto"/>
        <w:ind w:firstLine="31680" w:firstLineChars="200"/>
        <w:rPr>
          <w:sz w:val="24"/>
          <w:szCs w:val="24"/>
        </w:rPr>
      </w:pPr>
      <w:r>
        <w:rPr>
          <w:sz w:val="24"/>
          <w:szCs w:val="24"/>
        </w:rPr>
        <w:t>c</w:t>
      </w:r>
      <w:r>
        <w:rPr>
          <w:rFonts w:hint="eastAsia"/>
          <w:sz w:val="24"/>
          <w:szCs w:val="24"/>
        </w:rPr>
        <w:t>）施工便道区</w:t>
      </w:r>
    </w:p>
    <w:p>
      <w:pPr>
        <w:spacing w:line="360" w:lineRule="auto"/>
        <w:ind w:firstLine="31680" w:firstLineChars="200"/>
        <w:rPr>
          <w:sz w:val="24"/>
          <w:szCs w:val="24"/>
        </w:rPr>
      </w:pPr>
      <w:r>
        <w:rPr>
          <w:rFonts w:hint="eastAsia"/>
          <w:sz w:val="24"/>
          <w:szCs w:val="24"/>
        </w:rPr>
        <w:t>施工便道采取半填半挖方式，对挖方路基、填方路基、半挖半填路基可根据当地地形地貌按一定的边坡比设计。建议路面采用碎石路面或泥结石路面，厚度为</w:t>
      </w:r>
      <w:r>
        <w:rPr>
          <w:sz w:val="24"/>
          <w:szCs w:val="24"/>
        </w:rPr>
        <w:t>20cm</w:t>
      </w:r>
      <w:r>
        <w:rPr>
          <w:rFonts w:hint="eastAsia"/>
          <w:sz w:val="24"/>
          <w:szCs w:val="24"/>
        </w:rPr>
        <w:t>。施工便道跨越沟或渠时，应修建涵洞或小桥等跨越建筑物，使排水通道或灌溉用水通道通畅，同时对路面定期进行洒水，防止行车碾压产生浮尘。</w:t>
      </w:r>
    </w:p>
    <w:p>
      <w:pPr>
        <w:spacing w:line="360" w:lineRule="auto"/>
        <w:ind w:firstLine="31680" w:firstLineChars="200"/>
        <w:rPr>
          <w:sz w:val="24"/>
          <w:szCs w:val="24"/>
        </w:rPr>
      </w:pPr>
      <w:r>
        <w:rPr>
          <w:rFonts w:hint="eastAsia"/>
          <w:sz w:val="24"/>
          <w:szCs w:val="24"/>
        </w:rPr>
        <w:t>坡地上开挖施工便道是新增水土流失发生的主要环节，重点应对下边坡进行防护，具体措施为：施工单位必须做到随挖随运，不可随意向下边坡翻到，在开挖边坡内侧设施排水沟，采用浆砌石衬砌，衬砌厚度为</w:t>
      </w:r>
      <w:r>
        <w:rPr>
          <w:sz w:val="24"/>
          <w:szCs w:val="24"/>
        </w:rPr>
        <w:t>30cm</w:t>
      </w:r>
      <w:r>
        <w:rPr>
          <w:rFonts w:hint="eastAsia"/>
          <w:sz w:val="24"/>
          <w:szCs w:val="24"/>
        </w:rPr>
        <w:t>，底部砂垫层</w:t>
      </w:r>
      <w:r>
        <w:rPr>
          <w:sz w:val="24"/>
          <w:szCs w:val="24"/>
        </w:rPr>
        <w:t>10cm</w:t>
      </w:r>
      <w:r>
        <w:rPr>
          <w:rFonts w:hint="eastAsia"/>
          <w:sz w:val="24"/>
          <w:szCs w:val="24"/>
        </w:rPr>
        <w:t>，排水沟断面为</w:t>
      </w:r>
      <w:r>
        <w:rPr>
          <w:sz w:val="24"/>
          <w:szCs w:val="24"/>
        </w:rPr>
        <w:t>0.8m×0.5m×0.5m</w:t>
      </w:r>
      <w:r>
        <w:rPr>
          <w:rFonts w:hint="eastAsia"/>
          <w:sz w:val="24"/>
          <w:szCs w:val="24"/>
        </w:rPr>
        <w:t>，纵坡</w:t>
      </w:r>
      <w:r>
        <w:rPr>
          <w:sz w:val="24"/>
          <w:szCs w:val="24"/>
        </w:rPr>
        <w:t>1%</w:t>
      </w:r>
      <w:r>
        <w:rPr>
          <w:rFonts w:hint="eastAsia"/>
          <w:sz w:val="24"/>
          <w:szCs w:val="24"/>
        </w:rPr>
        <w:t>，填方边坡和平坦路基处布设临时排水沟，并配套临时沉砂池。挖方和填方边坡进行植草防护。由于线路沿线地势起伏不大，施工便道的也无深挖高填，对坡脚不采取护脚方案。</w:t>
      </w:r>
    </w:p>
    <w:p>
      <w:pPr>
        <w:spacing w:line="360" w:lineRule="auto"/>
        <w:ind w:firstLine="31680" w:firstLineChars="200"/>
        <w:rPr>
          <w:sz w:val="24"/>
          <w:szCs w:val="24"/>
        </w:rPr>
      </w:pPr>
      <w:r>
        <w:rPr>
          <w:rFonts w:hint="eastAsia"/>
          <w:sz w:val="24"/>
          <w:szCs w:val="24"/>
        </w:rPr>
        <w:t>施工结束后，施工便道可与当地老百姓协商，保留一部分作为乡村道路或机耕道。对施工临时占地，原土地利用现状为荒地及林地的进行整地后撒播草籽，并种植水土保持林。草种选用狗牙根每公顷撒播草籽</w:t>
      </w:r>
      <w:r>
        <w:rPr>
          <w:sz w:val="24"/>
          <w:szCs w:val="24"/>
        </w:rPr>
        <w:t>60kg</w:t>
      </w:r>
      <w:r>
        <w:rPr>
          <w:rFonts w:hint="eastAsia"/>
          <w:sz w:val="24"/>
          <w:szCs w:val="24"/>
        </w:rPr>
        <w:t>，林地以乔灌木结合，树种推荐选用桤木、杉木和马尾松，行间距</w:t>
      </w:r>
      <w:r>
        <w:rPr>
          <w:sz w:val="24"/>
          <w:szCs w:val="24"/>
        </w:rPr>
        <w:t>2m×2m</w:t>
      </w:r>
      <w:r>
        <w:rPr>
          <w:rFonts w:hint="eastAsia"/>
          <w:sz w:val="24"/>
          <w:szCs w:val="24"/>
        </w:rPr>
        <w:t>。</w:t>
      </w:r>
    </w:p>
    <w:p>
      <w:pPr>
        <w:spacing w:line="360" w:lineRule="auto"/>
        <w:ind w:firstLine="31680" w:firstLineChars="200"/>
        <w:rPr>
          <w:sz w:val="24"/>
          <w:szCs w:val="24"/>
        </w:rPr>
      </w:pPr>
      <w:r>
        <w:rPr>
          <w:sz w:val="24"/>
          <w:szCs w:val="24"/>
        </w:rPr>
        <w:t>d</w:t>
      </w:r>
      <w:r>
        <w:rPr>
          <w:rFonts w:hint="eastAsia"/>
          <w:sz w:val="24"/>
          <w:szCs w:val="24"/>
        </w:rPr>
        <w:t>）临时工程用地设置要求及恢复措施</w:t>
      </w:r>
    </w:p>
    <w:p>
      <w:pPr>
        <w:spacing w:line="360" w:lineRule="auto"/>
        <w:ind w:firstLine="31680" w:firstLineChars="200"/>
        <w:rPr>
          <w:sz w:val="24"/>
          <w:szCs w:val="24"/>
        </w:rPr>
      </w:pPr>
      <w:r>
        <w:rPr>
          <w:sz w:val="24"/>
          <w:szCs w:val="24"/>
        </w:rPr>
        <w:t>1</w:t>
      </w:r>
      <w:r>
        <w:rPr>
          <w:rFonts w:hint="eastAsia"/>
          <w:sz w:val="24"/>
          <w:szCs w:val="24"/>
        </w:rPr>
        <w:t>）施工场地应避免设在耕地（水田）集中区内，严禁在基本农田保护区范围内设置各类临时工程。</w:t>
      </w:r>
    </w:p>
    <w:p>
      <w:pPr>
        <w:spacing w:line="360" w:lineRule="auto"/>
        <w:ind w:firstLine="31680" w:firstLineChars="200"/>
        <w:rPr>
          <w:sz w:val="24"/>
          <w:szCs w:val="24"/>
        </w:rPr>
      </w:pPr>
      <w:r>
        <w:rPr>
          <w:sz w:val="24"/>
          <w:szCs w:val="24"/>
        </w:rPr>
        <w:t>2</w:t>
      </w:r>
      <w:r>
        <w:rPr>
          <w:rFonts w:hint="eastAsia"/>
          <w:sz w:val="24"/>
          <w:szCs w:val="24"/>
        </w:rPr>
        <w:t>）建材堆放场等临时用地应尽可能地布设在公路用地范围内或利用周边的村道、乡道进行施工。</w:t>
      </w:r>
    </w:p>
    <w:p>
      <w:pPr>
        <w:spacing w:line="360" w:lineRule="auto"/>
        <w:ind w:firstLine="31680" w:firstLineChars="200"/>
        <w:rPr>
          <w:sz w:val="24"/>
          <w:szCs w:val="24"/>
        </w:rPr>
      </w:pPr>
      <w:r>
        <w:rPr>
          <w:sz w:val="24"/>
          <w:szCs w:val="24"/>
        </w:rPr>
        <w:t>3</w:t>
      </w:r>
      <w:r>
        <w:rPr>
          <w:rFonts w:hint="eastAsia"/>
          <w:sz w:val="24"/>
          <w:szCs w:val="24"/>
        </w:rPr>
        <w:t>）施工生产生活区应尽可能地租用当地民房或公共房屋，或布设在公路用地范围内，以减少临时性用地。</w:t>
      </w:r>
    </w:p>
    <w:p>
      <w:pPr>
        <w:spacing w:line="360" w:lineRule="auto"/>
        <w:ind w:firstLine="31680" w:firstLineChars="200"/>
        <w:rPr>
          <w:sz w:val="24"/>
          <w:szCs w:val="24"/>
        </w:rPr>
      </w:pPr>
      <w:r>
        <w:rPr>
          <w:sz w:val="24"/>
          <w:szCs w:val="24"/>
        </w:rPr>
        <w:t>4</w:t>
      </w:r>
      <w:r>
        <w:rPr>
          <w:rFonts w:hint="eastAsia"/>
          <w:sz w:val="24"/>
          <w:szCs w:val="24"/>
        </w:rPr>
        <w:t>）施工生产生活区应尽量缩短使用时间，用后及时恢复土地原来的功能。同时充分利用拟建公路附近的乡道、村道等进行改造，作为临时占地（施工便道等），待公路建设完工后，对这些道路进行恢复整治，不仅减少了临时占地，同时可以改善现有道路的条件。</w:t>
      </w:r>
    </w:p>
    <w:p>
      <w:pPr>
        <w:spacing w:line="360" w:lineRule="auto"/>
        <w:ind w:firstLine="31680" w:firstLineChars="200"/>
        <w:rPr>
          <w:sz w:val="24"/>
          <w:szCs w:val="24"/>
        </w:rPr>
      </w:pPr>
      <w:r>
        <w:rPr>
          <w:sz w:val="24"/>
          <w:szCs w:val="24"/>
        </w:rPr>
        <w:t>5</w:t>
      </w:r>
      <w:r>
        <w:rPr>
          <w:rFonts w:hint="eastAsia"/>
          <w:sz w:val="24"/>
          <w:szCs w:val="24"/>
        </w:rPr>
        <w:t>）应严格控制各类临时工程用地的数量，其面积不应大于设计给定的面积，禁止随意超标占地。</w:t>
      </w:r>
    </w:p>
    <w:p>
      <w:pPr>
        <w:pStyle w:val="6"/>
        <w:ind w:left="567" w:hanging="567"/>
      </w:pPr>
      <w:r>
        <w:rPr>
          <w:rFonts w:hint="eastAsia"/>
        </w:rPr>
        <w:t>植被保护和恢复措施</w:t>
      </w:r>
    </w:p>
    <w:p>
      <w:pPr>
        <w:spacing w:line="360" w:lineRule="auto"/>
        <w:ind w:firstLine="31680" w:firstLineChars="200"/>
        <w:rPr>
          <w:sz w:val="24"/>
          <w:szCs w:val="24"/>
        </w:rPr>
      </w:pPr>
      <w:r>
        <w:rPr>
          <w:sz w:val="24"/>
          <w:szCs w:val="24"/>
        </w:rPr>
        <w:t>a</w:t>
      </w:r>
      <w:r>
        <w:rPr>
          <w:rFonts w:hint="eastAsia"/>
          <w:sz w:val="24"/>
          <w:szCs w:val="24"/>
        </w:rPr>
        <w:t>）开工前，对施工范围临时设施的规划要进行严格的审查，结合工程沿线情况，多利用现有道路、乡道、村道或荒地作为施工便道或临时施工场地。既少占农田（尤其是水田）、林地，又方便施工，施工区临时建筑尽可能采用成品或简易拼装方式，尽量减轻对土壤及植被的破坏。</w:t>
      </w:r>
    </w:p>
    <w:p>
      <w:pPr>
        <w:spacing w:line="360" w:lineRule="auto"/>
        <w:ind w:firstLine="31680" w:firstLineChars="200"/>
        <w:rPr>
          <w:sz w:val="24"/>
          <w:szCs w:val="24"/>
        </w:rPr>
      </w:pPr>
      <w:r>
        <w:rPr>
          <w:sz w:val="24"/>
          <w:szCs w:val="24"/>
        </w:rPr>
        <w:t>b</w:t>
      </w:r>
      <w:r>
        <w:rPr>
          <w:rFonts w:hint="eastAsia"/>
          <w:sz w:val="24"/>
          <w:szCs w:val="24"/>
        </w:rPr>
        <w:t>）严格按照设计文件确定征占土地范围，进行地表植被的清理和移栽工作。</w:t>
      </w:r>
    </w:p>
    <w:p>
      <w:pPr>
        <w:spacing w:line="360" w:lineRule="auto"/>
        <w:ind w:firstLine="31680" w:firstLineChars="200"/>
        <w:rPr>
          <w:sz w:val="24"/>
          <w:szCs w:val="24"/>
        </w:rPr>
      </w:pPr>
      <w:r>
        <w:rPr>
          <w:sz w:val="24"/>
          <w:szCs w:val="24"/>
        </w:rPr>
        <w:t>c</w:t>
      </w:r>
      <w:r>
        <w:rPr>
          <w:rFonts w:hint="eastAsia"/>
          <w:sz w:val="24"/>
          <w:szCs w:val="24"/>
        </w:rPr>
        <w:t>）拟建工程处于山地，沿线地形变化较大，工程施工期间应该严格控制路基开挖、避免超挖破坏施工范围外周围植被，同时对路基挖填方路段进行植被的修复，结合拟建工程沿线的环境特点，特别是拟建工程经过的水土流失重点区域的路段，及时做好植被的修复工作，选择最优设计进行边坡的防护，防治产生大面积的水土流失。</w:t>
      </w:r>
    </w:p>
    <w:p>
      <w:pPr>
        <w:spacing w:line="360" w:lineRule="auto"/>
        <w:ind w:firstLine="31680" w:firstLineChars="200"/>
        <w:rPr>
          <w:sz w:val="24"/>
          <w:szCs w:val="24"/>
        </w:rPr>
      </w:pPr>
      <w:r>
        <w:rPr>
          <w:sz w:val="24"/>
          <w:szCs w:val="24"/>
        </w:rPr>
        <w:t>d</w:t>
      </w:r>
      <w:r>
        <w:rPr>
          <w:rFonts w:hint="eastAsia"/>
          <w:sz w:val="24"/>
          <w:szCs w:val="24"/>
        </w:rPr>
        <w:t>）公路沿线经过的经济林路段，各施工单位应尽量减少对植被的破坏，对于公路不可避免占用的经济林路段，必须进行经济林的补偿工作。同时在沿线做好道路绿化工作。</w:t>
      </w:r>
    </w:p>
    <w:p>
      <w:pPr>
        <w:spacing w:line="360" w:lineRule="auto"/>
        <w:ind w:firstLine="31680" w:firstLineChars="200"/>
        <w:rPr>
          <w:sz w:val="24"/>
          <w:szCs w:val="24"/>
        </w:rPr>
      </w:pPr>
      <w:r>
        <w:rPr>
          <w:sz w:val="24"/>
          <w:szCs w:val="24"/>
        </w:rPr>
        <w:t>e</w:t>
      </w:r>
      <w:r>
        <w:rPr>
          <w:rFonts w:hint="eastAsia"/>
          <w:sz w:val="24"/>
          <w:szCs w:val="24"/>
        </w:rPr>
        <w:t>）路基施工前应将占用农用地的表土层（其中耕地约</w:t>
      </w:r>
      <w:r>
        <w:rPr>
          <w:sz w:val="24"/>
          <w:szCs w:val="24"/>
        </w:rPr>
        <w:t>40~100cm</w:t>
      </w:r>
      <w:r>
        <w:rPr>
          <w:rFonts w:hint="eastAsia"/>
          <w:sz w:val="24"/>
          <w:szCs w:val="24"/>
        </w:rPr>
        <w:t>厚，林地约</w:t>
      </w:r>
      <w:r>
        <w:rPr>
          <w:sz w:val="24"/>
          <w:szCs w:val="24"/>
        </w:rPr>
        <w:t>15~60cm</w:t>
      </w:r>
      <w:r>
        <w:rPr>
          <w:rFonts w:hint="eastAsia"/>
          <w:sz w:val="24"/>
          <w:szCs w:val="24"/>
        </w:rPr>
        <w:t>厚，即土壤耕作层）剥离，并在临时用地范围内适当位置进行集中堆放，并采取临时拦挡和覆盖措施，防止雨淋造成养分流失，以便用于后期的绿化和土地复垦。</w:t>
      </w:r>
    </w:p>
    <w:p>
      <w:pPr>
        <w:spacing w:line="360" w:lineRule="auto"/>
        <w:ind w:firstLine="31680" w:firstLineChars="200"/>
        <w:rPr>
          <w:sz w:val="24"/>
          <w:szCs w:val="24"/>
        </w:rPr>
      </w:pPr>
      <w:r>
        <w:rPr>
          <w:sz w:val="24"/>
          <w:szCs w:val="24"/>
        </w:rPr>
        <w:t>f</w:t>
      </w:r>
      <w:r>
        <w:rPr>
          <w:rFonts w:hint="eastAsia"/>
          <w:sz w:val="24"/>
          <w:szCs w:val="24"/>
        </w:rPr>
        <w:t>）凡因公路施工破坏植被而裸露的土地（包括路界内外）应在施工结束后立即整治利用，恢复植被或造田还耕。</w:t>
      </w:r>
    </w:p>
    <w:p>
      <w:pPr>
        <w:spacing w:line="360" w:lineRule="auto"/>
        <w:ind w:firstLine="31680" w:firstLineChars="200"/>
        <w:rPr>
          <w:sz w:val="24"/>
          <w:szCs w:val="24"/>
        </w:rPr>
      </w:pPr>
      <w:r>
        <w:rPr>
          <w:sz w:val="24"/>
          <w:szCs w:val="24"/>
        </w:rPr>
        <w:t>g</w:t>
      </w:r>
      <w:r>
        <w:rPr>
          <w:rFonts w:hint="eastAsia"/>
          <w:sz w:val="24"/>
          <w:szCs w:val="24"/>
        </w:rPr>
        <w:t>）</w:t>
      </w:r>
      <w:r>
        <w:rPr>
          <w:rFonts w:hint="eastAsia"/>
          <w:sz w:val="24"/>
        </w:rPr>
        <w:t>公路沿线进行绿化、美化，</w:t>
      </w:r>
      <w:r>
        <w:rPr>
          <w:rFonts w:hint="eastAsia"/>
          <w:sz w:val="24"/>
          <w:szCs w:val="24"/>
        </w:rPr>
        <w:t>如在公路边坡上植草，边坡外带状植树；施工结束后对临占用地导致碾压的耕地进行松土，将收集的熟土覆盖于耕作的土地表面，进行土地复耕，使公路建成后与自然环境相协调。</w:t>
      </w:r>
    </w:p>
    <w:p>
      <w:pPr>
        <w:pStyle w:val="6"/>
        <w:ind w:left="567" w:hanging="567"/>
      </w:pPr>
      <w:r>
        <w:rPr>
          <w:rFonts w:hint="eastAsia"/>
        </w:rPr>
        <w:t>野生动物保护要求</w:t>
      </w:r>
    </w:p>
    <w:p>
      <w:pPr>
        <w:spacing w:line="360" w:lineRule="auto"/>
        <w:ind w:firstLine="31680" w:firstLineChars="200"/>
        <w:rPr>
          <w:sz w:val="24"/>
          <w:szCs w:val="24"/>
        </w:rPr>
      </w:pPr>
      <w:r>
        <w:rPr>
          <w:sz w:val="24"/>
          <w:szCs w:val="24"/>
        </w:rPr>
        <w:t>a</w:t>
      </w:r>
      <w:r>
        <w:rPr>
          <w:rFonts w:hint="eastAsia"/>
          <w:sz w:val="24"/>
          <w:szCs w:val="24"/>
        </w:rPr>
        <w:t>）加强施工人员的环保教育，禁止施工人员随意猎捕野生动物。</w:t>
      </w:r>
    </w:p>
    <w:p>
      <w:pPr>
        <w:spacing w:line="360" w:lineRule="auto"/>
        <w:ind w:firstLine="31680" w:firstLineChars="200"/>
        <w:rPr>
          <w:sz w:val="24"/>
          <w:szCs w:val="24"/>
        </w:rPr>
      </w:pPr>
      <w:r>
        <w:rPr>
          <w:sz w:val="24"/>
          <w:szCs w:val="24"/>
        </w:rPr>
        <w:t>b</w:t>
      </w:r>
      <w:r>
        <w:rPr>
          <w:rFonts w:hint="eastAsia"/>
          <w:sz w:val="24"/>
          <w:szCs w:val="24"/>
        </w:rPr>
        <w:t>）在工程沿线山麓施工时应优化施工方案，抓紧施工进度，尽量缩短在林区内的施工作业时间，优选施工时间，早晨、黄昏和晚上是野生动物活动、繁殖和觅食的高峰时段，应避免在这些时段进行爆破、打桩等高噪声作业。春末至夏初是鸟类、哺乳类动物的繁殖季节，</w:t>
      </w:r>
      <w:r>
        <w:rPr>
          <w:sz w:val="24"/>
          <w:szCs w:val="24"/>
        </w:rPr>
        <w:t>5~6</w:t>
      </w:r>
      <w:r>
        <w:rPr>
          <w:rFonts w:hint="eastAsia"/>
          <w:sz w:val="24"/>
          <w:szCs w:val="24"/>
        </w:rPr>
        <w:t>月施工时，应尽量避免进行爆破、打桩等高噪声作业。</w:t>
      </w:r>
    </w:p>
    <w:p>
      <w:pPr>
        <w:spacing w:line="360" w:lineRule="auto"/>
        <w:ind w:firstLine="31680" w:firstLineChars="200"/>
        <w:rPr>
          <w:sz w:val="24"/>
          <w:szCs w:val="24"/>
        </w:rPr>
      </w:pPr>
      <w:r>
        <w:rPr>
          <w:sz w:val="24"/>
          <w:szCs w:val="24"/>
        </w:rPr>
        <w:t>c</w:t>
      </w:r>
      <w:r>
        <w:rPr>
          <w:rFonts w:hint="eastAsia"/>
          <w:sz w:val="24"/>
          <w:szCs w:val="24"/>
        </w:rPr>
        <w:t>）在林区边缘采用加密绿化带，防止灯光和噪声对动物的不利影响，以便于动物适应新的生境。</w:t>
      </w:r>
    </w:p>
    <w:p>
      <w:pPr>
        <w:pStyle w:val="6"/>
        <w:ind w:left="567" w:hanging="567"/>
      </w:pPr>
      <w:r>
        <w:rPr>
          <w:rFonts w:hint="eastAsia"/>
        </w:rPr>
        <w:t>公路建设生态景观协调性要求</w:t>
      </w:r>
    </w:p>
    <w:p>
      <w:pPr>
        <w:pStyle w:val="244"/>
        <w:snapToGrid w:val="0"/>
        <w:spacing w:line="360" w:lineRule="auto"/>
        <w:ind w:firstLine="31680"/>
      </w:pPr>
      <w:r>
        <w:t>a</w:t>
      </w:r>
      <w:r>
        <w:rPr>
          <w:rFonts w:hint="eastAsia"/>
        </w:rPr>
        <w:t>）为减少工程活动对沿线景观的影响，拟建公路的料场、施工便道、施工场地、施工生产生活区的场址选择应遵循环境保护原则，尽量选择在植被稀疏地段或景观敏感度不大的地方，同时严格控制施工场地的规模，在保证工程质量的前提下加快工程进度，减少对周围景观的影响。</w:t>
      </w:r>
    </w:p>
    <w:p>
      <w:pPr>
        <w:pStyle w:val="244"/>
        <w:snapToGrid w:val="0"/>
        <w:spacing w:line="360" w:lineRule="auto"/>
        <w:ind w:firstLine="31680"/>
      </w:pPr>
      <w:r>
        <w:t>b</w:t>
      </w:r>
      <w:r>
        <w:rPr>
          <w:rFonts w:hint="eastAsia"/>
        </w:rPr>
        <w:t>）鉴于施工便道多沿路两侧布设，建议加大环保宣传力度，提高管理人员和施工人员的环保意识，禁止随意弃置生活和生产废弃物。施工临时占地应严格在规定区域内作业，禁止由于随意丢弃临时占地区内的油污和垃圾，平整地面，尽量恢复原有地貌和植被，使工程建设与周边自然环境相和谐。</w:t>
      </w:r>
    </w:p>
    <w:p>
      <w:pPr>
        <w:spacing w:line="360" w:lineRule="auto"/>
        <w:ind w:firstLine="31680" w:firstLineChars="200"/>
        <w:rPr>
          <w:sz w:val="24"/>
        </w:rPr>
      </w:pPr>
      <w:r>
        <w:rPr>
          <w:sz w:val="24"/>
        </w:rPr>
        <w:t>c</w:t>
      </w:r>
      <w:r>
        <w:rPr>
          <w:rFonts w:hint="eastAsia"/>
          <w:sz w:val="24"/>
        </w:rPr>
        <w:t>）加强边坡防护设计，最大限度的减少上挡护面墙、浆砌护坡等混凝土砌体，而代以本地植物防护，必须设置时断面形式及尺寸要灵活掌握，要有动感和自然感，如分台式、渐变式、弧形、干码片石、浆砌片石等。外观尽量避免人工痕迹，给人以恰如其分，视而不见的感觉。</w:t>
      </w:r>
    </w:p>
    <w:p>
      <w:pPr>
        <w:pStyle w:val="6"/>
        <w:ind w:left="567" w:hanging="567"/>
      </w:pPr>
      <w:r>
        <w:rPr>
          <w:rFonts w:hint="eastAsia"/>
        </w:rPr>
        <w:t>加强生态环保宣传教育工作</w:t>
      </w:r>
    </w:p>
    <w:p>
      <w:pPr>
        <w:spacing w:line="360" w:lineRule="auto"/>
        <w:ind w:firstLine="31680" w:firstLineChars="200"/>
        <w:rPr>
          <w:sz w:val="24"/>
          <w:szCs w:val="24"/>
        </w:rPr>
      </w:pPr>
      <w:r>
        <w:rPr>
          <w:rFonts w:hint="eastAsia"/>
          <w:sz w:val="24"/>
          <w:szCs w:val="24"/>
        </w:rPr>
        <w:t>施工进场前，应加强对施工人员的生态环境保护的宣传教育工作，在工地及周边地区，设立与环境保护有关的科普性宣传牌，包括生态保护的科普知识、相关法规、拟建公路拟采用的生态保护措施及意义等。此外，为了加强沿线生态环境的保护及实施力度，建议建设单位与施工单位共同协商制订相应环境保护奖惩制度，明确环保职责，提高施工主体的环保主人翁责任感。</w:t>
      </w:r>
    </w:p>
    <w:p>
      <w:pPr>
        <w:pStyle w:val="5"/>
        <w:widowControl/>
        <w:ind w:left="567" w:hanging="567"/>
      </w:pPr>
      <w:r>
        <w:rPr>
          <w:rFonts w:hint="eastAsia"/>
        </w:rPr>
        <w:t>施工期社会环境保护措施</w:t>
      </w:r>
    </w:p>
    <w:p>
      <w:pPr>
        <w:pStyle w:val="3"/>
        <w:widowControl/>
        <w:numPr>
          <w:ilvl w:val="0"/>
          <w:numId w:val="14"/>
        </w:numPr>
        <w:ind w:left="0" w:firstLine="480" w:firstLineChars="0"/>
      </w:pPr>
      <w:r>
        <w:rPr>
          <w:rFonts w:hint="eastAsia"/>
        </w:rPr>
        <w:t>在施工前，充分做好各种准备工作，对施工范围内所涉及的铁路、公路和各种管线，如供电、通信、给排水管线等进行详细调查，并提前协同有关部门确定拆迁、改移方案，做好各项应急准备工作，确保施工时切断各种管线时，不致影响沿线地区水、电、通讯等设施的正常供应和运行，保证社会生活的正常状态；</w:t>
      </w:r>
    </w:p>
    <w:p>
      <w:pPr>
        <w:pStyle w:val="3"/>
        <w:widowControl/>
        <w:numPr>
          <w:ilvl w:val="0"/>
          <w:numId w:val="14"/>
        </w:numPr>
        <w:ind w:left="0" w:firstLine="480" w:firstLineChars="0"/>
      </w:pPr>
      <w:r>
        <w:rPr>
          <w:rFonts w:hint="eastAsia"/>
        </w:rPr>
        <w:t>为确保有序施工，并使对工程所在地区居民生活和交通的影响程度降至最低，一方面在确保施工质量的前提下尽量缩短工期；另一方面与交通管理部门协商，采取暂时性的交通车辆走行分流规划，对施工机械及运输车辆走行路线进行统一安排，减少施工道路上的交通流量，以防止交通堵塞；</w:t>
      </w:r>
    </w:p>
    <w:p>
      <w:pPr>
        <w:pStyle w:val="3"/>
        <w:widowControl/>
        <w:numPr>
          <w:ilvl w:val="0"/>
          <w:numId w:val="14"/>
        </w:numPr>
        <w:ind w:left="0" w:firstLine="480" w:firstLineChars="0"/>
      </w:pPr>
      <w:r>
        <w:rPr>
          <w:rFonts w:hint="eastAsia"/>
        </w:rPr>
        <w:t>施工期应严格按《中华人民共和国环境噪声污染防治法》和《建筑施工场界环境噪声排放标准》（</w:t>
      </w:r>
      <w:r>
        <w:t>GB12523-2011</w:t>
      </w:r>
      <w:r>
        <w:rPr>
          <w:rFonts w:hint="eastAsia"/>
        </w:rPr>
        <w:t>）安排施工方式和施工时间，防止施工噪声对沿线环境造成严重影响，做到文明施工</w:t>
      </w:r>
    </w:p>
    <w:p>
      <w:pPr>
        <w:pStyle w:val="3"/>
        <w:widowControl/>
        <w:numPr>
          <w:ilvl w:val="0"/>
          <w:numId w:val="14"/>
        </w:numPr>
        <w:ind w:left="0" w:firstLine="480" w:firstLineChars="0"/>
        <w:rPr>
          <w:szCs w:val="24"/>
        </w:rPr>
      </w:pPr>
      <w:r>
        <w:rPr>
          <w:rFonts w:hint="eastAsia"/>
          <w:szCs w:val="24"/>
        </w:rPr>
        <w:t>在工程施工中，一旦发现未勘探到不可移动文物（包括古遗址、古墓葬等），应当保护现场，立即报告，不得擅自处理，如发现可移动文物（包括各时代生活、生产等实物），应当主动上交给国家，不得占为已有。</w:t>
      </w:r>
    </w:p>
    <w:p>
      <w:pPr>
        <w:pStyle w:val="3"/>
        <w:widowControl/>
        <w:numPr>
          <w:ilvl w:val="0"/>
          <w:numId w:val="14"/>
        </w:numPr>
        <w:ind w:left="0" w:firstLine="480" w:firstLineChars="0"/>
        <w:rPr>
          <w:szCs w:val="24"/>
        </w:rPr>
      </w:pPr>
      <w:r>
        <w:rPr>
          <w:rFonts w:hint="eastAsia"/>
          <w:szCs w:val="24"/>
        </w:rPr>
        <w:t>施工人员的生活区应有卫生医疗条件保障，应制定完善的卫生监督管理措施系统。施工现场悬挂施工标牌，标明工程名称、工程负责人、施工许可证和投诉电话等内容，接受社会各界和居民监督；施工单位应配备</w:t>
      </w:r>
      <w:r>
        <w:rPr>
          <w:szCs w:val="24"/>
        </w:rPr>
        <w:t>1~2</w:t>
      </w:r>
      <w:r>
        <w:rPr>
          <w:rFonts w:hint="eastAsia"/>
          <w:szCs w:val="24"/>
        </w:rPr>
        <w:t>名专职环保人员负责环境管理。</w:t>
      </w:r>
    </w:p>
    <w:p>
      <w:pPr>
        <w:pStyle w:val="3"/>
        <w:widowControl/>
        <w:numPr>
          <w:ilvl w:val="0"/>
          <w:numId w:val="14"/>
        </w:numPr>
        <w:ind w:left="0" w:firstLine="480" w:firstLineChars="0"/>
        <w:rPr>
          <w:szCs w:val="24"/>
        </w:rPr>
      </w:pPr>
      <w:r>
        <w:rPr>
          <w:rFonts w:hint="eastAsia"/>
          <w:szCs w:val="24"/>
        </w:rPr>
        <w:t>施工结束时，将施工过程中损坏的乡村道路、沟渠等应予以修复或支付地方政府一定的补偿费用，以维护地方政府和老百姓的正当利益。对毁坏的电力系统，及时采取改移措施进行恢复。</w:t>
      </w:r>
    </w:p>
    <w:p>
      <w:pPr>
        <w:pStyle w:val="3"/>
        <w:widowControl/>
        <w:numPr>
          <w:ilvl w:val="0"/>
          <w:numId w:val="14"/>
        </w:numPr>
        <w:ind w:left="0" w:firstLine="480" w:firstLineChars="0"/>
        <w:rPr>
          <w:szCs w:val="24"/>
        </w:rPr>
      </w:pPr>
      <w:r>
        <w:rPr>
          <w:rFonts w:hint="eastAsia"/>
          <w:szCs w:val="24"/>
        </w:rPr>
        <w:t>工程征地拆迁及安置建议</w:t>
      </w:r>
    </w:p>
    <w:p>
      <w:pPr>
        <w:spacing w:line="360" w:lineRule="auto"/>
        <w:ind w:firstLine="31680" w:firstLineChars="177"/>
        <w:rPr>
          <w:sz w:val="24"/>
          <w:szCs w:val="24"/>
        </w:rPr>
      </w:pPr>
      <w:r>
        <w:rPr>
          <w:rFonts w:hint="eastAsia"/>
          <w:sz w:val="24"/>
          <w:szCs w:val="24"/>
        </w:rPr>
        <w:t>为做好本工程建设的征地、拆迁、安置工作，建议由</w:t>
      </w:r>
      <w:r>
        <w:rPr>
          <w:rFonts w:hint="eastAsia"/>
          <w:sz w:val="24"/>
          <w:szCs w:val="24"/>
          <w:lang w:val="en-US" w:eastAsia="zh-CN"/>
        </w:rPr>
        <w:t>汨罗</w:t>
      </w:r>
      <w:r>
        <w:rPr>
          <w:rFonts w:hint="eastAsia"/>
          <w:sz w:val="24"/>
          <w:szCs w:val="24"/>
        </w:rPr>
        <w:t>市政府与建设单位组成本工程的征地拆迁安置办公室，负责承担本工程的征地、拆迁、安置的具体事项。主要抓好、落实好以下工作：</w:t>
      </w:r>
    </w:p>
    <w:p>
      <w:pPr>
        <w:spacing w:line="360" w:lineRule="auto"/>
        <w:ind w:firstLine="31680" w:firstLineChars="177"/>
        <w:rPr>
          <w:sz w:val="24"/>
          <w:szCs w:val="24"/>
        </w:rPr>
      </w:pPr>
      <w:r>
        <w:rPr>
          <w:sz w:val="24"/>
          <w:szCs w:val="24"/>
        </w:rPr>
        <w:t>1</w:t>
      </w:r>
      <w:r>
        <w:rPr>
          <w:rFonts w:hint="eastAsia"/>
          <w:sz w:val="24"/>
          <w:szCs w:val="24"/>
        </w:rPr>
        <w:t>）征地拆迁安置办公室要参照国家或湖南省相关规定的补助标准，并参考、结合类似公路项目拆迁安置办法，结合</w:t>
      </w:r>
      <w:r>
        <w:rPr>
          <w:rFonts w:hint="eastAsia"/>
          <w:sz w:val="24"/>
          <w:szCs w:val="24"/>
          <w:lang w:val="en-US" w:eastAsia="zh-CN"/>
        </w:rPr>
        <w:t>汨罗</w:t>
      </w:r>
      <w:r>
        <w:rPr>
          <w:rFonts w:hint="eastAsia"/>
          <w:sz w:val="24"/>
          <w:szCs w:val="24"/>
        </w:rPr>
        <w:t>市的实际情况，与征地、拆迁户签订协议，将被征地、拆迁的各项补助费用及时支付给相关村委及拆迁居民。</w:t>
      </w:r>
    </w:p>
    <w:p>
      <w:pPr>
        <w:spacing w:line="360" w:lineRule="auto"/>
        <w:ind w:firstLine="31680" w:firstLineChars="177"/>
        <w:rPr>
          <w:sz w:val="24"/>
          <w:szCs w:val="24"/>
        </w:rPr>
      </w:pPr>
      <w:r>
        <w:rPr>
          <w:sz w:val="24"/>
          <w:szCs w:val="24"/>
        </w:rPr>
        <w:t>2</w:t>
      </w:r>
      <w:r>
        <w:rPr>
          <w:rFonts w:hint="eastAsia"/>
          <w:sz w:val="24"/>
          <w:szCs w:val="24"/>
        </w:rPr>
        <w:t>）补助费用一定要专款专用，并按规定及时分到有关村组和个人，要充分发扬民主和尊重公民的基本权利，做到合理分配、使用各项补偿费。</w:t>
      </w:r>
    </w:p>
    <w:p>
      <w:pPr>
        <w:spacing w:line="360" w:lineRule="auto"/>
        <w:ind w:firstLine="31680" w:firstLineChars="177"/>
        <w:rPr>
          <w:sz w:val="24"/>
          <w:szCs w:val="24"/>
        </w:rPr>
      </w:pPr>
      <w:r>
        <w:rPr>
          <w:sz w:val="24"/>
          <w:szCs w:val="24"/>
        </w:rPr>
        <w:t>3</w:t>
      </w:r>
      <w:r>
        <w:rPr>
          <w:rFonts w:hint="eastAsia"/>
          <w:sz w:val="24"/>
          <w:szCs w:val="24"/>
        </w:rPr>
        <w:t>）合理调配耕地和安置劳力，落实相关政策。</w:t>
      </w:r>
    </w:p>
    <w:p>
      <w:pPr>
        <w:spacing w:line="360" w:lineRule="auto"/>
        <w:ind w:firstLine="31680" w:firstLineChars="177"/>
        <w:rPr>
          <w:sz w:val="24"/>
          <w:szCs w:val="24"/>
        </w:rPr>
      </w:pPr>
      <w:r>
        <w:rPr>
          <w:sz w:val="24"/>
          <w:szCs w:val="24"/>
        </w:rPr>
        <w:t>4</w:t>
      </w:r>
      <w:r>
        <w:rPr>
          <w:rFonts w:hint="eastAsia"/>
          <w:sz w:val="24"/>
          <w:szCs w:val="24"/>
        </w:rPr>
        <w:t>）按镇村建设规划，盖好拆迁户住宅等。</w:t>
      </w:r>
    </w:p>
    <w:p>
      <w:pPr>
        <w:pStyle w:val="3"/>
        <w:numPr>
          <w:ilvl w:val="0"/>
          <w:numId w:val="14"/>
        </w:numPr>
        <w:ind w:left="0" w:firstLine="31680" w:firstLineChars="177"/>
        <w:rPr>
          <w:szCs w:val="24"/>
        </w:rPr>
      </w:pPr>
      <w:bookmarkStart w:id="296" w:name="_Toc388398104"/>
      <w:r>
        <w:rPr>
          <w:rFonts w:hint="eastAsia"/>
          <w:szCs w:val="24"/>
        </w:rPr>
        <w:t>基本农田环境保护措施</w:t>
      </w:r>
      <w:bookmarkEnd w:id="296"/>
    </w:p>
    <w:p>
      <w:pPr>
        <w:spacing w:line="360" w:lineRule="auto"/>
        <w:ind w:firstLine="31680" w:firstLineChars="177"/>
        <w:rPr>
          <w:sz w:val="24"/>
        </w:rPr>
      </w:pPr>
      <w:r>
        <w:rPr>
          <w:sz w:val="24"/>
        </w:rPr>
        <w:t>1</w:t>
      </w:r>
      <w:r>
        <w:rPr>
          <w:rFonts w:hint="eastAsia"/>
          <w:sz w:val="24"/>
        </w:rPr>
        <w:t>）施工前必须办好建设用地审批手续</w:t>
      </w:r>
    </w:p>
    <w:p>
      <w:pPr>
        <w:pStyle w:val="3"/>
        <w:ind w:firstLine="31680" w:firstLineChars="177"/>
      </w:pPr>
      <w:r>
        <w:rPr>
          <w:rFonts w:hint="eastAsia"/>
          <w:bCs/>
        </w:rPr>
        <w:t>工程共占用耕地</w:t>
      </w:r>
      <w:r>
        <w:rPr>
          <w:bCs/>
        </w:rPr>
        <w:t>8.7hm</w:t>
      </w:r>
      <w:r>
        <w:rPr>
          <w:bCs/>
          <w:vertAlign w:val="superscript"/>
        </w:rPr>
        <w:t>2</w:t>
      </w:r>
      <w:r>
        <w:rPr>
          <w:rFonts w:hint="eastAsia"/>
          <w:bCs/>
        </w:rPr>
        <w:t>，经</w:t>
      </w:r>
      <w:r>
        <w:rPr>
          <w:rFonts w:hint="eastAsia"/>
        </w:rPr>
        <w:t>建设单位办理的土地调规手续后，不占用基本农田。</w:t>
      </w:r>
    </w:p>
    <w:p>
      <w:pPr>
        <w:spacing w:line="360" w:lineRule="auto"/>
        <w:ind w:firstLine="31680" w:firstLineChars="177"/>
        <w:rPr>
          <w:sz w:val="24"/>
        </w:rPr>
      </w:pPr>
      <w:r>
        <w:rPr>
          <w:sz w:val="24"/>
        </w:rPr>
        <w:t>2</w:t>
      </w:r>
      <w:r>
        <w:rPr>
          <w:rFonts w:hint="eastAsia"/>
          <w:sz w:val="24"/>
        </w:rPr>
        <w:t>）确保耕地总量动态平衡</w:t>
      </w:r>
    </w:p>
    <w:p>
      <w:pPr>
        <w:spacing w:line="360" w:lineRule="auto"/>
        <w:ind w:firstLine="31680" w:firstLineChars="177"/>
        <w:rPr>
          <w:sz w:val="24"/>
          <w:szCs w:val="24"/>
        </w:rPr>
      </w:pPr>
      <w:r>
        <w:rPr>
          <w:rFonts w:hint="eastAsia"/>
          <w:sz w:val="24"/>
        </w:rPr>
        <w:t>建设单位应按照《中华人民共和国土地管理法》和《湖南省基本农田保护条例》等有关规定对占用的耕地进行补偿。补偿款由建设单位一次性拨付给当地政府统一安排，并由土地主管部门根据</w:t>
      </w:r>
      <w:r>
        <w:rPr>
          <w:sz w:val="24"/>
        </w:rPr>
        <w:t>“</w:t>
      </w:r>
      <w:r>
        <w:rPr>
          <w:rFonts w:hint="eastAsia"/>
          <w:sz w:val="24"/>
        </w:rPr>
        <w:t>占多少，垦多少</w:t>
      </w:r>
      <w:r>
        <w:rPr>
          <w:sz w:val="24"/>
        </w:rPr>
        <w:t>”</w:t>
      </w:r>
      <w:r>
        <w:rPr>
          <w:rFonts w:hint="eastAsia"/>
          <w:sz w:val="24"/>
        </w:rPr>
        <w:t>的原则开垦与所占耕地数量和质量相当的耕地。没有条件开垦或者开垦的耕地不符合要求的，必须按规定向湖南省人民政府确定的部门缴纳或补足涉及保护耕地造地费</w:t>
      </w:r>
      <w:r>
        <w:rPr>
          <w:rFonts w:hint="eastAsia"/>
          <w:sz w:val="24"/>
          <w:szCs w:val="24"/>
        </w:rPr>
        <w:t>。</w:t>
      </w:r>
    </w:p>
    <w:p>
      <w:pPr>
        <w:spacing w:line="360" w:lineRule="auto"/>
        <w:ind w:firstLine="31680" w:firstLineChars="177"/>
        <w:rPr>
          <w:sz w:val="24"/>
        </w:rPr>
      </w:pPr>
      <w:r>
        <w:rPr>
          <w:sz w:val="24"/>
        </w:rPr>
        <w:t>3</w:t>
      </w:r>
      <w:r>
        <w:rPr>
          <w:rFonts w:hint="eastAsia"/>
          <w:sz w:val="24"/>
        </w:rPr>
        <w:t>）做好基本农田调整、补划工作</w:t>
      </w:r>
    </w:p>
    <w:p>
      <w:pPr>
        <w:pStyle w:val="3"/>
        <w:ind w:firstLine="31680"/>
      </w:pPr>
      <w:r>
        <w:rPr>
          <w:rFonts w:hint="eastAsia"/>
        </w:rPr>
        <w:t>地方政府应贯彻执行专款专用的原则，利用补偿的土地费开垦或改造与占用基本农田数量相当的新的基本农田。建议通过基</w:t>
      </w:r>
      <w:r>
        <w:rPr>
          <w:rFonts w:hint="eastAsia"/>
          <w:szCs w:val="24"/>
        </w:rPr>
        <w:t>本农田保护区与一般农业区位置的调整，保证沿线乡镇基本农田总量不变。项目需确保基本农田的占补平衡。通过土地开发和基本农田的补化，能够确保项目建设对项目沿线的耕地和基本农田的影响减少到最低程度。</w:t>
      </w:r>
    </w:p>
    <w:p>
      <w:pPr>
        <w:pStyle w:val="4"/>
        <w:ind w:left="567" w:hanging="567"/>
      </w:pPr>
      <w:bookmarkStart w:id="297" w:name="_Toc354558937"/>
      <w:bookmarkStart w:id="298" w:name="_Toc408503601"/>
      <w:bookmarkStart w:id="299" w:name="_Toc9379"/>
      <w:bookmarkStart w:id="300" w:name="_Toc354581920"/>
      <w:bookmarkStart w:id="301" w:name="_Toc354581740"/>
      <w:r>
        <w:rPr>
          <w:rFonts w:hint="eastAsia"/>
        </w:rPr>
        <w:t>营运期环境保护措施及建议</w:t>
      </w:r>
      <w:bookmarkEnd w:id="297"/>
      <w:bookmarkEnd w:id="298"/>
      <w:bookmarkEnd w:id="299"/>
      <w:bookmarkEnd w:id="300"/>
      <w:bookmarkEnd w:id="301"/>
    </w:p>
    <w:p>
      <w:pPr>
        <w:pStyle w:val="5"/>
        <w:widowControl/>
        <w:ind w:left="567" w:hanging="567"/>
      </w:pPr>
      <w:r>
        <w:rPr>
          <w:rFonts w:hint="eastAsia"/>
        </w:rPr>
        <w:t>营运期生态环境保护措施和建议</w:t>
      </w:r>
    </w:p>
    <w:p>
      <w:pPr>
        <w:spacing w:line="360" w:lineRule="auto"/>
        <w:ind w:firstLine="31680" w:firstLineChars="200"/>
        <w:rPr>
          <w:sz w:val="24"/>
          <w:szCs w:val="24"/>
        </w:rPr>
      </w:pPr>
      <w:r>
        <w:rPr>
          <w:sz w:val="24"/>
          <w:szCs w:val="24"/>
        </w:rPr>
        <w:t>a</w:t>
      </w:r>
      <w:r>
        <w:rPr>
          <w:rFonts w:hint="eastAsia"/>
          <w:sz w:val="24"/>
          <w:szCs w:val="24"/>
        </w:rPr>
        <w:t>）加强营运期管理，保证各项工程设施完好和确保安全生产是生态保护最基本的措施。建议开展相关环保培训，以提高环境管理水平，杜绝环境事故。</w:t>
      </w:r>
    </w:p>
    <w:p>
      <w:pPr>
        <w:spacing w:line="360" w:lineRule="auto"/>
        <w:ind w:firstLine="31680" w:firstLineChars="200"/>
        <w:rPr>
          <w:sz w:val="24"/>
          <w:szCs w:val="24"/>
        </w:rPr>
      </w:pPr>
      <w:r>
        <w:rPr>
          <w:sz w:val="24"/>
          <w:szCs w:val="24"/>
        </w:rPr>
        <w:t>b</w:t>
      </w:r>
      <w:r>
        <w:rPr>
          <w:rFonts w:hint="eastAsia"/>
          <w:sz w:val="24"/>
          <w:szCs w:val="24"/>
        </w:rPr>
        <w:t>）营运期间继续做好公路沿线的绿化和植被的养护工作，针对公路经过路段部分区域水土流失现象较严重情况，加大对拟建线路周边环境的治理工作和监管工作，特别是路线高挖深填路段的边坡防护工作，定期对其环境脆弱区进行检查修复，避免出现较大的水土流失现象。</w:t>
      </w:r>
    </w:p>
    <w:p>
      <w:pPr>
        <w:spacing w:line="360" w:lineRule="auto"/>
        <w:ind w:firstLine="31680" w:firstLineChars="200"/>
        <w:rPr>
          <w:sz w:val="24"/>
          <w:szCs w:val="24"/>
        </w:rPr>
      </w:pPr>
      <w:r>
        <w:rPr>
          <w:sz w:val="24"/>
          <w:szCs w:val="24"/>
        </w:rPr>
        <w:t>c</w:t>
      </w:r>
      <w:r>
        <w:rPr>
          <w:rFonts w:hint="eastAsia"/>
          <w:sz w:val="24"/>
          <w:szCs w:val="24"/>
        </w:rPr>
        <w:t>）强化公路沿线的固体废物污染治理的监督工作，公路沿线固体废物应按路段承包，每天进行清理。</w:t>
      </w:r>
    </w:p>
    <w:p>
      <w:pPr>
        <w:spacing w:line="360" w:lineRule="auto"/>
        <w:ind w:firstLine="31680" w:firstLineChars="200"/>
        <w:rPr>
          <w:sz w:val="24"/>
          <w:szCs w:val="24"/>
        </w:rPr>
      </w:pPr>
      <w:r>
        <w:rPr>
          <w:sz w:val="24"/>
          <w:szCs w:val="24"/>
        </w:rPr>
        <w:t>d</w:t>
      </w:r>
      <w:r>
        <w:rPr>
          <w:rFonts w:hint="eastAsia"/>
          <w:sz w:val="24"/>
          <w:szCs w:val="24"/>
        </w:rPr>
        <w:t>）公路管理及养护部门应加强管理和宣传教育，确保公路绿化林带不受破坏。</w:t>
      </w:r>
    </w:p>
    <w:p>
      <w:pPr>
        <w:spacing w:line="360" w:lineRule="auto"/>
        <w:ind w:firstLine="31680" w:firstLineChars="200"/>
        <w:rPr>
          <w:sz w:val="24"/>
          <w:szCs w:val="24"/>
        </w:rPr>
      </w:pPr>
      <w:r>
        <w:rPr>
          <w:sz w:val="24"/>
          <w:szCs w:val="24"/>
        </w:rPr>
        <w:t>e</w:t>
      </w:r>
      <w:r>
        <w:rPr>
          <w:rFonts w:hint="eastAsia"/>
          <w:sz w:val="24"/>
          <w:szCs w:val="24"/>
        </w:rPr>
        <w:t>）在国土部门的指导下，补偿损失农田，确保区域基本农田数量不减少，质量不降低；强化沿线的绿化苗木管理和养护，确保道路绿化有效发挥固土、护坡、减少水土流失、净化空气、隔声降噪、美化景观等环保功能；配备专业人员定期对绿化苗木进行浇水、施肥、松土、修剪、病虫害防治，检查苗木生长状况，对枯死苗木、草皮进行更换补种。</w:t>
      </w:r>
    </w:p>
    <w:p>
      <w:pPr>
        <w:pStyle w:val="5"/>
        <w:widowControl/>
        <w:ind w:left="567" w:hanging="567"/>
      </w:pPr>
      <w:r>
        <w:rPr>
          <w:rFonts w:hint="eastAsia"/>
        </w:rPr>
        <w:t>营运期社会环境保护措施</w:t>
      </w:r>
    </w:p>
    <w:p>
      <w:pPr>
        <w:spacing w:line="360" w:lineRule="auto"/>
        <w:ind w:firstLine="31680" w:firstLineChars="200"/>
        <w:rPr>
          <w:sz w:val="24"/>
          <w:szCs w:val="24"/>
        </w:rPr>
      </w:pPr>
      <w:r>
        <w:rPr>
          <w:sz w:val="24"/>
          <w:szCs w:val="24"/>
        </w:rPr>
        <w:t>a</w:t>
      </w:r>
      <w:r>
        <w:rPr>
          <w:rFonts w:hint="eastAsia"/>
          <w:sz w:val="24"/>
          <w:szCs w:val="24"/>
        </w:rPr>
        <w:t>）拟建公路的管理机构应做好交通运输安全预防和宣传工作，确保公路畅通和人民生命财产安全。</w:t>
      </w:r>
    </w:p>
    <w:p>
      <w:pPr>
        <w:spacing w:line="360" w:lineRule="auto"/>
        <w:ind w:firstLine="31680" w:firstLineChars="200"/>
        <w:rPr>
          <w:sz w:val="24"/>
          <w:szCs w:val="24"/>
        </w:rPr>
      </w:pPr>
      <w:r>
        <w:rPr>
          <w:sz w:val="24"/>
          <w:szCs w:val="24"/>
        </w:rPr>
        <w:t>b</w:t>
      </w:r>
      <w:r>
        <w:rPr>
          <w:rFonts w:hint="eastAsia"/>
          <w:sz w:val="24"/>
          <w:szCs w:val="24"/>
        </w:rPr>
        <w:t>）做好环境工程的建设和维护工作，使公路与周围环境相协调。</w:t>
      </w:r>
    </w:p>
    <w:p>
      <w:pPr>
        <w:spacing w:line="360" w:lineRule="auto"/>
        <w:ind w:firstLine="31680" w:firstLineChars="200"/>
        <w:rPr>
          <w:sz w:val="24"/>
          <w:szCs w:val="24"/>
        </w:rPr>
      </w:pPr>
      <w:r>
        <w:rPr>
          <w:sz w:val="24"/>
          <w:szCs w:val="24"/>
        </w:rPr>
        <w:t>c</w:t>
      </w:r>
      <w:r>
        <w:rPr>
          <w:rFonts w:hint="eastAsia"/>
          <w:sz w:val="24"/>
          <w:szCs w:val="24"/>
        </w:rPr>
        <w:t>）加强项目营运期的管理工作，确保交通畅通，以方便群众的出行。</w:t>
      </w:r>
    </w:p>
    <w:p>
      <w:pPr>
        <w:spacing w:line="360" w:lineRule="auto"/>
        <w:ind w:firstLine="31680" w:firstLineChars="200"/>
        <w:rPr>
          <w:sz w:val="24"/>
          <w:szCs w:val="24"/>
        </w:rPr>
      </w:pPr>
      <w:r>
        <w:rPr>
          <w:sz w:val="24"/>
          <w:szCs w:val="24"/>
        </w:rPr>
        <w:t>d</w:t>
      </w:r>
      <w:r>
        <w:rPr>
          <w:rFonts w:hint="eastAsia"/>
          <w:sz w:val="24"/>
          <w:szCs w:val="24"/>
        </w:rPr>
        <w:t>）由于拟建项目的建成通车将对工程沿线地价产生增值影响，必将导致沿线出现新的产业带和商业网点，工商用地、交通用地等非农业用地将有所增加，为避免过多地丧失宝贵的耕地资源，土地管理部门加强对公路沿线各种建设用地的审批和管理。</w:t>
      </w:r>
    </w:p>
    <w:p>
      <w:pPr>
        <w:spacing w:line="360" w:lineRule="auto"/>
        <w:ind w:firstLine="31680" w:firstLineChars="200"/>
        <w:rPr>
          <w:sz w:val="24"/>
          <w:szCs w:val="24"/>
        </w:rPr>
      </w:pPr>
      <w:r>
        <w:rPr>
          <w:sz w:val="24"/>
          <w:szCs w:val="24"/>
        </w:rPr>
        <w:t>e</w:t>
      </w:r>
      <w:r>
        <w:rPr>
          <w:rFonts w:hint="eastAsia"/>
          <w:sz w:val="24"/>
          <w:szCs w:val="24"/>
        </w:rPr>
        <w:t>）为保证沿线村镇建设规划与公路景观建设相协调，建议主管部门加强公路两侧用地的规划工作，对沿线建筑物的性质、规模和建筑风格进行严格审批。</w:t>
      </w:r>
    </w:p>
    <w:p>
      <w:pPr>
        <w:pStyle w:val="5"/>
        <w:widowControl/>
        <w:ind w:left="567" w:hanging="567"/>
      </w:pPr>
      <w:r>
        <w:rPr>
          <w:rFonts w:hint="eastAsia"/>
        </w:rPr>
        <w:t>营运期水环境保护措施</w:t>
      </w:r>
    </w:p>
    <w:p>
      <w:pPr>
        <w:spacing w:line="360" w:lineRule="auto"/>
        <w:ind w:firstLine="31680" w:firstLineChars="200"/>
        <w:rPr>
          <w:sz w:val="24"/>
          <w:szCs w:val="24"/>
        </w:rPr>
      </w:pPr>
      <w:r>
        <w:rPr>
          <w:sz w:val="24"/>
          <w:szCs w:val="24"/>
        </w:rPr>
        <w:t>a</w:t>
      </w:r>
      <w:r>
        <w:rPr>
          <w:rFonts w:hint="eastAsia"/>
          <w:sz w:val="24"/>
          <w:szCs w:val="24"/>
        </w:rPr>
        <w:t>）按照《公路养护技术规范》（</w:t>
      </w:r>
      <w:r>
        <w:rPr>
          <w:sz w:val="24"/>
          <w:szCs w:val="24"/>
        </w:rPr>
        <w:t>JTG H10-2009</w:t>
      </w:r>
      <w:r>
        <w:rPr>
          <w:rFonts w:hint="eastAsia"/>
          <w:sz w:val="24"/>
          <w:szCs w:val="24"/>
        </w:rPr>
        <w:t>）中有关交通安全设施建设的要求，切实加强临曹溪桥、增加桥、贺家桥、龙湾大桥路段的安全设施建设及检查、监控，确保临近水域的安全；确保曹溪桥、增加桥、贺家桥、龙湾大桥的护拦强度能够满足避免发生事故的车辆坠入河流溪流的强度要求，并加强防撞措施。</w:t>
      </w:r>
    </w:p>
    <w:p>
      <w:pPr>
        <w:spacing w:line="360" w:lineRule="auto"/>
        <w:ind w:firstLine="31680" w:firstLineChars="200"/>
        <w:rPr>
          <w:sz w:val="24"/>
          <w:szCs w:val="24"/>
        </w:rPr>
      </w:pPr>
      <w:r>
        <w:rPr>
          <w:sz w:val="24"/>
          <w:szCs w:val="24"/>
        </w:rPr>
        <w:t>b</w:t>
      </w:r>
      <w:r>
        <w:rPr>
          <w:rFonts w:hint="eastAsia"/>
          <w:sz w:val="24"/>
          <w:szCs w:val="24"/>
        </w:rPr>
        <w:t>）装载煤、石灰、水泥、土方等易起尘的散货，必须加蓬覆盖后才能上路行驶，防止撒落的材料经雨水冲刷后造成水体污染。</w:t>
      </w:r>
    </w:p>
    <w:p>
      <w:pPr>
        <w:spacing w:line="360" w:lineRule="auto"/>
        <w:ind w:firstLine="31680" w:firstLineChars="200"/>
        <w:rPr>
          <w:sz w:val="24"/>
          <w:szCs w:val="24"/>
        </w:rPr>
      </w:pPr>
      <w:r>
        <w:rPr>
          <w:sz w:val="24"/>
          <w:szCs w:val="24"/>
        </w:rPr>
        <w:t>c</w:t>
      </w:r>
      <w:r>
        <w:rPr>
          <w:rFonts w:hint="eastAsia"/>
          <w:sz w:val="24"/>
          <w:szCs w:val="24"/>
        </w:rPr>
        <w:t>）加强公路排水设施的管理，维持经常性的巡查和养护，为避免路面径流直接排入农田，路侧排水沟不得直接通向农田。</w:t>
      </w:r>
    </w:p>
    <w:p>
      <w:pPr>
        <w:pStyle w:val="5"/>
        <w:widowControl/>
        <w:ind w:left="567" w:hanging="567"/>
      </w:pPr>
      <w:r>
        <w:rPr>
          <w:rFonts w:hint="eastAsia"/>
        </w:rPr>
        <w:t>营运期声环境保护措施</w:t>
      </w:r>
    </w:p>
    <w:p>
      <w:pPr>
        <w:pStyle w:val="6"/>
        <w:ind w:left="567" w:hanging="567"/>
      </w:pPr>
      <w:r>
        <w:rPr>
          <w:rFonts w:hint="eastAsia"/>
        </w:rPr>
        <w:t>敏感点声环境保护措施</w:t>
      </w:r>
    </w:p>
    <w:p>
      <w:pPr>
        <w:pStyle w:val="3"/>
        <w:numPr>
          <w:ilvl w:val="0"/>
          <w:numId w:val="0"/>
        </w:numPr>
        <w:rPr>
          <w:szCs w:val="24"/>
          <w:u w:val="wave"/>
        </w:rPr>
      </w:pPr>
      <w:r>
        <w:rPr>
          <w:rFonts w:hint="eastAsia"/>
          <w:szCs w:val="24"/>
          <w:lang w:val="en-US" w:eastAsia="zh-CN"/>
        </w:rPr>
        <w:t xml:space="preserve">    </w:t>
      </w:r>
      <w:r>
        <w:rPr>
          <w:rFonts w:hint="eastAsia"/>
          <w:szCs w:val="24"/>
        </w:rPr>
        <w:t>根据前节的预测结果，</w:t>
      </w:r>
      <w:r>
        <w:rPr>
          <w:rFonts w:hint="eastAsia"/>
          <w:u w:val="none"/>
          <w:lang w:val="en-US" w:eastAsia="zh-CN"/>
        </w:rPr>
        <w:t>建议对沿线噪声超标的路段采取禁鸣、限速，加密种植行道树，远期敏感点跟踪监测措施，并预留降噪经费，根据因交通量增大引起的声环境污染程度，及时采取相应的减缓措施，确保其声环境质量全面达到GB3096-2008中2类、4a类标准限值要求。</w:t>
      </w:r>
      <w:r>
        <w:rPr>
          <w:rFonts w:hint="eastAsia"/>
        </w:rPr>
        <w:t>下一步设计阶段，当路段优化调整造成敏感点发生变化时，应及时采取防噪声补救措施；加强运营期沿线敏感点的噪声监测，根据监测结果及时调整和完善噪声防治措施。</w:t>
      </w:r>
    </w:p>
    <w:p>
      <w:pPr>
        <w:pStyle w:val="6"/>
        <w:widowControl/>
        <w:ind w:left="567" w:hanging="567"/>
        <w:jc w:val="left"/>
      </w:pPr>
      <w:r>
        <w:rPr>
          <w:rFonts w:hint="eastAsia"/>
        </w:rPr>
        <w:t>其它保护措施</w:t>
      </w:r>
    </w:p>
    <w:p>
      <w:pPr>
        <w:pStyle w:val="3"/>
        <w:ind w:firstLine="31680"/>
      </w:pPr>
      <w:r>
        <w:t>a</w:t>
      </w:r>
      <w:r>
        <w:rPr>
          <w:rFonts w:hint="eastAsia"/>
        </w:rPr>
        <w:t>）加强交通管理，严格执行禁止超载等交通规则，在</w:t>
      </w:r>
      <w:r>
        <w:rPr>
          <w:rFonts w:hint="eastAsia"/>
          <w:lang w:val="en-US" w:eastAsia="zh-CN"/>
        </w:rPr>
        <w:t>铜盆村、大陆村、莲花村、桃花村等</w:t>
      </w:r>
      <w:r>
        <w:rPr>
          <w:rFonts w:hint="eastAsia"/>
        </w:rPr>
        <w:t>附近路段设置禁鸣标志，以减少交通噪声扰民问题；</w:t>
      </w:r>
    </w:p>
    <w:p>
      <w:pPr>
        <w:pStyle w:val="3"/>
        <w:ind w:firstLine="31680"/>
      </w:pPr>
      <w:r>
        <w:t>b</w:t>
      </w:r>
      <w:r>
        <w:rPr>
          <w:rFonts w:hint="eastAsia"/>
        </w:rPr>
        <w:t>）加强拟建公路沿线的声环境质量的环境监测工作，对可能受到较严重污染的敏感点实行环境噪声定期监测制度，根据因交通量增大引起的声环境污染程度，及时采取相应的减缓措施；</w:t>
      </w:r>
    </w:p>
    <w:p>
      <w:pPr>
        <w:pStyle w:val="3"/>
        <w:ind w:firstLine="31680"/>
      </w:pPr>
      <w:r>
        <w:t>c</w:t>
      </w:r>
      <w:r>
        <w:rPr>
          <w:rFonts w:hint="eastAsia"/>
        </w:rPr>
        <w:t>）经常养护路面，保证拟改建公路的良好路况；</w:t>
      </w:r>
    </w:p>
    <w:p>
      <w:pPr>
        <w:pStyle w:val="3"/>
        <w:ind w:firstLine="31680"/>
      </w:pPr>
      <w:r>
        <w:t>d</w:t>
      </w:r>
      <w:r>
        <w:rPr>
          <w:rFonts w:hint="eastAsia"/>
        </w:rPr>
        <w:t>）加强拟建公路征地范围内可绿化地段的绿化工作，公路村庄路段两侧在可能情况下营造多层次结构的绿化林带，使之形成立体屏障，加强对交通噪声的阻隔、吸收作用。</w:t>
      </w:r>
    </w:p>
    <w:p>
      <w:pPr>
        <w:pStyle w:val="6"/>
        <w:widowControl/>
        <w:ind w:left="567" w:hanging="567"/>
        <w:jc w:val="left"/>
      </w:pPr>
      <w:r>
        <w:rPr>
          <w:rFonts w:hint="eastAsia"/>
        </w:rPr>
        <w:t>公路两侧规划用地控制措施</w:t>
      </w:r>
    </w:p>
    <w:p>
      <w:pPr>
        <w:spacing w:line="360" w:lineRule="auto"/>
        <w:ind w:firstLine="482"/>
        <w:rPr>
          <w:sz w:val="24"/>
          <w:szCs w:val="24"/>
        </w:rPr>
      </w:pPr>
      <w:r>
        <w:rPr>
          <w:rFonts w:hint="eastAsia" w:hAnsi="宋体"/>
          <w:sz w:val="24"/>
          <w:szCs w:val="24"/>
        </w:rPr>
        <w:t>根据《中华人民共和国公路法》（</w:t>
      </w:r>
      <w:r>
        <w:rPr>
          <w:sz w:val="24"/>
          <w:szCs w:val="24"/>
        </w:rPr>
        <w:t>2004</w:t>
      </w:r>
      <w:r>
        <w:rPr>
          <w:rFonts w:hint="eastAsia" w:hAnsi="宋体"/>
          <w:sz w:val="24"/>
          <w:szCs w:val="24"/>
        </w:rPr>
        <w:t>年修订）、《公路安全保护条例》【国务院</w:t>
      </w:r>
      <w:r>
        <w:rPr>
          <w:sz w:val="24"/>
          <w:szCs w:val="24"/>
        </w:rPr>
        <w:t>593</w:t>
      </w:r>
      <w:r>
        <w:rPr>
          <w:rFonts w:hint="eastAsia" w:hAnsi="宋体"/>
          <w:sz w:val="24"/>
          <w:szCs w:val="24"/>
        </w:rPr>
        <w:t>号令，</w:t>
      </w:r>
      <w:r>
        <w:rPr>
          <w:sz w:val="24"/>
          <w:szCs w:val="24"/>
        </w:rPr>
        <w:t>2011</w:t>
      </w:r>
      <w:r>
        <w:rPr>
          <w:rFonts w:hint="eastAsia" w:hAnsi="宋体"/>
          <w:sz w:val="24"/>
          <w:szCs w:val="24"/>
        </w:rPr>
        <w:t>年】、《湖南省实施〈中华人民共和国公路法〉办法》的有关控制要求，本环评提出以下</w:t>
      </w:r>
      <w:r>
        <w:rPr>
          <w:rFonts w:hint="eastAsia" w:hAnsi="宋体"/>
          <w:sz w:val="24"/>
          <w:szCs w:val="24"/>
          <w:lang w:val="zh-CN"/>
        </w:rPr>
        <w:t>公路两侧规划用地控制距离：</w:t>
      </w:r>
    </w:p>
    <w:p>
      <w:pPr>
        <w:pStyle w:val="3"/>
        <w:numPr>
          <w:ilvl w:val="0"/>
          <w:numId w:val="15"/>
        </w:numPr>
        <w:ind w:left="0" w:firstLine="480" w:firstLineChars="0"/>
      </w:pPr>
      <w:r>
        <w:rPr>
          <w:rFonts w:hint="eastAsia"/>
        </w:rPr>
        <w:t>按照《湖南省实施〈中华人民共和国公路法〉办法》的要求，在距离公路两侧红线</w:t>
      </w:r>
      <w:r>
        <w:t>15m</w:t>
      </w:r>
      <w:r>
        <w:rPr>
          <w:rFonts w:hint="eastAsia"/>
        </w:rPr>
        <w:t>范围内，除公路防护、养护需求以外，不得新建、改建、扩建建筑物或构筑物。</w:t>
      </w:r>
    </w:p>
    <w:p>
      <w:pPr>
        <w:pStyle w:val="3"/>
        <w:ind w:firstLine="31680"/>
        <w:rPr>
          <w:u w:val="wave"/>
        </w:rPr>
      </w:pPr>
      <w:r>
        <w:rPr>
          <w:rFonts w:hint="eastAsia"/>
          <w:bCs/>
          <w:szCs w:val="32"/>
        </w:rPr>
        <w:t>根据预测结果，按</w:t>
      </w:r>
      <w:r>
        <w:rPr>
          <w:bCs/>
          <w:szCs w:val="32"/>
        </w:rPr>
        <w:t>2</w:t>
      </w:r>
      <w:r>
        <w:rPr>
          <w:rFonts w:hint="eastAsia"/>
          <w:bCs/>
          <w:szCs w:val="32"/>
        </w:rPr>
        <w:t>类标准，</w:t>
      </w:r>
      <w:r>
        <w:rPr>
          <w:rFonts w:hint="eastAsia"/>
          <w:kern w:val="2"/>
        </w:rPr>
        <w:t>营运近期、中期、远期交通噪声昼间达标距离为距路中心线</w:t>
      </w:r>
      <w:r>
        <w:rPr>
          <w:rFonts w:hint="eastAsia"/>
          <w:kern w:val="2"/>
          <w:szCs w:val="18"/>
          <w:lang w:val="en-US" w:eastAsia="zh-CN"/>
        </w:rPr>
        <w:t>30</w:t>
      </w:r>
      <w:r>
        <w:rPr>
          <w:kern w:val="2"/>
        </w:rPr>
        <w:t>m</w:t>
      </w:r>
      <w:r>
        <w:rPr>
          <w:rFonts w:hint="eastAsia"/>
          <w:kern w:val="2"/>
        </w:rPr>
        <w:t>、</w:t>
      </w:r>
      <w:r>
        <w:rPr>
          <w:rFonts w:hint="eastAsia"/>
          <w:kern w:val="2"/>
          <w:lang w:val="en-US" w:eastAsia="zh-CN"/>
        </w:rPr>
        <w:t>40</w:t>
      </w:r>
      <w:r>
        <w:rPr>
          <w:kern w:val="2"/>
        </w:rPr>
        <w:t>m</w:t>
      </w:r>
      <w:r>
        <w:rPr>
          <w:rFonts w:hint="eastAsia"/>
          <w:kern w:val="2"/>
        </w:rPr>
        <w:t>和</w:t>
      </w:r>
      <w:r>
        <w:rPr>
          <w:rFonts w:hint="eastAsia"/>
          <w:kern w:val="2"/>
          <w:lang w:val="en-US" w:eastAsia="zh-CN"/>
        </w:rPr>
        <w:t>60</w:t>
      </w:r>
      <w:r>
        <w:rPr>
          <w:kern w:val="2"/>
        </w:rPr>
        <w:t>m</w:t>
      </w:r>
      <w:r>
        <w:rPr>
          <w:rFonts w:hint="eastAsia"/>
          <w:kern w:val="2"/>
        </w:rPr>
        <w:t>，夜间近、中、远期达标距离为距路中心线</w:t>
      </w:r>
      <w:r>
        <w:rPr>
          <w:rFonts w:hint="eastAsia"/>
          <w:kern w:val="2"/>
          <w:lang w:val="en-US" w:eastAsia="zh-CN"/>
        </w:rPr>
        <w:t>30</w:t>
      </w:r>
      <w:r>
        <w:rPr>
          <w:kern w:val="2"/>
        </w:rPr>
        <w:t>m</w:t>
      </w:r>
      <w:r>
        <w:rPr>
          <w:rFonts w:hint="eastAsia"/>
          <w:kern w:val="2"/>
        </w:rPr>
        <w:t>、</w:t>
      </w:r>
      <w:r>
        <w:rPr>
          <w:rFonts w:hint="eastAsia"/>
          <w:kern w:val="2"/>
          <w:lang w:val="en-US" w:eastAsia="zh-CN"/>
        </w:rPr>
        <w:t>40</w:t>
      </w:r>
      <w:r>
        <w:rPr>
          <w:kern w:val="2"/>
        </w:rPr>
        <w:t>m</w:t>
      </w:r>
      <w:r>
        <w:rPr>
          <w:rFonts w:hint="eastAsia"/>
          <w:kern w:val="2"/>
        </w:rPr>
        <w:t>和</w:t>
      </w:r>
      <w:r>
        <w:rPr>
          <w:rFonts w:hint="eastAsia"/>
          <w:kern w:val="2"/>
          <w:lang w:val="en-US" w:eastAsia="zh-CN"/>
        </w:rPr>
        <w:t>60</w:t>
      </w:r>
      <w:r>
        <w:rPr>
          <w:kern w:val="2"/>
        </w:rPr>
        <w:t>m</w:t>
      </w:r>
      <w:r>
        <w:rPr>
          <w:rFonts w:hint="eastAsia"/>
          <w:kern w:val="2"/>
        </w:rPr>
        <w:t>。</w:t>
      </w:r>
      <w:r>
        <w:rPr>
          <w:rFonts w:hint="eastAsia"/>
          <w:bCs/>
          <w:szCs w:val="32"/>
        </w:rPr>
        <w:t>根据《湖南省实施〈中华人民共和国公路法〉办法》要求，公路两侧距路红线外</w:t>
      </w:r>
      <w:r>
        <w:rPr>
          <w:bCs/>
          <w:szCs w:val="32"/>
        </w:rPr>
        <w:t>50m</w:t>
      </w:r>
      <w:r>
        <w:rPr>
          <w:rFonts w:hint="eastAsia"/>
          <w:bCs/>
          <w:szCs w:val="32"/>
        </w:rPr>
        <w:t>范围以内禁止新建学校、医院等对声环境要求高的建筑。</w:t>
      </w:r>
    </w:p>
    <w:p>
      <w:pPr>
        <w:pStyle w:val="5"/>
        <w:widowControl/>
        <w:ind w:left="567" w:hanging="567"/>
      </w:pPr>
      <w:r>
        <w:rPr>
          <w:rFonts w:hint="eastAsia"/>
        </w:rPr>
        <w:t>营运期环境空气质量保护措施</w:t>
      </w:r>
    </w:p>
    <w:p>
      <w:pPr>
        <w:spacing w:line="348" w:lineRule="auto"/>
        <w:ind w:firstLine="31680" w:firstLineChars="177"/>
        <w:rPr>
          <w:sz w:val="24"/>
        </w:rPr>
      </w:pPr>
      <w:r>
        <w:rPr>
          <w:sz w:val="24"/>
        </w:rPr>
        <w:t>a</w:t>
      </w:r>
      <w:r>
        <w:rPr>
          <w:rFonts w:hint="eastAsia"/>
          <w:sz w:val="24"/>
        </w:rPr>
        <w:t>）结合当地生态建设，在靠近公路两侧，尤其是敏感点附近多种植乔、灌木，既可以净化吸收机动车尾气中的污染物、道路粉尘，又可以美化环境，改善路容。</w:t>
      </w:r>
    </w:p>
    <w:p>
      <w:pPr>
        <w:spacing w:line="348" w:lineRule="auto"/>
        <w:ind w:firstLine="31680" w:firstLineChars="177"/>
        <w:rPr>
          <w:sz w:val="24"/>
        </w:rPr>
      </w:pPr>
      <w:r>
        <w:rPr>
          <w:sz w:val="24"/>
        </w:rPr>
        <w:t>b</w:t>
      </w:r>
      <w:r>
        <w:rPr>
          <w:rFonts w:hint="eastAsia"/>
          <w:sz w:val="24"/>
        </w:rPr>
        <w:t>）规划部门在制定和审批沿线集镇开发建设规划时，在公路红线两侧</w:t>
      </w:r>
      <w:r>
        <w:rPr>
          <w:sz w:val="24"/>
        </w:rPr>
        <w:t>50m</w:t>
      </w:r>
      <w:r>
        <w:rPr>
          <w:rFonts w:hint="eastAsia"/>
          <w:sz w:val="24"/>
        </w:rPr>
        <w:t>范围内不宜批准新修建学校、医院等建筑。</w:t>
      </w:r>
    </w:p>
    <w:p>
      <w:pPr>
        <w:spacing w:line="348" w:lineRule="auto"/>
        <w:ind w:firstLine="31680" w:firstLineChars="177"/>
        <w:rPr>
          <w:sz w:val="24"/>
        </w:rPr>
      </w:pPr>
      <w:r>
        <w:rPr>
          <w:sz w:val="24"/>
        </w:rPr>
        <w:t>c</w:t>
      </w:r>
      <w:r>
        <w:rPr>
          <w:rFonts w:hint="eastAsia"/>
          <w:sz w:val="24"/>
        </w:rPr>
        <w:t>）交通运管部门加强车辆监控，减少尾气排放不达标的车辆上路行驶，加强运输散装物资车辆的管理，特别是运输散体材料的车辆必须加盖蓬布。</w:t>
      </w:r>
    </w:p>
    <w:p>
      <w:pPr>
        <w:spacing w:line="348" w:lineRule="auto"/>
        <w:ind w:firstLine="482"/>
        <w:rPr>
          <w:sz w:val="24"/>
        </w:rPr>
      </w:pPr>
      <w:r>
        <w:rPr>
          <w:sz w:val="24"/>
        </w:rPr>
        <w:t>d</w:t>
      </w:r>
      <w:r>
        <w:rPr>
          <w:rFonts w:hint="eastAsia"/>
          <w:sz w:val="24"/>
        </w:rPr>
        <w:t>）加强路面养护和清洁，维护良好的路况，减少路面扬尘对环境的影响。</w:t>
      </w:r>
    </w:p>
    <w:p>
      <w:pPr>
        <w:pStyle w:val="5"/>
        <w:widowControl/>
        <w:ind w:left="567" w:hanging="567"/>
      </w:pPr>
      <w:r>
        <w:rPr>
          <w:rFonts w:hint="eastAsia"/>
        </w:rPr>
        <w:t>营运期固体废物处理措施</w:t>
      </w:r>
    </w:p>
    <w:p>
      <w:pPr>
        <w:pStyle w:val="3"/>
        <w:ind w:firstLine="31680"/>
        <w:sectPr>
          <w:pgSz w:w="11906" w:h="16838"/>
          <w:pgMar w:top="1588" w:right="1361" w:bottom="1474" w:left="1588" w:header="851" w:footer="851" w:gutter="0"/>
          <w:pgBorders>
            <w:top w:val="none" w:sz="0" w:space="0"/>
            <w:left w:val="none" w:sz="0" w:space="0"/>
            <w:bottom w:val="none" w:sz="0" w:space="0"/>
            <w:right w:val="none" w:sz="0" w:space="0"/>
          </w:pgBorders>
          <w:cols w:space="425" w:num="1"/>
          <w:docGrid w:linePitch="326" w:charSpace="0"/>
        </w:sectPr>
      </w:pPr>
      <w:r>
        <w:rPr>
          <w:rFonts w:hint="eastAsia"/>
        </w:rPr>
        <w:t>在工程营运期，应安排专人分路段负责工程沿线的垃圾清扫工作，防止不良司乘人员将丢弃的废纸、废塑料袋、盒、烟蒂等生活垃圾在沿线堆积，影响景观及环境。清扫的垃圾可放入</w:t>
      </w:r>
      <w:r>
        <w:rPr>
          <w:rFonts w:hint="eastAsia"/>
          <w:lang w:val="en-US" w:eastAsia="zh-CN"/>
        </w:rPr>
        <w:t>汨罗</w:t>
      </w:r>
      <w:r>
        <w:rPr>
          <w:rFonts w:hint="eastAsia"/>
        </w:rPr>
        <w:t>市垃圾收集处理设施进行收集处理。</w:t>
      </w:r>
    </w:p>
    <w:p>
      <w:pPr>
        <w:pStyle w:val="2"/>
        <w:rPr>
          <w:i w:val="0"/>
          <w:iCs w:val="0"/>
          <w:u w:val="single"/>
        </w:rPr>
      </w:pPr>
      <w:bookmarkStart w:id="302" w:name="_Toc4492"/>
      <w:r>
        <w:rPr>
          <w:rFonts w:hint="eastAsia"/>
          <w:i w:val="0"/>
          <w:iCs w:val="0"/>
          <w:u w:val="single"/>
        </w:rPr>
        <w:t>环境风险影响评价</w:t>
      </w:r>
      <w:bookmarkEnd w:id="280"/>
      <w:bookmarkEnd w:id="281"/>
      <w:bookmarkEnd w:id="282"/>
      <w:bookmarkEnd w:id="283"/>
      <w:bookmarkEnd w:id="284"/>
      <w:bookmarkEnd w:id="285"/>
      <w:bookmarkEnd w:id="302"/>
    </w:p>
    <w:p>
      <w:pPr>
        <w:pStyle w:val="4"/>
        <w:ind w:left="426" w:hanging="426"/>
        <w:rPr>
          <w:i w:val="0"/>
          <w:iCs w:val="0"/>
          <w:u w:val="single"/>
        </w:rPr>
      </w:pPr>
      <w:bookmarkStart w:id="303" w:name="_Toc23330"/>
      <w:r>
        <w:rPr>
          <w:rFonts w:hint="eastAsia"/>
          <w:i w:val="0"/>
          <w:iCs w:val="0"/>
          <w:u w:val="single"/>
        </w:rPr>
        <w:t>评价目的</w:t>
      </w:r>
      <w:bookmarkEnd w:id="303"/>
    </w:p>
    <w:p>
      <w:pPr>
        <w:spacing w:line="348" w:lineRule="auto"/>
        <w:ind w:firstLine="482"/>
        <w:rPr>
          <w:i w:val="0"/>
          <w:iCs w:val="0"/>
          <w:sz w:val="24"/>
          <w:u w:val="single"/>
        </w:rPr>
      </w:pPr>
      <w:r>
        <w:rPr>
          <w:rFonts w:hint="eastAsia"/>
          <w:i w:val="0"/>
          <w:iCs w:val="0"/>
          <w:sz w:val="24"/>
          <w:u w:val="single"/>
        </w:rPr>
        <w:t>环境风险评价是分析和预测建设项目存在的潜在危险、有害因素，项目建设和运行期间可能发生的突发性事件或事故（不包括人为破坏及自然灾害）引起有毒有害和易燃易爆等物质泄漏，造成人身安全与环境影响和损害程度，提出合理可行的防范、应急与减缓措施，使项目事故率、损失和环境影响达到可接受水平，确保周边影响区内环境质量达标、人群生物的健康和生命安全。</w:t>
      </w:r>
    </w:p>
    <w:p>
      <w:pPr>
        <w:pStyle w:val="4"/>
        <w:ind w:left="426" w:hanging="426"/>
        <w:rPr>
          <w:i w:val="0"/>
          <w:iCs w:val="0"/>
          <w:u w:val="single"/>
        </w:rPr>
      </w:pPr>
      <w:bookmarkStart w:id="304" w:name="_Toc354581914"/>
      <w:bookmarkStart w:id="305" w:name="_Toc31521"/>
      <w:bookmarkStart w:id="306" w:name="_Toc303252940"/>
      <w:bookmarkStart w:id="307" w:name="_Toc354581734"/>
      <w:bookmarkStart w:id="308" w:name="_Toc342145801"/>
      <w:bookmarkStart w:id="309" w:name="_Toc354558931"/>
      <w:bookmarkStart w:id="310" w:name="_Toc376443277"/>
      <w:r>
        <w:rPr>
          <w:rFonts w:hint="eastAsia"/>
          <w:i w:val="0"/>
          <w:iCs w:val="0"/>
          <w:u w:val="single"/>
        </w:rPr>
        <w:t>风险识别</w:t>
      </w:r>
      <w:bookmarkEnd w:id="304"/>
      <w:bookmarkEnd w:id="305"/>
      <w:bookmarkEnd w:id="306"/>
      <w:bookmarkEnd w:id="307"/>
      <w:bookmarkEnd w:id="308"/>
      <w:bookmarkEnd w:id="309"/>
      <w:bookmarkEnd w:id="310"/>
    </w:p>
    <w:p>
      <w:pPr>
        <w:spacing w:line="348" w:lineRule="auto"/>
        <w:ind w:firstLine="482"/>
        <w:rPr>
          <w:i w:val="0"/>
          <w:iCs w:val="0"/>
          <w:sz w:val="24"/>
          <w:u w:val="single"/>
        </w:rPr>
      </w:pPr>
      <w:r>
        <w:rPr>
          <w:rFonts w:hint="eastAsia"/>
          <w:i w:val="0"/>
          <w:iCs w:val="0"/>
          <w:sz w:val="24"/>
          <w:u w:val="single"/>
        </w:rPr>
        <w:t>风险分析是对未来有害事件发生的可能性及带来的不利影响或损失的评估。</w:t>
      </w:r>
    </w:p>
    <w:p>
      <w:pPr>
        <w:spacing w:line="348" w:lineRule="auto"/>
        <w:ind w:firstLine="482"/>
        <w:rPr>
          <w:i w:val="0"/>
          <w:iCs w:val="0"/>
          <w:sz w:val="24"/>
          <w:u w:val="single"/>
        </w:rPr>
      </w:pPr>
      <w:r>
        <w:rPr>
          <w:rFonts w:hint="eastAsia"/>
          <w:i w:val="0"/>
          <w:iCs w:val="0"/>
          <w:sz w:val="24"/>
          <w:u w:val="single"/>
        </w:rPr>
        <w:t>风险分析包括两大类：环境风险和生态风险。前者着重于对确定的有害环境污染事件的分析评价，后者针对不确定的有害或不利生态破坏事件的分析评价。</w:t>
      </w:r>
    </w:p>
    <w:p>
      <w:pPr>
        <w:spacing w:line="348" w:lineRule="auto"/>
        <w:ind w:firstLine="482"/>
        <w:rPr>
          <w:i w:val="0"/>
          <w:iCs w:val="0"/>
          <w:sz w:val="24"/>
          <w:u w:val="single"/>
        </w:rPr>
      </w:pPr>
      <w:r>
        <w:rPr>
          <w:rFonts w:hint="eastAsia"/>
          <w:i w:val="0"/>
          <w:iCs w:val="0"/>
          <w:sz w:val="24"/>
          <w:u w:val="single"/>
        </w:rPr>
        <w:t>本项目的生态风险主要为施工过程中的各个实施工序，如：筑路材料运输、机械辗压等，由此可能给施工人员、地方居民、周围动植物环境状况和生态系统带来不利后果。</w:t>
      </w:r>
    </w:p>
    <w:p>
      <w:pPr>
        <w:spacing w:line="348" w:lineRule="auto"/>
        <w:ind w:firstLine="482"/>
        <w:rPr>
          <w:i w:val="0"/>
          <w:iCs w:val="0"/>
          <w:sz w:val="24"/>
          <w:u w:val="single"/>
        </w:rPr>
      </w:pPr>
      <w:r>
        <w:rPr>
          <w:rFonts w:hint="eastAsia"/>
          <w:i w:val="0"/>
          <w:iCs w:val="0"/>
          <w:sz w:val="24"/>
          <w:u w:val="single"/>
        </w:rPr>
        <w:t>本工程为公路建设项目，公路运输风险主要为运输有毒有害化学品的车辆因发生交通事故，导致盛装有毒有害化学品的容器及其辅助设施被击穿、破裂或损坏，使有毒有害化学品发生泄漏，引起大气、水体、土壤等局部环境污染风险等。</w:t>
      </w:r>
    </w:p>
    <w:p>
      <w:pPr>
        <w:pStyle w:val="4"/>
        <w:ind w:left="426" w:hanging="426"/>
        <w:rPr>
          <w:i w:val="0"/>
          <w:iCs w:val="0"/>
          <w:u w:val="single"/>
        </w:rPr>
      </w:pPr>
      <w:bookmarkStart w:id="311" w:name="_Toc342145802"/>
      <w:bookmarkStart w:id="312" w:name="_Toc376443278"/>
      <w:bookmarkStart w:id="313" w:name="_Toc23504"/>
      <w:bookmarkStart w:id="314" w:name="_Toc354581735"/>
      <w:bookmarkStart w:id="315" w:name="_Toc354581915"/>
      <w:bookmarkStart w:id="316" w:name="_Toc354558932"/>
      <w:r>
        <w:rPr>
          <w:rFonts w:hint="eastAsia"/>
          <w:i w:val="0"/>
          <w:iCs w:val="0"/>
          <w:u w:val="single"/>
        </w:rPr>
        <w:t>施工期的生态风险分析及防护措施</w:t>
      </w:r>
      <w:bookmarkEnd w:id="311"/>
      <w:bookmarkEnd w:id="312"/>
      <w:bookmarkEnd w:id="313"/>
      <w:bookmarkEnd w:id="314"/>
      <w:bookmarkEnd w:id="315"/>
      <w:bookmarkEnd w:id="316"/>
    </w:p>
    <w:p>
      <w:pPr>
        <w:spacing w:line="348" w:lineRule="auto"/>
        <w:ind w:firstLine="482"/>
        <w:rPr>
          <w:i w:val="0"/>
          <w:iCs w:val="0"/>
          <w:sz w:val="24"/>
          <w:u w:val="single"/>
        </w:rPr>
      </w:pPr>
      <w:r>
        <w:rPr>
          <w:i w:val="0"/>
          <w:iCs w:val="0"/>
          <w:sz w:val="24"/>
          <w:u w:val="single"/>
        </w:rPr>
        <w:t>a</w:t>
      </w:r>
      <w:r>
        <w:rPr>
          <w:rFonts w:hint="eastAsia"/>
          <w:i w:val="0"/>
          <w:iCs w:val="0"/>
          <w:sz w:val="24"/>
          <w:u w:val="single"/>
        </w:rPr>
        <w:t>）施工质量</w:t>
      </w:r>
    </w:p>
    <w:p>
      <w:pPr>
        <w:spacing w:line="348" w:lineRule="auto"/>
        <w:ind w:firstLine="482"/>
        <w:rPr>
          <w:i w:val="0"/>
          <w:iCs w:val="0"/>
          <w:sz w:val="24"/>
          <w:u w:val="single"/>
        </w:rPr>
      </w:pPr>
      <w:r>
        <w:rPr>
          <w:rFonts w:hint="eastAsia"/>
          <w:i w:val="0"/>
          <w:iCs w:val="0"/>
          <w:sz w:val="24"/>
          <w:u w:val="single"/>
        </w:rPr>
        <w:t>公路建设时，如果工程设计考虑不周，工程设备技术性能差，施工管理不善，或施工人员技术素质不高等因素，可能引起地基、山体等工程质量问题，进一步会产生直接的施工人员伤亡和间接的来往群众伤亡风险，以及造成对周围生物、水、土环境的不利后果。</w:t>
      </w:r>
    </w:p>
    <w:p>
      <w:pPr>
        <w:spacing w:line="348" w:lineRule="auto"/>
        <w:ind w:firstLine="482"/>
        <w:rPr>
          <w:i w:val="0"/>
          <w:iCs w:val="0"/>
          <w:sz w:val="24"/>
          <w:u w:val="single"/>
        </w:rPr>
      </w:pPr>
      <w:r>
        <w:rPr>
          <w:rFonts w:hint="eastAsia"/>
          <w:i w:val="0"/>
          <w:iCs w:val="0"/>
          <w:sz w:val="24"/>
          <w:u w:val="single"/>
        </w:rPr>
        <w:t>因此在工程设计阶段，应严格按照公路设计规范进行设计，做到线路线型方案合理可行。</w:t>
      </w:r>
    </w:p>
    <w:p>
      <w:pPr>
        <w:spacing w:line="348" w:lineRule="auto"/>
        <w:ind w:firstLine="482"/>
        <w:rPr>
          <w:i w:val="0"/>
          <w:iCs w:val="0"/>
          <w:sz w:val="24"/>
          <w:u w:val="single"/>
        </w:rPr>
      </w:pPr>
      <w:r>
        <w:rPr>
          <w:i w:val="0"/>
          <w:iCs w:val="0"/>
          <w:sz w:val="24"/>
          <w:u w:val="single"/>
        </w:rPr>
        <w:t>b</w:t>
      </w:r>
      <w:r>
        <w:rPr>
          <w:rFonts w:hint="eastAsia"/>
          <w:i w:val="0"/>
          <w:iCs w:val="0"/>
          <w:sz w:val="24"/>
          <w:u w:val="single"/>
        </w:rPr>
        <w:t>）输料方式和线路选择</w:t>
      </w:r>
    </w:p>
    <w:p>
      <w:pPr>
        <w:spacing w:line="348" w:lineRule="auto"/>
        <w:ind w:firstLine="482"/>
        <w:rPr>
          <w:i w:val="0"/>
          <w:iCs w:val="0"/>
          <w:sz w:val="24"/>
          <w:u w:val="single"/>
        </w:rPr>
      </w:pPr>
      <w:r>
        <w:rPr>
          <w:rFonts w:hint="eastAsia"/>
          <w:i w:val="0"/>
          <w:iCs w:val="0"/>
          <w:sz w:val="24"/>
          <w:u w:val="single"/>
        </w:rPr>
        <w:t>施工期间需要大量运送基建材料，通常的运输方式是地面运输和采用人工搬运。施工单位通常从工程建设的便利性和成本拟定施工方案，容易忽略对周围环境的影响。同时，在必须开辟临时搬运道路时，由于无专业人员现场指导和监督，对工程活动范围内及临近的动植物生存环境所产生不利影响，是较大的生态风险，应予以足够的重视和防范。临时道路和人工运料对周围环境和生态系统的主要影响为施工对占地区地表植被状况破坏。新建道路所占用的土地，基地表层植被将大部被清除，地表结构也会发生改变，对生物、土壤都会产生风险。特别在大雨暴雨天气条件下，会引起水土流失甚至泥石流或滑坡的风险。</w:t>
      </w:r>
    </w:p>
    <w:p>
      <w:pPr>
        <w:spacing w:line="348" w:lineRule="auto"/>
        <w:ind w:firstLine="482"/>
        <w:rPr>
          <w:i w:val="0"/>
          <w:iCs w:val="0"/>
          <w:sz w:val="24"/>
          <w:u w:val="single"/>
        </w:rPr>
      </w:pPr>
      <w:r>
        <w:rPr>
          <w:i w:val="0"/>
          <w:iCs w:val="0"/>
          <w:sz w:val="24"/>
          <w:u w:val="single"/>
        </w:rPr>
        <w:t>c</w:t>
      </w:r>
      <w:r>
        <w:rPr>
          <w:rFonts w:hint="eastAsia"/>
          <w:i w:val="0"/>
          <w:iCs w:val="0"/>
          <w:sz w:val="24"/>
          <w:u w:val="single"/>
        </w:rPr>
        <w:t>）山体滑坡引发风险</w:t>
      </w:r>
    </w:p>
    <w:p>
      <w:pPr>
        <w:spacing w:line="348" w:lineRule="auto"/>
        <w:ind w:firstLine="482"/>
        <w:rPr>
          <w:i w:val="0"/>
          <w:iCs w:val="0"/>
          <w:sz w:val="24"/>
          <w:u w:val="single"/>
        </w:rPr>
      </w:pPr>
      <w:r>
        <w:rPr>
          <w:rFonts w:hint="eastAsia"/>
          <w:i w:val="0"/>
          <w:iCs w:val="0"/>
          <w:sz w:val="24"/>
          <w:u w:val="single"/>
        </w:rPr>
        <w:t>工程施工过程中，有可能诱发岩体崩塌和滑坡，尤其是暴雨天气下可能性更大。因此，必须进行地质分析，尽量减小工程诱发山体滑坡的可能性。并制定水土保护和生态恢复方案。</w:t>
      </w:r>
    </w:p>
    <w:p>
      <w:pPr>
        <w:spacing w:line="348" w:lineRule="auto"/>
        <w:ind w:firstLine="482"/>
        <w:rPr>
          <w:i w:val="0"/>
          <w:iCs w:val="0"/>
          <w:sz w:val="24"/>
          <w:u w:val="single"/>
        </w:rPr>
      </w:pPr>
      <w:r>
        <w:rPr>
          <w:i w:val="0"/>
          <w:iCs w:val="0"/>
          <w:sz w:val="24"/>
          <w:u w:val="single"/>
        </w:rPr>
        <w:t>d</w:t>
      </w:r>
      <w:r>
        <w:rPr>
          <w:rFonts w:hint="eastAsia"/>
          <w:i w:val="0"/>
          <w:iCs w:val="0"/>
          <w:sz w:val="24"/>
          <w:u w:val="single"/>
        </w:rPr>
        <w:t>）火灾引发风险</w:t>
      </w:r>
    </w:p>
    <w:p>
      <w:pPr>
        <w:spacing w:line="348" w:lineRule="auto"/>
        <w:ind w:firstLine="482"/>
        <w:rPr>
          <w:i w:val="0"/>
          <w:iCs w:val="0"/>
          <w:sz w:val="24"/>
          <w:u w:val="single"/>
        </w:rPr>
      </w:pPr>
      <w:r>
        <w:rPr>
          <w:rFonts w:hint="eastAsia"/>
          <w:i w:val="0"/>
          <w:iCs w:val="0"/>
          <w:sz w:val="24"/>
          <w:u w:val="single"/>
        </w:rPr>
        <w:t>施工期燃料的使用，施工生产生活区用火管理不善、施工人员吸烟等，都可能引起森林火灾。因此，应制定严格的防火灭火措施，以防范火灾事件发生。</w:t>
      </w:r>
    </w:p>
    <w:p>
      <w:pPr>
        <w:pStyle w:val="4"/>
        <w:ind w:left="426" w:hanging="426"/>
        <w:rPr>
          <w:i w:val="0"/>
          <w:iCs w:val="0"/>
          <w:u w:val="single"/>
        </w:rPr>
      </w:pPr>
      <w:bookmarkStart w:id="317" w:name="_Toc376443279"/>
      <w:bookmarkStart w:id="318" w:name="_Toc4844"/>
      <w:bookmarkStart w:id="319" w:name="_Toc354581916"/>
      <w:bookmarkStart w:id="320" w:name="_Toc354581736"/>
      <w:bookmarkStart w:id="321" w:name="_Toc354558933"/>
      <w:bookmarkStart w:id="322" w:name="_Toc342145803"/>
      <w:r>
        <w:rPr>
          <w:rFonts w:hint="eastAsia"/>
          <w:i w:val="0"/>
          <w:iCs w:val="0"/>
          <w:u w:val="single"/>
        </w:rPr>
        <w:t>运营期的环境风险分析及防护措施</w:t>
      </w:r>
      <w:bookmarkEnd w:id="317"/>
      <w:bookmarkEnd w:id="318"/>
      <w:bookmarkEnd w:id="319"/>
      <w:bookmarkEnd w:id="320"/>
      <w:bookmarkEnd w:id="321"/>
      <w:bookmarkEnd w:id="322"/>
    </w:p>
    <w:p>
      <w:pPr>
        <w:pStyle w:val="5"/>
        <w:ind w:left="709" w:hanging="709"/>
        <w:rPr>
          <w:i w:val="0"/>
          <w:iCs w:val="0"/>
          <w:u w:val="single"/>
        </w:rPr>
      </w:pPr>
      <w:r>
        <w:rPr>
          <w:rFonts w:hint="eastAsia"/>
          <w:i w:val="0"/>
          <w:iCs w:val="0"/>
          <w:u w:val="single"/>
        </w:rPr>
        <w:t>环境风险分析</w:t>
      </w:r>
    </w:p>
    <w:p>
      <w:pPr>
        <w:pStyle w:val="6"/>
        <w:ind w:left="567" w:hanging="567"/>
        <w:rPr>
          <w:i w:val="0"/>
          <w:iCs w:val="0"/>
          <w:u w:val="single"/>
        </w:rPr>
      </w:pPr>
      <w:r>
        <w:rPr>
          <w:rFonts w:hint="eastAsia"/>
          <w:i w:val="0"/>
          <w:iCs w:val="0"/>
          <w:u w:val="single"/>
        </w:rPr>
        <w:t>源项分析</w:t>
      </w:r>
    </w:p>
    <w:p>
      <w:pPr>
        <w:spacing w:line="348" w:lineRule="auto"/>
        <w:ind w:firstLine="482"/>
        <w:rPr>
          <w:i w:val="0"/>
          <w:iCs w:val="0"/>
          <w:sz w:val="24"/>
          <w:u w:val="single"/>
        </w:rPr>
      </w:pPr>
      <w:r>
        <w:rPr>
          <w:i w:val="0"/>
          <w:iCs w:val="0"/>
          <w:sz w:val="24"/>
          <w:u w:val="single"/>
        </w:rPr>
        <w:t>a</w:t>
      </w:r>
      <w:r>
        <w:rPr>
          <w:rFonts w:hint="eastAsia"/>
          <w:i w:val="0"/>
          <w:iCs w:val="0"/>
          <w:sz w:val="24"/>
          <w:u w:val="single"/>
        </w:rPr>
        <w:t>）最大可信事故</w:t>
      </w:r>
    </w:p>
    <w:p>
      <w:pPr>
        <w:spacing w:line="348" w:lineRule="auto"/>
        <w:ind w:firstLine="482"/>
        <w:rPr>
          <w:i w:val="0"/>
          <w:iCs w:val="0"/>
          <w:sz w:val="24"/>
          <w:u w:val="single"/>
        </w:rPr>
      </w:pPr>
      <w:r>
        <w:rPr>
          <w:rFonts w:hint="eastAsia"/>
          <w:i w:val="0"/>
          <w:iCs w:val="0"/>
          <w:sz w:val="24"/>
          <w:u w:val="single"/>
        </w:rPr>
        <w:t>本工程运营期最大可信事故为工程沿线发生重大交通事故引起危险化学品的泄漏。若进入到大气环境和水环境，从而造成大气环境、水体环境污染风险等。</w:t>
      </w:r>
    </w:p>
    <w:p>
      <w:pPr>
        <w:spacing w:line="348" w:lineRule="auto"/>
        <w:ind w:firstLine="482"/>
        <w:rPr>
          <w:i w:val="0"/>
          <w:iCs w:val="0"/>
          <w:sz w:val="24"/>
          <w:u w:val="single"/>
        </w:rPr>
      </w:pPr>
      <w:r>
        <w:rPr>
          <w:rFonts w:hint="eastAsia"/>
          <w:i w:val="0"/>
          <w:iCs w:val="0"/>
          <w:sz w:val="24"/>
          <w:u w:val="single"/>
        </w:rPr>
        <w:t>在本次评价中，重点分析车辆在樟树塘桥、范家屋场桥路段可能发生交通事故或意外，造成化学危险品倾倒、泄漏等，污染大气环境和水环境的影响。</w:t>
      </w:r>
    </w:p>
    <w:p>
      <w:pPr>
        <w:spacing w:line="348" w:lineRule="auto"/>
        <w:ind w:firstLine="482"/>
        <w:rPr>
          <w:i w:val="0"/>
          <w:iCs w:val="0"/>
          <w:sz w:val="24"/>
          <w:u w:val="single"/>
        </w:rPr>
      </w:pPr>
      <w:r>
        <w:rPr>
          <w:i w:val="0"/>
          <w:iCs w:val="0"/>
          <w:sz w:val="24"/>
          <w:u w:val="single"/>
        </w:rPr>
        <w:t>b</w:t>
      </w:r>
      <w:r>
        <w:rPr>
          <w:rFonts w:hint="eastAsia"/>
          <w:i w:val="0"/>
          <w:iCs w:val="0"/>
          <w:sz w:val="24"/>
          <w:u w:val="single"/>
        </w:rPr>
        <w:t>）风险概率预测模式</w:t>
      </w:r>
    </w:p>
    <w:p>
      <w:pPr>
        <w:spacing w:line="348" w:lineRule="auto"/>
        <w:ind w:firstLine="482"/>
        <w:rPr>
          <w:i w:val="0"/>
          <w:iCs w:val="0"/>
          <w:sz w:val="24"/>
          <w:u w:val="single"/>
        </w:rPr>
      </w:pPr>
      <w:r>
        <w:rPr>
          <w:i w:val="0"/>
          <w:iCs w:val="0"/>
          <w:sz w:val="24"/>
          <w:u w:val="single"/>
        </w:rPr>
        <w:t>1</w:t>
      </w:r>
      <w:r>
        <w:rPr>
          <w:rFonts w:hint="eastAsia"/>
          <w:i w:val="0"/>
          <w:iCs w:val="0"/>
          <w:sz w:val="24"/>
          <w:u w:val="single"/>
        </w:rPr>
        <w:t>）计算公式</w:t>
      </w:r>
    </w:p>
    <w:p>
      <w:pPr>
        <w:spacing w:line="348" w:lineRule="auto"/>
        <w:ind w:firstLine="31680" w:firstLineChars="600"/>
        <w:rPr>
          <w:i w:val="0"/>
          <w:iCs w:val="0"/>
          <w:sz w:val="24"/>
          <w:u w:val="single"/>
        </w:rPr>
      </w:pPr>
      <w:r>
        <w:rPr>
          <w:i w:val="0"/>
          <w:iCs w:val="0"/>
          <w:sz w:val="24"/>
          <w:u w:val="single"/>
        </w:rPr>
        <w:t>P=Q</w:t>
      </w:r>
      <w:r>
        <w:rPr>
          <w:i w:val="0"/>
          <w:iCs w:val="0"/>
          <w:sz w:val="24"/>
          <w:u w:val="single"/>
          <w:vertAlign w:val="subscript"/>
        </w:rPr>
        <w:t>0</w:t>
      </w:r>
      <w:r>
        <w:rPr>
          <w:i w:val="0"/>
          <w:iCs w:val="0"/>
          <w:sz w:val="24"/>
          <w:u w:val="single"/>
        </w:rPr>
        <w:t>×Q</w:t>
      </w:r>
      <w:r>
        <w:rPr>
          <w:i w:val="0"/>
          <w:iCs w:val="0"/>
          <w:sz w:val="24"/>
          <w:u w:val="single"/>
          <w:vertAlign w:val="subscript"/>
        </w:rPr>
        <w:t>1</w:t>
      </w:r>
      <w:r>
        <w:rPr>
          <w:i w:val="0"/>
          <w:iCs w:val="0"/>
          <w:sz w:val="24"/>
          <w:u w:val="single"/>
        </w:rPr>
        <w:t>×Q</w:t>
      </w:r>
      <w:r>
        <w:rPr>
          <w:i w:val="0"/>
          <w:iCs w:val="0"/>
          <w:sz w:val="24"/>
          <w:u w:val="single"/>
          <w:vertAlign w:val="subscript"/>
        </w:rPr>
        <w:t>2</w:t>
      </w:r>
      <w:r>
        <w:rPr>
          <w:i w:val="0"/>
          <w:iCs w:val="0"/>
          <w:sz w:val="24"/>
          <w:u w:val="single"/>
        </w:rPr>
        <w:t>×Q</w:t>
      </w:r>
      <w:r>
        <w:rPr>
          <w:i w:val="0"/>
          <w:iCs w:val="0"/>
          <w:sz w:val="24"/>
          <w:u w:val="single"/>
          <w:vertAlign w:val="subscript"/>
        </w:rPr>
        <w:t>3</w:t>
      </w:r>
      <w:r>
        <w:rPr>
          <w:i w:val="0"/>
          <w:iCs w:val="0"/>
          <w:sz w:val="24"/>
          <w:u w:val="single"/>
        </w:rPr>
        <w:t>×Q</w:t>
      </w:r>
      <w:r>
        <w:rPr>
          <w:i w:val="0"/>
          <w:iCs w:val="0"/>
          <w:sz w:val="24"/>
          <w:u w:val="single"/>
          <w:vertAlign w:val="subscript"/>
        </w:rPr>
        <w:t>4</w:t>
      </w:r>
    </w:p>
    <w:p>
      <w:pPr>
        <w:spacing w:line="348" w:lineRule="auto"/>
        <w:ind w:firstLine="482"/>
        <w:rPr>
          <w:i w:val="0"/>
          <w:iCs w:val="0"/>
          <w:sz w:val="24"/>
          <w:u w:val="single"/>
        </w:rPr>
      </w:pPr>
      <w:r>
        <w:rPr>
          <w:i w:val="0"/>
          <w:iCs w:val="0"/>
          <w:sz w:val="24"/>
          <w:u w:val="single"/>
        </w:rPr>
        <w:t>P——</w:t>
      </w:r>
      <w:r>
        <w:rPr>
          <w:rFonts w:hint="eastAsia"/>
          <w:i w:val="0"/>
          <w:iCs w:val="0"/>
          <w:sz w:val="24"/>
          <w:u w:val="single"/>
        </w:rPr>
        <w:t>重要路段出现污染风险概率；</w:t>
      </w:r>
    </w:p>
    <w:p>
      <w:pPr>
        <w:spacing w:line="348" w:lineRule="auto"/>
        <w:ind w:firstLine="482"/>
        <w:rPr>
          <w:i w:val="0"/>
          <w:iCs w:val="0"/>
          <w:sz w:val="24"/>
          <w:u w:val="single"/>
        </w:rPr>
      </w:pPr>
      <w:r>
        <w:rPr>
          <w:i w:val="0"/>
          <w:iCs w:val="0"/>
          <w:sz w:val="24"/>
          <w:u w:val="single"/>
        </w:rPr>
        <w:t>Q</w:t>
      </w:r>
      <w:r>
        <w:rPr>
          <w:i w:val="0"/>
          <w:iCs w:val="0"/>
          <w:sz w:val="24"/>
          <w:u w:val="single"/>
          <w:vertAlign w:val="subscript"/>
        </w:rPr>
        <w:t>0</w:t>
      </w:r>
      <w:r>
        <w:rPr>
          <w:i w:val="0"/>
          <w:iCs w:val="0"/>
          <w:sz w:val="24"/>
          <w:u w:val="single"/>
        </w:rPr>
        <w:t>——</w:t>
      </w:r>
      <w:r>
        <w:rPr>
          <w:rFonts w:hint="eastAsia"/>
          <w:i w:val="0"/>
          <w:iCs w:val="0"/>
          <w:sz w:val="24"/>
          <w:u w:val="single"/>
        </w:rPr>
        <w:t>该地区公路车辆相撞翻车等重大交通事故概率，次</w:t>
      </w:r>
      <w:r>
        <w:rPr>
          <w:i w:val="0"/>
          <w:iCs w:val="0"/>
          <w:sz w:val="24"/>
          <w:u w:val="single"/>
        </w:rPr>
        <w:t>/</w:t>
      </w:r>
      <w:r>
        <w:rPr>
          <w:rFonts w:hint="eastAsia"/>
          <w:i w:val="0"/>
          <w:iCs w:val="0"/>
          <w:sz w:val="24"/>
          <w:u w:val="single"/>
        </w:rPr>
        <w:t>百万车</w:t>
      </w:r>
      <w:r>
        <w:rPr>
          <w:i w:val="0"/>
          <w:iCs w:val="0"/>
          <w:sz w:val="24"/>
          <w:u w:val="single"/>
        </w:rPr>
        <w:t>•km</w:t>
      </w:r>
      <w:r>
        <w:rPr>
          <w:rFonts w:hint="eastAsia"/>
          <w:i w:val="0"/>
          <w:iCs w:val="0"/>
          <w:sz w:val="24"/>
          <w:u w:val="single"/>
        </w:rPr>
        <w:t>；</w:t>
      </w:r>
    </w:p>
    <w:p>
      <w:pPr>
        <w:spacing w:line="348" w:lineRule="auto"/>
        <w:ind w:firstLine="482"/>
        <w:rPr>
          <w:i w:val="0"/>
          <w:iCs w:val="0"/>
          <w:sz w:val="24"/>
          <w:u w:val="single"/>
        </w:rPr>
      </w:pPr>
      <w:r>
        <w:rPr>
          <w:i w:val="0"/>
          <w:iCs w:val="0"/>
          <w:sz w:val="24"/>
          <w:u w:val="single"/>
        </w:rPr>
        <w:t>Q</w:t>
      </w:r>
      <w:r>
        <w:rPr>
          <w:i w:val="0"/>
          <w:iCs w:val="0"/>
          <w:sz w:val="24"/>
          <w:u w:val="single"/>
          <w:vertAlign w:val="subscript"/>
        </w:rPr>
        <w:t>1</w:t>
      </w:r>
      <w:r>
        <w:rPr>
          <w:i w:val="0"/>
          <w:iCs w:val="0"/>
          <w:sz w:val="24"/>
          <w:u w:val="single"/>
        </w:rPr>
        <w:t>——</w:t>
      </w:r>
      <w:r>
        <w:rPr>
          <w:rFonts w:hint="eastAsia"/>
          <w:i w:val="0"/>
          <w:iCs w:val="0"/>
          <w:sz w:val="24"/>
          <w:u w:val="single"/>
        </w:rPr>
        <w:t>预测年拟建公路全路段年绝对交通量，百万辆</w:t>
      </w:r>
      <w:r>
        <w:rPr>
          <w:i w:val="0"/>
          <w:iCs w:val="0"/>
          <w:sz w:val="24"/>
          <w:u w:val="single"/>
        </w:rPr>
        <w:t>/</w:t>
      </w:r>
      <w:r>
        <w:rPr>
          <w:rFonts w:hint="eastAsia"/>
          <w:i w:val="0"/>
          <w:iCs w:val="0"/>
          <w:sz w:val="24"/>
          <w:u w:val="single"/>
        </w:rPr>
        <w:t>年；</w:t>
      </w:r>
    </w:p>
    <w:p>
      <w:pPr>
        <w:spacing w:line="348" w:lineRule="auto"/>
        <w:ind w:firstLine="482"/>
        <w:rPr>
          <w:i w:val="0"/>
          <w:iCs w:val="0"/>
          <w:sz w:val="24"/>
          <w:u w:val="single"/>
        </w:rPr>
      </w:pPr>
      <w:r>
        <w:rPr>
          <w:i w:val="0"/>
          <w:iCs w:val="0"/>
          <w:sz w:val="24"/>
          <w:u w:val="single"/>
        </w:rPr>
        <w:t>Q</w:t>
      </w:r>
      <w:r>
        <w:rPr>
          <w:i w:val="0"/>
          <w:iCs w:val="0"/>
          <w:sz w:val="24"/>
          <w:u w:val="single"/>
          <w:vertAlign w:val="subscript"/>
        </w:rPr>
        <w:t>2</w:t>
      </w:r>
      <w:r>
        <w:rPr>
          <w:i w:val="0"/>
          <w:iCs w:val="0"/>
          <w:sz w:val="24"/>
          <w:u w:val="single"/>
        </w:rPr>
        <w:t>——</w:t>
      </w:r>
      <w:r>
        <w:rPr>
          <w:rFonts w:hint="eastAsia"/>
          <w:i w:val="0"/>
          <w:iCs w:val="0"/>
          <w:sz w:val="24"/>
          <w:u w:val="single"/>
        </w:rPr>
        <w:t>现有危险品运输车辆所占比重，</w:t>
      </w:r>
      <w:r>
        <w:rPr>
          <w:i w:val="0"/>
          <w:iCs w:val="0"/>
          <w:sz w:val="24"/>
          <w:u w:val="single"/>
        </w:rPr>
        <w:t>%</w:t>
      </w:r>
      <w:r>
        <w:rPr>
          <w:rFonts w:hint="eastAsia"/>
          <w:i w:val="0"/>
          <w:iCs w:val="0"/>
          <w:sz w:val="24"/>
          <w:u w:val="single"/>
        </w:rPr>
        <w:t>；</w:t>
      </w:r>
    </w:p>
    <w:p>
      <w:pPr>
        <w:spacing w:line="348" w:lineRule="auto"/>
        <w:ind w:firstLine="482"/>
        <w:rPr>
          <w:i w:val="0"/>
          <w:iCs w:val="0"/>
          <w:sz w:val="24"/>
          <w:u w:val="single"/>
        </w:rPr>
      </w:pPr>
      <w:r>
        <w:rPr>
          <w:i w:val="0"/>
          <w:iCs w:val="0"/>
          <w:sz w:val="24"/>
          <w:u w:val="single"/>
        </w:rPr>
        <w:t>Q</w:t>
      </w:r>
      <w:r>
        <w:rPr>
          <w:i w:val="0"/>
          <w:iCs w:val="0"/>
          <w:sz w:val="24"/>
          <w:u w:val="single"/>
          <w:vertAlign w:val="subscript"/>
        </w:rPr>
        <w:t>3</w:t>
      </w:r>
      <w:r>
        <w:rPr>
          <w:i w:val="0"/>
          <w:iCs w:val="0"/>
          <w:sz w:val="24"/>
          <w:u w:val="single"/>
        </w:rPr>
        <w:t>——</w:t>
      </w:r>
      <w:r>
        <w:rPr>
          <w:rFonts w:hint="eastAsia"/>
          <w:i w:val="0"/>
          <w:iCs w:val="0"/>
          <w:sz w:val="24"/>
          <w:u w:val="single"/>
        </w:rPr>
        <w:t>考核路段长度，</w:t>
      </w:r>
      <w:r>
        <w:rPr>
          <w:i w:val="0"/>
          <w:iCs w:val="0"/>
          <w:sz w:val="24"/>
          <w:u w:val="single"/>
        </w:rPr>
        <w:t>km</w:t>
      </w:r>
      <w:r>
        <w:rPr>
          <w:rFonts w:hint="eastAsia"/>
          <w:i w:val="0"/>
          <w:iCs w:val="0"/>
          <w:sz w:val="24"/>
          <w:u w:val="single"/>
        </w:rPr>
        <w:t>；</w:t>
      </w:r>
    </w:p>
    <w:p>
      <w:pPr>
        <w:spacing w:line="348" w:lineRule="auto"/>
        <w:ind w:firstLine="482"/>
        <w:rPr>
          <w:i w:val="0"/>
          <w:iCs w:val="0"/>
          <w:sz w:val="24"/>
          <w:u w:val="single"/>
        </w:rPr>
      </w:pPr>
      <w:r>
        <w:rPr>
          <w:i w:val="0"/>
          <w:iCs w:val="0"/>
          <w:sz w:val="24"/>
          <w:u w:val="single"/>
        </w:rPr>
        <w:t>Q</w:t>
      </w:r>
      <w:r>
        <w:rPr>
          <w:i w:val="0"/>
          <w:iCs w:val="0"/>
          <w:sz w:val="24"/>
          <w:u w:val="single"/>
          <w:vertAlign w:val="subscript"/>
        </w:rPr>
        <w:t>4</w:t>
      </w:r>
      <w:r>
        <w:rPr>
          <w:i w:val="0"/>
          <w:iCs w:val="0"/>
          <w:sz w:val="24"/>
          <w:u w:val="single"/>
        </w:rPr>
        <w:t>——</w:t>
      </w:r>
      <w:r>
        <w:rPr>
          <w:rFonts w:hint="eastAsia"/>
          <w:i w:val="0"/>
          <w:iCs w:val="0"/>
          <w:sz w:val="24"/>
          <w:u w:val="single"/>
        </w:rPr>
        <w:t>与普通公路的事故概率比。</w:t>
      </w:r>
    </w:p>
    <w:p>
      <w:pPr>
        <w:spacing w:line="348" w:lineRule="auto"/>
        <w:ind w:firstLine="482"/>
        <w:rPr>
          <w:i w:val="0"/>
          <w:iCs w:val="0"/>
          <w:sz w:val="24"/>
          <w:u w:val="single"/>
        </w:rPr>
      </w:pPr>
      <w:r>
        <w:rPr>
          <w:i w:val="0"/>
          <w:iCs w:val="0"/>
          <w:sz w:val="24"/>
          <w:u w:val="single"/>
        </w:rPr>
        <w:t>2</w:t>
      </w:r>
      <w:r>
        <w:rPr>
          <w:rFonts w:hint="eastAsia"/>
          <w:i w:val="0"/>
          <w:iCs w:val="0"/>
          <w:sz w:val="24"/>
          <w:u w:val="single"/>
        </w:rPr>
        <w:t>）参数确定</w:t>
      </w:r>
    </w:p>
    <w:p>
      <w:pPr>
        <w:spacing w:line="348" w:lineRule="auto"/>
        <w:ind w:firstLine="482"/>
        <w:rPr>
          <w:i w:val="0"/>
          <w:iCs w:val="0"/>
          <w:sz w:val="24"/>
          <w:u w:val="single"/>
        </w:rPr>
      </w:pPr>
      <w:r>
        <w:rPr>
          <w:i w:val="0"/>
          <w:iCs w:val="0"/>
          <w:sz w:val="24"/>
          <w:u w:val="single"/>
        </w:rPr>
        <w:t>Q</w:t>
      </w:r>
      <w:r>
        <w:rPr>
          <w:i w:val="0"/>
          <w:iCs w:val="0"/>
          <w:sz w:val="24"/>
          <w:u w:val="single"/>
          <w:vertAlign w:val="subscript"/>
        </w:rPr>
        <w:t>0</w:t>
      </w:r>
      <w:r>
        <w:rPr>
          <w:rFonts w:hint="eastAsia"/>
          <w:i w:val="0"/>
          <w:iCs w:val="0"/>
          <w:sz w:val="24"/>
          <w:u w:val="single"/>
        </w:rPr>
        <w:t>的确定：参照湖南省等级公路调查和统计，</w:t>
      </w:r>
      <w:r>
        <w:rPr>
          <w:i w:val="0"/>
          <w:iCs w:val="0"/>
          <w:sz w:val="24"/>
          <w:u w:val="single"/>
        </w:rPr>
        <w:t>Q</w:t>
      </w:r>
      <w:r>
        <w:rPr>
          <w:i w:val="0"/>
          <w:iCs w:val="0"/>
          <w:sz w:val="24"/>
          <w:u w:val="single"/>
          <w:vertAlign w:val="subscript"/>
        </w:rPr>
        <w:t>0</w:t>
      </w:r>
      <w:r>
        <w:rPr>
          <w:rFonts w:hint="eastAsia"/>
          <w:i w:val="0"/>
          <w:iCs w:val="0"/>
          <w:sz w:val="24"/>
          <w:u w:val="single"/>
        </w:rPr>
        <w:t>取</w:t>
      </w:r>
      <w:r>
        <w:rPr>
          <w:i w:val="0"/>
          <w:iCs w:val="0"/>
          <w:sz w:val="24"/>
          <w:u w:val="single"/>
        </w:rPr>
        <w:t>0.2</w:t>
      </w:r>
      <w:r>
        <w:rPr>
          <w:rFonts w:hint="eastAsia"/>
          <w:i w:val="0"/>
          <w:iCs w:val="0"/>
          <w:sz w:val="24"/>
          <w:u w:val="single"/>
        </w:rPr>
        <w:t>次</w:t>
      </w:r>
      <w:r>
        <w:rPr>
          <w:i w:val="0"/>
          <w:iCs w:val="0"/>
          <w:sz w:val="24"/>
          <w:u w:val="single"/>
        </w:rPr>
        <w:t>/</w:t>
      </w:r>
      <w:r>
        <w:rPr>
          <w:rFonts w:hint="eastAsia"/>
          <w:i w:val="0"/>
          <w:iCs w:val="0"/>
          <w:sz w:val="24"/>
          <w:u w:val="single"/>
        </w:rPr>
        <w:t>百万车</w:t>
      </w:r>
      <w:r>
        <w:rPr>
          <w:i w:val="0"/>
          <w:iCs w:val="0"/>
          <w:sz w:val="24"/>
          <w:u w:val="single"/>
        </w:rPr>
        <w:t>•km</w:t>
      </w:r>
      <w:r>
        <w:rPr>
          <w:rFonts w:hint="eastAsia"/>
          <w:i w:val="0"/>
          <w:iCs w:val="0"/>
          <w:sz w:val="24"/>
          <w:u w:val="single"/>
        </w:rPr>
        <w:t>；</w:t>
      </w:r>
    </w:p>
    <w:p>
      <w:pPr>
        <w:pStyle w:val="3"/>
        <w:ind w:firstLine="31680"/>
        <w:rPr>
          <w:i w:val="0"/>
          <w:iCs w:val="0"/>
          <w:u w:val="single"/>
        </w:rPr>
      </w:pPr>
      <w:r>
        <w:rPr>
          <w:i w:val="0"/>
          <w:iCs w:val="0"/>
          <w:u w:val="single"/>
        </w:rPr>
        <w:t>Q</w:t>
      </w:r>
      <w:r>
        <w:rPr>
          <w:i w:val="0"/>
          <w:iCs w:val="0"/>
          <w:u w:val="single"/>
          <w:vertAlign w:val="subscript"/>
        </w:rPr>
        <w:t>1</w:t>
      </w:r>
      <w:r>
        <w:rPr>
          <w:rFonts w:hint="eastAsia"/>
          <w:i w:val="0"/>
          <w:iCs w:val="0"/>
          <w:u w:val="single"/>
        </w:rPr>
        <w:t>的确定：根据预测车流量，重要水域路段的</w:t>
      </w:r>
      <w:r>
        <w:rPr>
          <w:i w:val="0"/>
          <w:iCs w:val="0"/>
          <w:u w:val="single"/>
        </w:rPr>
        <w:t>Q</w:t>
      </w:r>
      <w:r>
        <w:rPr>
          <w:i w:val="0"/>
          <w:iCs w:val="0"/>
          <w:u w:val="single"/>
          <w:vertAlign w:val="subscript"/>
        </w:rPr>
        <w:t>1</w:t>
      </w:r>
      <w:r>
        <w:rPr>
          <w:rFonts w:hint="eastAsia"/>
          <w:i w:val="0"/>
          <w:iCs w:val="0"/>
          <w:u w:val="single"/>
        </w:rPr>
        <w:t>值见表</w:t>
      </w:r>
      <w:r>
        <w:rPr>
          <w:i w:val="0"/>
          <w:iCs w:val="0"/>
          <w:u w:val="single"/>
        </w:rPr>
        <w:t>10.4-1</w:t>
      </w:r>
      <w:r>
        <w:rPr>
          <w:rFonts w:hint="eastAsia"/>
          <w:i w:val="0"/>
          <w:iCs w:val="0"/>
          <w:u w:val="single"/>
        </w:rPr>
        <w:t>；</w:t>
      </w:r>
    </w:p>
    <w:p>
      <w:pPr>
        <w:spacing w:line="348" w:lineRule="auto"/>
        <w:ind w:firstLine="482"/>
        <w:rPr>
          <w:i w:val="0"/>
          <w:iCs w:val="0"/>
          <w:sz w:val="24"/>
          <w:u w:val="single"/>
        </w:rPr>
      </w:pPr>
      <w:r>
        <w:rPr>
          <w:i w:val="0"/>
          <w:iCs w:val="0"/>
          <w:sz w:val="24"/>
          <w:u w:val="single"/>
        </w:rPr>
        <w:t>Q</w:t>
      </w:r>
      <w:r>
        <w:rPr>
          <w:i w:val="0"/>
          <w:iCs w:val="0"/>
          <w:sz w:val="24"/>
          <w:u w:val="single"/>
          <w:vertAlign w:val="subscript"/>
        </w:rPr>
        <w:t>2</w:t>
      </w:r>
      <w:r>
        <w:rPr>
          <w:rFonts w:hint="eastAsia"/>
          <w:i w:val="0"/>
          <w:iCs w:val="0"/>
          <w:sz w:val="24"/>
          <w:u w:val="single"/>
        </w:rPr>
        <w:t>的确定：项目所在区域运输有毒有害危险品的车辆约占总车流量的</w:t>
      </w:r>
      <w:r>
        <w:rPr>
          <w:i w:val="0"/>
          <w:iCs w:val="0"/>
          <w:sz w:val="24"/>
          <w:u w:val="single"/>
        </w:rPr>
        <w:t>0.8%</w:t>
      </w:r>
      <w:r>
        <w:rPr>
          <w:rFonts w:hint="eastAsia"/>
          <w:i w:val="0"/>
          <w:iCs w:val="0"/>
          <w:sz w:val="24"/>
          <w:u w:val="single"/>
        </w:rPr>
        <w:t>，故</w:t>
      </w:r>
      <w:r>
        <w:rPr>
          <w:i w:val="0"/>
          <w:iCs w:val="0"/>
          <w:sz w:val="24"/>
          <w:u w:val="single"/>
        </w:rPr>
        <w:t>Q2</w:t>
      </w:r>
      <w:r>
        <w:rPr>
          <w:rFonts w:hint="eastAsia"/>
          <w:i w:val="0"/>
          <w:iCs w:val="0"/>
          <w:sz w:val="24"/>
          <w:u w:val="single"/>
        </w:rPr>
        <w:t>取值为</w:t>
      </w:r>
      <w:r>
        <w:rPr>
          <w:i w:val="0"/>
          <w:iCs w:val="0"/>
          <w:sz w:val="24"/>
          <w:u w:val="single"/>
        </w:rPr>
        <w:t>0.008</w:t>
      </w:r>
      <w:r>
        <w:rPr>
          <w:rFonts w:hint="eastAsia"/>
          <w:i w:val="0"/>
          <w:iCs w:val="0"/>
          <w:sz w:val="24"/>
          <w:u w:val="single"/>
        </w:rPr>
        <w:t>；</w:t>
      </w:r>
    </w:p>
    <w:p>
      <w:pPr>
        <w:spacing w:line="348" w:lineRule="auto"/>
        <w:ind w:firstLine="482"/>
        <w:rPr>
          <w:i w:val="0"/>
          <w:iCs w:val="0"/>
          <w:sz w:val="24"/>
          <w:u w:val="single"/>
        </w:rPr>
      </w:pPr>
      <w:r>
        <w:rPr>
          <w:i w:val="0"/>
          <w:iCs w:val="0"/>
          <w:sz w:val="24"/>
          <w:u w:val="single"/>
        </w:rPr>
        <w:t>Q</w:t>
      </w:r>
      <w:r>
        <w:rPr>
          <w:i w:val="0"/>
          <w:iCs w:val="0"/>
          <w:sz w:val="24"/>
          <w:u w:val="single"/>
          <w:vertAlign w:val="subscript"/>
        </w:rPr>
        <w:t>3</w:t>
      </w:r>
      <w:r>
        <w:rPr>
          <w:rFonts w:hint="eastAsia"/>
          <w:i w:val="0"/>
          <w:iCs w:val="0"/>
          <w:sz w:val="24"/>
          <w:u w:val="single"/>
        </w:rPr>
        <w:t>的确定：考核路段长度，</w:t>
      </w:r>
      <w:r>
        <w:rPr>
          <w:i w:val="0"/>
          <w:iCs w:val="0"/>
          <w:sz w:val="24"/>
          <w:u w:val="single"/>
        </w:rPr>
        <w:t>km</w:t>
      </w:r>
      <w:r>
        <w:rPr>
          <w:rFonts w:hint="eastAsia"/>
          <w:i w:val="0"/>
          <w:iCs w:val="0"/>
          <w:sz w:val="24"/>
          <w:u w:val="single"/>
        </w:rPr>
        <w:t>；</w:t>
      </w:r>
    </w:p>
    <w:p>
      <w:pPr>
        <w:spacing w:line="348" w:lineRule="auto"/>
        <w:ind w:firstLine="482"/>
        <w:rPr>
          <w:i w:val="0"/>
          <w:iCs w:val="0"/>
          <w:sz w:val="24"/>
          <w:u w:val="single"/>
        </w:rPr>
      </w:pPr>
      <w:r>
        <w:rPr>
          <w:i w:val="0"/>
          <w:iCs w:val="0"/>
          <w:sz w:val="24"/>
          <w:u w:val="single"/>
        </w:rPr>
        <w:t>Q</w:t>
      </w:r>
      <w:r>
        <w:rPr>
          <w:i w:val="0"/>
          <w:iCs w:val="0"/>
          <w:sz w:val="24"/>
          <w:u w:val="single"/>
          <w:vertAlign w:val="subscript"/>
        </w:rPr>
        <w:t>4</w:t>
      </w:r>
      <w:r>
        <w:rPr>
          <w:rFonts w:hint="eastAsia"/>
          <w:i w:val="0"/>
          <w:iCs w:val="0"/>
          <w:sz w:val="24"/>
          <w:u w:val="single"/>
        </w:rPr>
        <w:t>的确定：</w:t>
      </w:r>
      <w:r>
        <w:rPr>
          <w:i w:val="0"/>
          <w:iCs w:val="0"/>
          <w:sz w:val="24"/>
          <w:u w:val="single"/>
        </w:rPr>
        <w:t>Q</w:t>
      </w:r>
      <w:r>
        <w:rPr>
          <w:i w:val="0"/>
          <w:iCs w:val="0"/>
          <w:sz w:val="24"/>
          <w:u w:val="single"/>
          <w:vertAlign w:val="subscript"/>
        </w:rPr>
        <w:t>4</w:t>
      </w:r>
      <w:r>
        <w:rPr>
          <w:rFonts w:hint="eastAsia"/>
          <w:i w:val="0"/>
          <w:iCs w:val="0"/>
          <w:sz w:val="24"/>
          <w:u w:val="single"/>
        </w:rPr>
        <w:t>取</w:t>
      </w:r>
      <w:r>
        <w:rPr>
          <w:i w:val="0"/>
          <w:iCs w:val="0"/>
          <w:sz w:val="24"/>
          <w:u w:val="single"/>
        </w:rPr>
        <w:t>1</w:t>
      </w:r>
      <w:r>
        <w:rPr>
          <w:rFonts w:hint="eastAsia"/>
          <w:i w:val="0"/>
          <w:iCs w:val="0"/>
          <w:sz w:val="24"/>
          <w:u w:val="single"/>
        </w:rPr>
        <w:t>。</w:t>
      </w:r>
    </w:p>
    <w:p>
      <w:pPr>
        <w:pStyle w:val="19"/>
        <w:jc w:val="center"/>
        <w:rPr>
          <w:i w:val="0"/>
          <w:iCs w:val="0"/>
          <w:u w:val="single"/>
        </w:rPr>
      </w:pPr>
      <w:bookmarkStart w:id="323" w:name="_Ref401503640"/>
      <w:bookmarkStart w:id="324" w:name="_Ref304966817"/>
      <w:r>
        <w:rPr>
          <w:rFonts w:hint="eastAsia"/>
          <w:i w:val="0"/>
          <w:iCs w:val="0"/>
          <w:u w:val="single"/>
        </w:rPr>
        <w:t>表</w:t>
      </w:r>
      <w:bookmarkEnd w:id="323"/>
      <w:r>
        <w:rPr>
          <w:i w:val="0"/>
          <w:iCs w:val="0"/>
          <w:u w:val="single"/>
        </w:rPr>
        <w:t xml:space="preserve">11.4-1   </w:t>
      </w:r>
      <w:r>
        <w:rPr>
          <w:rFonts w:hint="eastAsia"/>
          <w:i w:val="0"/>
          <w:iCs w:val="0"/>
          <w:u w:val="single"/>
        </w:rPr>
        <w:t>项目重要路段的</w:t>
      </w:r>
      <w:r>
        <w:rPr>
          <w:i w:val="0"/>
          <w:iCs w:val="0"/>
          <w:u w:val="single"/>
        </w:rPr>
        <w:t>Q</w:t>
      </w:r>
      <w:r>
        <w:rPr>
          <w:i w:val="0"/>
          <w:iCs w:val="0"/>
          <w:u w:val="single"/>
          <w:vertAlign w:val="subscript"/>
        </w:rPr>
        <w:t>1</w:t>
      </w:r>
      <w:r>
        <w:rPr>
          <w:rFonts w:hint="eastAsia"/>
          <w:i w:val="0"/>
          <w:iCs w:val="0"/>
          <w:u w:val="single"/>
        </w:rPr>
        <w:t>值</w:t>
      </w:r>
      <w:r>
        <w:rPr>
          <w:i w:val="0"/>
          <w:iCs w:val="0"/>
          <w:u w:val="single"/>
        </w:rPr>
        <w:t xml:space="preserve">  </w:t>
      </w:r>
      <w:r>
        <w:rPr>
          <w:rFonts w:hint="eastAsia"/>
          <w:i w:val="0"/>
          <w:iCs w:val="0"/>
          <w:u w:val="single"/>
        </w:rPr>
        <w:t>百万辆</w:t>
      </w:r>
      <w:r>
        <w:rPr>
          <w:i w:val="0"/>
          <w:iCs w:val="0"/>
          <w:u w:val="single"/>
        </w:rPr>
        <w:t>/a</w:t>
      </w:r>
    </w:p>
    <w:bookmarkEnd w:id="324"/>
    <w:tbl>
      <w:tblPr>
        <w:tblStyle w:val="65"/>
        <w:tblW w:w="9173"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35"/>
        <w:gridCol w:w="2236"/>
        <w:gridCol w:w="2356"/>
        <w:gridCol w:w="234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blHeader/>
        </w:trPr>
        <w:tc>
          <w:tcPr>
            <w:tcW w:w="2235" w:type="dxa"/>
            <w:tcBorders>
              <w:left w:val="single" w:color="auto" w:sz="4" w:space="0"/>
            </w:tcBorders>
            <w:vAlign w:val="center"/>
          </w:tcPr>
          <w:p>
            <w:pPr>
              <w:jc w:val="center"/>
              <w:rPr>
                <w:i w:val="0"/>
                <w:iCs w:val="0"/>
                <w:sz w:val="21"/>
                <w:szCs w:val="21"/>
                <w:u w:val="single"/>
              </w:rPr>
            </w:pPr>
            <w:r>
              <w:rPr>
                <w:rFonts w:hint="eastAsia"/>
                <w:i w:val="0"/>
                <w:iCs w:val="0"/>
                <w:sz w:val="21"/>
                <w:szCs w:val="21"/>
                <w:u w:val="single"/>
              </w:rPr>
              <w:t>路段</w:t>
            </w:r>
          </w:p>
        </w:tc>
        <w:tc>
          <w:tcPr>
            <w:tcW w:w="2236" w:type="dxa"/>
            <w:tcBorders>
              <w:left w:val="single" w:color="auto" w:sz="4" w:space="0"/>
            </w:tcBorders>
            <w:vAlign w:val="center"/>
          </w:tcPr>
          <w:p>
            <w:pPr>
              <w:jc w:val="center"/>
              <w:rPr>
                <w:i w:val="0"/>
                <w:iCs w:val="0"/>
                <w:sz w:val="21"/>
                <w:szCs w:val="21"/>
                <w:u w:val="single"/>
              </w:rPr>
            </w:pPr>
            <w:r>
              <w:rPr>
                <w:i w:val="0"/>
                <w:iCs w:val="0"/>
                <w:sz w:val="21"/>
                <w:szCs w:val="21"/>
                <w:u w:val="single"/>
              </w:rPr>
              <w:t>2019</w:t>
            </w:r>
            <w:r>
              <w:rPr>
                <w:rFonts w:hint="eastAsia"/>
                <w:i w:val="0"/>
                <w:iCs w:val="0"/>
                <w:sz w:val="21"/>
                <w:szCs w:val="21"/>
                <w:u w:val="single"/>
              </w:rPr>
              <w:t>年</w:t>
            </w:r>
          </w:p>
        </w:tc>
        <w:tc>
          <w:tcPr>
            <w:tcW w:w="2356" w:type="dxa"/>
            <w:vAlign w:val="center"/>
          </w:tcPr>
          <w:p>
            <w:pPr>
              <w:jc w:val="center"/>
              <w:rPr>
                <w:i w:val="0"/>
                <w:iCs w:val="0"/>
                <w:sz w:val="21"/>
                <w:szCs w:val="21"/>
                <w:u w:val="single"/>
              </w:rPr>
            </w:pPr>
            <w:r>
              <w:rPr>
                <w:i w:val="0"/>
                <w:iCs w:val="0"/>
                <w:sz w:val="21"/>
                <w:szCs w:val="21"/>
                <w:u w:val="single"/>
              </w:rPr>
              <w:t>2025</w:t>
            </w:r>
            <w:r>
              <w:rPr>
                <w:rFonts w:hint="eastAsia"/>
                <w:i w:val="0"/>
                <w:iCs w:val="0"/>
                <w:sz w:val="21"/>
                <w:szCs w:val="21"/>
                <w:u w:val="single"/>
              </w:rPr>
              <w:t>年</w:t>
            </w:r>
          </w:p>
        </w:tc>
        <w:tc>
          <w:tcPr>
            <w:tcW w:w="2346" w:type="dxa"/>
            <w:vAlign w:val="center"/>
          </w:tcPr>
          <w:p>
            <w:pPr>
              <w:jc w:val="center"/>
              <w:rPr>
                <w:i w:val="0"/>
                <w:iCs w:val="0"/>
                <w:sz w:val="21"/>
                <w:szCs w:val="21"/>
                <w:u w:val="single"/>
              </w:rPr>
            </w:pPr>
            <w:r>
              <w:rPr>
                <w:i w:val="0"/>
                <w:iCs w:val="0"/>
                <w:sz w:val="21"/>
                <w:szCs w:val="21"/>
                <w:u w:val="single"/>
              </w:rPr>
              <w:t>2033</w:t>
            </w:r>
            <w:r>
              <w:rPr>
                <w:rFonts w:hint="eastAsia"/>
                <w:i w:val="0"/>
                <w:iCs w:val="0"/>
                <w:sz w:val="21"/>
                <w:szCs w:val="21"/>
                <w:u w:val="single"/>
              </w:rPr>
              <w:t>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2235" w:type="dxa"/>
            <w:tcBorders>
              <w:left w:val="single" w:color="auto" w:sz="4" w:space="0"/>
            </w:tcBorders>
            <w:vAlign w:val="center"/>
          </w:tcPr>
          <w:p>
            <w:pPr>
              <w:widowControl/>
              <w:jc w:val="center"/>
              <w:rPr>
                <w:i w:val="0"/>
                <w:iCs w:val="0"/>
                <w:sz w:val="21"/>
                <w:szCs w:val="21"/>
                <w:u w:val="single"/>
              </w:rPr>
            </w:pPr>
            <w:r>
              <w:rPr>
                <w:rFonts w:cs="宋体"/>
                <w:i w:val="0"/>
                <w:iCs w:val="0"/>
                <w:kern w:val="0"/>
                <w:sz w:val="21"/>
                <w:szCs w:val="21"/>
                <w:u w:val="single"/>
              </w:rPr>
              <w:t>K1+180</w:t>
            </w:r>
          </w:p>
        </w:tc>
        <w:tc>
          <w:tcPr>
            <w:tcW w:w="2236" w:type="dxa"/>
            <w:tcBorders>
              <w:left w:val="single" w:color="auto" w:sz="4" w:space="0"/>
            </w:tcBorders>
            <w:vAlign w:val="center"/>
          </w:tcPr>
          <w:p>
            <w:pPr>
              <w:jc w:val="center"/>
              <w:rPr>
                <w:i w:val="0"/>
                <w:iCs w:val="0"/>
                <w:sz w:val="21"/>
                <w:szCs w:val="21"/>
                <w:u w:val="single"/>
              </w:rPr>
            </w:pPr>
            <w:r>
              <w:rPr>
                <w:i w:val="0"/>
                <w:iCs w:val="0"/>
                <w:sz w:val="21"/>
                <w:szCs w:val="21"/>
                <w:u w:val="single"/>
              </w:rPr>
              <w:t>1.908</w:t>
            </w:r>
          </w:p>
        </w:tc>
        <w:tc>
          <w:tcPr>
            <w:tcW w:w="2356" w:type="dxa"/>
            <w:vAlign w:val="center"/>
          </w:tcPr>
          <w:p>
            <w:pPr>
              <w:jc w:val="center"/>
              <w:rPr>
                <w:i w:val="0"/>
                <w:iCs w:val="0"/>
                <w:sz w:val="21"/>
                <w:szCs w:val="21"/>
                <w:u w:val="single"/>
              </w:rPr>
            </w:pPr>
            <w:r>
              <w:rPr>
                <w:i w:val="0"/>
                <w:iCs w:val="0"/>
                <w:sz w:val="21"/>
                <w:szCs w:val="21"/>
                <w:u w:val="single"/>
              </w:rPr>
              <w:t>2.811</w:t>
            </w:r>
          </w:p>
        </w:tc>
        <w:tc>
          <w:tcPr>
            <w:tcW w:w="2346" w:type="dxa"/>
            <w:vAlign w:val="center"/>
          </w:tcPr>
          <w:p>
            <w:pPr>
              <w:jc w:val="center"/>
              <w:rPr>
                <w:i w:val="0"/>
                <w:iCs w:val="0"/>
                <w:sz w:val="21"/>
                <w:szCs w:val="21"/>
                <w:u w:val="single"/>
              </w:rPr>
            </w:pPr>
            <w:r>
              <w:rPr>
                <w:i w:val="0"/>
                <w:iCs w:val="0"/>
                <w:sz w:val="21"/>
                <w:szCs w:val="21"/>
                <w:u w:val="single"/>
              </w:rPr>
              <w:t>3.913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trPr>
        <w:tc>
          <w:tcPr>
            <w:tcW w:w="2235" w:type="dxa"/>
            <w:tcBorders>
              <w:left w:val="single" w:color="auto" w:sz="4" w:space="0"/>
            </w:tcBorders>
            <w:vAlign w:val="center"/>
          </w:tcPr>
          <w:p>
            <w:pPr>
              <w:widowControl/>
              <w:jc w:val="center"/>
              <w:rPr>
                <w:i w:val="0"/>
                <w:iCs w:val="0"/>
                <w:sz w:val="21"/>
                <w:szCs w:val="21"/>
                <w:u w:val="single"/>
              </w:rPr>
            </w:pPr>
            <w:r>
              <w:rPr>
                <w:rFonts w:cs="宋体"/>
                <w:i w:val="0"/>
                <w:iCs w:val="0"/>
                <w:kern w:val="0"/>
                <w:sz w:val="21"/>
                <w:szCs w:val="21"/>
                <w:u w:val="single"/>
              </w:rPr>
              <w:t>K2+330</w:t>
            </w:r>
          </w:p>
        </w:tc>
        <w:tc>
          <w:tcPr>
            <w:tcW w:w="2236" w:type="dxa"/>
            <w:tcBorders>
              <w:left w:val="single" w:color="auto" w:sz="4" w:space="0"/>
            </w:tcBorders>
            <w:vAlign w:val="center"/>
          </w:tcPr>
          <w:p>
            <w:pPr>
              <w:jc w:val="center"/>
              <w:rPr>
                <w:i w:val="0"/>
                <w:iCs w:val="0"/>
                <w:sz w:val="21"/>
                <w:szCs w:val="21"/>
                <w:u w:val="single"/>
              </w:rPr>
            </w:pPr>
            <w:r>
              <w:rPr>
                <w:i w:val="0"/>
                <w:iCs w:val="0"/>
                <w:sz w:val="21"/>
                <w:szCs w:val="21"/>
                <w:u w:val="single"/>
              </w:rPr>
              <w:t>1.908</w:t>
            </w:r>
          </w:p>
        </w:tc>
        <w:tc>
          <w:tcPr>
            <w:tcW w:w="2356" w:type="dxa"/>
            <w:vAlign w:val="center"/>
          </w:tcPr>
          <w:p>
            <w:pPr>
              <w:jc w:val="center"/>
              <w:rPr>
                <w:i w:val="0"/>
                <w:iCs w:val="0"/>
                <w:sz w:val="21"/>
                <w:szCs w:val="21"/>
                <w:u w:val="single"/>
              </w:rPr>
            </w:pPr>
            <w:r>
              <w:rPr>
                <w:i w:val="0"/>
                <w:iCs w:val="0"/>
                <w:sz w:val="21"/>
                <w:szCs w:val="21"/>
                <w:u w:val="single"/>
              </w:rPr>
              <w:t>2.811</w:t>
            </w:r>
          </w:p>
        </w:tc>
        <w:tc>
          <w:tcPr>
            <w:tcW w:w="2346" w:type="dxa"/>
            <w:vAlign w:val="center"/>
          </w:tcPr>
          <w:p>
            <w:pPr>
              <w:jc w:val="center"/>
              <w:rPr>
                <w:i w:val="0"/>
                <w:iCs w:val="0"/>
                <w:sz w:val="21"/>
                <w:szCs w:val="21"/>
                <w:u w:val="single"/>
              </w:rPr>
            </w:pPr>
            <w:r>
              <w:rPr>
                <w:i w:val="0"/>
                <w:iCs w:val="0"/>
                <w:sz w:val="21"/>
                <w:szCs w:val="21"/>
                <w:u w:val="single"/>
              </w:rPr>
              <w:t>3.913</w:t>
            </w:r>
          </w:p>
        </w:tc>
      </w:tr>
    </w:tbl>
    <w:p>
      <w:pPr>
        <w:spacing w:line="348" w:lineRule="auto"/>
        <w:ind w:firstLine="482"/>
        <w:rPr>
          <w:i w:val="0"/>
          <w:iCs w:val="0"/>
          <w:sz w:val="24"/>
          <w:u w:val="single"/>
        </w:rPr>
      </w:pPr>
      <w:r>
        <w:rPr>
          <w:i w:val="0"/>
          <w:iCs w:val="0"/>
          <w:sz w:val="24"/>
          <w:u w:val="single"/>
        </w:rPr>
        <w:t>c</w:t>
      </w:r>
      <w:r>
        <w:rPr>
          <w:rFonts w:hint="eastAsia"/>
          <w:i w:val="0"/>
          <w:iCs w:val="0"/>
          <w:sz w:val="24"/>
          <w:u w:val="single"/>
        </w:rPr>
        <w:t>）计算结果</w:t>
      </w:r>
    </w:p>
    <w:p>
      <w:pPr>
        <w:spacing w:line="348" w:lineRule="auto"/>
        <w:ind w:firstLine="482"/>
        <w:rPr>
          <w:i w:val="0"/>
          <w:iCs w:val="0"/>
          <w:sz w:val="24"/>
          <w:u w:val="single"/>
        </w:rPr>
      </w:pPr>
      <w:r>
        <w:rPr>
          <w:rFonts w:hint="eastAsia"/>
          <w:i w:val="0"/>
          <w:iCs w:val="0"/>
          <w:sz w:val="24"/>
          <w:u w:val="single"/>
        </w:rPr>
        <w:t>以拟建公路樟树塘桥（位于</w:t>
      </w:r>
      <w:r>
        <w:rPr>
          <w:i w:val="0"/>
          <w:iCs w:val="0"/>
          <w:sz w:val="24"/>
          <w:u w:val="single"/>
        </w:rPr>
        <w:t>K1+180</w:t>
      </w:r>
      <w:r>
        <w:rPr>
          <w:rFonts w:hint="eastAsia"/>
          <w:i w:val="0"/>
          <w:iCs w:val="0"/>
          <w:sz w:val="24"/>
          <w:u w:val="single"/>
        </w:rPr>
        <w:t>）、范家屋场桥（位于</w:t>
      </w:r>
      <w:r>
        <w:rPr>
          <w:i w:val="0"/>
          <w:iCs w:val="0"/>
          <w:sz w:val="24"/>
          <w:u w:val="single"/>
        </w:rPr>
        <w:t>K2+330</w:t>
      </w:r>
      <w:r>
        <w:rPr>
          <w:rFonts w:hint="eastAsia"/>
          <w:i w:val="0"/>
          <w:iCs w:val="0"/>
          <w:sz w:val="24"/>
          <w:u w:val="single"/>
        </w:rPr>
        <w:t>）路段进行计算，根据计算公式和上述各参数的确定，计算结果见</w:t>
      </w:r>
      <w:r>
        <w:rPr>
          <w:rStyle w:val="80"/>
          <w:rFonts w:hint="eastAsia"/>
          <w:i w:val="0"/>
          <w:iCs w:val="0"/>
          <w:u w:val="single"/>
        </w:rPr>
        <w:t>表</w:t>
      </w:r>
      <w:r>
        <w:rPr>
          <w:rStyle w:val="80"/>
          <w:i w:val="0"/>
          <w:iCs w:val="0"/>
          <w:u w:val="single"/>
        </w:rPr>
        <w:t>11.4-2</w:t>
      </w:r>
      <w:r>
        <w:rPr>
          <w:rFonts w:hint="eastAsia"/>
          <w:i w:val="0"/>
          <w:iCs w:val="0"/>
          <w:sz w:val="24"/>
          <w:u w:val="single"/>
        </w:rPr>
        <w:t>。</w:t>
      </w:r>
    </w:p>
    <w:p>
      <w:pPr>
        <w:pStyle w:val="19"/>
        <w:jc w:val="center"/>
        <w:rPr>
          <w:i w:val="0"/>
          <w:iCs w:val="0"/>
          <w:u w:val="single"/>
        </w:rPr>
      </w:pPr>
      <w:bookmarkStart w:id="325" w:name="_Ref401503668"/>
      <w:r>
        <w:rPr>
          <w:rFonts w:hint="eastAsia"/>
          <w:i w:val="0"/>
          <w:iCs w:val="0"/>
          <w:u w:val="single"/>
        </w:rPr>
        <w:t>表</w:t>
      </w:r>
      <w:bookmarkEnd w:id="325"/>
      <w:r>
        <w:rPr>
          <w:i w:val="0"/>
          <w:iCs w:val="0"/>
          <w:u w:val="single"/>
        </w:rPr>
        <w:t xml:space="preserve">11.4-2    </w:t>
      </w:r>
      <w:r>
        <w:rPr>
          <w:rFonts w:hint="eastAsia"/>
          <w:i w:val="0"/>
          <w:iCs w:val="0"/>
          <w:u w:val="single"/>
        </w:rPr>
        <w:t>拟建公路危险货物运输车辆事故概率</w:t>
      </w:r>
      <w:r>
        <w:rPr>
          <w:i w:val="0"/>
          <w:iCs w:val="0"/>
          <w:u w:val="single"/>
        </w:rPr>
        <w:t xml:space="preserve">    </w:t>
      </w:r>
      <w:r>
        <w:rPr>
          <w:rFonts w:hint="eastAsia"/>
          <w:i w:val="0"/>
          <w:iCs w:val="0"/>
          <w:u w:val="single"/>
        </w:rPr>
        <w:t>起</w:t>
      </w:r>
      <w:r>
        <w:rPr>
          <w:i w:val="0"/>
          <w:iCs w:val="0"/>
          <w:u w:val="single"/>
        </w:rPr>
        <w:t>/a</w:t>
      </w:r>
    </w:p>
    <w:tbl>
      <w:tblPr>
        <w:tblStyle w:val="65"/>
        <w:tblW w:w="9173"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84"/>
        <w:gridCol w:w="1616"/>
        <w:gridCol w:w="1660"/>
        <w:gridCol w:w="1660"/>
        <w:gridCol w:w="165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584" w:type="dxa"/>
            <w:vMerge w:val="restart"/>
            <w:vAlign w:val="center"/>
          </w:tcPr>
          <w:p>
            <w:pPr>
              <w:jc w:val="center"/>
              <w:rPr>
                <w:i w:val="0"/>
                <w:iCs w:val="0"/>
                <w:sz w:val="21"/>
                <w:szCs w:val="21"/>
                <w:u w:val="single"/>
              </w:rPr>
            </w:pPr>
            <w:bookmarkStart w:id="326" w:name="_Hlk217447417"/>
            <w:r>
              <w:rPr>
                <w:rFonts w:hint="eastAsia"/>
                <w:i w:val="0"/>
                <w:iCs w:val="0"/>
                <w:sz w:val="21"/>
                <w:szCs w:val="21"/>
                <w:u w:val="single"/>
              </w:rPr>
              <w:t>跨河桥梁名称</w:t>
            </w:r>
          </w:p>
        </w:tc>
        <w:tc>
          <w:tcPr>
            <w:tcW w:w="1616" w:type="dxa"/>
            <w:vMerge w:val="restart"/>
            <w:vAlign w:val="center"/>
          </w:tcPr>
          <w:p>
            <w:pPr>
              <w:jc w:val="center"/>
              <w:rPr>
                <w:i w:val="0"/>
                <w:iCs w:val="0"/>
                <w:sz w:val="21"/>
                <w:szCs w:val="21"/>
                <w:u w:val="single"/>
              </w:rPr>
            </w:pPr>
            <w:r>
              <w:rPr>
                <w:rFonts w:hint="eastAsia"/>
                <w:i w:val="0"/>
                <w:iCs w:val="0"/>
                <w:sz w:val="21"/>
                <w:szCs w:val="21"/>
                <w:u w:val="single"/>
              </w:rPr>
              <w:t>路段长</w:t>
            </w:r>
          </w:p>
          <w:p>
            <w:pPr>
              <w:jc w:val="center"/>
              <w:rPr>
                <w:i w:val="0"/>
                <w:iCs w:val="0"/>
                <w:sz w:val="21"/>
                <w:szCs w:val="21"/>
                <w:u w:val="single"/>
              </w:rPr>
            </w:pPr>
            <w:r>
              <w:rPr>
                <w:rFonts w:hint="eastAsia"/>
                <w:i w:val="0"/>
                <w:iCs w:val="0"/>
                <w:sz w:val="21"/>
                <w:szCs w:val="21"/>
                <w:u w:val="single"/>
              </w:rPr>
              <w:t>（</w:t>
            </w:r>
            <w:r>
              <w:rPr>
                <w:i w:val="0"/>
                <w:iCs w:val="0"/>
                <w:sz w:val="21"/>
                <w:szCs w:val="21"/>
                <w:u w:val="single"/>
              </w:rPr>
              <w:t>km</w:t>
            </w:r>
            <w:r>
              <w:rPr>
                <w:rFonts w:hint="eastAsia"/>
                <w:i w:val="0"/>
                <w:iCs w:val="0"/>
                <w:sz w:val="21"/>
                <w:szCs w:val="21"/>
                <w:u w:val="single"/>
              </w:rPr>
              <w:t>）</w:t>
            </w:r>
          </w:p>
        </w:tc>
        <w:tc>
          <w:tcPr>
            <w:tcW w:w="4973" w:type="dxa"/>
            <w:gridSpan w:val="3"/>
            <w:vAlign w:val="center"/>
          </w:tcPr>
          <w:p>
            <w:pPr>
              <w:jc w:val="center"/>
              <w:rPr>
                <w:i w:val="0"/>
                <w:iCs w:val="0"/>
                <w:sz w:val="21"/>
                <w:szCs w:val="21"/>
                <w:u w:val="single"/>
              </w:rPr>
            </w:pPr>
            <w:r>
              <w:rPr>
                <w:rFonts w:hint="eastAsia"/>
                <w:i w:val="0"/>
                <w:iCs w:val="0"/>
                <w:sz w:val="21"/>
                <w:szCs w:val="21"/>
                <w:u w:val="single"/>
              </w:rPr>
              <w:t>事故可能发生的概率（次</w:t>
            </w:r>
            <w:r>
              <w:rPr>
                <w:i w:val="0"/>
                <w:iCs w:val="0"/>
                <w:sz w:val="21"/>
                <w:szCs w:val="21"/>
                <w:u w:val="single"/>
              </w:rPr>
              <w:t>/</w:t>
            </w:r>
            <w:r>
              <w:rPr>
                <w:rFonts w:hint="eastAsia"/>
                <w:i w:val="0"/>
                <w:iCs w:val="0"/>
                <w:sz w:val="21"/>
                <w:szCs w:val="21"/>
                <w:u w:val="single"/>
              </w:rPr>
              <w:t>年）</w:t>
            </w:r>
          </w:p>
        </w:tc>
      </w:tr>
      <w:bookmarkEnd w:id="326"/>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584" w:type="dxa"/>
            <w:vMerge w:val="continue"/>
            <w:vAlign w:val="center"/>
          </w:tcPr>
          <w:p>
            <w:pPr>
              <w:jc w:val="center"/>
              <w:rPr>
                <w:i w:val="0"/>
                <w:iCs w:val="0"/>
                <w:sz w:val="21"/>
                <w:szCs w:val="21"/>
                <w:u w:val="single"/>
              </w:rPr>
            </w:pPr>
          </w:p>
        </w:tc>
        <w:tc>
          <w:tcPr>
            <w:tcW w:w="1616" w:type="dxa"/>
            <w:vMerge w:val="continue"/>
            <w:vAlign w:val="center"/>
          </w:tcPr>
          <w:p>
            <w:pPr>
              <w:jc w:val="center"/>
              <w:rPr>
                <w:i w:val="0"/>
                <w:iCs w:val="0"/>
                <w:sz w:val="21"/>
                <w:szCs w:val="21"/>
                <w:u w:val="single"/>
              </w:rPr>
            </w:pPr>
          </w:p>
        </w:tc>
        <w:tc>
          <w:tcPr>
            <w:tcW w:w="1660" w:type="dxa"/>
            <w:vAlign w:val="center"/>
          </w:tcPr>
          <w:p>
            <w:pPr>
              <w:jc w:val="center"/>
              <w:rPr>
                <w:i w:val="0"/>
                <w:iCs w:val="0"/>
                <w:sz w:val="21"/>
                <w:szCs w:val="21"/>
                <w:u w:val="single"/>
              </w:rPr>
            </w:pPr>
            <w:r>
              <w:rPr>
                <w:i w:val="0"/>
                <w:iCs w:val="0"/>
                <w:sz w:val="21"/>
                <w:szCs w:val="21"/>
                <w:u w:val="single"/>
              </w:rPr>
              <w:t>2019</w:t>
            </w:r>
            <w:r>
              <w:rPr>
                <w:rFonts w:hint="eastAsia"/>
                <w:i w:val="0"/>
                <w:iCs w:val="0"/>
                <w:sz w:val="21"/>
                <w:szCs w:val="21"/>
                <w:u w:val="single"/>
              </w:rPr>
              <w:t>年</w:t>
            </w:r>
          </w:p>
        </w:tc>
        <w:tc>
          <w:tcPr>
            <w:tcW w:w="1660" w:type="dxa"/>
            <w:vAlign w:val="center"/>
          </w:tcPr>
          <w:p>
            <w:pPr>
              <w:jc w:val="center"/>
              <w:rPr>
                <w:i w:val="0"/>
                <w:iCs w:val="0"/>
                <w:sz w:val="21"/>
                <w:szCs w:val="21"/>
                <w:u w:val="single"/>
              </w:rPr>
            </w:pPr>
            <w:r>
              <w:rPr>
                <w:i w:val="0"/>
                <w:iCs w:val="0"/>
                <w:sz w:val="21"/>
                <w:szCs w:val="21"/>
                <w:u w:val="single"/>
              </w:rPr>
              <w:t>2025</w:t>
            </w:r>
            <w:r>
              <w:rPr>
                <w:rFonts w:hint="eastAsia"/>
                <w:i w:val="0"/>
                <w:iCs w:val="0"/>
                <w:sz w:val="21"/>
                <w:szCs w:val="21"/>
                <w:u w:val="single"/>
              </w:rPr>
              <w:t>年</w:t>
            </w:r>
          </w:p>
        </w:tc>
        <w:tc>
          <w:tcPr>
            <w:tcW w:w="1653" w:type="dxa"/>
            <w:vAlign w:val="center"/>
          </w:tcPr>
          <w:p>
            <w:pPr>
              <w:jc w:val="center"/>
              <w:rPr>
                <w:i w:val="0"/>
                <w:iCs w:val="0"/>
                <w:sz w:val="21"/>
                <w:szCs w:val="21"/>
                <w:u w:val="single"/>
              </w:rPr>
            </w:pPr>
            <w:r>
              <w:rPr>
                <w:i w:val="0"/>
                <w:iCs w:val="0"/>
                <w:sz w:val="21"/>
                <w:szCs w:val="21"/>
                <w:u w:val="single"/>
              </w:rPr>
              <w:t>2033</w:t>
            </w:r>
            <w:r>
              <w:rPr>
                <w:rFonts w:hint="eastAsia"/>
                <w:i w:val="0"/>
                <w:iCs w:val="0"/>
                <w:sz w:val="21"/>
                <w:szCs w:val="21"/>
                <w:u w:val="single"/>
              </w:rPr>
              <w:t>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584" w:type="dxa"/>
            <w:vAlign w:val="center"/>
          </w:tcPr>
          <w:p>
            <w:pPr>
              <w:jc w:val="center"/>
              <w:rPr>
                <w:i w:val="0"/>
                <w:iCs w:val="0"/>
                <w:sz w:val="21"/>
                <w:szCs w:val="21"/>
                <w:u w:val="single"/>
              </w:rPr>
            </w:pPr>
            <w:r>
              <w:rPr>
                <w:rFonts w:hint="eastAsia"/>
                <w:i w:val="0"/>
                <w:iCs w:val="0"/>
                <w:sz w:val="21"/>
                <w:szCs w:val="21"/>
                <w:u w:val="single"/>
              </w:rPr>
              <w:t>樟树塘桥</w:t>
            </w:r>
          </w:p>
        </w:tc>
        <w:tc>
          <w:tcPr>
            <w:tcW w:w="1616" w:type="dxa"/>
            <w:vAlign w:val="center"/>
          </w:tcPr>
          <w:p>
            <w:pPr>
              <w:jc w:val="center"/>
              <w:rPr>
                <w:i w:val="0"/>
                <w:iCs w:val="0"/>
                <w:sz w:val="21"/>
                <w:szCs w:val="21"/>
                <w:u w:val="single"/>
              </w:rPr>
            </w:pPr>
            <w:r>
              <w:rPr>
                <w:i w:val="0"/>
                <w:iCs w:val="0"/>
                <w:sz w:val="21"/>
                <w:szCs w:val="21"/>
                <w:u w:val="single"/>
              </w:rPr>
              <w:t>0.026</w:t>
            </w:r>
          </w:p>
        </w:tc>
        <w:tc>
          <w:tcPr>
            <w:tcW w:w="1660" w:type="dxa"/>
            <w:vAlign w:val="center"/>
          </w:tcPr>
          <w:p>
            <w:pPr>
              <w:jc w:val="center"/>
              <w:rPr>
                <w:i w:val="0"/>
                <w:iCs w:val="0"/>
                <w:sz w:val="21"/>
                <w:szCs w:val="21"/>
                <w:u w:val="single"/>
              </w:rPr>
            </w:pPr>
            <w:r>
              <w:rPr>
                <w:i w:val="0"/>
                <w:iCs w:val="0"/>
                <w:sz w:val="21"/>
                <w:szCs w:val="21"/>
                <w:u w:val="single"/>
              </w:rPr>
              <w:t>0.000045</w:t>
            </w:r>
          </w:p>
        </w:tc>
        <w:tc>
          <w:tcPr>
            <w:tcW w:w="1660" w:type="dxa"/>
            <w:vAlign w:val="center"/>
          </w:tcPr>
          <w:p>
            <w:pPr>
              <w:jc w:val="center"/>
              <w:rPr>
                <w:i w:val="0"/>
                <w:iCs w:val="0"/>
                <w:sz w:val="21"/>
                <w:szCs w:val="21"/>
                <w:u w:val="single"/>
              </w:rPr>
            </w:pPr>
            <w:r>
              <w:rPr>
                <w:i w:val="0"/>
                <w:iCs w:val="0"/>
                <w:sz w:val="21"/>
                <w:szCs w:val="21"/>
                <w:u w:val="single"/>
              </w:rPr>
              <w:t>0.000066</w:t>
            </w:r>
          </w:p>
        </w:tc>
        <w:tc>
          <w:tcPr>
            <w:tcW w:w="1653" w:type="dxa"/>
            <w:vAlign w:val="center"/>
          </w:tcPr>
          <w:p>
            <w:pPr>
              <w:jc w:val="center"/>
              <w:rPr>
                <w:i w:val="0"/>
                <w:iCs w:val="0"/>
                <w:sz w:val="21"/>
                <w:szCs w:val="21"/>
                <w:u w:val="single"/>
              </w:rPr>
            </w:pPr>
            <w:r>
              <w:rPr>
                <w:i w:val="0"/>
                <w:iCs w:val="0"/>
                <w:sz w:val="21"/>
                <w:szCs w:val="21"/>
                <w:u w:val="single"/>
              </w:rPr>
              <w:t>0.000092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584" w:type="dxa"/>
            <w:vAlign w:val="center"/>
          </w:tcPr>
          <w:p>
            <w:pPr>
              <w:jc w:val="center"/>
              <w:rPr>
                <w:i w:val="0"/>
                <w:iCs w:val="0"/>
                <w:sz w:val="21"/>
                <w:szCs w:val="21"/>
                <w:u w:val="single"/>
              </w:rPr>
            </w:pPr>
            <w:r>
              <w:rPr>
                <w:rFonts w:hint="eastAsia"/>
                <w:i w:val="0"/>
                <w:iCs w:val="0"/>
                <w:sz w:val="21"/>
                <w:szCs w:val="21"/>
                <w:u w:val="single"/>
              </w:rPr>
              <w:t>范家屋场桥</w:t>
            </w:r>
          </w:p>
        </w:tc>
        <w:tc>
          <w:tcPr>
            <w:tcW w:w="1616" w:type="dxa"/>
            <w:vAlign w:val="center"/>
          </w:tcPr>
          <w:p>
            <w:pPr>
              <w:jc w:val="center"/>
              <w:rPr>
                <w:i w:val="0"/>
                <w:iCs w:val="0"/>
                <w:sz w:val="21"/>
                <w:szCs w:val="21"/>
                <w:u w:val="single"/>
              </w:rPr>
            </w:pPr>
            <w:r>
              <w:rPr>
                <w:i w:val="0"/>
                <w:iCs w:val="0"/>
                <w:sz w:val="21"/>
                <w:szCs w:val="21"/>
                <w:u w:val="single"/>
              </w:rPr>
              <w:t>0.026</w:t>
            </w:r>
          </w:p>
        </w:tc>
        <w:tc>
          <w:tcPr>
            <w:tcW w:w="1660" w:type="dxa"/>
            <w:vAlign w:val="center"/>
          </w:tcPr>
          <w:p>
            <w:pPr>
              <w:jc w:val="center"/>
              <w:rPr>
                <w:i w:val="0"/>
                <w:iCs w:val="0"/>
                <w:sz w:val="21"/>
                <w:szCs w:val="21"/>
                <w:u w:val="single"/>
              </w:rPr>
            </w:pPr>
            <w:r>
              <w:rPr>
                <w:i w:val="0"/>
                <w:iCs w:val="0"/>
                <w:sz w:val="21"/>
                <w:szCs w:val="21"/>
                <w:u w:val="single"/>
              </w:rPr>
              <w:t>0.000045</w:t>
            </w:r>
          </w:p>
        </w:tc>
        <w:tc>
          <w:tcPr>
            <w:tcW w:w="1660" w:type="dxa"/>
            <w:vAlign w:val="center"/>
          </w:tcPr>
          <w:p>
            <w:pPr>
              <w:jc w:val="center"/>
              <w:rPr>
                <w:i w:val="0"/>
                <w:iCs w:val="0"/>
                <w:sz w:val="21"/>
                <w:szCs w:val="21"/>
                <w:u w:val="single"/>
              </w:rPr>
            </w:pPr>
            <w:r>
              <w:rPr>
                <w:i w:val="0"/>
                <w:iCs w:val="0"/>
                <w:sz w:val="21"/>
                <w:szCs w:val="21"/>
                <w:u w:val="single"/>
              </w:rPr>
              <w:t>0.000066</w:t>
            </w:r>
          </w:p>
        </w:tc>
        <w:tc>
          <w:tcPr>
            <w:tcW w:w="1653" w:type="dxa"/>
            <w:vAlign w:val="center"/>
          </w:tcPr>
          <w:p>
            <w:pPr>
              <w:jc w:val="center"/>
              <w:rPr>
                <w:i w:val="0"/>
                <w:iCs w:val="0"/>
                <w:sz w:val="21"/>
                <w:szCs w:val="21"/>
                <w:u w:val="single"/>
              </w:rPr>
            </w:pPr>
            <w:r>
              <w:rPr>
                <w:i w:val="0"/>
                <w:iCs w:val="0"/>
                <w:sz w:val="21"/>
                <w:szCs w:val="21"/>
                <w:u w:val="single"/>
              </w:rPr>
              <w:t>0.000092</w:t>
            </w:r>
          </w:p>
        </w:tc>
      </w:tr>
    </w:tbl>
    <w:p>
      <w:pPr>
        <w:pStyle w:val="6"/>
        <w:widowControl/>
        <w:ind w:left="0" w:firstLine="0"/>
        <w:jc w:val="left"/>
        <w:rPr>
          <w:i w:val="0"/>
          <w:iCs w:val="0"/>
          <w:u w:val="single"/>
        </w:rPr>
      </w:pPr>
      <w:r>
        <w:rPr>
          <w:rFonts w:hint="eastAsia"/>
          <w:i w:val="0"/>
          <w:iCs w:val="0"/>
          <w:u w:val="single"/>
        </w:rPr>
        <w:t>环境风险后果简要分析</w:t>
      </w:r>
    </w:p>
    <w:p>
      <w:pPr>
        <w:spacing w:line="348" w:lineRule="auto"/>
        <w:ind w:firstLine="482"/>
        <w:rPr>
          <w:i w:val="0"/>
          <w:iCs w:val="0"/>
          <w:sz w:val="24"/>
          <w:u w:val="single"/>
        </w:rPr>
      </w:pPr>
      <w:r>
        <w:rPr>
          <w:i w:val="0"/>
          <w:iCs w:val="0"/>
          <w:sz w:val="24"/>
          <w:u w:val="single"/>
        </w:rPr>
        <w:t>a</w:t>
      </w:r>
      <w:r>
        <w:rPr>
          <w:rFonts w:hint="eastAsia"/>
          <w:i w:val="0"/>
          <w:iCs w:val="0"/>
          <w:sz w:val="24"/>
          <w:u w:val="single"/>
        </w:rPr>
        <w:t>）对水环境影响分析</w:t>
      </w:r>
    </w:p>
    <w:p>
      <w:pPr>
        <w:spacing w:line="348" w:lineRule="auto"/>
        <w:ind w:firstLine="482"/>
        <w:rPr>
          <w:i w:val="0"/>
          <w:iCs w:val="0"/>
          <w:sz w:val="24"/>
          <w:u w:val="single"/>
        </w:rPr>
      </w:pPr>
      <w:r>
        <w:rPr>
          <w:rFonts w:hint="eastAsia"/>
          <w:i w:val="0"/>
          <w:iCs w:val="0"/>
          <w:sz w:val="24"/>
          <w:u w:val="single"/>
        </w:rPr>
        <w:t>由事故风险概率计算结果可知，当拟建公路通车后，在樟树塘桥（位于</w:t>
      </w:r>
      <w:r>
        <w:rPr>
          <w:i w:val="0"/>
          <w:iCs w:val="0"/>
          <w:sz w:val="24"/>
          <w:u w:val="single"/>
        </w:rPr>
        <w:t>K1+180</w:t>
      </w:r>
      <w:r>
        <w:rPr>
          <w:rFonts w:hint="eastAsia"/>
          <w:i w:val="0"/>
          <w:iCs w:val="0"/>
          <w:sz w:val="24"/>
          <w:u w:val="single"/>
        </w:rPr>
        <w:t>）、范家屋场桥（位于</w:t>
      </w:r>
      <w:r>
        <w:rPr>
          <w:i w:val="0"/>
          <w:iCs w:val="0"/>
          <w:sz w:val="24"/>
          <w:u w:val="single"/>
        </w:rPr>
        <w:t>K2+330</w:t>
      </w:r>
      <w:r>
        <w:rPr>
          <w:rFonts w:hint="eastAsia"/>
          <w:i w:val="0"/>
          <w:iCs w:val="0"/>
          <w:sz w:val="24"/>
          <w:u w:val="single"/>
        </w:rPr>
        <w:t>）路段近、中、远期每年发生危险品运输车辆交通事故均远远小于</w:t>
      </w:r>
      <w:r>
        <w:rPr>
          <w:i w:val="0"/>
          <w:iCs w:val="0"/>
          <w:sz w:val="24"/>
          <w:u w:val="single"/>
        </w:rPr>
        <w:t>1</w:t>
      </w:r>
      <w:r>
        <w:rPr>
          <w:rFonts w:hint="eastAsia"/>
          <w:i w:val="0"/>
          <w:iCs w:val="0"/>
          <w:sz w:val="24"/>
          <w:u w:val="single"/>
        </w:rPr>
        <w:t>起，为小概率事件。根据概率论的原理，这种小概率事件还是屡有发生，而且一旦此类事件发生，如有毒、有害的液体流入到工程沿线水体，将会对这些水域产生较为严重的破坏性影响。</w:t>
      </w:r>
    </w:p>
    <w:p>
      <w:pPr>
        <w:spacing w:line="348" w:lineRule="auto"/>
        <w:ind w:firstLine="482"/>
        <w:rPr>
          <w:rFonts w:hint="eastAsia"/>
          <w:i w:val="0"/>
          <w:iCs w:val="0"/>
          <w:sz w:val="24"/>
          <w:u w:val="single"/>
        </w:rPr>
      </w:pPr>
      <w:r>
        <w:rPr>
          <w:rFonts w:hint="eastAsia"/>
          <w:i w:val="0"/>
          <w:iCs w:val="0"/>
          <w:sz w:val="24"/>
          <w:u w:val="single"/>
        </w:rPr>
        <w:t>本工程所涉桥梁跨越的水体现状功能为渔业用水区，一旦水体被污染，不但会使水体生态环境遭受破坏，沿线农作物遭受损失，还会引起土壤及地下水的污染，并对当地的经济环境产生严重的影响。</w:t>
      </w:r>
    </w:p>
    <w:p>
      <w:pPr>
        <w:spacing w:line="348" w:lineRule="auto"/>
        <w:ind w:firstLine="482"/>
        <w:rPr>
          <w:rFonts w:hint="eastAsia" w:eastAsia="宋体"/>
          <w:i w:val="0"/>
          <w:iCs w:val="0"/>
          <w:sz w:val="24"/>
          <w:u w:val="single"/>
          <w:lang w:val="en-US" w:eastAsia="zh-CN"/>
        </w:rPr>
      </w:pPr>
      <w:r>
        <w:rPr>
          <w:rFonts w:hint="eastAsia"/>
          <w:i w:val="0"/>
          <w:iCs w:val="0"/>
          <w:sz w:val="24"/>
          <w:u w:val="single"/>
          <w:lang w:val="en-US" w:eastAsia="zh-CN"/>
        </w:rPr>
        <w:t>本项目终点处西北为93m大里塘水库，一旦发生危险事故，就可造成有毒、有害物质流入到水库造成水库严重污染，虽然这种事故为小概率事件，但还是可能发生。需从工程、管理等多方面落实预防手段来降低此类事故的发生率。</w:t>
      </w:r>
    </w:p>
    <w:p>
      <w:pPr>
        <w:spacing w:line="348" w:lineRule="auto"/>
        <w:ind w:firstLine="482"/>
        <w:rPr>
          <w:i w:val="0"/>
          <w:iCs w:val="0"/>
          <w:sz w:val="24"/>
          <w:u w:val="single"/>
        </w:rPr>
      </w:pPr>
      <w:r>
        <w:rPr>
          <w:i w:val="0"/>
          <w:iCs w:val="0"/>
          <w:sz w:val="24"/>
          <w:u w:val="single"/>
        </w:rPr>
        <w:t>b</w:t>
      </w:r>
      <w:r>
        <w:rPr>
          <w:rFonts w:hint="eastAsia"/>
          <w:i w:val="0"/>
          <w:iCs w:val="0"/>
          <w:sz w:val="24"/>
          <w:u w:val="single"/>
        </w:rPr>
        <w:t>）对大气环境影响分析</w:t>
      </w:r>
    </w:p>
    <w:p>
      <w:pPr>
        <w:spacing w:line="348" w:lineRule="auto"/>
        <w:ind w:firstLine="482"/>
        <w:rPr>
          <w:i w:val="0"/>
          <w:iCs w:val="0"/>
          <w:sz w:val="24"/>
          <w:u w:val="single"/>
        </w:rPr>
      </w:pPr>
      <w:r>
        <w:rPr>
          <w:rFonts w:hint="eastAsia"/>
          <w:i w:val="0"/>
          <w:iCs w:val="0"/>
          <w:sz w:val="24"/>
          <w:u w:val="single"/>
        </w:rPr>
        <w:t>在危险化学品的运输中，部分有毒有害物质具有易挥发性，一旦发生交通事故引起泄漏，就以气体形式扩散到大气环境中，将短时间内对附近区域大气环境质量造成严重的污染影响，对工程附近区域的敏感目标人群健康和安全造成影响，特别是对下风向人群健康影响严重。</w:t>
      </w:r>
    </w:p>
    <w:p>
      <w:pPr>
        <w:spacing w:line="348" w:lineRule="auto"/>
        <w:ind w:firstLine="482"/>
        <w:rPr>
          <w:i w:val="0"/>
          <w:iCs w:val="0"/>
          <w:sz w:val="24"/>
          <w:u w:val="single"/>
        </w:rPr>
      </w:pPr>
      <w:r>
        <w:rPr>
          <w:rFonts w:hint="eastAsia"/>
          <w:i w:val="0"/>
          <w:iCs w:val="0"/>
          <w:sz w:val="24"/>
          <w:u w:val="single"/>
        </w:rPr>
        <w:t>因此为了尽量降低营运期公路交通运输风险，从工程、管理等多方面落实预防手段来降低该类事故的发生率，同时备有应急措施计划，把事故发生以后对大气环境、水环境的危害降低到最低程度，做到预防和救援并重。</w:t>
      </w:r>
    </w:p>
    <w:p>
      <w:pPr>
        <w:pStyle w:val="5"/>
        <w:widowControl/>
        <w:ind w:left="567" w:hanging="567"/>
        <w:rPr>
          <w:i w:val="0"/>
          <w:iCs w:val="0"/>
          <w:u w:val="single"/>
        </w:rPr>
      </w:pPr>
      <w:bookmarkStart w:id="327" w:name="_Toc303252943"/>
      <w:r>
        <w:rPr>
          <w:rFonts w:hint="eastAsia"/>
          <w:i w:val="0"/>
          <w:iCs w:val="0"/>
          <w:u w:val="single"/>
        </w:rPr>
        <w:t>环境风险</w:t>
      </w:r>
      <w:bookmarkEnd w:id="327"/>
      <w:r>
        <w:rPr>
          <w:rFonts w:hint="eastAsia"/>
          <w:i w:val="0"/>
          <w:iCs w:val="0"/>
          <w:u w:val="single"/>
        </w:rPr>
        <w:t>防范措施</w:t>
      </w:r>
    </w:p>
    <w:p>
      <w:pPr>
        <w:spacing w:line="348" w:lineRule="auto"/>
        <w:ind w:firstLine="482"/>
        <w:rPr>
          <w:i w:val="0"/>
          <w:iCs w:val="0"/>
          <w:sz w:val="24"/>
          <w:u w:val="single"/>
        </w:rPr>
      </w:pPr>
      <w:r>
        <w:rPr>
          <w:i w:val="0"/>
          <w:iCs w:val="0"/>
          <w:sz w:val="24"/>
          <w:u w:val="single"/>
        </w:rPr>
        <w:t>a</w:t>
      </w:r>
      <w:r>
        <w:rPr>
          <w:rFonts w:hint="eastAsia"/>
          <w:i w:val="0"/>
          <w:iCs w:val="0"/>
          <w:sz w:val="24"/>
          <w:u w:val="single"/>
        </w:rPr>
        <w:t>）在公路的规划与设计中，应注意公路线形的设计，尽可能增大视距，在视距不够的路段应设置警示、限速标志。</w:t>
      </w:r>
    </w:p>
    <w:p>
      <w:pPr>
        <w:spacing w:line="348" w:lineRule="auto"/>
        <w:ind w:firstLine="482"/>
        <w:rPr>
          <w:i w:val="0"/>
          <w:iCs w:val="0"/>
          <w:sz w:val="24"/>
          <w:u w:val="single"/>
        </w:rPr>
      </w:pPr>
      <w:r>
        <w:rPr>
          <w:i w:val="0"/>
          <w:iCs w:val="0"/>
          <w:sz w:val="24"/>
          <w:u w:val="single"/>
        </w:rPr>
        <w:t>b</w:t>
      </w:r>
      <w:r>
        <w:rPr>
          <w:rFonts w:hint="eastAsia"/>
          <w:i w:val="0"/>
          <w:iCs w:val="0"/>
          <w:sz w:val="24"/>
          <w:u w:val="single"/>
        </w:rPr>
        <w:t>）路线跨越渠处在桥梁两侧醒目位置设置限速、禁止超车等警示标志，提醒过路驾驶员和乘客加强保护环境意识。</w:t>
      </w:r>
    </w:p>
    <w:p>
      <w:pPr>
        <w:spacing w:line="348" w:lineRule="auto"/>
        <w:ind w:firstLine="482"/>
        <w:rPr>
          <w:i w:val="0"/>
          <w:iCs w:val="0"/>
          <w:sz w:val="24"/>
          <w:u w:val="single"/>
        </w:rPr>
      </w:pPr>
      <w:r>
        <w:rPr>
          <w:i w:val="0"/>
          <w:iCs w:val="0"/>
          <w:sz w:val="24"/>
          <w:u w:val="single"/>
        </w:rPr>
        <w:t>c</w:t>
      </w:r>
      <w:r>
        <w:rPr>
          <w:rFonts w:hint="eastAsia"/>
          <w:i w:val="0"/>
          <w:iCs w:val="0"/>
          <w:sz w:val="24"/>
          <w:u w:val="single"/>
        </w:rPr>
        <w:t>）加强危险化学品公路运输安全防治措施。</w:t>
      </w:r>
    </w:p>
    <w:p>
      <w:pPr>
        <w:spacing w:line="348" w:lineRule="auto"/>
        <w:ind w:firstLine="482"/>
        <w:rPr>
          <w:i w:val="0"/>
          <w:iCs w:val="0"/>
          <w:sz w:val="24"/>
          <w:u w:val="single"/>
        </w:rPr>
      </w:pPr>
      <w:r>
        <w:rPr>
          <w:i w:val="0"/>
          <w:iCs w:val="0"/>
          <w:sz w:val="24"/>
          <w:u w:val="single"/>
        </w:rPr>
        <w:t>1</w:t>
      </w:r>
      <w:r>
        <w:rPr>
          <w:rFonts w:hint="eastAsia"/>
          <w:i w:val="0"/>
          <w:iCs w:val="0"/>
          <w:sz w:val="24"/>
          <w:u w:val="single"/>
        </w:rPr>
        <w:t>）加强对车辆的管理，加强车检工作，保证上路车辆车况良好。运输危险品的车辆上路行驶，需要对公安部门办法的“三证”，即运输许可证、驾驶员执照和保安员证书进行检查。所有从事化学危险货物运输的车辆，必须在车前醒目位置悬挂黄底黑字“危险品”字样的三角旗，严禁危险品运输车辆超载。</w:t>
      </w:r>
    </w:p>
    <w:p>
      <w:pPr>
        <w:spacing w:line="348" w:lineRule="auto"/>
        <w:ind w:firstLine="482"/>
        <w:rPr>
          <w:i w:val="0"/>
          <w:iCs w:val="0"/>
          <w:sz w:val="24"/>
          <w:u w:val="single"/>
        </w:rPr>
      </w:pPr>
      <w:r>
        <w:rPr>
          <w:i w:val="0"/>
          <w:iCs w:val="0"/>
          <w:sz w:val="24"/>
          <w:u w:val="single"/>
        </w:rPr>
        <w:t>2</w:t>
      </w:r>
      <w:r>
        <w:rPr>
          <w:rFonts w:hint="eastAsia"/>
          <w:i w:val="0"/>
          <w:iCs w:val="0"/>
          <w:sz w:val="24"/>
          <w:u w:val="single"/>
        </w:rPr>
        <w:t>）具有危险品运输资质的企业必须严格按照危险品运输的相关规定，配备固定装运化学危险品的车辆和驾驶员，运输危险品车辆的驾驶员一定要经过专业的培训，运输危险物品的车辆必须保持安全车速，严禁外来明火，同时还必须有随车人员负责押送，随车人员必须经过专业的培训。</w:t>
      </w:r>
    </w:p>
    <w:p>
      <w:pPr>
        <w:spacing w:line="348" w:lineRule="auto"/>
        <w:ind w:firstLine="482"/>
        <w:rPr>
          <w:i w:val="0"/>
          <w:iCs w:val="0"/>
          <w:sz w:val="24"/>
          <w:u w:val="single"/>
        </w:rPr>
      </w:pPr>
      <w:r>
        <w:rPr>
          <w:i w:val="0"/>
          <w:iCs w:val="0"/>
          <w:sz w:val="24"/>
          <w:u w:val="single"/>
        </w:rPr>
        <w:t>3</w:t>
      </w:r>
      <w:r>
        <w:rPr>
          <w:rFonts w:hint="eastAsia"/>
          <w:i w:val="0"/>
          <w:iCs w:val="0"/>
          <w:sz w:val="24"/>
          <w:u w:val="single"/>
        </w:rPr>
        <w:t>）危险品运输车辆上必须有醒目的装有危险品的标记，由公安管理部门、公安消防部门对化学危险货物运输车辆指定行使区域路线，运输化学危险物品的车辆必须在指定地点停放。</w:t>
      </w:r>
    </w:p>
    <w:p>
      <w:pPr>
        <w:spacing w:line="348" w:lineRule="auto"/>
        <w:ind w:firstLine="482"/>
        <w:rPr>
          <w:i w:val="0"/>
          <w:iCs w:val="0"/>
          <w:sz w:val="24"/>
          <w:u w:val="single"/>
        </w:rPr>
      </w:pPr>
      <w:r>
        <w:rPr>
          <w:i w:val="0"/>
          <w:iCs w:val="0"/>
          <w:sz w:val="24"/>
          <w:u w:val="single"/>
        </w:rPr>
        <w:t>4</w:t>
      </w:r>
      <w:r>
        <w:rPr>
          <w:rFonts w:hint="eastAsia"/>
          <w:i w:val="0"/>
          <w:iCs w:val="0"/>
          <w:sz w:val="24"/>
          <w:u w:val="single"/>
        </w:rPr>
        <w:t>）公路管理部门应作好公路的管理、维护与维修，路面有缺损或损坏，应计算维修，否则应设置警示标志。</w:t>
      </w:r>
    </w:p>
    <w:p>
      <w:pPr>
        <w:spacing w:line="348" w:lineRule="auto"/>
        <w:ind w:firstLine="482"/>
        <w:rPr>
          <w:i w:val="0"/>
          <w:iCs w:val="0"/>
          <w:sz w:val="24"/>
          <w:u w:val="single"/>
        </w:rPr>
      </w:pPr>
      <w:r>
        <w:rPr>
          <w:i w:val="0"/>
          <w:iCs w:val="0"/>
          <w:sz w:val="24"/>
          <w:u w:val="single"/>
        </w:rPr>
        <w:t>5</w:t>
      </w:r>
      <w:r>
        <w:rPr>
          <w:rFonts w:hint="eastAsia"/>
          <w:i w:val="0"/>
          <w:iCs w:val="0"/>
          <w:sz w:val="24"/>
          <w:u w:val="single"/>
        </w:rPr>
        <w:t>）在沿线路段设置应急电话，一旦发生车辆交通事故，便于有关单位及个人及时报警。</w:t>
      </w:r>
    </w:p>
    <w:p>
      <w:pPr>
        <w:spacing w:line="348" w:lineRule="auto"/>
        <w:ind w:firstLine="482"/>
        <w:rPr>
          <w:rFonts w:hint="eastAsia"/>
          <w:i w:val="0"/>
          <w:iCs w:val="0"/>
          <w:sz w:val="24"/>
          <w:u w:val="single"/>
        </w:rPr>
      </w:pPr>
      <w:r>
        <w:rPr>
          <w:i w:val="0"/>
          <w:iCs w:val="0"/>
          <w:sz w:val="24"/>
          <w:u w:val="single"/>
        </w:rPr>
        <w:t>6</w:t>
      </w:r>
      <w:r>
        <w:rPr>
          <w:rFonts w:hint="eastAsia"/>
          <w:i w:val="0"/>
          <w:iCs w:val="0"/>
          <w:sz w:val="24"/>
          <w:u w:val="single"/>
        </w:rPr>
        <w:t>）加强对驾驶员的安全意识和职业道德教育，减少人为交通事故的发生。</w:t>
      </w:r>
    </w:p>
    <w:p>
      <w:pPr>
        <w:spacing w:line="348" w:lineRule="auto"/>
        <w:ind w:firstLine="482"/>
        <w:rPr>
          <w:rFonts w:hint="eastAsia" w:eastAsia="宋体"/>
          <w:i w:val="0"/>
          <w:iCs w:val="0"/>
          <w:sz w:val="24"/>
          <w:u w:val="single"/>
          <w:lang w:val="en-US" w:eastAsia="zh-CN"/>
        </w:rPr>
      </w:pPr>
      <w:r>
        <w:rPr>
          <w:rFonts w:hint="eastAsia"/>
          <w:i w:val="0"/>
          <w:iCs w:val="0"/>
          <w:sz w:val="24"/>
          <w:u w:val="single"/>
          <w:lang w:val="en-US" w:eastAsia="zh-CN"/>
        </w:rPr>
        <w:t>7）在大里塘水库路段，靠水库一侧设置防撞护栏，护栏内设置导流槽（导流槽内水经集水池收集后交由相关单位处理），导流槽长度约1000m，防止路面径流直接漫流至水库，在离开水库区集雨范围外设置集水池（应急事故池）接纳运输危险品车辆事故时泄漏物及路面径流污染物。一旦发生风险事故，在马上报警、采取相关措施的同时，要立即通知自来水厂停止取水。且应同步立即对大里塘水库水质进行应急监测，如水体已受污染，需采取措施，如迅速筑坝，切断水体流动，并用围栏等限制水面污染物的进一步扩散，或将受污染水体疏导排放至安全区域，紧急调用水源，稀释污染等；事后，应根据水质污染程度由专业人员对水质进行环境恢复处理。</w:t>
      </w:r>
    </w:p>
    <w:p>
      <w:pPr>
        <w:pStyle w:val="5"/>
        <w:widowControl/>
        <w:ind w:left="567" w:hanging="567"/>
        <w:rPr>
          <w:i w:val="0"/>
          <w:iCs w:val="0"/>
          <w:u w:val="single"/>
        </w:rPr>
      </w:pPr>
      <w:r>
        <w:rPr>
          <w:rFonts w:hint="eastAsia"/>
          <w:i w:val="0"/>
          <w:iCs w:val="0"/>
          <w:u w:val="single"/>
        </w:rPr>
        <w:t>应急计划</w:t>
      </w:r>
    </w:p>
    <w:p>
      <w:pPr>
        <w:spacing w:line="348" w:lineRule="auto"/>
        <w:ind w:firstLine="482"/>
        <w:rPr>
          <w:i w:val="0"/>
          <w:iCs w:val="0"/>
          <w:sz w:val="24"/>
          <w:u w:val="single"/>
        </w:rPr>
      </w:pPr>
      <w:r>
        <w:rPr>
          <w:rFonts w:hint="eastAsia"/>
          <w:i w:val="0"/>
          <w:iCs w:val="0"/>
          <w:sz w:val="24"/>
          <w:u w:val="single"/>
        </w:rPr>
        <w:t>应急救援预案主要内容包括：</w:t>
      </w:r>
    </w:p>
    <w:p>
      <w:pPr>
        <w:spacing w:line="348" w:lineRule="auto"/>
        <w:ind w:firstLine="482"/>
        <w:rPr>
          <w:i w:val="0"/>
          <w:iCs w:val="0"/>
          <w:sz w:val="24"/>
          <w:u w:val="single"/>
        </w:rPr>
      </w:pPr>
      <w:r>
        <w:rPr>
          <w:i w:val="0"/>
          <w:iCs w:val="0"/>
          <w:sz w:val="24"/>
          <w:u w:val="single"/>
        </w:rPr>
        <w:t>a</w:t>
      </w:r>
      <w:r>
        <w:rPr>
          <w:rFonts w:hint="eastAsia"/>
          <w:i w:val="0"/>
          <w:iCs w:val="0"/>
          <w:sz w:val="24"/>
          <w:u w:val="single"/>
        </w:rPr>
        <w:t>）由</w:t>
      </w:r>
      <w:r>
        <w:rPr>
          <w:rFonts w:hint="eastAsia"/>
          <w:i w:val="0"/>
          <w:iCs w:val="0"/>
          <w:sz w:val="24"/>
          <w:u w:val="single"/>
          <w:lang w:val="en-US" w:eastAsia="zh-CN"/>
        </w:rPr>
        <w:t>汨罗</w:t>
      </w:r>
      <w:r>
        <w:rPr>
          <w:rFonts w:hint="eastAsia"/>
          <w:i w:val="0"/>
          <w:iCs w:val="0"/>
          <w:sz w:val="24"/>
          <w:u w:val="single"/>
        </w:rPr>
        <w:t>市政府牵头成立应急领导小组，制定应急计划。根据应急计划，统一行动，明确有关部门和有关人员职责，确保在最短时间内将事故控制，以减少对环境的污染。</w:t>
      </w:r>
    </w:p>
    <w:p>
      <w:pPr>
        <w:spacing w:line="348" w:lineRule="auto"/>
        <w:ind w:firstLine="482"/>
        <w:rPr>
          <w:i w:val="0"/>
          <w:iCs w:val="0"/>
          <w:sz w:val="24"/>
          <w:u w:val="single"/>
        </w:rPr>
      </w:pPr>
      <w:r>
        <w:rPr>
          <w:i w:val="0"/>
          <w:iCs w:val="0"/>
          <w:sz w:val="24"/>
          <w:u w:val="single"/>
        </w:rPr>
        <w:t>b</w:t>
      </w:r>
      <w:r>
        <w:rPr>
          <w:rFonts w:hint="eastAsia"/>
          <w:i w:val="0"/>
          <w:iCs w:val="0"/>
          <w:sz w:val="24"/>
          <w:u w:val="single"/>
        </w:rPr>
        <w:t>）明确风险污染事故报警电话，以便发现事故时及时报警、及时采取应急措施，</w:t>
      </w:r>
    </w:p>
    <w:p>
      <w:pPr>
        <w:spacing w:line="348" w:lineRule="auto"/>
        <w:rPr>
          <w:i w:val="0"/>
          <w:iCs w:val="0"/>
          <w:sz w:val="24"/>
          <w:u w:val="single"/>
        </w:rPr>
      </w:pPr>
      <w:r>
        <w:rPr>
          <w:rFonts w:hint="eastAsia"/>
          <w:i w:val="0"/>
          <w:iCs w:val="0"/>
          <w:sz w:val="24"/>
          <w:u w:val="single"/>
        </w:rPr>
        <w:t>防止污染和危险的扩散。</w:t>
      </w:r>
    </w:p>
    <w:p>
      <w:pPr>
        <w:spacing w:line="348" w:lineRule="auto"/>
        <w:ind w:firstLine="482"/>
        <w:rPr>
          <w:i w:val="0"/>
          <w:iCs w:val="0"/>
          <w:sz w:val="24"/>
          <w:u w:val="single"/>
        </w:rPr>
      </w:pPr>
      <w:r>
        <w:rPr>
          <w:i w:val="0"/>
          <w:iCs w:val="0"/>
          <w:sz w:val="24"/>
          <w:u w:val="single"/>
        </w:rPr>
        <w:t>c</w:t>
      </w:r>
      <w:r>
        <w:rPr>
          <w:rFonts w:hint="eastAsia"/>
          <w:i w:val="0"/>
          <w:iCs w:val="0"/>
          <w:sz w:val="24"/>
          <w:u w:val="single"/>
        </w:rPr>
        <w:t>）公路管理部门应配备必要的急救设备和器材，如应急防护处理车辆、吸油毡、</w:t>
      </w:r>
    </w:p>
    <w:p>
      <w:pPr>
        <w:spacing w:line="348" w:lineRule="auto"/>
        <w:rPr>
          <w:i w:val="0"/>
          <w:iCs w:val="0"/>
          <w:sz w:val="24"/>
          <w:u w:val="single"/>
        </w:rPr>
      </w:pPr>
      <w:r>
        <w:rPr>
          <w:rFonts w:hint="eastAsia"/>
          <w:i w:val="0"/>
          <w:iCs w:val="0"/>
          <w:sz w:val="24"/>
          <w:u w:val="single"/>
        </w:rPr>
        <w:t>消毒解毒药、固液物清扫、回收设备等。</w:t>
      </w:r>
    </w:p>
    <w:p>
      <w:pPr>
        <w:spacing w:line="348" w:lineRule="auto"/>
        <w:ind w:firstLine="482"/>
        <w:rPr>
          <w:i w:val="0"/>
          <w:iCs w:val="0"/>
          <w:sz w:val="24"/>
          <w:u w:val="single"/>
        </w:rPr>
      </w:pPr>
      <w:r>
        <w:rPr>
          <w:i w:val="0"/>
          <w:iCs w:val="0"/>
          <w:sz w:val="24"/>
          <w:u w:val="single"/>
        </w:rPr>
        <w:t>d</w:t>
      </w:r>
      <w:r>
        <w:rPr>
          <w:rFonts w:hint="eastAsia"/>
          <w:i w:val="0"/>
          <w:iCs w:val="0"/>
          <w:sz w:val="24"/>
          <w:u w:val="single"/>
        </w:rPr>
        <w:t>）应急环境监测、抢险、救援及控制措施。事故发生后，由当地环境监测站对环境空气、水质进行监测，对事故性质、后果进行评估，为应急领导小组提供决策依据。如有必要应按应急计划组织人员紧急撤离，对现场进行处理。</w:t>
      </w:r>
    </w:p>
    <w:p>
      <w:pPr>
        <w:spacing w:line="348" w:lineRule="auto"/>
        <w:ind w:firstLine="482"/>
        <w:rPr>
          <w:i w:val="0"/>
          <w:iCs w:val="0"/>
          <w:sz w:val="24"/>
          <w:u w:val="single"/>
        </w:rPr>
      </w:pPr>
      <w:r>
        <w:rPr>
          <w:i w:val="0"/>
          <w:iCs w:val="0"/>
          <w:sz w:val="24"/>
          <w:u w:val="single"/>
        </w:rPr>
        <w:t>e</w:t>
      </w:r>
      <w:r>
        <w:rPr>
          <w:rFonts w:hint="eastAsia"/>
          <w:i w:val="0"/>
          <w:iCs w:val="0"/>
          <w:sz w:val="24"/>
          <w:u w:val="single"/>
        </w:rPr>
        <w:t>）人员紧急撤离、疏散、应急剂量控制、撤离组织计划。在事故现场由领导小组领导，其他个人协助管理机构对现场进行处理，本工程建设单位主要进行协调和沟通工作，并负责工作的汇报。</w:t>
      </w:r>
    </w:p>
    <w:p>
      <w:pPr>
        <w:spacing w:line="348" w:lineRule="auto"/>
        <w:ind w:firstLine="482"/>
        <w:rPr>
          <w:i w:val="0"/>
          <w:iCs w:val="0"/>
          <w:sz w:val="24"/>
          <w:u w:val="single"/>
        </w:rPr>
      </w:pPr>
      <w:r>
        <w:rPr>
          <w:i w:val="0"/>
          <w:iCs w:val="0"/>
          <w:sz w:val="24"/>
          <w:u w:val="single"/>
        </w:rPr>
        <w:t>f</w:t>
      </w:r>
      <w:r>
        <w:rPr>
          <w:rFonts w:hint="eastAsia"/>
          <w:i w:val="0"/>
          <w:iCs w:val="0"/>
          <w:sz w:val="24"/>
          <w:u w:val="single"/>
        </w:rPr>
        <w:t>）事故应急救援关闭程序与恢复措施。现场处理完毕后，由地方环境监测站跟踪监测空气、水质情况，并进行总结、汇报。</w:t>
      </w:r>
    </w:p>
    <w:p>
      <w:pPr>
        <w:spacing w:line="348" w:lineRule="auto"/>
        <w:ind w:firstLine="482"/>
        <w:rPr>
          <w:i w:val="0"/>
          <w:iCs w:val="0"/>
          <w:sz w:val="24"/>
          <w:u w:val="single"/>
        </w:rPr>
      </w:pPr>
      <w:r>
        <w:rPr>
          <w:i w:val="0"/>
          <w:iCs w:val="0"/>
          <w:sz w:val="24"/>
          <w:u w:val="single"/>
        </w:rPr>
        <w:t>g</w:t>
      </w:r>
      <w:r>
        <w:rPr>
          <w:rFonts w:hint="eastAsia"/>
          <w:i w:val="0"/>
          <w:iCs w:val="0"/>
          <w:sz w:val="24"/>
          <w:u w:val="single"/>
        </w:rPr>
        <w:t>）应急培训计划。本工程建设单位应定期进行相应的演练工作，主要是事故一旦发生后的应急救援工作；对相关人员进行应急事故的应急培训，提高环保知识和应急事故处理能力。</w:t>
      </w:r>
    </w:p>
    <w:p>
      <w:pPr>
        <w:spacing w:line="348" w:lineRule="auto"/>
        <w:ind w:firstLine="482"/>
        <w:rPr>
          <w:i w:val="0"/>
          <w:iCs w:val="0"/>
          <w:sz w:val="24"/>
          <w:u w:val="single"/>
        </w:rPr>
      </w:pPr>
      <w:r>
        <w:rPr>
          <w:i w:val="0"/>
          <w:iCs w:val="0"/>
          <w:sz w:val="24"/>
          <w:u w:val="single"/>
        </w:rPr>
        <w:t>h</w:t>
      </w:r>
      <w:r>
        <w:rPr>
          <w:rFonts w:hint="eastAsia"/>
          <w:i w:val="0"/>
          <w:iCs w:val="0"/>
          <w:sz w:val="24"/>
          <w:u w:val="single"/>
        </w:rPr>
        <w:t>）公众教育和信息。对发生的危险品污染事故，通过媒体进行公示，起到教育作用。</w:t>
      </w:r>
    </w:p>
    <w:p>
      <w:pPr>
        <w:pStyle w:val="5"/>
        <w:widowControl/>
        <w:ind w:left="567" w:hanging="567"/>
        <w:rPr>
          <w:i w:val="0"/>
          <w:iCs w:val="0"/>
          <w:u w:val="single"/>
        </w:rPr>
      </w:pPr>
      <w:r>
        <w:rPr>
          <w:rFonts w:hint="eastAsia"/>
          <w:i w:val="0"/>
          <w:iCs w:val="0"/>
          <w:u w:val="single"/>
        </w:rPr>
        <w:t>事故现场的清除与净化</w:t>
      </w:r>
    </w:p>
    <w:p>
      <w:pPr>
        <w:pStyle w:val="3"/>
        <w:ind w:firstLine="31680"/>
        <w:rPr>
          <w:i w:val="0"/>
          <w:iCs w:val="0"/>
          <w:u w:val="single"/>
        </w:rPr>
      </w:pPr>
      <w:r>
        <w:rPr>
          <w:rFonts w:hint="eastAsia"/>
          <w:i w:val="0"/>
          <w:iCs w:val="0"/>
          <w:u w:val="single"/>
        </w:rPr>
        <w:t>针对事故对渠道、土壤、动植物等已造成的现实危害和可能危害，应迅速采取封闭、隔离、清洗、吸附等措施，对事故外溢的有毒有害物质和可能对环境继续造成危害的物质，及时组织人员予以清除，做好现场清洁，消除第二次污染的危害后果。</w:t>
      </w:r>
    </w:p>
    <w:p>
      <w:pPr>
        <w:pStyle w:val="3"/>
        <w:ind w:firstLine="31680"/>
        <w:rPr>
          <w:i w:val="0"/>
          <w:iCs w:val="0"/>
          <w:u w:val="single"/>
        </w:rPr>
      </w:pPr>
    </w:p>
    <w:p>
      <w:pPr>
        <w:pStyle w:val="3"/>
        <w:ind w:firstLine="31680"/>
        <w:rPr>
          <w:i w:val="0"/>
          <w:iCs w:val="0"/>
          <w:u w:val="single"/>
        </w:rPr>
        <w:sectPr>
          <w:pgSz w:w="11906" w:h="16838"/>
          <w:pgMar w:top="1588" w:right="1361" w:bottom="1474" w:left="1588" w:header="851" w:footer="851" w:gutter="0"/>
          <w:pgBorders>
            <w:top w:val="none" w:sz="0" w:space="0"/>
            <w:left w:val="none" w:sz="0" w:space="0"/>
            <w:bottom w:val="none" w:sz="0" w:space="0"/>
            <w:right w:val="none" w:sz="0" w:space="0"/>
          </w:pgBorders>
          <w:cols w:space="425" w:num="1"/>
          <w:docGrid w:linePitch="326" w:charSpace="0"/>
        </w:sectPr>
      </w:pPr>
    </w:p>
    <w:bookmarkEnd w:id="203"/>
    <w:bookmarkEnd w:id="204"/>
    <w:bookmarkEnd w:id="205"/>
    <w:p>
      <w:pPr>
        <w:pStyle w:val="2"/>
        <w:ind w:left="567" w:hanging="567"/>
      </w:pPr>
      <w:bookmarkStart w:id="328" w:name="_Toc20623"/>
      <w:r>
        <w:rPr>
          <w:rFonts w:hint="eastAsia"/>
        </w:rPr>
        <w:t>环境保护管理及监测计划</w:t>
      </w:r>
      <w:bookmarkEnd w:id="328"/>
    </w:p>
    <w:p>
      <w:pPr>
        <w:pStyle w:val="4"/>
        <w:ind w:left="567" w:hanging="567"/>
      </w:pPr>
      <w:bookmarkStart w:id="329" w:name="_Toc25462"/>
      <w:r>
        <w:rPr>
          <w:rFonts w:hint="eastAsia"/>
        </w:rPr>
        <w:t>环境保护管理计划</w:t>
      </w:r>
      <w:bookmarkEnd w:id="329"/>
    </w:p>
    <w:p>
      <w:pPr>
        <w:pStyle w:val="5"/>
        <w:ind w:left="567" w:hanging="567"/>
      </w:pPr>
      <w:r>
        <w:rPr>
          <w:rFonts w:hint="eastAsia"/>
        </w:rPr>
        <w:t>环境保护管理目标</w:t>
      </w:r>
    </w:p>
    <w:p>
      <w:pPr>
        <w:pStyle w:val="3"/>
        <w:ind w:firstLine="31680"/>
      </w:pPr>
      <w:r>
        <w:rPr>
          <w:rFonts w:hint="eastAsia"/>
        </w:rPr>
        <w:t>通过制订系统的、科学的环境保护管理计划，使本报告书针对本工程建设过程中产生的负面环境影响所提出的防治或减缓措施在该项目的设计、施工和营运中逐步得到落实，从而使得环境建设和公路主体工程建设符合国家同步设计、同步实施和同步投产使用的“三同时”制度要求，为环境保护措施得以有计划的落实和地方环保部门对其进行监督提供依据。</w:t>
      </w:r>
    </w:p>
    <w:p>
      <w:pPr>
        <w:pStyle w:val="3"/>
        <w:ind w:firstLine="31680"/>
      </w:pPr>
      <w:r>
        <w:rPr>
          <w:rFonts w:hint="eastAsia"/>
        </w:rPr>
        <w:t>通过环境管理计划的实施，将拟建公路对沿线环境带来的不利影响减缓到相应法规和标准限值要求之内，使工程建设的经济效益和环境效益得以协调、持续和稳定发展。</w:t>
      </w:r>
    </w:p>
    <w:p>
      <w:pPr>
        <w:pStyle w:val="5"/>
        <w:widowControl/>
        <w:ind w:left="567" w:hanging="567"/>
      </w:pPr>
      <w:r>
        <w:rPr>
          <w:rFonts w:hint="eastAsia"/>
        </w:rPr>
        <w:t>环境保护管理</w:t>
      </w:r>
      <w:r>
        <w:rPr>
          <w:rFonts w:hint="eastAsia"/>
          <w:szCs w:val="24"/>
        </w:rPr>
        <w:t>体系</w:t>
      </w:r>
    </w:p>
    <w:p>
      <w:pPr>
        <w:pStyle w:val="3"/>
        <w:ind w:firstLine="31680"/>
      </w:pPr>
      <w:r>
        <w:rPr>
          <w:rFonts w:hint="eastAsia"/>
        </w:rPr>
        <w:t>拟建工程环境管理体系及程序详细情况见表</w:t>
      </w:r>
      <w:r>
        <w:t>13.1-1</w:t>
      </w:r>
      <w:r>
        <w:rPr>
          <w:rFonts w:hint="eastAsia"/>
        </w:rPr>
        <w:t>。</w:t>
      </w:r>
    </w:p>
    <w:p>
      <w:pPr>
        <w:pStyle w:val="19"/>
        <w:jc w:val="center"/>
      </w:pPr>
      <w:r>
        <w:rPr>
          <w:rFonts w:hint="eastAsia"/>
        </w:rPr>
        <w:t>表</w:t>
      </w:r>
      <w:r>
        <w:t xml:space="preserve"> 13.1-1    </w:t>
      </w:r>
      <w:r>
        <w:rPr>
          <w:rFonts w:hint="eastAsia"/>
        </w:rPr>
        <w:t>环境保护管理体系及程序示意表</w:t>
      </w:r>
    </w:p>
    <w:tbl>
      <w:tblPr>
        <w:tblStyle w:val="65"/>
        <w:tblW w:w="9287"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41"/>
        <w:gridCol w:w="2303"/>
        <w:gridCol w:w="2385"/>
        <w:gridCol w:w="25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041" w:type="dxa"/>
            <w:vAlign w:val="center"/>
          </w:tcPr>
          <w:p>
            <w:pPr>
              <w:pStyle w:val="112"/>
            </w:pPr>
            <w:r>
              <w:rPr>
                <w:rFonts w:hint="eastAsia"/>
              </w:rPr>
              <w:t>阶段</w:t>
            </w:r>
          </w:p>
        </w:tc>
        <w:tc>
          <w:tcPr>
            <w:tcW w:w="2303" w:type="dxa"/>
            <w:vAlign w:val="center"/>
          </w:tcPr>
          <w:p>
            <w:pPr>
              <w:pStyle w:val="112"/>
            </w:pPr>
            <w:r>
              <w:rPr>
                <w:rFonts w:hint="eastAsia"/>
              </w:rPr>
              <w:t>环境保护内容</w:t>
            </w:r>
          </w:p>
        </w:tc>
        <w:tc>
          <w:tcPr>
            <w:tcW w:w="2385" w:type="dxa"/>
            <w:vAlign w:val="center"/>
          </w:tcPr>
          <w:p>
            <w:pPr>
              <w:pStyle w:val="112"/>
            </w:pPr>
            <w:r>
              <w:rPr>
                <w:rFonts w:hint="eastAsia"/>
              </w:rPr>
              <w:t>执行单位</w:t>
            </w:r>
          </w:p>
        </w:tc>
        <w:tc>
          <w:tcPr>
            <w:tcW w:w="2558" w:type="dxa"/>
            <w:vAlign w:val="center"/>
          </w:tcPr>
          <w:p>
            <w:pPr>
              <w:pStyle w:val="112"/>
            </w:pPr>
            <w:r>
              <w:rPr>
                <w:rFonts w:hint="eastAsia"/>
              </w:rPr>
              <w:t>管理部门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041" w:type="dxa"/>
            <w:vAlign w:val="center"/>
          </w:tcPr>
          <w:p>
            <w:pPr>
              <w:pStyle w:val="112"/>
            </w:pPr>
            <w:r>
              <w:rPr>
                <w:rFonts w:hint="eastAsia"/>
              </w:rPr>
              <w:t>设计期</w:t>
            </w:r>
          </w:p>
        </w:tc>
        <w:tc>
          <w:tcPr>
            <w:tcW w:w="2303" w:type="dxa"/>
            <w:vAlign w:val="center"/>
          </w:tcPr>
          <w:p>
            <w:pPr>
              <w:pStyle w:val="112"/>
            </w:pPr>
            <w:r>
              <w:rPr>
                <w:rFonts w:hint="eastAsia"/>
              </w:rPr>
              <w:t>环境工程设计</w:t>
            </w:r>
          </w:p>
        </w:tc>
        <w:tc>
          <w:tcPr>
            <w:tcW w:w="2385" w:type="dxa"/>
            <w:vAlign w:val="center"/>
          </w:tcPr>
          <w:p>
            <w:pPr>
              <w:pStyle w:val="112"/>
            </w:pPr>
            <w:r>
              <w:rPr>
                <w:rFonts w:hint="eastAsia"/>
              </w:rPr>
              <w:t>设计单位</w:t>
            </w:r>
          </w:p>
        </w:tc>
        <w:tc>
          <w:tcPr>
            <w:tcW w:w="2558" w:type="dxa"/>
            <w:vAlign w:val="center"/>
          </w:tcPr>
          <w:p>
            <w:pPr>
              <w:pStyle w:val="112"/>
            </w:pPr>
            <w:r>
              <w:rPr>
                <w:rFonts w:hint="eastAsia"/>
              </w:rPr>
              <w:t>汨罗市环保局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041" w:type="dxa"/>
            <w:vAlign w:val="center"/>
          </w:tcPr>
          <w:p>
            <w:pPr>
              <w:pStyle w:val="112"/>
            </w:pPr>
            <w:r>
              <w:rPr>
                <w:rFonts w:hint="eastAsia"/>
              </w:rPr>
              <w:t>施工期</w:t>
            </w:r>
          </w:p>
        </w:tc>
        <w:tc>
          <w:tcPr>
            <w:tcW w:w="2303" w:type="dxa"/>
            <w:vAlign w:val="center"/>
          </w:tcPr>
          <w:p>
            <w:pPr>
              <w:pStyle w:val="112"/>
            </w:pPr>
            <w:r>
              <w:rPr>
                <w:rFonts w:hint="eastAsia"/>
              </w:rPr>
              <w:t>实施环保措施、处理突发性环境问题</w:t>
            </w:r>
          </w:p>
        </w:tc>
        <w:tc>
          <w:tcPr>
            <w:tcW w:w="2385" w:type="dxa"/>
            <w:vAlign w:val="center"/>
          </w:tcPr>
          <w:p>
            <w:pPr>
              <w:pStyle w:val="112"/>
            </w:pPr>
            <w:r>
              <w:rPr>
                <w:rFonts w:hint="eastAsia"/>
              </w:rPr>
              <w:t>承包商</w:t>
            </w:r>
          </w:p>
        </w:tc>
        <w:tc>
          <w:tcPr>
            <w:tcW w:w="2558" w:type="dxa"/>
            <w:vAlign w:val="center"/>
          </w:tcPr>
          <w:p>
            <w:pPr>
              <w:pStyle w:val="112"/>
            </w:pPr>
            <w:r>
              <w:rPr>
                <w:rFonts w:hint="eastAsia"/>
              </w:rPr>
              <w:t>汨罗市环保局、</w:t>
            </w:r>
          </w:p>
          <w:p>
            <w:pPr>
              <w:pStyle w:val="112"/>
            </w:pPr>
            <w:r>
              <w:rPr>
                <w:rFonts w:hint="eastAsia"/>
              </w:rPr>
              <w:t>监理公司、业主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7" w:hRule="atLeast"/>
          <w:jc w:val="center"/>
        </w:trPr>
        <w:tc>
          <w:tcPr>
            <w:tcW w:w="2041" w:type="dxa"/>
            <w:vAlign w:val="center"/>
          </w:tcPr>
          <w:p>
            <w:pPr>
              <w:pStyle w:val="112"/>
            </w:pPr>
            <w:r>
              <w:rPr>
                <w:rFonts w:hint="eastAsia"/>
              </w:rPr>
              <w:t>营运期</w:t>
            </w:r>
          </w:p>
        </w:tc>
        <w:tc>
          <w:tcPr>
            <w:tcW w:w="2303" w:type="dxa"/>
            <w:vAlign w:val="center"/>
          </w:tcPr>
          <w:p>
            <w:pPr>
              <w:pStyle w:val="112"/>
            </w:pPr>
            <w:r>
              <w:rPr>
                <w:rFonts w:hint="eastAsia"/>
              </w:rPr>
              <w:t>环境监测</w:t>
            </w:r>
          </w:p>
        </w:tc>
        <w:tc>
          <w:tcPr>
            <w:tcW w:w="2385" w:type="dxa"/>
            <w:vAlign w:val="center"/>
          </w:tcPr>
          <w:p>
            <w:pPr>
              <w:pStyle w:val="112"/>
            </w:pPr>
            <w:r>
              <w:rPr>
                <w:rFonts w:hint="eastAsia"/>
              </w:rPr>
              <w:t>委托监测单位</w:t>
            </w:r>
          </w:p>
        </w:tc>
        <w:tc>
          <w:tcPr>
            <w:tcW w:w="2558" w:type="dxa"/>
            <w:vAlign w:val="center"/>
          </w:tcPr>
          <w:p>
            <w:pPr>
              <w:pStyle w:val="112"/>
            </w:pPr>
            <w:r>
              <w:rPr>
                <w:rFonts w:hint="eastAsia"/>
              </w:rPr>
              <w:t>汨罗市环保局</w:t>
            </w:r>
          </w:p>
        </w:tc>
      </w:tr>
    </w:tbl>
    <w:p>
      <w:pPr>
        <w:pStyle w:val="5"/>
        <w:widowControl/>
        <w:ind w:left="567" w:hanging="567"/>
        <w:rPr>
          <w:szCs w:val="24"/>
        </w:rPr>
      </w:pPr>
      <w:r>
        <w:fldChar w:fldCharType="begin"/>
      </w:r>
      <w:r>
        <w:instrText xml:space="preserve"> HYPERLINK \l "_Toc208397940" </w:instrText>
      </w:r>
      <w:r>
        <w:fldChar w:fldCharType="separate"/>
      </w:r>
      <w:r>
        <w:rPr>
          <w:rFonts w:hint="eastAsia"/>
          <w:szCs w:val="24"/>
        </w:rPr>
        <w:t>环境保护管理计划</w:t>
      </w:r>
      <w:r>
        <w:rPr>
          <w:rFonts w:hint="eastAsia"/>
          <w:szCs w:val="24"/>
        </w:rPr>
        <w:fldChar w:fldCharType="end"/>
      </w:r>
    </w:p>
    <w:p>
      <w:pPr>
        <w:pStyle w:val="3"/>
        <w:ind w:firstLine="31680"/>
      </w:pPr>
      <w:r>
        <w:rPr>
          <w:rFonts w:hint="eastAsia"/>
        </w:rPr>
        <w:t>环境保护管理计划的制定主要是为了落实本环境影响报告书所提出的环境保护措施及建议；对工程的实施（设计、施工）期间的监督和营运期的监测等工作提出要求。本工程环境保护管理计划见表</w:t>
      </w:r>
      <w:r>
        <w:t>13.1-2</w:t>
      </w:r>
      <w:r>
        <w:rPr>
          <w:rFonts w:hint="eastAsia"/>
        </w:rPr>
        <w:t>。</w:t>
      </w:r>
    </w:p>
    <w:p>
      <w:pPr>
        <w:pStyle w:val="19"/>
        <w:jc w:val="center"/>
      </w:pPr>
      <w:r>
        <w:rPr>
          <w:rFonts w:hint="eastAsia"/>
        </w:rPr>
        <w:t>表</w:t>
      </w:r>
      <w:r>
        <w:t xml:space="preserve">13.1-2   </w:t>
      </w:r>
      <w:r>
        <w:rPr>
          <w:rFonts w:hint="eastAsia"/>
        </w:rPr>
        <w:t>公路建设工程环境管理计划</w:t>
      </w:r>
    </w:p>
    <w:tbl>
      <w:tblPr>
        <w:tblStyle w:val="6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2169"/>
        <w:gridCol w:w="4879"/>
        <w:gridCol w:w="86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blHeader/>
        </w:trPr>
        <w:tc>
          <w:tcPr>
            <w:tcW w:w="525" w:type="dxa"/>
            <w:vAlign w:val="center"/>
          </w:tcPr>
          <w:p>
            <w:pPr>
              <w:pStyle w:val="112"/>
            </w:pPr>
            <w:r>
              <w:rPr>
                <w:rFonts w:hint="eastAsia"/>
              </w:rPr>
              <w:t>阶段</w:t>
            </w:r>
          </w:p>
        </w:tc>
        <w:tc>
          <w:tcPr>
            <w:tcW w:w="2169" w:type="dxa"/>
            <w:vAlign w:val="center"/>
          </w:tcPr>
          <w:p>
            <w:pPr>
              <w:pStyle w:val="112"/>
            </w:pPr>
            <w:r>
              <w:rPr>
                <w:rFonts w:hint="eastAsia"/>
              </w:rPr>
              <w:t>潜在影响</w:t>
            </w:r>
          </w:p>
        </w:tc>
        <w:tc>
          <w:tcPr>
            <w:tcW w:w="4879" w:type="dxa"/>
            <w:vAlign w:val="center"/>
          </w:tcPr>
          <w:p>
            <w:pPr>
              <w:pStyle w:val="112"/>
            </w:pPr>
            <w:r>
              <w:rPr>
                <w:rFonts w:hint="eastAsia"/>
              </w:rPr>
              <w:t>减缓措施</w:t>
            </w:r>
          </w:p>
        </w:tc>
        <w:tc>
          <w:tcPr>
            <w:tcW w:w="860" w:type="dxa"/>
            <w:vAlign w:val="center"/>
          </w:tcPr>
          <w:p>
            <w:pPr>
              <w:pStyle w:val="112"/>
            </w:pPr>
            <w:r>
              <w:rPr>
                <w:rFonts w:hint="eastAsia"/>
              </w:rPr>
              <w:t>实施机构</w:t>
            </w:r>
          </w:p>
        </w:tc>
        <w:tc>
          <w:tcPr>
            <w:tcW w:w="854" w:type="dxa"/>
            <w:vAlign w:val="center"/>
          </w:tcPr>
          <w:p>
            <w:pPr>
              <w:pStyle w:val="112"/>
            </w:pPr>
            <w:r>
              <w:rPr>
                <w:rFonts w:hint="eastAsia"/>
              </w:rPr>
              <w:t>监督机构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restart"/>
            <w:vAlign w:val="center"/>
          </w:tcPr>
          <w:p>
            <w:pPr>
              <w:pStyle w:val="112"/>
            </w:pPr>
            <w:r>
              <w:rPr>
                <w:rFonts w:hint="eastAsia"/>
              </w:rPr>
              <w:t>设计期</w:t>
            </w:r>
          </w:p>
        </w:tc>
        <w:tc>
          <w:tcPr>
            <w:tcW w:w="2169" w:type="dxa"/>
            <w:vAlign w:val="center"/>
          </w:tcPr>
          <w:p>
            <w:pPr>
              <w:pStyle w:val="112"/>
            </w:pPr>
            <w:r>
              <w:rPr>
                <w:rFonts w:hint="eastAsia"/>
              </w:rPr>
              <w:t>影响城镇规划</w:t>
            </w:r>
          </w:p>
        </w:tc>
        <w:tc>
          <w:tcPr>
            <w:tcW w:w="4879" w:type="dxa"/>
            <w:vAlign w:val="center"/>
          </w:tcPr>
          <w:p>
            <w:pPr>
              <w:pStyle w:val="112"/>
            </w:pPr>
            <w:r>
              <w:rPr>
                <w:rFonts w:hint="eastAsia"/>
              </w:rPr>
              <w:t>科学设计，使公路路线走向与城镇规划相协调</w:t>
            </w:r>
          </w:p>
        </w:tc>
        <w:tc>
          <w:tcPr>
            <w:tcW w:w="860" w:type="dxa"/>
            <w:vMerge w:val="restart"/>
            <w:vAlign w:val="center"/>
          </w:tcPr>
          <w:p>
            <w:pPr>
              <w:pStyle w:val="112"/>
            </w:pPr>
            <w:r>
              <w:rPr>
                <w:rFonts w:hint="eastAsia"/>
              </w:rPr>
              <w:t>设计</w:t>
            </w:r>
          </w:p>
          <w:p>
            <w:pPr>
              <w:pStyle w:val="112"/>
            </w:pPr>
            <w:r>
              <w:rPr>
                <w:rFonts w:hint="eastAsia"/>
              </w:rPr>
              <w:t>单位、</w:t>
            </w:r>
          </w:p>
          <w:p>
            <w:pPr>
              <w:pStyle w:val="112"/>
            </w:pPr>
            <w:r>
              <w:rPr>
                <w:rFonts w:hint="eastAsia"/>
              </w:rPr>
              <w:t>环评</w:t>
            </w:r>
          </w:p>
          <w:p>
            <w:pPr>
              <w:pStyle w:val="112"/>
            </w:pPr>
            <w:r>
              <w:rPr>
                <w:rFonts w:hint="eastAsia"/>
              </w:rPr>
              <w:t>单位</w:t>
            </w:r>
          </w:p>
        </w:tc>
        <w:tc>
          <w:tcPr>
            <w:tcW w:w="854" w:type="dxa"/>
            <w:vMerge w:val="restart"/>
            <w:vAlign w:val="center"/>
          </w:tcPr>
          <w:p>
            <w:pPr>
              <w:pStyle w:val="112"/>
            </w:pPr>
            <w:r>
              <w:rPr>
                <w:rFonts w:hint="eastAsia"/>
              </w:rPr>
              <w:t>汨罗市环保局国土局及相关部门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部分居民的拆迁和安置</w:t>
            </w:r>
          </w:p>
        </w:tc>
        <w:tc>
          <w:tcPr>
            <w:tcW w:w="4879" w:type="dxa"/>
            <w:vAlign w:val="center"/>
          </w:tcPr>
          <w:p>
            <w:pPr>
              <w:pStyle w:val="112"/>
            </w:pPr>
            <w:r>
              <w:rPr>
                <w:rFonts w:hint="eastAsia"/>
              </w:rPr>
              <w:t>制定补偿、安置方案</w:t>
            </w:r>
          </w:p>
        </w:tc>
        <w:tc>
          <w:tcPr>
            <w:tcW w:w="860" w:type="dxa"/>
            <w:vMerge w:val="continue"/>
            <w:vAlign w:val="center"/>
          </w:tcPr>
          <w:p>
            <w:pPr>
              <w:pStyle w:val="112"/>
            </w:pPr>
          </w:p>
        </w:tc>
        <w:tc>
          <w:tcPr>
            <w:tcW w:w="854" w:type="dxa"/>
            <w:vMerge w:val="continue"/>
            <w:vAlign w:val="center"/>
          </w:tcPr>
          <w:p>
            <w:pPr>
              <w:pStyle w:val="11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损失土地资源</w:t>
            </w:r>
          </w:p>
        </w:tc>
        <w:tc>
          <w:tcPr>
            <w:tcW w:w="4879" w:type="dxa"/>
            <w:vAlign w:val="center"/>
          </w:tcPr>
          <w:p>
            <w:pPr>
              <w:pStyle w:val="112"/>
            </w:pPr>
            <w:r>
              <w:rPr>
                <w:rFonts w:hint="eastAsia"/>
              </w:rPr>
              <w:t>采纳少占用耕地方案，对占用耕地实行</w:t>
            </w:r>
            <w:r>
              <w:t>“</w:t>
            </w:r>
            <w:r>
              <w:rPr>
                <w:rFonts w:hint="eastAsia"/>
              </w:rPr>
              <w:t>占一补一</w:t>
            </w:r>
            <w:r>
              <w:t>”</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交通阻隔、交通噪声</w:t>
            </w:r>
          </w:p>
        </w:tc>
        <w:tc>
          <w:tcPr>
            <w:tcW w:w="4879" w:type="dxa"/>
            <w:vAlign w:val="center"/>
          </w:tcPr>
          <w:p>
            <w:pPr>
              <w:pStyle w:val="112"/>
            </w:pPr>
            <w:r>
              <w:rPr>
                <w:rFonts w:hint="eastAsia"/>
              </w:rPr>
              <w:t>布置数量和位置恰当的通道，设置绕道交通警示牌</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水土流失</w:t>
            </w:r>
          </w:p>
        </w:tc>
        <w:tc>
          <w:tcPr>
            <w:tcW w:w="4879" w:type="dxa"/>
            <w:vAlign w:val="center"/>
          </w:tcPr>
          <w:p>
            <w:pPr>
              <w:pStyle w:val="112"/>
            </w:pPr>
            <w:r>
              <w:rPr>
                <w:rFonts w:hint="eastAsia"/>
              </w:rPr>
              <w:t>制定水土保持方案</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不良地质路段</w:t>
            </w:r>
          </w:p>
        </w:tc>
        <w:tc>
          <w:tcPr>
            <w:tcW w:w="4879" w:type="dxa"/>
            <w:vAlign w:val="center"/>
          </w:tcPr>
          <w:p>
            <w:pPr>
              <w:pStyle w:val="112"/>
            </w:pPr>
            <w:r>
              <w:rPr>
                <w:rFonts w:hint="eastAsia"/>
              </w:rPr>
              <w:t>充分调查，科学施工，尽量绕避软土泥沼等不良地质地段</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影响沿线基础设施</w:t>
            </w:r>
          </w:p>
        </w:tc>
        <w:tc>
          <w:tcPr>
            <w:tcW w:w="4879" w:type="dxa"/>
            <w:vAlign w:val="center"/>
          </w:tcPr>
          <w:p>
            <w:pPr>
              <w:pStyle w:val="112"/>
            </w:pPr>
            <w:r>
              <w:rPr>
                <w:rFonts w:hint="eastAsia"/>
              </w:rPr>
              <w:t>科学设计，尽量避让</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restart"/>
            <w:vAlign w:val="center"/>
          </w:tcPr>
          <w:p>
            <w:pPr>
              <w:pStyle w:val="112"/>
            </w:pPr>
            <w:r>
              <w:rPr>
                <w:rFonts w:hint="eastAsia"/>
              </w:rPr>
              <w:t>施工期</w:t>
            </w:r>
          </w:p>
        </w:tc>
        <w:tc>
          <w:tcPr>
            <w:tcW w:w="2169" w:type="dxa"/>
            <w:vAlign w:val="center"/>
          </w:tcPr>
          <w:p>
            <w:pPr>
              <w:pStyle w:val="112"/>
            </w:pPr>
            <w:r>
              <w:rPr>
                <w:rFonts w:hint="eastAsia"/>
              </w:rPr>
              <w:t>施工现场的粉尘、</w:t>
            </w:r>
          </w:p>
          <w:p>
            <w:pPr>
              <w:pStyle w:val="112"/>
            </w:pPr>
            <w:r>
              <w:rPr>
                <w:rFonts w:hint="eastAsia"/>
              </w:rPr>
              <w:t>噪声污染</w:t>
            </w:r>
          </w:p>
        </w:tc>
        <w:tc>
          <w:tcPr>
            <w:tcW w:w="4879" w:type="dxa"/>
            <w:vAlign w:val="center"/>
          </w:tcPr>
          <w:p>
            <w:pPr>
              <w:pStyle w:val="112"/>
            </w:pPr>
            <w:r>
              <w:rPr>
                <w:rFonts w:hint="eastAsia"/>
              </w:rPr>
              <w:t>文明施工，定期撒水，设围挡，设备选用低噪声设备、合理安排施工时段</w:t>
            </w:r>
          </w:p>
        </w:tc>
        <w:tc>
          <w:tcPr>
            <w:tcW w:w="860" w:type="dxa"/>
            <w:vMerge w:val="restart"/>
            <w:vAlign w:val="center"/>
          </w:tcPr>
          <w:p>
            <w:pPr>
              <w:pStyle w:val="112"/>
            </w:pPr>
            <w:r>
              <w:rPr>
                <w:rFonts w:hint="eastAsia"/>
              </w:rPr>
              <w:t>承</w:t>
            </w:r>
          </w:p>
          <w:p>
            <w:pPr>
              <w:pStyle w:val="112"/>
            </w:pPr>
            <w:r>
              <w:rPr>
                <w:rFonts w:hint="eastAsia"/>
              </w:rPr>
              <w:t>包</w:t>
            </w:r>
          </w:p>
          <w:p>
            <w:pPr>
              <w:pStyle w:val="112"/>
            </w:pPr>
            <w:r>
              <w:rPr>
                <w:rFonts w:hint="eastAsia"/>
              </w:rPr>
              <w:t>商</w:t>
            </w:r>
          </w:p>
        </w:tc>
        <w:tc>
          <w:tcPr>
            <w:tcW w:w="854" w:type="dxa"/>
            <w:vMerge w:val="restart"/>
            <w:vAlign w:val="center"/>
          </w:tcPr>
          <w:p>
            <w:pPr>
              <w:pStyle w:val="112"/>
            </w:pPr>
            <w:r>
              <w:rPr>
                <w:rFonts w:hint="eastAsia"/>
              </w:rPr>
              <w:t>业主单位、</w:t>
            </w:r>
          </w:p>
          <w:p>
            <w:pPr>
              <w:pStyle w:val="112"/>
            </w:pPr>
            <w:r>
              <w:rPr>
                <w:rFonts w:hint="eastAsia"/>
              </w:rPr>
              <w:t>监理公司、汨罗市环保局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施工现场、施工生产生活区污水、垃圾对土壤和水体的污染</w:t>
            </w:r>
          </w:p>
        </w:tc>
        <w:tc>
          <w:tcPr>
            <w:tcW w:w="4879" w:type="dxa"/>
            <w:vAlign w:val="center"/>
          </w:tcPr>
          <w:p>
            <w:pPr>
              <w:pStyle w:val="112"/>
            </w:pPr>
            <w:r>
              <w:rPr>
                <w:rFonts w:hint="eastAsia"/>
              </w:rPr>
              <w:t>采取治理措施，加强环境管理和监督</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临时占地对土地利用的影响</w:t>
            </w:r>
          </w:p>
        </w:tc>
        <w:tc>
          <w:tcPr>
            <w:tcW w:w="4879" w:type="dxa"/>
            <w:vAlign w:val="center"/>
          </w:tcPr>
          <w:p>
            <w:pPr>
              <w:pStyle w:val="112"/>
            </w:pPr>
            <w:r>
              <w:rPr>
                <w:rFonts w:hint="eastAsia"/>
              </w:rPr>
              <w:t>尽可能少占用地，及时平整土地、表土复原、植被恢复</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生态环境破坏、水土流失</w:t>
            </w:r>
          </w:p>
        </w:tc>
        <w:tc>
          <w:tcPr>
            <w:tcW w:w="4879" w:type="dxa"/>
            <w:vAlign w:val="center"/>
          </w:tcPr>
          <w:p>
            <w:pPr>
              <w:pStyle w:val="112"/>
            </w:pPr>
            <w:r>
              <w:rPr>
                <w:rFonts w:hint="eastAsia"/>
              </w:rPr>
              <w:t>临时水保措施、工程措施、植被措施</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边坡生态恢复</w:t>
            </w:r>
          </w:p>
        </w:tc>
        <w:tc>
          <w:tcPr>
            <w:tcW w:w="4879" w:type="dxa"/>
            <w:vAlign w:val="center"/>
          </w:tcPr>
          <w:p>
            <w:pPr>
              <w:pStyle w:val="112"/>
            </w:pPr>
            <w:r>
              <w:rPr>
                <w:rFonts w:hint="eastAsia"/>
              </w:rPr>
              <w:t>挂网植草护坡、浆砌石护面墙防护措施</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影响沿线公用设施</w:t>
            </w:r>
          </w:p>
        </w:tc>
        <w:tc>
          <w:tcPr>
            <w:tcW w:w="4879" w:type="dxa"/>
            <w:vAlign w:val="center"/>
          </w:tcPr>
          <w:p>
            <w:pPr>
              <w:pStyle w:val="112"/>
            </w:pPr>
            <w:r>
              <w:rPr>
                <w:rFonts w:hint="eastAsia"/>
              </w:rPr>
              <w:t>协调各单位利益，科学施工</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社会影响</w:t>
            </w:r>
          </w:p>
        </w:tc>
        <w:tc>
          <w:tcPr>
            <w:tcW w:w="4879" w:type="dxa"/>
            <w:vAlign w:val="center"/>
          </w:tcPr>
          <w:p>
            <w:pPr>
              <w:pStyle w:val="112"/>
            </w:pPr>
            <w:r>
              <w:rPr>
                <w:rFonts w:hint="eastAsia"/>
              </w:rPr>
              <w:t>施工前划定施工界线，禁止越线施工；对占用居民建筑和界外植被，应按照相关法律法规进行补偿；施工时加强对沿线基础设施的保护；在工程施工中发现地下文物，应立即停止施工，并上报文物保护部门</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人群健康</w:t>
            </w:r>
          </w:p>
        </w:tc>
        <w:tc>
          <w:tcPr>
            <w:tcW w:w="4879" w:type="dxa"/>
            <w:vAlign w:val="center"/>
          </w:tcPr>
          <w:p>
            <w:pPr>
              <w:pStyle w:val="112"/>
            </w:pPr>
            <w:r>
              <w:rPr>
                <w:rFonts w:hint="eastAsia"/>
              </w:rPr>
              <w:t>加强对施工人员的教育，在施工人员居住区举办有关疾病传播的专题宣传栏；对在高噪声和灰尘浓度较高场所工作的工人应注意加强劳动保健</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野生动物保护</w:t>
            </w:r>
          </w:p>
        </w:tc>
        <w:tc>
          <w:tcPr>
            <w:tcW w:w="4879" w:type="dxa"/>
            <w:vAlign w:val="center"/>
          </w:tcPr>
          <w:p>
            <w:pPr>
              <w:pStyle w:val="112"/>
            </w:pPr>
            <w:r>
              <w:rPr>
                <w:rFonts w:hint="eastAsia"/>
              </w:rPr>
              <w:t>工程沿线区域如有野生兽类、鸟类出现，禁止施工人员捕猎</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restart"/>
            <w:vAlign w:val="center"/>
          </w:tcPr>
          <w:p>
            <w:pPr>
              <w:pStyle w:val="112"/>
            </w:pPr>
            <w:r>
              <w:rPr>
                <w:rFonts w:hint="eastAsia"/>
              </w:rPr>
              <w:t>营运期</w:t>
            </w:r>
          </w:p>
        </w:tc>
        <w:tc>
          <w:tcPr>
            <w:tcW w:w="2169" w:type="dxa"/>
            <w:vAlign w:val="center"/>
          </w:tcPr>
          <w:p>
            <w:pPr>
              <w:pStyle w:val="112"/>
            </w:pPr>
            <w:r>
              <w:rPr>
                <w:rFonts w:hint="eastAsia"/>
              </w:rPr>
              <w:t>交通噪声污染</w:t>
            </w:r>
          </w:p>
        </w:tc>
        <w:tc>
          <w:tcPr>
            <w:tcW w:w="4879" w:type="dxa"/>
            <w:vAlign w:val="center"/>
          </w:tcPr>
          <w:p>
            <w:pPr>
              <w:pStyle w:val="112"/>
            </w:pPr>
            <w:r>
              <w:rPr>
                <w:rFonts w:hint="eastAsia"/>
              </w:rPr>
              <w:t>沿线两侧设置建设控制距离</w:t>
            </w:r>
          </w:p>
        </w:tc>
        <w:tc>
          <w:tcPr>
            <w:tcW w:w="860" w:type="dxa"/>
            <w:vMerge w:val="restart"/>
            <w:vAlign w:val="center"/>
          </w:tcPr>
          <w:p>
            <w:pPr>
              <w:pStyle w:val="112"/>
            </w:pPr>
            <w:r>
              <w:rPr>
                <w:rFonts w:hint="eastAsia"/>
              </w:rPr>
              <w:t>公路运营管理机构</w:t>
            </w:r>
          </w:p>
        </w:tc>
        <w:tc>
          <w:tcPr>
            <w:tcW w:w="854" w:type="dxa"/>
            <w:vMerge w:val="restart"/>
            <w:vAlign w:val="center"/>
          </w:tcPr>
          <w:p>
            <w:pPr>
              <w:pStyle w:val="112"/>
            </w:pPr>
            <w:r>
              <w:rPr>
                <w:rFonts w:hint="eastAsia"/>
              </w:rPr>
              <w:t>汨罗市环保局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路面径流污染</w:t>
            </w:r>
          </w:p>
        </w:tc>
        <w:tc>
          <w:tcPr>
            <w:tcW w:w="4879" w:type="dxa"/>
            <w:vAlign w:val="center"/>
          </w:tcPr>
          <w:p>
            <w:pPr>
              <w:pStyle w:val="112"/>
            </w:pPr>
            <w:r>
              <w:rPr>
                <w:rFonts w:hint="eastAsia"/>
              </w:rPr>
              <w:t>沿线两侧设排水沟，路面径流进行有组织收集，不直接排入沿线农田</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汽车尾气污染</w:t>
            </w:r>
          </w:p>
        </w:tc>
        <w:tc>
          <w:tcPr>
            <w:tcW w:w="4879" w:type="dxa"/>
            <w:vAlign w:val="center"/>
          </w:tcPr>
          <w:p>
            <w:pPr>
              <w:pStyle w:val="112"/>
            </w:pPr>
            <w:r>
              <w:rPr>
                <w:rFonts w:hint="eastAsia"/>
              </w:rPr>
              <w:t>加强公路维护，加强绿化</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525" w:type="dxa"/>
            <w:vMerge w:val="continue"/>
            <w:vAlign w:val="center"/>
          </w:tcPr>
          <w:p>
            <w:pPr>
              <w:pStyle w:val="112"/>
            </w:pPr>
          </w:p>
        </w:tc>
        <w:tc>
          <w:tcPr>
            <w:tcW w:w="2169" w:type="dxa"/>
            <w:vAlign w:val="center"/>
          </w:tcPr>
          <w:p>
            <w:pPr>
              <w:pStyle w:val="112"/>
            </w:pPr>
            <w:r>
              <w:rPr>
                <w:rFonts w:hint="eastAsia"/>
              </w:rPr>
              <w:t>危险品运输风险事故</w:t>
            </w:r>
          </w:p>
        </w:tc>
        <w:tc>
          <w:tcPr>
            <w:tcW w:w="4879" w:type="dxa"/>
            <w:vAlign w:val="center"/>
          </w:tcPr>
          <w:p>
            <w:pPr>
              <w:pStyle w:val="112"/>
            </w:pPr>
            <w:r>
              <w:rPr>
                <w:rFonts w:hint="eastAsia"/>
              </w:rPr>
              <w:t>制定和执行危险品运输风险事故应急计划并加强管理</w:t>
            </w:r>
          </w:p>
        </w:tc>
        <w:tc>
          <w:tcPr>
            <w:tcW w:w="860" w:type="dxa"/>
            <w:vMerge w:val="continue"/>
            <w:vAlign w:val="center"/>
          </w:tcPr>
          <w:p>
            <w:pPr>
              <w:pStyle w:val="112"/>
              <w:rPr>
                <w:highlight w:val="yellow"/>
              </w:rPr>
            </w:pPr>
          </w:p>
        </w:tc>
        <w:tc>
          <w:tcPr>
            <w:tcW w:w="854" w:type="dxa"/>
            <w:vMerge w:val="continue"/>
            <w:vAlign w:val="center"/>
          </w:tcPr>
          <w:p>
            <w:pPr>
              <w:pStyle w:val="112"/>
              <w:rPr>
                <w:highlight w:val="yellow"/>
              </w:rPr>
            </w:pPr>
          </w:p>
        </w:tc>
      </w:tr>
    </w:tbl>
    <w:p>
      <w:pPr>
        <w:pStyle w:val="5"/>
        <w:widowControl/>
        <w:ind w:left="0" w:firstLine="0"/>
      </w:pPr>
      <w:r>
        <w:rPr>
          <w:rFonts w:hint="eastAsia"/>
        </w:rPr>
        <w:t>环境保护计划的执行</w:t>
      </w:r>
    </w:p>
    <w:p>
      <w:pPr>
        <w:pStyle w:val="3"/>
        <w:ind w:firstLine="31680"/>
      </w:pPr>
      <w:r>
        <w:rPr>
          <w:rFonts w:hint="eastAsia"/>
        </w:rPr>
        <w:t>环境保护计划的制定主要是为了落实环境影响报告书所提出的环境保护措施及建议；对工程实施（设计、施工）期间的监督和营运期的监测等工作提出要求。</w:t>
      </w:r>
    </w:p>
    <w:p>
      <w:pPr>
        <w:pStyle w:val="3"/>
        <w:ind w:firstLine="31680"/>
      </w:pPr>
      <w:r>
        <w:t>a</w:t>
      </w:r>
      <w:r>
        <w:rPr>
          <w:rFonts w:hint="eastAsia"/>
        </w:rPr>
        <w:t>）设计单位应将环境影响报告书提出的环保措施落实到施工图设计中；建设单位应负责环保措施的工程设计方案审查工作。</w:t>
      </w:r>
    </w:p>
    <w:p>
      <w:pPr>
        <w:pStyle w:val="3"/>
        <w:ind w:firstLine="31680"/>
      </w:pPr>
      <w:r>
        <w:t>b</w:t>
      </w:r>
      <w:r>
        <w:rPr>
          <w:rFonts w:hint="eastAsia"/>
        </w:rPr>
        <w:t>）承包商在投标中应含有环境保护的内容，在中标的合同中应有环境影响报告书提出的环境保护措施及建议的相应条文。</w:t>
      </w:r>
    </w:p>
    <w:p>
      <w:pPr>
        <w:pStyle w:val="3"/>
        <w:ind w:firstLine="31680"/>
      </w:pPr>
      <w:r>
        <w:t>c</w:t>
      </w:r>
      <w:r>
        <w:rPr>
          <w:rFonts w:hint="eastAsia"/>
        </w:rPr>
        <w:t>）业主应要求施工监理机构配备具有一定的环境保护知识和技能的</w:t>
      </w:r>
      <w:r>
        <w:t>2</w:t>
      </w:r>
      <w:r>
        <w:rPr>
          <w:rFonts w:hint="eastAsia"/>
        </w:rPr>
        <w:t>名监理工程师，实施环境工程监理制度，负责施工期的环境管理与监督。各承包单位应配备</w:t>
      </w:r>
      <w:r>
        <w:t>1</w:t>
      </w:r>
      <w:r>
        <w:rPr>
          <w:rFonts w:hint="eastAsia"/>
        </w:rPr>
        <w:t>名环保员，具体监督、管理环保措施的实施。</w:t>
      </w:r>
    </w:p>
    <w:p>
      <w:pPr>
        <w:pStyle w:val="3"/>
        <w:ind w:firstLine="31680"/>
      </w:pPr>
      <w:r>
        <w:t>d</w:t>
      </w:r>
      <w:r>
        <w:rPr>
          <w:rFonts w:hint="eastAsia"/>
        </w:rPr>
        <w:t>）营运期的环保管理、监测和需补充的环境保护工程措施等由公路运营管理机构组织实施。</w:t>
      </w:r>
    </w:p>
    <w:p>
      <w:pPr>
        <w:pStyle w:val="4"/>
        <w:ind w:left="567" w:hanging="567"/>
      </w:pPr>
      <w:bookmarkStart w:id="330" w:name="_Toc10561"/>
      <w:r>
        <w:rPr>
          <w:rFonts w:hint="eastAsia"/>
        </w:rPr>
        <w:t>环境监测计划和要求</w:t>
      </w:r>
      <w:bookmarkEnd w:id="330"/>
    </w:p>
    <w:p>
      <w:pPr>
        <w:pStyle w:val="5"/>
        <w:widowControl/>
        <w:ind w:left="567" w:hanging="567"/>
      </w:pPr>
      <w:r>
        <w:rPr>
          <w:rFonts w:hint="eastAsia"/>
        </w:rPr>
        <w:t>制订目的及原则</w:t>
      </w:r>
    </w:p>
    <w:p>
      <w:pPr>
        <w:pStyle w:val="3"/>
        <w:ind w:firstLine="31680"/>
      </w:pPr>
      <w:r>
        <w:rPr>
          <w:rFonts w:hint="eastAsia"/>
        </w:rPr>
        <w:t>制订环境监测计划的目的是为了监督各项环保措施的落实执行情况，根据监测结果适时调整环境保护计划，为环保措施的实施时间和周期提供依据，为项目的环保竣工验收提供依据。制订的原则是根据预测的各个时期的主要环境影响及可能超标的路段和超标量而确定（重点是主要敏感点、段）。</w:t>
      </w:r>
    </w:p>
    <w:p>
      <w:pPr>
        <w:pStyle w:val="5"/>
        <w:widowControl/>
        <w:ind w:left="567" w:hanging="567"/>
      </w:pPr>
      <w:r>
        <w:rPr>
          <w:rFonts w:hint="eastAsia"/>
        </w:rPr>
        <w:t>监测项目</w:t>
      </w:r>
    </w:p>
    <w:p>
      <w:pPr>
        <w:pStyle w:val="3"/>
        <w:ind w:firstLine="31680"/>
      </w:pPr>
      <w:r>
        <w:t>a</w:t>
      </w:r>
      <w:r>
        <w:rPr>
          <w:rFonts w:hint="eastAsia"/>
        </w:rPr>
        <w:t>）施工期监测项目：公路沿线</w:t>
      </w:r>
      <w:r>
        <w:t>TSP</w:t>
      </w:r>
      <w:r>
        <w:rPr>
          <w:rFonts w:hint="eastAsia"/>
        </w:rPr>
        <w:t>、施工噪声监测及路线临近的大里塘水库水质监测，水质监测项目主要为</w:t>
      </w:r>
      <w:r>
        <w:t>pH</w:t>
      </w:r>
      <w:r>
        <w:rPr>
          <w:rFonts w:hint="eastAsia"/>
        </w:rPr>
        <w:t>、</w:t>
      </w:r>
      <w:r>
        <w:t>COD</w:t>
      </w:r>
      <w:r>
        <w:rPr>
          <w:vertAlign w:val="subscript"/>
        </w:rPr>
        <w:t>Cr</w:t>
      </w:r>
      <w:r>
        <w:rPr>
          <w:rFonts w:hint="eastAsia"/>
        </w:rPr>
        <w:t>、</w:t>
      </w:r>
      <w:r>
        <w:t>NH</w:t>
      </w:r>
      <w:r>
        <w:rPr>
          <w:vertAlign w:val="subscript"/>
        </w:rPr>
        <w:t>3</w:t>
      </w:r>
      <w:r>
        <w:t>-N</w:t>
      </w:r>
      <w:r>
        <w:rPr>
          <w:rFonts w:hint="eastAsia"/>
        </w:rPr>
        <w:t>、</w:t>
      </w:r>
      <w:r>
        <w:t>SS</w:t>
      </w:r>
      <w:r>
        <w:rPr>
          <w:rFonts w:hint="eastAsia"/>
        </w:rPr>
        <w:t>、石油类。</w:t>
      </w:r>
    </w:p>
    <w:p>
      <w:pPr>
        <w:pStyle w:val="3"/>
        <w:ind w:firstLine="31680"/>
      </w:pPr>
      <w:r>
        <w:t>b</w:t>
      </w:r>
      <w:r>
        <w:rPr>
          <w:rFonts w:hint="eastAsia"/>
        </w:rPr>
        <w:t>）营运期监测项目：公路沿线</w:t>
      </w:r>
      <w:r>
        <w:t>TSP</w:t>
      </w:r>
      <w:r>
        <w:rPr>
          <w:rFonts w:hint="eastAsia"/>
        </w:rPr>
        <w:t>、</w:t>
      </w:r>
      <w:r>
        <w:t>NO</w:t>
      </w:r>
      <w:r>
        <w:rPr>
          <w:vertAlign w:val="subscript"/>
        </w:rPr>
        <w:t>2</w:t>
      </w:r>
      <w:r>
        <w:rPr>
          <w:rFonts w:hint="eastAsia"/>
        </w:rPr>
        <w:t>、交通噪声以及交通流量。</w:t>
      </w:r>
    </w:p>
    <w:p>
      <w:pPr>
        <w:pStyle w:val="5"/>
        <w:widowControl/>
        <w:ind w:left="567" w:hanging="567"/>
        <w:rPr>
          <w:u w:val="single"/>
        </w:rPr>
      </w:pPr>
      <w:r>
        <w:rPr>
          <w:rFonts w:hint="eastAsia"/>
          <w:u w:val="single"/>
        </w:rPr>
        <w:t>环境监测计划</w:t>
      </w:r>
    </w:p>
    <w:p>
      <w:pPr>
        <w:pStyle w:val="3"/>
        <w:ind w:firstLine="31680"/>
        <w:rPr>
          <w:u w:val="single"/>
        </w:rPr>
      </w:pPr>
      <w:r>
        <w:rPr>
          <w:rFonts w:hint="eastAsia"/>
          <w:u w:val="single"/>
        </w:rPr>
        <w:t>本项目环境监测计划具体见表</w:t>
      </w:r>
      <w:r>
        <w:rPr>
          <w:u w:val="single"/>
        </w:rPr>
        <w:t>13.2-1</w:t>
      </w:r>
      <w:r>
        <w:rPr>
          <w:rFonts w:hint="eastAsia"/>
          <w:u w:val="single"/>
        </w:rPr>
        <w:t>。</w:t>
      </w:r>
    </w:p>
    <w:p>
      <w:pPr>
        <w:pStyle w:val="19"/>
        <w:jc w:val="center"/>
        <w:rPr>
          <w:u w:val="single"/>
        </w:rPr>
      </w:pPr>
      <w:r>
        <w:rPr>
          <w:rFonts w:hint="eastAsia"/>
          <w:u w:val="single"/>
        </w:rPr>
        <w:t>表</w:t>
      </w:r>
      <w:r>
        <w:rPr>
          <w:u w:val="single"/>
        </w:rPr>
        <w:t xml:space="preserve">13.2-1   </w:t>
      </w:r>
      <w:r>
        <w:rPr>
          <w:rFonts w:hint="eastAsia"/>
          <w:u w:val="single"/>
        </w:rPr>
        <w:t>环境监测计划</w:t>
      </w:r>
    </w:p>
    <w:tbl>
      <w:tblPr>
        <w:tblStyle w:val="65"/>
        <w:tblW w:w="930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89"/>
        <w:gridCol w:w="782"/>
        <w:gridCol w:w="2086"/>
        <w:gridCol w:w="1163"/>
        <w:gridCol w:w="2090"/>
        <w:gridCol w:w="1435"/>
        <w:gridCol w:w="115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blHeader/>
        </w:trPr>
        <w:tc>
          <w:tcPr>
            <w:tcW w:w="589" w:type="dxa"/>
            <w:tcBorders>
              <w:right w:val="single" w:color="auto" w:sz="4" w:space="0"/>
            </w:tcBorders>
            <w:vAlign w:val="center"/>
          </w:tcPr>
          <w:p>
            <w:pPr>
              <w:pStyle w:val="112"/>
              <w:rPr>
                <w:sz w:val="18"/>
                <w:szCs w:val="18"/>
                <w:u w:val="single"/>
              </w:rPr>
            </w:pPr>
            <w:r>
              <w:rPr>
                <w:rFonts w:hint="eastAsia"/>
                <w:sz w:val="18"/>
                <w:szCs w:val="18"/>
                <w:u w:val="single"/>
              </w:rPr>
              <w:t>项目</w:t>
            </w:r>
          </w:p>
        </w:tc>
        <w:tc>
          <w:tcPr>
            <w:tcW w:w="782" w:type="dxa"/>
            <w:tcBorders>
              <w:left w:val="single" w:color="auto" w:sz="4" w:space="0"/>
            </w:tcBorders>
            <w:vAlign w:val="center"/>
          </w:tcPr>
          <w:p>
            <w:pPr>
              <w:pStyle w:val="112"/>
              <w:rPr>
                <w:sz w:val="18"/>
                <w:szCs w:val="18"/>
                <w:u w:val="single"/>
              </w:rPr>
            </w:pPr>
            <w:r>
              <w:rPr>
                <w:rFonts w:hint="eastAsia"/>
                <w:sz w:val="18"/>
                <w:szCs w:val="18"/>
                <w:u w:val="single"/>
              </w:rPr>
              <w:t>阶段</w:t>
            </w:r>
          </w:p>
        </w:tc>
        <w:tc>
          <w:tcPr>
            <w:tcW w:w="2086" w:type="dxa"/>
            <w:vAlign w:val="center"/>
          </w:tcPr>
          <w:p>
            <w:pPr>
              <w:pStyle w:val="112"/>
              <w:rPr>
                <w:sz w:val="18"/>
                <w:szCs w:val="18"/>
                <w:u w:val="single"/>
              </w:rPr>
            </w:pPr>
            <w:r>
              <w:rPr>
                <w:rFonts w:hint="eastAsia"/>
                <w:sz w:val="18"/>
                <w:szCs w:val="18"/>
                <w:u w:val="single"/>
              </w:rPr>
              <w:t>监测地点</w:t>
            </w:r>
          </w:p>
        </w:tc>
        <w:tc>
          <w:tcPr>
            <w:tcW w:w="1163" w:type="dxa"/>
            <w:tcBorders>
              <w:right w:val="single" w:color="auto" w:sz="4" w:space="0"/>
            </w:tcBorders>
            <w:vAlign w:val="center"/>
          </w:tcPr>
          <w:p>
            <w:pPr>
              <w:pStyle w:val="112"/>
              <w:rPr>
                <w:sz w:val="18"/>
                <w:szCs w:val="18"/>
                <w:u w:val="single"/>
              </w:rPr>
            </w:pPr>
            <w:r>
              <w:rPr>
                <w:rFonts w:hint="eastAsia"/>
                <w:sz w:val="18"/>
                <w:szCs w:val="18"/>
                <w:u w:val="single"/>
              </w:rPr>
              <w:t>监测项目</w:t>
            </w:r>
          </w:p>
        </w:tc>
        <w:tc>
          <w:tcPr>
            <w:tcW w:w="2090" w:type="dxa"/>
            <w:tcBorders>
              <w:left w:val="single" w:color="auto" w:sz="4" w:space="0"/>
            </w:tcBorders>
            <w:vAlign w:val="center"/>
          </w:tcPr>
          <w:p>
            <w:pPr>
              <w:pStyle w:val="112"/>
              <w:rPr>
                <w:sz w:val="18"/>
                <w:szCs w:val="18"/>
                <w:u w:val="single"/>
              </w:rPr>
            </w:pPr>
            <w:r>
              <w:rPr>
                <w:rFonts w:hint="eastAsia"/>
                <w:sz w:val="18"/>
                <w:szCs w:val="18"/>
                <w:u w:val="single"/>
              </w:rPr>
              <w:t>评价标准</w:t>
            </w:r>
          </w:p>
        </w:tc>
        <w:tc>
          <w:tcPr>
            <w:tcW w:w="1435" w:type="dxa"/>
            <w:vAlign w:val="center"/>
          </w:tcPr>
          <w:p>
            <w:pPr>
              <w:pStyle w:val="112"/>
              <w:rPr>
                <w:sz w:val="18"/>
                <w:szCs w:val="18"/>
                <w:u w:val="single"/>
              </w:rPr>
            </w:pPr>
            <w:r>
              <w:rPr>
                <w:rFonts w:hint="eastAsia"/>
                <w:sz w:val="18"/>
                <w:szCs w:val="18"/>
                <w:u w:val="single"/>
              </w:rPr>
              <w:t>监测频次</w:t>
            </w:r>
          </w:p>
        </w:tc>
        <w:tc>
          <w:tcPr>
            <w:tcW w:w="1159" w:type="dxa"/>
            <w:vAlign w:val="center"/>
          </w:tcPr>
          <w:p>
            <w:pPr>
              <w:pStyle w:val="112"/>
              <w:rPr>
                <w:sz w:val="18"/>
                <w:szCs w:val="18"/>
                <w:u w:val="single"/>
              </w:rPr>
            </w:pPr>
            <w:r>
              <w:rPr>
                <w:rFonts w:hint="eastAsia"/>
                <w:sz w:val="18"/>
                <w:szCs w:val="18"/>
                <w:u w:val="single"/>
              </w:rPr>
              <w:t>监测时间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928" w:hRule="atLeast"/>
        </w:trPr>
        <w:tc>
          <w:tcPr>
            <w:tcW w:w="589" w:type="dxa"/>
            <w:vMerge w:val="restart"/>
            <w:tcBorders>
              <w:right w:val="single" w:color="auto" w:sz="4" w:space="0"/>
            </w:tcBorders>
            <w:vAlign w:val="center"/>
          </w:tcPr>
          <w:p>
            <w:pPr>
              <w:pStyle w:val="112"/>
              <w:rPr>
                <w:sz w:val="18"/>
                <w:szCs w:val="18"/>
                <w:u w:val="single"/>
              </w:rPr>
            </w:pPr>
            <w:r>
              <w:rPr>
                <w:rFonts w:hint="eastAsia"/>
                <w:sz w:val="18"/>
                <w:szCs w:val="18"/>
                <w:u w:val="single"/>
              </w:rPr>
              <w:t>环境空气</w:t>
            </w:r>
          </w:p>
        </w:tc>
        <w:tc>
          <w:tcPr>
            <w:tcW w:w="782" w:type="dxa"/>
            <w:tcBorders>
              <w:left w:val="single" w:color="auto" w:sz="4" w:space="0"/>
            </w:tcBorders>
            <w:vAlign w:val="center"/>
          </w:tcPr>
          <w:p>
            <w:pPr>
              <w:pStyle w:val="112"/>
              <w:rPr>
                <w:sz w:val="18"/>
                <w:szCs w:val="18"/>
                <w:u w:val="single"/>
              </w:rPr>
            </w:pPr>
            <w:r>
              <w:rPr>
                <w:rFonts w:hint="eastAsia"/>
                <w:sz w:val="18"/>
                <w:szCs w:val="18"/>
                <w:u w:val="single"/>
              </w:rPr>
              <w:t>施工期</w:t>
            </w:r>
          </w:p>
        </w:tc>
        <w:tc>
          <w:tcPr>
            <w:tcW w:w="2086" w:type="dxa"/>
            <w:vAlign w:val="center"/>
          </w:tcPr>
          <w:p>
            <w:pPr>
              <w:pStyle w:val="112"/>
              <w:rPr>
                <w:sz w:val="18"/>
                <w:szCs w:val="18"/>
                <w:u w:val="single"/>
              </w:rPr>
            </w:pPr>
            <w:r>
              <w:rPr>
                <w:rFonts w:hint="eastAsia"/>
                <w:sz w:val="18"/>
                <w:szCs w:val="18"/>
                <w:u w:val="single"/>
              </w:rPr>
              <w:t>铜盆村、大陆村、桃花村、莲花村、大里塘村居民点</w:t>
            </w:r>
          </w:p>
        </w:tc>
        <w:tc>
          <w:tcPr>
            <w:tcW w:w="1163" w:type="dxa"/>
            <w:tcBorders>
              <w:right w:val="single" w:color="auto" w:sz="4" w:space="0"/>
            </w:tcBorders>
            <w:vAlign w:val="center"/>
          </w:tcPr>
          <w:p>
            <w:pPr>
              <w:pStyle w:val="112"/>
              <w:rPr>
                <w:kern w:val="28"/>
                <w:sz w:val="18"/>
                <w:szCs w:val="18"/>
                <w:u w:val="single"/>
              </w:rPr>
            </w:pPr>
            <w:r>
              <w:rPr>
                <w:sz w:val="18"/>
                <w:szCs w:val="18"/>
                <w:u w:val="single"/>
              </w:rPr>
              <w:t>TSP</w:t>
            </w:r>
          </w:p>
        </w:tc>
        <w:tc>
          <w:tcPr>
            <w:tcW w:w="2090" w:type="dxa"/>
            <w:tcBorders>
              <w:left w:val="single" w:color="auto" w:sz="4" w:space="0"/>
            </w:tcBorders>
            <w:vAlign w:val="center"/>
          </w:tcPr>
          <w:p>
            <w:pPr>
              <w:pStyle w:val="112"/>
              <w:rPr>
                <w:sz w:val="18"/>
                <w:szCs w:val="18"/>
                <w:u w:val="single"/>
              </w:rPr>
            </w:pPr>
            <w:r>
              <w:rPr>
                <w:rFonts w:hint="eastAsia"/>
                <w:sz w:val="18"/>
                <w:szCs w:val="18"/>
                <w:u w:val="single"/>
              </w:rPr>
              <w:t>（</w:t>
            </w:r>
            <w:r>
              <w:rPr>
                <w:sz w:val="18"/>
                <w:szCs w:val="18"/>
                <w:u w:val="single"/>
              </w:rPr>
              <w:t>GB3095-2012</w:t>
            </w:r>
            <w:r>
              <w:rPr>
                <w:rFonts w:hint="eastAsia"/>
                <w:sz w:val="18"/>
                <w:szCs w:val="18"/>
                <w:u w:val="single"/>
              </w:rPr>
              <w:t>）二级</w:t>
            </w:r>
          </w:p>
          <w:p>
            <w:pPr>
              <w:pStyle w:val="112"/>
              <w:rPr>
                <w:kern w:val="28"/>
                <w:sz w:val="18"/>
                <w:szCs w:val="18"/>
                <w:u w:val="single"/>
              </w:rPr>
            </w:pPr>
            <w:r>
              <w:rPr>
                <w:rFonts w:hint="eastAsia"/>
                <w:sz w:val="18"/>
                <w:szCs w:val="18"/>
                <w:u w:val="single"/>
              </w:rPr>
              <w:t>标准</w:t>
            </w:r>
          </w:p>
        </w:tc>
        <w:tc>
          <w:tcPr>
            <w:tcW w:w="1435" w:type="dxa"/>
            <w:vAlign w:val="center"/>
          </w:tcPr>
          <w:p>
            <w:pPr>
              <w:pStyle w:val="112"/>
              <w:rPr>
                <w:kern w:val="28"/>
                <w:sz w:val="18"/>
                <w:szCs w:val="18"/>
                <w:u w:val="single"/>
              </w:rPr>
            </w:pPr>
            <w:r>
              <w:rPr>
                <w:kern w:val="28"/>
                <w:sz w:val="18"/>
                <w:szCs w:val="18"/>
                <w:u w:val="single"/>
              </w:rPr>
              <w:t>1</w:t>
            </w:r>
            <w:r>
              <w:rPr>
                <w:rFonts w:hint="eastAsia"/>
                <w:kern w:val="28"/>
                <w:sz w:val="18"/>
                <w:szCs w:val="18"/>
                <w:u w:val="single"/>
              </w:rPr>
              <w:t>次</w:t>
            </w:r>
            <w:r>
              <w:rPr>
                <w:kern w:val="28"/>
                <w:sz w:val="18"/>
                <w:szCs w:val="18"/>
                <w:u w:val="single"/>
              </w:rPr>
              <w:t>/</w:t>
            </w:r>
            <w:r>
              <w:rPr>
                <w:rFonts w:hint="eastAsia"/>
                <w:kern w:val="28"/>
                <w:sz w:val="18"/>
                <w:szCs w:val="18"/>
                <w:u w:val="single"/>
              </w:rPr>
              <w:t>季，必要时随机监测</w:t>
            </w:r>
          </w:p>
        </w:tc>
        <w:tc>
          <w:tcPr>
            <w:tcW w:w="1159" w:type="dxa"/>
            <w:vAlign w:val="center"/>
          </w:tcPr>
          <w:p>
            <w:pPr>
              <w:pStyle w:val="112"/>
              <w:rPr>
                <w:kern w:val="28"/>
                <w:sz w:val="18"/>
                <w:szCs w:val="18"/>
                <w:u w:val="single"/>
              </w:rPr>
            </w:pPr>
            <w:r>
              <w:rPr>
                <w:kern w:val="28"/>
                <w:sz w:val="18"/>
                <w:szCs w:val="18"/>
                <w:u w:val="single"/>
              </w:rPr>
              <w:t>3d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1081" w:hRule="atLeast"/>
        </w:trPr>
        <w:tc>
          <w:tcPr>
            <w:tcW w:w="589" w:type="dxa"/>
            <w:vMerge w:val="continue"/>
            <w:tcBorders>
              <w:right w:val="single" w:color="auto" w:sz="4" w:space="0"/>
            </w:tcBorders>
            <w:vAlign w:val="center"/>
          </w:tcPr>
          <w:p>
            <w:pPr>
              <w:pStyle w:val="112"/>
              <w:rPr>
                <w:sz w:val="18"/>
                <w:szCs w:val="18"/>
                <w:u w:val="single"/>
              </w:rPr>
            </w:pPr>
          </w:p>
        </w:tc>
        <w:tc>
          <w:tcPr>
            <w:tcW w:w="782" w:type="dxa"/>
            <w:tcBorders>
              <w:left w:val="single" w:color="auto" w:sz="4" w:space="0"/>
            </w:tcBorders>
            <w:vAlign w:val="center"/>
          </w:tcPr>
          <w:p>
            <w:pPr>
              <w:pStyle w:val="112"/>
              <w:rPr>
                <w:sz w:val="18"/>
                <w:szCs w:val="18"/>
                <w:u w:val="single"/>
              </w:rPr>
            </w:pPr>
            <w:r>
              <w:rPr>
                <w:rFonts w:hint="eastAsia"/>
                <w:sz w:val="18"/>
                <w:szCs w:val="18"/>
                <w:u w:val="single"/>
              </w:rPr>
              <w:t>营运期</w:t>
            </w:r>
          </w:p>
        </w:tc>
        <w:tc>
          <w:tcPr>
            <w:tcW w:w="2086" w:type="dxa"/>
            <w:vAlign w:val="center"/>
          </w:tcPr>
          <w:p>
            <w:pPr>
              <w:pStyle w:val="112"/>
              <w:rPr>
                <w:sz w:val="18"/>
                <w:szCs w:val="18"/>
                <w:u w:val="single"/>
              </w:rPr>
            </w:pPr>
            <w:r>
              <w:rPr>
                <w:rFonts w:hint="eastAsia"/>
                <w:sz w:val="18"/>
                <w:szCs w:val="18"/>
                <w:u w:val="single"/>
              </w:rPr>
              <w:t>铜盆村、大陆村、桃花村、莲花村、大里塘村居民点</w:t>
            </w:r>
          </w:p>
        </w:tc>
        <w:tc>
          <w:tcPr>
            <w:tcW w:w="1163" w:type="dxa"/>
            <w:tcBorders>
              <w:right w:val="single" w:color="auto" w:sz="4" w:space="0"/>
            </w:tcBorders>
            <w:vAlign w:val="center"/>
          </w:tcPr>
          <w:p>
            <w:pPr>
              <w:pStyle w:val="112"/>
              <w:rPr>
                <w:kern w:val="28"/>
                <w:sz w:val="18"/>
                <w:szCs w:val="18"/>
                <w:u w:val="single"/>
              </w:rPr>
            </w:pPr>
            <w:r>
              <w:rPr>
                <w:sz w:val="18"/>
                <w:szCs w:val="18"/>
                <w:u w:val="single"/>
              </w:rPr>
              <w:t>TSP</w:t>
            </w:r>
            <w:r>
              <w:rPr>
                <w:rFonts w:hint="eastAsia"/>
                <w:sz w:val="18"/>
                <w:szCs w:val="18"/>
                <w:u w:val="single"/>
              </w:rPr>
              <w:t>、</w:t>
            </w:r>
            <w:r>
              <w:rPr>
                <w:sz w:val="18"/>
                <w:szCs w:val="18"/>
                <w:u w:val="single"/>
              </w:rPr>
              <w:t>NO</w:t>
            </w:r>
            <w:r>
              <w:rPr>
                <w:sz w:val="18"/>
                <w:szCs w:val="18"/>
                <w:u w:val="single"/>
                <w:vertAlign w:val="subscript"/>
              </w:rPr>
              <w:t>2</w:t>
            </w:r>
          </w:p>
        </w:tc>
        <w:tc>
          <w:tcPr>
            <w:tcW w:w="2090" w:type="dxa"/>
            <w:tcBorders>
              <w:left w:val="single" w:color="auto" w:sz="4" w:space="0"/>
            </w:tcBorders>
            <w:vAlign w:val="center"/>
          </w:tcPr>
          <w:p>
            <w:pPr>
              <w:pStyle w:val="112"/>
              <w:rPr>
                <w:sz w:val="18"/>
                <w:szCs w:val="18"/>
                <w:u w:val="single"/>
              </w:rPr>
            </w:pPr>
            <w:r>
              <w:rPr>
                <w:rFonts w:hint="eastAsia"/>
                <w:sz w:val="18"/>
                <w:szCs w:val="18"/>
                <w:u w:val="single"/>
              </w:rPr>
              <w:t>（</w:t>
            </w:r>
            <w:r>
              <w:rPr>
                <w:sz w:val="18"/>
                <w:szCs w:val="18"/>
                <w:u w:val="single"/>
              </w:rPr>
              <w:t>GB3095-2012</w:t>
            </w:r>
            <w:r>
              <w:rPr>
                <w:rFonts w:hint="eastAsia"/>
                <w:sz w:val="18"/>
                <w:szCs w:val="18"/>
                <w:u w:val="single"/>
              </w:rPr>
              <w:t>）二级</w:t>
            </w:r>
          </w:p>
          <w:p>
            <w:pPr>
              <w:pStyle w:val="112"/>
              <w:rPr>
                <w:sz w:val="18"/>
                <w:szCs w:val="18"/>
                <w:u w:val="single"/>
              </w:rPr>
            </w:pPr>
            <w:r>
              <w:rPr>
                <w:rFonts w:hint="eastAsia"/>
                <w:sz w:val="18"/>
                <w:szCs w:val="18"/>
                <w:u w:val="single"/>
              </w:rPr>
              <w:t>标准</w:t>
            </w:r>
          </w:p>
        </w:tc>
        <w:tc>
          <w:tcPr>
            <w:tcW w:w="1435" w:type="dxa"/>
            <w:vAlign w:val="center"/>
          </w:tcPr>
          <w:p>
            <w:pPr>
              <w:pStyle w:val="112"/>
              <w:rPr>
                <w:kern w:val="28"/>
                <w:sz w:val="18"/>
                <w:szCs w:val="18"/>
                <w:u w:val="single"/>
              </w:rPr>
            </w:pPr>
            <w:r>
              <w:rPr>
                <w:kern w:val="28"/>
                <w:sz w:val="18"/>
                <w:szCs w:val="18"/>
                <w:u w:val="single"/>
              </w:rPr>
              <w:t>1</w:t>
            </w:r>
            <w:r>
              <w:rPr>
                <w:rFonts w:hint="eastAsia"/>
                <w:kern w:val="28"/>
                <w:sz w:val="18"/>
                <w:szCs w:val="18"/>
                <w:u w:val="single"/>
              </w:rPr>
              <w:t>次</w:t>
            </w:r>
            <w:r>
              <w:rPr>
                <w:kern w:val="28"/>
                <w:sz w:val="18"/>
                <w:szCs w:val="18"/>
                <w:u w:val="single"/>
              </w:rPr>
              <w:t>/</w:t>
            </w:r>
            <w:r>
              <w:rPr>
                <w:rFonts w:hint="eastAsia"/>
                <w:kern w:val="28"/>
                <w:sz w:val="18"/>
                <w:szCs w:val="18"/>
                <w:u w:val="single"/>
              </w:rPr>
              <w:t>年，必要时随机监测</w:t>
            </w:r>
          </w:p>
        </w:tc>
        <w:tc>
          <w:tcPr>
            <w:tcW w:w="1159" w:type="dxa"/>
            <w:vAlign w:val="center"/>
          </w:tcPr>
          <w:p>
            <w:pPr>
              <w:pStyle w:val="112"/>
              <w:rPr>
                <w:kern w:val="28"/>
                <w:sz w:val="18"/>
                <w:szCs w:val="18"/>
                <w:u w:val="single"/>
              </w:rPr>
            </w:pPr>
            <w:r>
              <w:rPr>
                <w:kern w:val="28"/>
                <w:sz w:val="18"/>
                <w:szCs w:val="18"/>
                <w:u w:val="single"/>
              </w:rPr>
              <w:t>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89" w:type="dxa"/>
            <w:vMerge w:val="restart"/>
            <w:vAlign w:val="center"/>
          </w:tcPr>
          <w:p>
            <w:pPr>
              <w:pStyle w:val="112"/>
              <w:rPr>
                <w:sz w:val="18"/>
                <w:szCs w:val="18"/>
                <w:u w:val="single"/>
              </w:rPr>
            </w:pPr>
            <w:r>
              <w:rPr>
                <w:rFonts w:hint="eastAsia"/>
                <w:sz w:val="18"/>
                <w:szCs w:val="18"/>
                <w:u w:val="single"/>
              </w:rPr>
              <w:t>环境噪声</w:t>
            </w:r>
          </w:p>
        </w:tc>
        <w:tc>
          <w:tcPr>
            <w:tcW w:w="782" w:type="dxa"/>
            <w:vAlign w:val="center"/>
          </w:tcPr>
          <w:p>
            <w:pPr>
              <w:pStyle w:val="112"/>
              <w:rPr>
                <w:sz w:val="18"/>
                <w:szCs w:val="18"/>
                <w:u w:val="single"/>
              </w:rPr>
            </w:pPr>
            <w:r>
              <w:rPr>
                <w:rFonts w:hint="eastAsia"/>
                <w:sz w:val="18"/>
                <w:szCs w:val="18"/>
                <w:u w:val="single"/>
              </w:rPr>
              <w:t>施工期</w:t>
            </w:r>
          </w:p>
        </w:tc>
        <w:tc>
          <w:tcPr>
            <w:tcW w:w="2086" w:type="dxa"/>
            <w:vAlign w:val="center"/>
          </w:tcPr>
          <w:p>
            <w:pPr>
              <w:pStyle w:val="112"/>
              <w:rPr>
                <w:sz w:val="18"/>
                <w:szCs w:val="18"/>
                <w:u w:val="single"/>
              </w:rPr>
            </w:pPr>
            <w:r>
              <w:rPr>
                <w:rFonts w:hint="eastAsia"/>
                <w:sz w:val="18"/>
                <w:szCs w:val="18"/>
                <w:u w:val="single"/>
              </w:rPr>
              <w:t>靠近项目铜盆村、大陆村、桃花村、莲花村、大里塘村居民点</w:t>
            </w:r>
          </w:p>
        </w:tc>
        <w:tc>
          <w:tcPr>
            <w:tcW w:w="1163" w:type="dxa"/>
            <w:vAlign w:val="center"/>
          </w:tcPr>
          <w:p>
            <w:pPr>
              <w:pStyle w:val="112"/>
              <w:rPr>
                <w:sz w:val="18"/>
                <w:szCs w:val="18"/>
                <w:u w:val="single"/>
              </w:rPr>
            </w:pPr>
            <w:r>
              <w:rPr>
                <w:rFonts w:hint="eastAsia"/>
                <w:sz w:val="18"/>
                <w:szCs w:val="18"/>
                <w:u w:val="single"/>
              </w:rPr>
              <w:t>等效连续</w:t>
            </w:r>
            <w:r>
              <w:rPr>
                <w:sz w:val="18"/>
                <w:szCs w:val="18"/>
                <w:u w:val="single"/>
              </w:rPr>
              <w:t>A</w:t>
            </w:r>
            <w:r>
              <w:rPr>
                <w:rFonts w:hint="eastAsia"/>
                <w:sz w:val="18"/>
                <w:szCs w:val="18"/>
                <w:u w:val="single"/>
              </w:rPr>
              <w:t>声级</w:t>
            </w:r>
            <w:r>
              <w:rPr>
                <w:sz w:val="18"/>
                <w:szCs w:val="18"/>
                <w:u w:val="single"/>
              </w:rPr>
              <w:t>Leq</w:t>
            </w:r>
            <w:r>
              <w:rPr>
                <w:rFonts w:hint="eastAsia"/>
                <w:sz w:val="18"/>
                <w:szCs w:val="18"/>
                <w:u w:val="single"/>
              </w:rPr>
              <w:t>（</w:t>
            </w:r>
            <w:r>
              <w:rPr>
                <w:sz w:val="18"/>
                <w:szCs w:val="18"/>
                <w:u w:val="single"/>
              </w:rPr>
              <w:t>A</w:t>
            </w:r>
            <w:r>
              <w:rPr>
                <w:rFonts w:hint="eastAsia"/>
                <w:sz w:val="18"/>
                <w:szCs w:val="18"/>
                <w:u w:val="single"/>
              </w:rPr>
              <w:t>）</w:t>
            </w:r>
          </w:p>
        </w:tc>
        <w:tc>
          <w:tcPr>
            <w:tcW w:w="2090" w:type="dxa"/>
            <w:vAlign w:val="center"/>
          </w:tcPr>
          <w:p>
            <w:pPr>
              <w:pStyle w:val="112"/>
              <w:rPr>
                <w:sz w:val="18"/>
                <w:szCs w:val="18"/>
                <w:u w:val="single"/>
              </w:rPr>
            </w:pPr>
            <w:r>
              <w:rPr>
                <w:rFonts w:hint="eastAsia"/>
                <w:sz w:val="18"/>
                <w:szCs w:val="18"/>
                <w:u w:val="single"/>
              </w:rPr>
              <w:t>（</w:t>
            </w:r>
            <w:r>
              <w:rPr>
                <w:sz w:val="18"/>
                <w:szCs w:val="18"/>
                <w:u w:val="single"/>
              </w:rPr>
              <w:t>GB3096-2008</w:t>
            </w:r>
            <w:r>
              <w:rPr>
                <w:rFonts w:hint="eastAsia"/>
                <w:sz w:val="18"/>
                <w:szCs w:val="18"/>
                <w:u w:val="single"/>
              </w:rPr>
              <w:t>）</w:t>
            </w:r>
            <w:r>
              <w:rPr>
                <w:sz w:val="18"/>
                <w:szCs w:val="18"/>
                <w:u w:val="single"/>
              </w:rPr>
              <w:t>2</w:t>
            </w:r>
            <w:r>
              <w:rPr>
                <w:rFonts w:hint="eastAsia"/>
                <w:sz w:val="18"/>
                <w:szCs w:val="18"/>
                <w:u w:val="single"/>
              </w:rPr>
              <w:t>类</w:t>
            </w:r>
          </w:p>
        </w:tc>
        <w:tc>
          <w:tcPr>
            <w:tcW w:w="1435" w:type="dxa"/>
            <w:vAlign w:val="center"/>
          </w:tcPr>
          <w:p>
            <w:pPr>
              <w:pStyle w:val="112"/>
              <w:rPr>
                <w:kern w:val="28"/>
                <w:sz w:val="18"/>
                <w:szCs w:val="18"/>
                <w:u w:val="single"/>
              </w:rPr>
            </w:pPr>
            <w:r>
              <w:rPr>
                <w:kern w:val="28"/>
                <w:sz w:val="18"/>
                <w:szCs w:val="18"/>
                <w:u w:val="single"/>
              </w:rPr>
              <w:t>1</w:t>
            </w:r>
            <w:r>
              <w:rPr>
                <w:rFonts w:hint="eastAsia"/>
                <w:kern w:val="28"/>
                <w:sz w:val="18"/>
                <w:szCs w:val="18"/>
                <w:u w:val="single"/>
              </w:rPr>
              <w:t>次</w:t>
            </w:r>
            <w:r>
              <w:rPr>
                <w:kern w:val="28"/>
                <w:sz w:val="18"/>
                <w:szCs w:val="18"/>
                <w:u w:val="single"/>
              </w:rPr>
              <w:t>/</w:t>
            </w:r>
            <w:r>
              <w:rPr>
                <w:rFonts w:hint="eastAsia"/>
                <w:kern w:val="28"/>
                <w:sz w:val="18"/>
                <w:szCs w:val="18"/>
                <w:u w:val="single"/>
              </w:rPr>
              <w:t>季，必要时随机监测</w:t>
            </w:r>
          </w:p>
        </w:tc>
        <w:tc>
          <w:tcPr>
            <w:tcW w:w="1159" w:type="dxa"/>
            <w:vAlign w:val="center"/>
          </w:tcPr>
          <w:p>
            <w:pPr>
              <w:pStyle w:val="112"/>
              <w:rPr>
                <w:kern w:val="28"/>
                <w:sz w:val="18"/>
                <w:szCs w:val="18"/>
                <w:u w:val="single"/>
              </w:rPr>
            </w:pPr>
            <w:r>
              <w:rPr>
                <w:kern w:val="28"/>
                <w:sz w:val="18"/>
                <w:szCs w:val="18"/>
                <w:u w:val="single"/>
              </w:rPr>
              <w:t>2d</w:t>
            </w:r>
            <w:r>
              <w:rPr>
                <w:rFonts w:hint="eastAsia"/>
                <w:kern w:val="28"/>
                <w:sz w:val="18"/>
                <w:szCs w:val="18"/>
                <w:u w:val="single"/>
              </w:rPr>
              <w:t>，昼夜各监测一次。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9" w:hRule="atLeast"/>
        </w:trPr>
        <w:tc>
          <w:tcPr>
            <w:tcW w:w="589" w:type="dxa"/>
            <w:vMerge w:val="continue"/>
            <w:vAlign w:val="center"/>
          </w:tcPr>
          <w:p>
            <w:pPr>
              <w:pStyle w:val="112"/>
              <w:rPr>
                <w:sz w:val="18"/>
                <w:szCs w:val="18"/>
                <w:u w:val="single"/>
              </w:rPr>
            </w:pPr>
          </w:p>
        </w:tc>
        <w:tc>
          <w:tcPr>
            <w:tcW w:w="782" w:type="dxa"/>
            <w:vAlign w:val="center"/>
          </w:tcPr>
          <w:p>
            <w:pPr>
              <w:pStyle w:val="112"/>
              <w:rPr>
                <w:sz w:val="18"/>
                <w:szCs w:val="18"/>
                <w:u w:val="single"/>
              </w:rPr>
            </w:pPr>
            <w:r>
              <w:rPr>
                <w:rFonts w:hint="eastAsia"/>
                <w:sz w:val="18"/>
                <w:szCs w:val="18"/>
                <w:u w:val="single"/>
              </w:rPr>
              <w:t>营运期</w:t>
            </w:r>
          </w:p>
        </w:tc>
        <w:tc>
          <w:tcPr>
            <w:tcW w:w="2086" w:type="dxa"/>
            <w:vAlign w:val="center"/>
          </w:tcPr>
          <w:p>
            <w:pPr>
              <w:pStyle w:val="112"/>
              <w:rPr>
                <w:kern w:val="28"/>
                <w:sz w:val="18"/>
                <w:szCs w:val="18"/>
                <w:u w:val="single"/>
              </w:rPr>
            </w:pPr>
            <w:r>
              <w:rPr>
                <w:rFonts w:hint="eastAsia"/>
                <w:sz w:val="18"/>
                <w:szCs w:val="18"/>
                <w:u w:val="single"/>
              </w:rPr>
              <w:t>靠近项目附近的铜盆村、大陆村、桃花村、莲花村、大里塘村居民点</w:t>
            </w:r>
          </w:p>
        </w:tc>
        <w:tc>
          <w:tcPr>
            <w:tcW w:w="1163" w:type="dxa"/>
            <w:vAlign w:val="center"/>
          </w:tcPr>
          <w:p>
            <w:pPr>
              <w:pStyle w:val="112"/>
              <w:rPr>
                <w:sz w:val="18"/>
                <w:szCs w:val="18"/>
                <w:u w:val="single"/>
              </w:rPr>
            </w:pPr>
            <w:r>
              <w:rPr>
                <w:rFonts w:hint="eastAsia"/>
                <w:sz w:val="18"/>
                <w:szCs w:val="18"/>
                <w:u w:val="single"/>
              </w:rPr>
              <w:t>等效连续</w:t>
            </w:r>
            <w:r>
              <w:rPr>
                <w:sz w:val="18"/>
                <w:szCs w:val="18"/>
                <w:u w:val="single"/>
              </w:rPr>
              <w:t>A</w:t>
            </w:r>
            <w:r>
              <w:rPr>
                <w:rFonts w:hint="eastAsia"/>
                <w:sz w:val="18"/>
                <w:szCs w:val="18"/>
                <w:u w:val="single"/>
              </w:rPr>
              <w:t>声级</w:t>
            </w:r>
            <w:r>
              <w:rPr>
                <w:sz w:val="18"/>
                <w:szCs w:val="18"/>
                <w:u w:val="single"/>
              </w:rPr>
              <w:t>Leq</w:t>
            </w:r>
            <w:r>
              <w:rPr>
                <w:rFonts w:hint="eastAsia"/>
                <w:sz w:val="18"/>
                <w:szCs w:val="18"/>
                <w:u w:val="single"/>
              </w:rPr>
              <w:t>（</w:t>
            </w:r>
            <w:r>
              <w:rPr>
                <w:sz w:val="18"/>
                <w:szCs w:val="18"/>
                <w:u w:val="single"/>
              </w:rPr>
              <w:t>A</w:t>
            </w:r>
            <w:r>
              <w:rPr>
                <w:rFonts w:hint="eastAsia"/>
                <w:sz w:val="18"/>
                <w:szCs w:val="18"/>
                <w:u w:val="single"/>
              </w:rPr>
              <w:t>）</w:t>
            </w:r>
          </w:p>
        </w:tc>
        <w:tc>
          <w:tcPr>
            <w:tcW w:w="2090" w:type="dxa"/>
            <w:vAlign w:val="center"/>
          </w:tcPr>
          <w:p>
            <w:pPr>
              <w:pStyle w:val="112"/>
              <w:rPr>
                <w:sz w:val="18"/>
                <w:szCs w:val="18"/>
                <w:u w:val="single"/>
              </w:rPr>
            </w:pPr>
            <w:r>
              <w:rPr>
                <w:rFonts w:hint="eastAsia"/>
                <w:sz w:val="18"/>
                <w:szCs w:val="18"/>
                <w:u w:val="single"/>
              </w:rPr>
              <w:t>（</w:t>
            </w:r>
            <w:r>
              <w:rPr>
                <w:sz w:val="18"/>
                <w:szCs w:val="18"/>
                <w:u w:val="single"/>
              </w:rPr>
              <w:t>GB3096-2008</w:t>
            </w:r>
            <w:r>
              <w:rPr>
                <w:rFonts w:hint="eastAsia"/>
                <w:sz w:val="18"/>
                <w:szCs w:val="18"/>
                <w:u w:val="single"/>
              </w:rPr>
              <w:t>）</w:t>
            </w:r>
            <w:r>
              <w:rPr>
                <w:sz w:val="18"/>
                <w:szCs w:val="18"/>
                <w:u w:val="single"/>
              </w:rPr>
              <w:t>2</w:t>
            </w:r>
            <w:r>
              <w:rPr>
                <w:rFonts w:hint="eastAsia"/>
                <w:sz w:val="18"/>
                <w:szCs w:val="18"/>
                <w:u w:val="single"/>
              </w:rPr>
              <w:t>类、</w:t>
            </w:r>
            <w:r>
              <w:rPr>
                <w:sz w:val="18"/>
                <w:szCs w:val="18"/>
                <w:u w:val="single"/>
              </w:rPr>
              <w:t>4a</w:t>
            </w:r>
            <w:r>
              <w:rPr>
                <w:rFonts w:hint="eastAsia"/>
                <w:sz w:val="18"/>
                <w:szCs w:val="18"/>
                <w:u w:val="single"/>
              </w:rPr>
              <w:t>类</w:t>
            </w:r>
          </w:p>
        </w:tc>
        <w:tc>
          <w:tcPr>
            <w:tcW w:w="1435" w:type="dxa"/>
            <w:vAlign w:val="center"/>
          </w:tcPr>
          <w:p>
            <w:pPr>
              <w:pStyle w:val="112"/>
              <w:rPr>
                <w:kern w:val="28"/>
                <w:sz w:val="18"/>
                <w:szCs w:val="18"/>
                <w:u w:val="single"/>
              </w:rPr>
            </w:pPr>
            <w:r>
              <w:rPr>
                <w:kern w:val="28"/>
                <w:sz w:val="18"/>
                <w:szCs w:val="18"/>
                <w:u w:val="single"/>
              </w:rPr>
              <w:t>1</w:t>
            </w:r>
            <w:r>
              <w:rPr>
                <w:rFonts w:hint="eastAsia"/>
                <w:kern w:val="28"/>
                <w:sz w:val="18"/>
                <w:szCs w:val="18"/>
                <w:u w:val="single"/>
              </w:rPr>
              <w:t>次</w:t>
            </w:r>
            <w:r>
              <w:rPr>
                <w:kern w:val="28"/>
                <w:sz w:val="18"/>
                <w:szCs w:val="18"/>
                <w:u w:val="single"/>
              </w:rPr>
              <w:t>/</w:t>
            </w:r>
            <w:r>
              <w:rPr>
                <w:rFonts w:hint="eastAsia"/>
                <w:kern w:val="28"/>
                <w:sz w:val="18"/>
                <w:szCs w:val="18"/>
                <w:u w:val="single"/>
              </w:rPr>
              <w:t>年，必要时随机监测</w:t>
            </w:r>
          </w:p>
        </w:tc>
        <w:tc>
          <w:tcPr>
            <w:tcW w:w="1159" w:type="dxa"/>
            <w:vAlign w:val="center"/>
          </w:tcPr>
          <w:p>
            <w:pPr>
              <w:pStyle w:val="112"/>
              <w:rPr>
                <w:kern w:val="28"/>
                <w:sz w:val="18"/>
                <w:szCs w:val="18"/>
                <w:u w:val="single"/>
              </w:rPr>
            </w:pPr>
            <w:r>
              <w:rPr>
                <w:kern w:val="28"/>
                <w:sz w:val="18"/>
                <w:szCs w:val="18"/>
                <w:u w:val="single"/>
              </w:rPr>
              <w:t>2d</w:t>
            </w:r>
            <w:r>
              <w:rPr>
                <w:rFonts w:hint="eastAsia"/>
                <w:kern w:val="28"/>
                <w:sz w:val="18"/>
                <w:szCs w:val="18"/>
                <w:u w:val="single"/>
              </w:rPr>
              <w:t>，昼夜各监测一次。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589" w:type="dxa"/>
            <w:tcBorders>
              <w:bottom w:val="single" w:color="auto" w:sz="2" w:space="0"/>
            </w:tcBorders>
            <w:vAlign w:val="center"/>
          </w:tcPr>
          <w:p>
            <w:pPr>
              <w:pStyle w:val="112"/>
              <w:rPr>
                <w:sz w:val="18"/>
                <w:szCs w:val="18"/>
                <w:u w:val="single"/>
              </w:rPr>
            </w:pPr>
            <w:r>
              <w:rPr>
                <w:rFonts w:hint="eastAsia"/>
                <w:sz w:val="18"/>
                <w:szCs w:val="18"/>
                <w:u w:val="single"/>
              </w:rPr>
              <w:t>地表水质</w:t>
            </w:r>
          </w:p>
        </w:tc>
        <w:tc>
          <w:tcPr>
            <w:tcW w:w="782" w:type="dxa"/>
            <w:vAlign w:val="center"/>
          </w:tcPr>
          <w:p>
            <w:pPr>
              <w:pStyle w:val="112"/>
              <w:rPr>
                <w:sz w:val="18"/>
                <w:szCs w:val="18"/>
                <w:u w:val="single"/>
              </w:rPr>
            </w:pPr>
            <w:r>
              <w:rPr>
                <w:rFonts w:hint="eastAsia"/>
                <w:sz w:val="18"/>
                <w:szCs w:val="18"/>
                <w:u w:val="single"/>
              </w:rPr>
              <w:t>施工期</w:t>
            </w:r>
          </w:p>
        </w:tc>
        <w:tc>
          <w:tcPr>
            <w:tcW w:w="2086" w:type="dxa"/>
            <w:vAlign w:val="center"/>
          </w:tcPr>
          <w:p>
            <w:pPr>
              <w:pStyle w:val="112"/>
              <w:rPr>
                <w:sz w:val="18"/>
                <w:szCs w:val="18"/>
                <w:u w:val="single"/>
              </w:rPr>
            </w:pPr>
            <w:r>
              <w:rPr>
                <w:rFonts w:hint="eastAsia"/>
                <w:sz w:val="18"/>
                <w:szCs w:val="18"/>
                <w:u w:val="single"/>
              </w:rPr>
              <w:t>无名小溪</w:t>
            </w:r>
            <w:r>
              <w:rPr>
                <w:sz w:val="18"/>
                <w:szCs w:val="18"/>
                <w:u w:val="single"/>
              </w:rPr>
              <w:t>1</w:t>
            </w:r>
            <w:r>
              <w:rPr>
                <w:rFonts w:hint="eastAsia"/>
                <w:sz w:val="18"/>
                <w:szCs w:val="18"/>
                <w:u w:val="single"/>
              </w:rPr>
              <w:t>樟树塘桥断面、无名小溪</w:t>
            </w:r>
            <w:r>
              <w:rPr>
                <w:sz w:val="18"/>
                <w:szCs w:val="18"/>
                <w:u w:val="single"/>
              </w:rPr>
              <w:t>2</w:t>
            </w:r>
            <w:r>
              <w:rPr>
                <w:rFonts w:hint="eastAsia"/>
                <w:sz w:val="18"/>
                <w:szCs w:val="18"/>
                <w:u w:val="single"/>
              </w:rPr>
              <w:t>范家屋场桥断面，大里塘水库</w:t>
            </w:r>
          </w:p>
        </w:tc>
        <w:tc>
          <w:tcPr>
            <w:tcW w:w="1163" w:type="dxa"/>
            <w:vAlign w:val="center"/>
          </w:tcPr>
          <w:p>
            <w:pPr>
              <w:pStyle w:val="112"/>
              <w:rPr>
                <w:sz w:val="18"/>
                <w:szCs w:val="18"/>
                <w:u w:val="single"/>
              </w:rPr>
            </w:pPr>
            <w:r>
              <w:rPr>
                <w:sz w:val="18"/>
                <w:szCs w:val="18"/>
                <w:u w:val="single"/>
              </w:rPr>
              <w:t>SS</w:t>
            </w:r>
            <w:r>
              <w:rPr>
                <w:rFonts w:hint="eastAsia"/>
                <w:sz w:val="18"/>
                <w:szCs w:val="18"/>
                <w:u w:val="single"/>
              </w:rPr>
              <w:t>、石油类、</w:t>
            </w:r>
          </w:p>
          <w:p>
            <w:pPr>
              <w:pStyle w:val="112"/>
              <w:rPr>
                <w:sz w:val="18"/>
                <w:szCs w:val="18"/>
                <w:u w:val="single"/>
              </w:rPr>
            </w:pPr>
            <w:r>
              <w:rPr>
                <w:sz w:val="18"/>
                <w:szCs w:val="18"/>
                <w:u w:val="single"/>
              </w:rPr>
              <w:t>COD</w:t>
            </w:r>
          </w:p>
        </w:tc>
        <w:tc>
          <w:tcPr>
            <w:tcW w:w="2090" w:type="dxa"/>
            <w:vAlign w:val="center"/>
          </w:tcPr>
          <w:p>
            <w:pPr>
              <w:pStyle w:val="112"/>
              <w:rPr>
                <w:sz w:val="18"/>
                <w:szCs w:val="18"/>
                <w:u w:val="single"/>
              </w:rPr>
            </w:pPr>
            <w:r>
              <w:rPr>
                <w:rFonts w:hint="eastAsia"/>
                <w:sz w:val="18"/>
                <w:szCs w:val="18"/>
                <w:u w:val="single"/>
              </w:rPr>
              <w:t>（</w:t>
            </w:r>
            <w:r>
              <w:rPr>
                <w:sz w:val="18"/>
                <w:szCs w:val="18"/>
                <w:u w:val="single"/>
              </w:rPr>
              <w:t>GB3838-2002</w:t>
            </w:r>
            <w:r>
              <w:rPr>
                <w:rFonts w:hint="eastAsia"/>
                <w:sz w:val="18"/>
                <w:szCs w:val="18"/>
                <w:u w:val="single"/>
              </w:rPr>
              <w:t>）</w:t>
            </w:r>
            <w:r>
              <w:rPr>
                <w:rFonts w:hint="eastAsia" w:ascii="宋体" w:hAnsi="宋体" w:cs="宋体"/>
                <w:sz w:val="18"/>
                <w:szCs w:val="18"/>
                <w:u w:val="single"/>
              </w:rPr>
              <w:t>Ⅲ</w:t>
            </w:r>
            <w:r>
              <w:rPr>
                <w:rFonts w:hint="eastAsia"/>
                <w:sz w:val="18"/>
                <w:szCs w:val="18"/>
                <w:u w:val="single"/>
              </w:rPr>
              <w:t>类，大里塘水库</w:t>
            </w:r>
            <w:r>
              <w:rPr>
                <w:rFonts w:hint="eastAsia" w:ascii="宋体" w:hAnsi="宋体" w:cs="宋体"/>
                <w:sz w:val="18"/>
                <w:szCs w:val="18"/>
                <w:u w:val="single"/>
              </w:rPr>
              <w:t>Ⅱ类</w:t>
            </w:r>
          </w:p>
        </w:tc>
        <w:tc>
          <w:tcPr>
            <w:tcW w:w="1435" w:type="dxa"/>
            <w:vAlign w:val="center"/>
          </w:tcPr>
          <w:p>
            <w:pPr>
              <w:pStyle w:val="112"/>
              <w:rPr>
                <w:sz w:val="18"/>
                <w:szCs w:val="18"/>
                <w:u w:val="single"/>
              </w:rPr>
            </w:pPr>
            <w:r>
              <w:rPr>
                <w:sz w:val="18"/>
                <w:szCs w:val="18"/>
                <w:u w:val="single"/>
              </w:rPr>
              <w:t>1</w:t>
            </w:r>
            <w:r>
              <w:rPr>
                <w:rFonts w:hint="eastAsia"/>
                <w:sz w:val="18"/>
                <w:szCs w:val="18"/>
                <w:u w:val="single"/>
              </w:rPr>
              <w:t>次</w:t>
            </w:r>
            <w:r>
              <w:rPr>
                <w:sz w:val="18"/>
                <w:szCs w:val="18"/>
                <w:u w:val="single"/>
              </w:rPr>
              <w:t>/</w:t>
            </w:r>
            <w:r>
              <w:rPr>
                <w:rFonts w:hint="eastAsia"/>
                <w:sz w:val="18"/>
                <w:szCs w:val="18"/>
                <w:u w:val="single"/>
              </w:rPr>
              <w:t>季，</w:t>
            </w:r>
            <w:r>
              <w:rPr>
                <w:rFonts w:hint="eastAsia"/>
                <w:kern w:val="28"/>
                <w:sz w:val="18"/>
                <w:szCs w:val="18"/>
                <w:u w:val="single"/>
              </w:rPr>
              <w:t>必要时随机监测</w:t>
            </w:r>
          </w:p>
        </w:tc>
        <w:tc>
          <w:tcPr>
            <w:tcW w:w="1159" w:type="dxa"/>
            <w:vAlign w:val="center"/>
          </w:tcPr>
          <w:p>
            <w:pPr>
              <w:pStyle w:val="112"/>
              <w:rPr>
                <w:sz w:val="18"/>
                <w:szCs w:val="18"/>
                <w:u w:val="single"/>
              </w:rPr>
            </w:pPr>
            <w:r>
              <w:rPr>
                <w:sz w:val="18"/>
                <w:szCs w:val="18"/>
                <w:u w:val="single"/>
              </w:rPr>
              <w:t>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371" w:type="dxa"/>
            <w:gridSpan w:val="2"/>
            <w:vAlign w:val="center"/>
          </w:tcPr>
          <w:p>
            <w:pPr>
              <w:pStyle w:val="112"/>
              <w:rPr>
                <w:sz w:val="18"/>
                <w:szCs w:val="18"/>
                <w:u w:val="single"/>
              </w:rPr>
            </w:pPr>
            <w:r>
              <w:rPr>
                <w:rFonts w:hint="eastAsia"/>
                <w:sz w:val="18"/>
                <w:szCs w:val="18"/>
                <w:u w:val="single"/>
              </w:rPr>
              <w:t>备注</w:t>
            </w:r>
          </w:p>
        </w:tc>
        <w:tc>
          <w:tcPr>
            <w:tcW w:w="7933" w:type="dxa"/>
            <w:gridSpan w:val="5"/>
            <w:vAlign w:val="center"/>
          </w:tcPr>
          <w:p>
            <w:pPr>
              <w:pStyle w:val="112"/>
              <w:rPr>
                <w:sz w:val="18"/>
                <w:szCs w:val="18"/>
                <w:u w:val="single"/>
              </w:rPr>
            </w:pPr>
            <w:r>
              <w:rPr>
                <w:sz w:val="18"/>
                <w:szCs w:val="18"/>
                <w:u w:val="single"/>
              </w:rPr>
              <w:t>1</w:t>
            </w:r>
            <w:r>
              <w:rPr>
                <w:rFonts w:hint="eastAsia"/>
                <w:sz w:val="18"/>
                <w:szCs w:val="18"/>
                <w:u w:val="single"/>
              </w:rPr>
              <w:t>、实施机构：有资质的监测机构。</w:t>
            </w:r>
            <w:r>
              <w:rPr>
                <w:sz w:val="18"/>
                <w:szCs w:val="18"/>
                <w:u w:val="single"/>
              </w:rPr>
              <w:t>2</w:t>
            </w:r>
            <w:r>
              <w:rPr>
                <w:rFonts w:hint="eastAsia"/>
                <w:sz w:val="18"/>
                <w:szCs w:val="18"/>
                <w:u w:val="single"/>
              </w:rPr>
              <w:t>、负责机构：监理公司或建设单位。</w:t>
            </w:r>
          </w:p>
          <w:p>
            <w:pPr>
              <w:pStyle w:val="112"/>
              <w:rPr>
                <w:sz w:val="18"/>
                <w:szCs w:val="18"/>
                <w:u w:val="single"/>
              </w:rPr>
            </w:pPr>
            <w:r>
              <w:rPr>
                <w:sz w:val="18"/>
                <w:szCs w:val="18"/>
                <w:u w:val="single"/>
              </w:rPr>
              <w:t>3</w:t>
            </w:r>
            <w:r>
              <w:rPr>
                <w:rFonts w:hint="eastAsia"/>
                <w:sz w:val="18"/>
                <w:szCs w:val="18"/>
                <w:u w:val="single"/>
              </w:rPr>
              <w:t>、监督机构：市、县环保局。</w:t>
            </w:r>
          </w:p>
        </w:tc>
      </w:tr>
    </w:tbl>
    <w:p>
      <w:pPr>
        <w:pStyle w:val="5"/>
        <w:ind w:left="567" w:hanging="567"/>
      </w:pPr>
      <w:r>
        <w:rPr>
          <w:rFonts w:hint="eastAsia"/>
        </w:rPr>
        <w:t>监测报告制度</w:t>
      </w:r>
    </w:p>
    <w:p>
      <w:pPr>
        <w:pStyle w:val="3"/>
        <w:ind w:firstLine="31680"/>
      </w:pPr>
      <w:r>
        <w:rPr>
          <w:rFonts w:hint="eastAsia"/>
        </w:rPr>
        <w:t>本工程监测报告程序见图</w:t>
      </w:r>
      <w:r>
        <w:t>13.2-1</w:t>
      </w:r>
      <w:r>
        <w:rPr>
          <w:rFonts w:hint="eastAsia"/>
        </w:rPr>
        <w:t>。</w:t>
      </w:r>
    </w:p>
    <w:p>
      <w:pPr>
        <w:rPr>
          <w:color w:val="FF0000"/>
        </w:rPr>
      </w:pPr>
      <w:r>
        <w:rPr>
          <w:color w:val="FF0000"/>
        </w:rPr>
        <w:pict>
          <v:group id="_x0000_s1085" o:spid="_x0000_s1085" o:spt="203" style="height:129pt;width:467pt;" coordsize="9340,2580" editas="canvas">
            <o:lock v:ext="edit"/>
            <v:shape id="_x0000_s1086" o:spid="_x0000_s1086" o:spt="75" type="#_x0000_t75" style="position:absolute;left:0;top:0;height:2580;width:9340;" filled="f" stroked="f" coordsize="21600,21600">
              <v:path/>
              <v:fill on="f" focussize="0,0"/>
              <v:stroke on="f"/>
              <v:imagedata o:title=""/>
              <o:lock v:ext="edit" text="t" aspectratio="t"/>
            </v:shape>
            <v:rect id="_x0000_s1087" o:spid="_x0000_s1087" o:spt="1" style="position:absolute;left:8849;top:2225;height:230;width:181;mso-wrap-style:none;" filled="f" stroked="f" coordsize="21600,21600">
              <v:path/>
              <v:fill on="f" focussize="0,0"/>
              <v:stroke on="f"/>
              <v:imagedata o:title=""/>
              <o:lock v:ext="edit" aspectratio="f"/>
              <v:textbox inset="0mm,0mm,0mm,0mm" style="mso-fit-shape-to-text:t;">
                <w:txbxContent>
                  <w:p>
                    <w:r>
                      <w:rPr>
                        <w:color w:val="000000"/>
                        <w:kern w:val="0"/>
                        <w:sz w:val="24"/>
                        <w:szCs w:val="24"/>
                      </w:rPr>
                      <w:t xml:space="preserve"> </w:t>
                    </w:r>
                  </w:p>
                </w:txbxContent>
              </v:textbox>
            </v:rect>
            <v:rect id="_x0000_s1088" o:spid="_x0000_s1088" o:spt="1" style="position:absolute;left:1915;top:61;height:230;width:181;mso-wrap-style:none;" filled="f" stroked="f" coordsize="21600,21600">
              <v:path/>
              <v:fill on="f" focussize="0,0"/>
              <v:stroke on="f"/>
              <v:imagedata o:title=""/>
              <o:lock v:ext="edit" aspectratio="f"/>
              <v:textbox inset="0mm,0mm,0mm,0mm" style="mso-fit-shape-to-text:t;">
                <w:txbxContent>
                  <w:p>
                    <w:r>
                      <w:rPr>
                        <w:color w:val="000000"/>
                        <w:kern w:val="0"/>
                      </w:rPr>
                      <w:t xml:space="preserve"> </w:t>
                    </w:r>
                  </w:p>
                </w:txbxContent>
              </v:textbox>
            </v:rect>
            <v:rect id="_x0000_s1089" o:spid="_x0000_s1089" o:spt="1" style="position:absolute;left:4647;top:35;height:311;width:3120;mso-wrap-style:none;" filled="f" stroked="f" coordsize="21600,21600">
              <v:path/>
              <v:fill on="f" focussize="0,0"/>
              <v:stroke on="f"/>
              <v:imagedata o:title=""/>
              <o:lock v:ext="edit" aspectratio="f"/>
              <v:textbox inset="0mm,0mm,0mm,0mm" style="mso-fit-shape-to-text:t;">
                <w:txbxContent>
                  <w:p>
                    <w:r>
                      <w:rPr>
                        <w:rFonts w:hint="eastAsia"/>
                        <w:sz w:val="24"/>
                      </w:rPr>
                      <w:t>汨罗市交通建设投资有限公司</w:t>
                    </w:r>
                  </w:p>
                </w:txbxContent>
              </v:textbox>
            </v:rect>
            <v:rect id="_x0000_s1090" o:spid="_x0000_s1090" o:spt="1" style="position:absolute;left:8849;top:61;height:230;width:181;mso-wrap-style:none;" filled="f" stroked="f" coordsize="21600,21600">
              <v:path/>
              <v:fill on="f" focussize="0,0"/>
              <v:stroke on="f"/>
              <v:imagedata o:title=""/>
              <o:lock v:ext="edit" aspectratio="f"/>
              <v:textbox inset="0mm,0mm,0mm,0mm" style="mso-fit-shape-to-text:t;">
                <w:txbxContent>
                  <w:p>
                    <w:r>
                      <w:rPr>
                        <w:color w:val="000000"/>
                        <w:kern w:val="0"/>
                      </w:rPr>
                      <w:t xml:space="preserve"> </w:t>
                    </w:r>
                  </w:p>
                </w:txbxContent>
              </v:textbox>
            </v:rect>
            <v:rect id="_x0000_s1091" o:spid="_x0000_s1091" o:spt="1" style="position:absolute;left:2971;top:2129;height:311;width:961;mso-wrap-style:none;" filled="f" stroked="f" coordsize="21600,21600">
              <v:path/>
              <v:fill on="f" focussize="0,0"/>
              <v:stroke on="f"/>
              <v:imagedata o:title=""/>
              <o:lock v:ext="edit" aspectratio="f"/>
              <v:textbox inset="0mm,0mm,0mm,0mm" style="mso-fit-shape-to-text:t;">
                <w:txbxContent>
                  <w:p>
                    <w:r>
                      <w:rPr>
                        <w:rFonts w:hint="eastAsia" w:ascii="宋体" w:cs="宋体"/>
                        <w:color w:val="000000"/>
                        <w:kern w:val="0"/>
                        <w:sz w:val="24"/>
                        <w:szCs w:val="24"/>
                      </w:rPr>
                      <w:t>监测机构</w:t>
                    </w:r>
                  </w:p>
                </w:txbxContent>
              </v:textbox>
            </v:rect>
            <v:rect id="_x0000_s1092" o:spid="_x0000_s1092" o:spt="1" style="position:absolute;left:3928;top:2156;height:230;width:181;mso-wrap-style:none;" filled="f" stroked="f" coordsize="21600,21600">
              <v:path/>
              <v:fill on="f" focussize="0,0"/>
              <v:stroke on="f"/>
              <v:imagedata o:title=""/>
              <o:lock v:ext="edit" aspectratio="f"/>
              <v:textbox inset="0mm,0mm,0mm,0mm" style="mso-fit-shape-to-text:t;">
                <w:txbxContent>
                  <w:p>
                    <w:r>
                      <w:rPr>
                        <w:color w:val="000000"/>
                        <w:kern w:val="0"/>
                      </w:rPr>
                      <w:t xml:space="preserve"> </w:t>
                    </w:r>
                  </w:p>
                </w:txbxContent>
              </v:textbox>
            </v:rect>
            <v:rect id="_x0000_s1093" o:spid="_x0000_s1093" o:spt="1" style="position:absolute;left:4830;top:2129;height:311;width:3121;mso-wrap-style:none;" filled="f" stroked="f" coordsize="21600,21600">
              <v:path/>
              <v:fill on="f" focussize="0,0"/>
              <v:stroke on="f"/>
              <v:imagedata o:title=""/>
              <o:lock v:ext="edit" aspectratio="f"/>
              <v:textbox inset="0mm,0mm,0mm,0mm" style="mso-fit-shape-to-text:t;">
                <w:txbxContent>
                  <w:p>
                    <w:r>
                      <w:rPr>
                        <w:rFonts w:hint="eastAsia" w:ascii="宋体" w:cs="宋体"/>
                        <w:color w:val="000000"/>
                        <w:kern w:val="0"/>
                        <w:sz w:val="24"/>
                        <w:szCs w:val="24"/>
                      </w:rPr>
                      <w:t>建设单位及公路运营管理单位</w:t>
                    </w:r>
                  </w:p>
                </w:txbxContent>
              </v:textbox>
            </v:rect>
            <v:rect id="_x0000_s1094" o:spid="_x0000_s1094" o:spt="1" style="position:absolute;left:7942;top:2156;height:230;width:181;mso-wrap-style:none;" filled="f" stroked="f" coordsize="21600,21600">
              <v:path/>
              <v:fill on="f" focussize="0,0"/>
              <v:stroke on="f"/>
              <v:imagedata o:title=""/>
              <o:lock v:ext="edit" aspectratio="f"/>
              <v:textbox inset="0mm,0mm,0mm,0mm" style="mso-fit-shape-to-text:t;">
                <w:txbxContent>
                  <w:p>
                    <w:r>
                      <w:rPr>
                        <w:color w:val="000000"/>
                        <w:kern w:val="0"/>
                      </w:rPr>
                      <w:t xml:space="preserve"> </w:t>
                    </w:r>
                  </w:p>
                </w:txbxContent>
              </v:textbox>
            </v:rect>
            <v:shape id="_x0000_s1095" o:spid="_x0000_s1095" style="position:absolute;left:2008;top:2184;height:137;width:132;" fillcolor="#000000" filled="t" stroked="f" coordsize="132,137" path="m132,137l0,69,132,0,132,137xe">
              <v:path arrowok="t"/>
              <v:fill on="t" color2="#FFFFFF" focussize="0,0"/>
              <v:stroke on="f"/>
              <v:imagedata o:title=""/>
              <o:lock v:ext="edit" aspectratio="f"/>
            </v:shape>
            <v:shape id="_x0000_s1096" o:spid="_x0000_s1096" style="position:absolute;left:4640;top:2152;height:137;width:133;" fillcolor="#000000" filled="t" stroked="f" coordsize="133,137" path="m0,0l133,69,0,137,0,0xe">
              <v:path arrowok="t"/>
              <v:fill on="t" color2="#FFFFFF" focussize="0,0"/>
              <v:stroke on="f"/>
              <v:imagedata o:title=""/>
              <o:lock v:ext="edit" aspectratio="f"/>
            </v:shape>
            <v:shape id="_x0000_s1097" o:spid="_x0000_s1097" style="position:absolute;left:6229;top:443;height:1616;width:8;" fillcolor="#000000" filled="t" stroked="t" coordsize="24,5373" path="m20,5363l24,10hdc24,4,19,0,14,0c8,0,4,4,4,10hal0,5363hdc0,5369,5,5373,10,5373c16,5373,20,5369,20,5363haxe">
              <v:path arrowok="t"/>
              <v:fill on="t" color2="#FFFFFF" focussize="0,0"/>
              <v:stroke weight="0pt" color="#000000"/>
              <v:imagedata o:title=""/>
              <o:lock v:ext="edit" aspectratio="f"/>
            </v:shape>
            <v:shape id="_x0000_s1098" o:spid="_x0000_s1098" style="position:absolute;left:6164;top:327;height:137;width:134;" fillcolor="#000000" filled="t" stroked="f" coordsize="134,137" path="m0,137l67,0,134,137,0,137xe">
              <v:path arrowok="t"/>
              <v:fill on="t" color2="#FFFFFF" focussize="0,0"/>
              <v:stroke on="f"/>
              <v:imagedata o:title=""/>
              <o:lock v:ext="edit" aspectratio="f"/>
            </v:shape>
            <v:rect id="_x0000_s1099" o:spid="_x0000_s1099" o:spt="1" style="position:absolute;left:1946;top:1146;height:230;width:181;mso-wrap-style:none;" filled="f" stroked="f" coordsize="21600,21600">
              <v:path/>
              <v:fill on="f" focussize="0,0"/>
              <v:stroke on="f"/>
              <v:imagedata o:title=""/>
              <o:lock v:ext="edit" aspectratio="f"/>
              <v:textbox inset="0mm,0mm,0mm,0mm" style="mso-fit-shape-to-text:t;">
                <w:txbxContent>
                  <w:p>
                    <w:r>
                      <w:rPr>
                        <w:color w:val="000000"/>
                        <w:kern w:val="0"/>
                      </w:rPr>
                      <w:t xml:space="preserve"> </w:t>
                    </w:r>
                  </w:p>
                </w:txbxContent>
              </v:textbox>
            </v:rect>
            <v:rect id="_x0000_s1100" o:spid="_x0000_s1100" o:spt="1" style="position:absolute;left:493;top:2164;height:311;width:1440;mso-wrap-style:none;" filled="f" stroked="f" coordsize="21600,21600">
              <v:path/>
              <v:fill on="f" focussize="0,0"/>
              <v:stroke on="f"/>
              <v:imagedata o:title=""/>
              <o:lock v:ext="edit" aspectratio="f"/>
              <v:textbox inset="0mm,0mm,0mm,0mm" style="mso-fit-shape-to-text:t;">
                <w:txbxContent>
                  <w:p>
                    <w:r>
                      <w:rPr>
                        <w:rFonts w:hint="eastAsia" w:ascii="宋体" w:cs="宋体"/>
                        <w:color w:val="000000"/>
                        <w:kern w:val="0"/>
                        <w:sz w:val="24"/>
                        <w:szCs w:val="24"/>
                      </w:rPr>
                      <w:t>汨罗市环保局</w:t>
                    </w:r>
                  </w:p>
                </w:txbxContent>
              </v:textbox>
            </v:rect>
            <v:rect id="_x0000_s1101" o:spid="_x0000_s1101" o:spt="1" style="position:absolute;left:1929;top:2190;height:230;width:181;mso-wrap-style:none;" filled="f" stroked="f" coordsize="21600,21600">
              <v:path/>
              <v:fill on="f" focussize="0,0"/>
              <v:stroke on="f"/>
              <v:imagedata o:title=""/>
              <o:lock v:ext="edit" aspectratio="f"/>
              <v:textbox inset="0mm,0mm,0mm,0mm" style="mso-fit-shape-to-text:t;">
                <w:txbxContent>
                  <w:p>
                    <w:r>
                      <w:rPr>
                        <w:color w:val="000000"/>
                        <w:kern w:val="0"/>
                      </w:rPr>
                      <w:t xml:space="preserve"> </w:t>
                    </w:r>
                  </w:p>
                </w:txbxContent>
              </v:textbox>
            </v:rect>
            <v:shape id="_x0000_s1102" o:spid="_x0000_s1102" style="position:absolute;left:4095;top:2222;height:7;width:602;" fillcolor="#000000" filled="t" stroked="t" coordsize="4020,47" path="m20,0l4000,7hdc4011,7,4020,16,4020,27c4020,38,4011,47,4000,47hal20,40hdc9,40,0,31,0,20c0,9,9,0,20,0haxe">
              <v:path arrowok="t"/>
              <v:fill on="t" color2="#FFFFFF" focussize="0,0"/>
              <v:stroke weight="0pt" color="#000000"/>
              <v:imagedata o:title=""/>
              <o:lock v:ext="edit" aspectratio="f"/>
            </v:shape>
            <v:shape id="_x0000_s1103" o:spid="_x0000_s1103" style="position:absolute;left:2137;top:2254;height:7;width:602;" fillcolor="#000000" filled="t" stroked="t" coordsize="4020,46" path="m20,0l4000,6hdc4011,6,4020,15,4020,26c4020,38,4011,46,4000,46hal20,40hdc9,40,0,31,0,20c0,9,9,0,20,0haxe">
              <v:path arrowok="t"/>
              <v:fill on="t" color2="#FFFFFF" focussize="0,0"/>
              <v:stroke weight="0pt" color="#000000"/>
              <v:imagedata o:title=""/>
              <o:lock v:ext="edit" aspectratio="f"/>
            </v:shape>
            <w10:wrap type="none"/>
            <w10:anchorlock/>
          </v:group>
        </w:pict>
      </w:r>
    </w:p>
    <w:p>
      <w:pPr>
        <w:pStyle w:val="19"/>
        <w:jc w:val="center"/>
      </w:pPr>
      <w:r>
        <w:rPr>
          <w:rFonts w:hint="eastAsia"/>
        </w:rPr>
        <w:t>图</w:t>
      </w:r>
      <w:r>
        <w:t xml:space="preserve"> 13.2-1  </w:t>
      </w:r>
      <w:r>
        <w:rPr>
          <w:rFonts w:hint="eastAsia"/>
        </w:rPr>
        <w:t>监测报告程序示意图</w:t>
      </w:r>
    </w:p>
    <w:p>
      <w:pPr>
        <w:pStyle w:val="3"/>
        <w:ind w:firstLine="31680"/>
      </w:pPr>
      <w:r>
        <w:rPr>
          <w:rFonts w:hint="eastAsia"/>
        </w:rPr>
        <w:t>每次监测工作结束后，监测单位应提交正式监测报告，并按程序逐级上报。在施工期应有月报、季报和年报，在营运期应有季报和年报。若遇有突发性事故发生时，必须立即上报。</w:t>
      </w:r>
    </w:p>
    <w:p>
      <w:pPr>
        <w:pStyle w:val="4"/>
        <w:ind w:left="567" w:hanging="567"/>
      </w:pPr>
      <w:bookmarkStart w:id="331" w:name="_Toc30349"/>
      <w:r>
        <w:rPr>
          <w:rFonts w:hint="eastAsia"/>
        </w:rPr>
        <w:t>工程环境监理计划</w:t>
      </w:r>
      <w:bookmarkEnd w:id="331"/>
    </w:p>
    <w:p>
      <w:pPr>
        <w:pStyle w:val="5"/>
        <w:widowControl/>
        <w:ind w:left="567" w:hanging="567"/>
      </w:pPr>
      <w:r>
        <w:rPr>
          <w:rFonts w:hint="eastAsia"/>
        </w:rPr>
        <w:t>环境监理目的</w:t>
      </w:r>
    </w:p>
    <w:p>
      <w:pPr>
        <w:pStyle w:val="3"/>
        <w:ind w:firstLine="31680"/>
      </w:pPr>
      <w:r>
        <w:rPr>
          <w:rFonts w:hint="eastAsia"/>
        </w:rPr>
        <w:t>对本工程实施环境监理的目的是使施工现场的环境监督、管理责任分明、目标明确，并贯穿于整个工程实施过程中，从而保证环境保护设计、环境影响报告书中提出的各项环境保护措施能够顺利实施，保证施工合同中有关环境保护的合同条款切实得到落实。</w:t>
      </w:r>
    </w:p>
    <w:p>
      <w:pPr>
        <w:pStyle w:val="5"/>
        <w:widowControl/>
        <w:ind w:left="567" w:hanging="567"/>
      </w:pPr>
      <w:r>
        <w:rPr>
          <w:rFonts w:hint="eastAsia"/>
        </w:rPr>
        <w:t>环境监理任务</w:t>
      </w:r>
    </w:p>
    <w:p>
      <w:pPr>
        <w:pStyle w:val="3"/>
        <w:ind w:firstLine="31680"/>
      </w:pPr>
      <w:r>
        <w:rPr>
          <w:rFonts w:hint="eastAsia"/>
        </w:rPr>
        <w:t>项目施工阶段环境监理的任务包括以下几点：</w:t>
      </w:r>
    </w:p>
    <w:p>
      <w:pPr>
        <w:pStyle w:val="3"/>
        <w:ind w:firstLine="31680"/>
      </w:pPr>
      <w:r>
        <w:t>a</w:t>
      </w:r>
      <w:r>
        <w:rPr>
          <w:rFonts w:hint="eastAsia"/>
        </w:rPr>
        <w:t>）管理：即对有关监督、环境、质量和信息进行收集、分类、处理、反馈及储存。</w:t>
      </w:r>
    </w:p>
    <w:p>
      <w:pPr>
        <w:pStyle w:val="3"/>
        <w:ind w:firstLine="31680"/>
      </w:pPr>
      <w:r>
        <w:t>b</w:t>
      </w:r>
      <w:r>
        <w:rPr>
          <w:rFonts w:hint="eastAsia"/>
        </w:rPr>
        <w:t>）协调：即协调建设单位和承包商之间、建设单位与设计单位之间及工程建设各部门之间的组织工作。</w:t>
      </w:r>
    </w:p>
    <w:p>
      <w:pPr>
        <w:pStyle w:val="3"/>
        <w:ind w:firstLine="31680"/>
      </w:pPr>
      <w:r>
        <w:t>c</w:t>
      </w:r>
      <w:r>
        <w:rPr>
          <w:rFonts w:hint="eastAsia"/>
        </w:rPr>
        <w:t>）控制：即控制质量、进度和投资。</w:t>
      </w:r>
    </w:p>
    <w:p>
      <w:pPr>
        <w:pStyle w:val="3"/>
        <w:ind w:firstLine="31680"/>
      </w:pPr>
      <w:r>
        <w:rPr>
          <w:rFonts w:hint="eastAsia"/>
        </w:rPr>
        <w:t>监理范围、内容及方式</w:t>
      </w:r>
    </w:p>
    <w:p>
      <w:pPr>
        <w:pStyle w:val="3"/>
        <w:ind w:firstLine="31680"/>
      </w:pPr>
      <w:r>
        <w:rPr>
          <w:rFonts w:hint="eastAsia"/>
        </w:rPr>
        <w:t>拟建公路工程环境监理范围为公路工程项目建设区与工程直接影响区域，包括公路主体工程、临时工程的施工现场、施工生产生活区、施工便道、弃渣场以及承担大量工程运输的当地现有道路。监理内容包括：生态保护、水土保持、地质灾害防治、绿化、污染物防治以及社会环境等环境保护工作的所有方面。</w:t>
      </w:r>
    </w:p>
    <w:p>
      <w:pPr>
        <w:pStyle w:val="3"/>
        <w:ind w:firstLine="31680"/>
      </w:pPr>
      <w:r>
        <w:rPr>
          <w:rFonts w:hint="eastAsia"/>
        </w:rPr>
        <w:t>根据《关于开展交通工程环境监理工作的通知》（交通部、交环发</w:t>
      </w:r>
      <w:r>
        <w:t>[2004]314</w:t>
      </w:r>
      <w:r>
        <w:rPr>
          <w:rFonts w:hint="eastAsia"/>
        </w:rPr>
        <w:t>号），拟建公路的工程环境监理工作作为工程监理的一个重要组成部分，纳入主体工程监理体系。另外，应根据《湖南省环境保护厅建设项目“三同时”监督管理试行办法》（湘环发〔</w:t>
      </w:r>
      <w:r>
        <w:t>2011</w:t>
      </w:r>
      <w:r>
        <w:rPr>
          <w:rFonts w:hint="eastAsia"/>
        </w:rPr>
        <w:t>〕</w:t>
      </w:r>
      <w:r>
        <w:t>29</w:t>
      </w:r>
      <w:r>
        <w:rPr>
          <w:rFonts w:hint="eastAsia"/>
        </w:rPr>
        <w:t>号）文的相关要求开展工程环境监理工作。</w:t>
      </w:r>
    </w:p>
    <w:p>
      <w:pPr>
        <w:pStyle w:val="5"/>
        <w:widowControl/>
        <w:ind w:left="567" w:hanging="567"/>
      </w:pPr>
      <w:r>
        <w:rPr>
          <w:rFonts w:hint="eastAsia"/>
        </w:rPr>
        <w:t>环境监理工作框架</w:t>
      </w:r>
    </w:p>
    <w:p>
      <w:pPr>
        <w:pStyle w:val="3"/>
        <w:ind w:firstLine="31680"/>
      </w:pPr>
      <w:r>
        <w:t>a</w:t>
      </w:r>
      <w:r>
        <w:rPr>
          <w:rFonts w:hint="eastAsia"/>
        </w:rPr>
        <w:t>）建立健全完善的环境监理保障组织体系</w:t>
      </w:r>
    </w:p>
    <w:p>
      <w:pPr>
        <w:pStyle w:val="3"/>
        <w:ind w:firstLine="31680"/>
      </w:pPr>
      <w:r>
        <w:rPr>
          <w:rFonts w:hint="eastAsia"/>
        </w:rPr>
        <w:t>环境监理工作具备双重性，从其相对独立性而言，必须设置专职的机构和配备专业素质较高的专职人员。建议本项目环境监理工作纳入工程监理工作范围，要求工程监理中有专职环保人员，按工程质量和环保质量双重要求对项目进行全面质量管理。</w:t>
      </w:r>
    </w:p>
    <w:p>
      <w:pPr>
        <w:pStyle w:val="3"/>
        <w:ind w:firstLine="31680"/>
      </w:pPr>
      <w:r>
        <w:t>b</w:t>
      </w:r>
      <w:r>
        <w:rPr>
          <w:rFonts w:hint="eastAsia"/>
        </w:rPr>
        <w:t>）制订相关的环境保护管理办法及实施细则</w:t>
      </w:r>
    </w:p>
    <w:p>
      <w:pPr>
        <w:pStyle w:val="3"/>
        <w:ind w:firstLine="31680"/>
      </w:pPr>
      <w:r>
        <w:rPr>
          <w:rFonts w:hint="eastAsia"/>
        </w:rPr>
        <w:t>在执行国家环境保护政策、法规的基础上，根据本项目的环评报告书制定的环境监测和环境监理计划，制定针对本项目的《</w:t>
      </w:r>
      <w:r>
        <w:rPr>
          <w:rFonts w:hint="eastAsia"/>
          <w:lang w:eastAsia="zh-CN"/>
        </w:rPr>
        <w:t>弼时镇铜盆至青山铺公路（飞地工业园区主干道桃花路）工程建设项目</w:t>
      </w:r>
      <w:r>
        <w:rPr>
          <w:rFonts w:hint="eastAsia"/>
        </w:rPr>
        <w:t>施工区环境保护管理办法》及《环境保护工作实施细则》等有关环境保护制度。</w:t>
      </w:r>
    </w:p>
    <w:p>
      <w:pPr>
        <w:pStyle w:val="3"/>
        <w:ind w:firstLine="31680"/>
      </w:pPr>
      <w:r>
        <w:t>c</w:t>
      </w:r>
      <w:r>
        <w:rPr>
          <w:rFonts w:hint="eastAsia"/>
        </w:rPr>
        <w:t>）建立完善的环境监理工作制度</w:t>
      </w:r>
    </w:p>
    <w:p>
      <w:pPr>
        <w:pStyle w:val="3"/>
        <w:ind w:firstLine="31680"/>
      </w:pPr>
      <w:r>
        <w:t>1</w:t>
      </w:r>
      <w:r>
        <w:rPr>
          <w:rFonts w:hint="eastAsia"/>
        </w:rPr>
        <w:t>）工作记录制度，即“监理日记”。描述巡视检查情况、环境问题，分析问题发生的原因及责任单位，初步处理意见等。</w:t>
      </w:r>
    </w:p>
    <w:p>
      <w:pPr>
        <w:pStyle w:val="3"/>
        <w:ind w:firstLine="31680"/>
      </w:pPr>
      <w:r>
        <w:t>2</w:t>
      </w:r>
      <w:r>
        <w:rPr>
          <w:rFonts w:hint="eastAsia"/>
        </w:rPr>
        <w:t>）报告制度。这是沟通上下内外的重要渠道和传递信息的方法，包括环境监理工程师的“月报”，工程师的“季度报告”和“半年进度评估报告”以及工程承包商的“环境月报”。</w:t>
      </w:r>
    </w:p>
    <w:p>
      <w:pPr>
        <w:pStyle w:val="3"/>
        <w:ind w:firstLine="31680"/>
      </w:pPr>
      <w:r>
        <w:t>3</w:t>
      </w:r>
      <w:r>
        <w:rPr>
          <w:rFonts w:hint="eastAsia"/>
        </w:rPr>
        <w:t>）文件通知制度。环境监理工程师与工程承包商之间只是工作上的关系，双方应办事宜都是通过文件函递和确认。当工况紧急时先行口头通知，事后仍需以书面文件递交确认。</w:t>
      </w:r>
    </w:p>
    <w:p>
      <w:pPr>
        <w:pStyle w:val="3"/>
        <w:ind w:firstLine="31680"/>
      </w:pPr>
      <w:r>
        <w:t>4</w:t>
      </w:r>
      <w:r>
        <w:rPr>
          <w:rFonts w:hint="eastAsia"/>
        </w:rPr>
        <w:t>）环境例会制度。每月召开一次环境保护会议，回顾总结一个月来的环境保护工作情况。召集工程承包商、工程师、环境监理工程师等在一起商讨研究，提出存在问题及整改要求，统一思想，形成实施方案。</w:t>
      </w:r>
    </w:p>
    <w:p>
      <w:pPr>
        <w:pStyle w:val="5"/>
        <w:widowControl/>
        <w:ind w:left="567" w:hanging="567"/>
      </w:pPr>
      <w:r>
        <w:rPr>
          <w:rFonts w:hint="eastAsia"/>
        </w:rPr>
        <w:t>监理工作内容</w:t>
      </w:r>
    </w:p>
    <w:p>
      <w:pPr>
        <w:pStyle w:val="3"/>
        <w:ind w:firstLine="31680"/>
      </w:pPr>
      <w:r>
        <w:rPr>
          <w:rFonts w:hint="eastAsia"/>
        </w:rPr>
        <w:t>本项目工程环境监理的工作内容包括环保达标监理和环保工程监理。</w:t>
      </w:r>
    </w:p>
    <w:p>
      <w:pPr>
        <w:pStyle w:val="3"/>
        <w:ind w:firstLine="31680"/>
      </w:pPr>
      <w:r>
        <w:rPr>
          <w:rFonts w:hint="eastAsia"/>
        </w:rPr>
        <w:t>环保达标监理指对主体工程的施工过程是否符合环境保护的要求进行监理，如噪声、废气、污水等排放应达到有关的标准等，施工是否造成水土流失和生态环境破坏，是否符合有关环境保护法律、法规规定等进行监理。</w:t>
      </w:r>
    </w:p>
    <w:p>
      <w:pPr>
        <w:pStyle w:val="3"/>
        <w:ind w:firstLine="31680"/>
      </w:pPr>
      <w:r>
        <w:rPr>
          <w:rFonts w:hint="eastAsia"/>
        </w:rPr>
        <w:t>环保工程监理是指对为保护施工和营运期的环境而建设的各项环境保护设施（包括临时工程）进行监理，环保工程监理包括生态环境保护、水土保持、污水处理设施、声屏障、边坡防护、排水工程、绿化工程等在内的环保设施建设的监理。</w:t>
      </w:r>
    </w:p>
    <w:p>
      <w:pPr>
        <w:pStyle w:val="5"/>
        <w:widowControl/>
        <w:ind w:left="567" w:hanging="567"/>
      </w:pPr>
      <w:r>
        <w:rPr>
          <w:rFonts w:hint="eastAsia"/>
        </w:rPr>
        <w:t>工程环境监理重点</w:t>
      </w:r>
    </w:p>
    <w:p>
      <w:pPr>
        <w:pStyle w:val="6"/>
        <w:widowControl/>
        <w:ind w:left="864"/>
        <w:jc w:val="left"/>
      </w:pPr>
      <w:r>
        <w:rPr>
          <w:rFonts w:hint="eastAsia"/>
        </w:rPr>
        <w:t>设计期环境监理重点</w:t>
      </w:r>
    </w:p>
    <w:p>
      <w:pPr>
        <w:pStyle w:val="3"/>
        <w:ind w:firstLine="31680"/>
      </w:pPr>
      <w:r>
        <w:rPr>
          <w:rFonts w:hint="eastAsia"/>
        </w:rPr>
        <w:t>设计期环境监理重点主要是核查设计文件中公路选线、工程建设内容及规模、施工方式、占地规模及占地类型、沿线环境敏感点分布等与环评报告及其环评批复的一致性。</w:t>
      </w:r>
    </w:p>
    <w:p>
      <w:pPr>
        <w:pStyle w:val="6"/>
        <w:widowControl/>
        <w:ind w:left="864"/>
        <w:jc w:val="left"/>
      </w:pPr>
      <w:r>
        <w:rPr>
          <w:rFonts w:hint="eastAsia"/>
        </w:rPr>
        <w:t>施工期环境监理重点</w:t>
      </w:r>
    </w:p>
    <w:p>
      <w:pPr>
        <w:pStyle w:val="3"/>
        <w:ind w:firstLine="31680"/>
      </w:pPr>
      <w:r>
        <w:t>a</w:t>
      </w:r>
      <w:r>
        <w:rPr>
          <w:rFonts w:hint="eastAsia"/>
        </w:rPr>
        <w:t>）环保达标监理</w:t>
      </w:r>
    </w:p>
    <w:p>
      <w:pPr>
        <w:pStyle w:val="3"/>
        <w:ind w:firstLine="31680"/>
      </w:pPr>
      <w:r>
        <w:rPr>
          <w:rFonts w:hint="eastAsia"/>
        </w:rPr>
        <w:t>本工程环保达标监理的重点为路基工程、路面工程等，其监理内容要点见表</w:t>
      </w:r>
      <w:r>
        <w:t>12.3-1</w:t>
      </w:r>
      <w:r>
        <w:rPr>
          <w:rFonts w:hint="eastAsia"/>
        </w:rPr>
        <w:t>。</w:t>
      </w:r>
    </w:p>
    <w:p>
      <w:pPr>
        <w:pStyle w:val="3"/>
        <w:ind w:firstLine="31680"/>
      </w:pPr>
      <w:r>
        <w:t>b</w:t>
      </w:r>
      <w:r>
        <w:rPr>
          <w:rFonts w:hint="eastAsia"/>
        </w:rPr>
        <w:t>）环保工程监理</w:t>
      </w:r>
    </w:p>
    <w:p>
      <w:pPr>
        <w:pStyle w:val="3"/>
        <w:ind w:firstLine="31680"/>
      </w:pPr>
      <w:r>
        <w:rPr>
          <w:rFonts w:hint="eastAsia"/>
        </w:rPr>
        <w:t>环保工程与公路主体工程一样，实施质量、进度和费用监理，其监理的重点为质量监理。环保工程的质量监理内容及方法按交通行业有关标准规范进行。</w:t>
      </w:r>
    </w:p>
    <w:p>
      <w:pPr>
        <w:pStyle w:val="6"/>
        <w:widowControl/>
        <w:ind w:left="864"/>
        <w:jc w:val="left"/>
        <w:rPr>
          <w:bCs w:val="0"/>
          <w:szCs w:val="21"/>
        </w:rPr>
      </w:pPr>
      <w:r>
        <w:rPr>
          <w:rFonts w:hint="eastAsia"/>
          <w:bCs w:val="0"/>
          <w:szCs w:val="21"/>
        </w:rPr>
        <w:t>试运行期环境监理重点</w:t>
      </w:r>
    </w:p>
    <w:p>
      <w:pPr>
        <w:pStyle w:val="3"/>
        <w:ind w:firstLine="31680"/>
      </w:pPr>
      <w:r>
        <w:rPr>
          <w:rFonts w:hint="eastAsia"/>
        </w:rPr>
        <w:t>试运行期环境监理重点主要包括：施工队伍退场后各临占用地植被恢复情况，绿化工程乔、灌木、花卉的成活率，绿地、草坪表面平整及排水情况等。</w:t>
      </w:r>
    </w:p>
    <w:p>
      <w:pPr>
        <w:pStyle w:val="5"/>
        <w:widowControl/>
        <w:ind w:left="567" w:hanging="567"/>
      </w:pPr>
      <w:r>
        <w:rPr>
          <w:rFonts w:hint="eastAsia"/>
        </w:rPr>
        <w:t>机构设置与人员配备</w:t>
      </w:r>
    </w:p>
    <w:p>
      <w:pPr>
        <w:pStyle w:val="3"/>
        <w:ind w:firstLine="31680"/>
      </w:pPr>
      <w:r>
        <w:rPr>
          <w:rFonts w:hint="eastAsia"/>
        </w:rPr>
        <w:t>通过对本工程的环境影响分析，修建公路施工期的环境污染问题比营运期严重，在施工期会对水环境、环境空气和声环境带来一定的影响，其中主要环境问题是施工尘土污染、施工噪声污染和水土流失等。由于工程施工期较长，工程的土石方填挖量较大，施工期可能引起的水土流失或塌方等，应有专职人员进行监督、管理。因此在施工期，建设单位须设专职的环境管理技术人员，由其负责处理工程施工期的环境问题。</w:t>
      </w:r>
    </w:p>
    <w:p>
      <w:pPr>
        <w:widowControl/>
        <w:jc w:val="left"/>
        <w:rPr>
          <w:kern w:val="0"/>
          <w:sz w:val="24"/>
        </w:rPr>
      </w:pPr>
    </w:p>
    <w:p>
      <w:pPr>
        <w:pStyle w:val="3"/>
        <w:ind w:firstLine="31680"/>
        <w:jc w:val="center"/>
      </w:pPr>
      <w:r>
        <w:rPr>
          <w:rFonts w:hint="eastAsia" w:hAnsi="黑体" w:eastAsia="黑体"/>
        </w:rPr>
        <w:t>表</w:t>
      </w:r>
      <w:r>
        <w:rPr>
          <w:rFonts w:eastAsia="黑体"/>
        </w:rPr>
        <w:t xml:space="preserve">13.3-1  </w:t>
      </w:r>
      <w:r>
        <w:rPr>
          <w:rFonts w:hint="eastAsia" w:hAnsi="黑体" w:eastAsia="黑体"/>
        </w:rPr>
        <w:t>拟建工程主要监理内容一览表</w:t>
      </w:r>
    </w:p>
    <w:tbl>
      <w:tblPr>
        <w:tblStyle w:val="65"/>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765"/>
        <w:gridCol w:w="8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401" w:type="dxa"/>
            <w:vAlign w:val="center"/>
          </w:tcPr>
          <w:p>
            <w:pPr>
              <w:pStyle w:val="112"/>
              <w:rPr>
                <w:rFonts w:eastAsia="黑体"/>
                <w:bCs/>
              </w:rPr>
            </w:pPr>
            <w:r>
              <w:rPr>
                <w:rFonts w:hint="eastAsia"/>
              </w:rPr>
              <w:t>序号</w:t>
            </w:r>
          </w:p>
        </w:tc>
        <w:tc>
          <w:tcPr>
            <w:tcW w:w="765" w:type="dxa"/>
            <w:vAlign w:val="center"/>
          </w:tcPr>
          <w:p>
            <w:pPr>
              <w:pStyle w:val="112"/>
              <w:rPr>
                <w:rFonts w:eastAsia="黑体"/>
                <w:bCs/>
              </w:rPr>
            </w:pPr>
            <w:r>
              <w:rPr>
                <w:rFonts w:hint="eastAsia"/>
              </w:rPr>
              <w:t>监理</w:t>
            </w:r>
          </w:p>
          <w:p>
            <w:pPr>
              <w:pStyle w:val="112"/>
              <w:rPr>
                <w:rFonts w:eastAsia="黑体"/>
                <w:bCs/>
              </w:rPr>
            </w:pPr>
            <w:r>
              <w:rPr>
                <w:rFonts w:hint="eastAsia"/>
              </w:rPr>
              <w:t>地点</w:t>
            </w:r>
          </w:p>
        </w:tc>
        <w:tc>
          <w:tcPr>
            <w:tcW w:w="8121" w:type="dxa"/>
            <w:vAlign w:val="center"/>
          </w:tcPr>
          <w:p>
            <w:pPr>
              <w:pStyle w:val="112"/>
              <w:rPr>
                <w:rFonts w:eastAsia="黑体"/>
                <w:bCs/>
              </w:rPr>
            </w:pPr>
            <w:r>
              <w:rPr>
                <w:rFonts w:hint="eastAsia"/>
              </w:rPr>
              <w:t>主要监理内容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1" w:type="dxa"/>
            <w:vAlign w:val="center"/>
          </w:tcPr>
          <w:p>
            <w:pPr>
              <w:pStyle w:val="112"/>
              <w:rPr>
                <w:bCs/>
              </w:rPr>
            </w:pPr>
            <w:r>
              <w:rPr>
                <w:bCs/>
              </w:rPr>
              <w:t>1</w:t>
            </w:r>
          </w:p>
        </w:tc>
        <w:tc>
          <w:tcPr>
            <w:tcW w:w="765" w:type="dxa"/>
            <w:vAlign w:val="center"/>
          </w:tcPr>
          <w:p>
            <w:pPr>
              <w:pStyle w:val="112"/>
              <w:rPr>
                <w:spacing w:val="5"/>
              </w:rPr>
            </w:pPr>
            <w:r>
              <w:rPr>
                <w:rFonts w:hint="eastAsia"/>
                <w:spacing w:val="5"/>
              </w:rPr>
              <w:t>路基</w:t>
            </w:r>
          </w:p>
          <w:p>
            <w:pPr>
              <w:pStyle w:val="112"/>
              <w:rPr>
                <w:spacing w:val="5"/>
              </w:rPr>
            </w:pPr>
            <w:r>
              <w:rPr>
                <w:rFonts w:hint="eastAsia"/>
                <w:spacing w:val="5"/>
              </w:rPr>
              <w:t>工程</w:t>
            </w:r>
          </w:p>
        </w:tc>
        <w:tc>
          <w:tcPr>
            <w:tcW w:w="8121" w:type="dxa"/>
            <w:vAlign w:val="center"/>
          </w:tcPr>
          <w:p>
            <w:pPr>
              <w:pStyle w:val="112"/>
              <w:jc w:val="left"/>
              <w:rPr>
                <w:u w:val="wave"/>
              </w:rPr>
            </w:pPr>
            <w:r>
              <w:rPr>
                <w:rFonts w:hint="eastAsia"/>
              </w:rPr>
              <w:t>现场旁站监督检查路基开挖与填筑作业范围控制情况与耕地、植被保护措施；</w:t>
            </w:r>
          </w:p>
          <w:p>
            <w:pPr>
              <w:pStyle w:val="112"/>
              <w:jc w:val="left"/>
              <w:rPr>
                <w:rFonts w:eastAsia="黑体"/>
                <w:bCs/>
              </w:rPr>
            </w:pPr>
            <w:r>
              <w:rPr>
                <w:rFonts w:hint="eastAsia"/>
              </w:rPr>
              <w:t>监督施工过程中是否发现地下文物及处置过程；</w:t>
            </w:r>
          </w:p>
          <w:p>
            <w:pPr>
              <w:pStyle w:val="112"/>
              <w:jc w:val="left"/>
              <w:rPr>
                <w:rFonts w:eastAsia="黑体"/>
                <w:bCs/>
              </w:rPr>
            </w:pPr>
            <w:r>
              <w:rPr>
                <w:rFonts w:hint="eastAsia"/>
              </w:rPr>
              <w:t>现场抽测声环境敏感路段的场界噪声达标情况；</w:t>
            </w:r>
          </w:p>
          <w:p>
            <w:pPr>
              <w:pStyle w:val="112"/>
              <w:jc w:val="left"/>
              <w:rPr>
                <w:rFonts w:eastAsia="黑体"/>
                <w:bCs/>
              </w:rPr>
            </w:pPr>
            <w:r>
              <w:rPr>
                <w:rFonts w:hint="eastAsia"/>
              </w:rPr>
              <w:t>检查临时水保措施的实施情况；巡视检查路基土石方调运情况；监督洒水降尘措施的实施情况。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1" w:type="dxa"/>
            <w:vAlign w:val="center"/>
          </w:tcPr>
          <w:p>
            <w:pPr>
              <w:pStyle w:val="112"/>
              <w:rPr>
                <w:bCs/>
              </w:rPr>
            </w:pPr>
            <w:r>
              <w:rPr>
                <w:bCs/>
              </w:rPr>
              <w:t>2</w:t>
            </w:r>
          </w:p>
        </w:tc>
        <w:tc>
          <w:tcPr>
            <w:tcW w:w="765" w:type="dxa"/>
            <w:vAlign w:val="center"/>
          </w:tcPr>
          <w:p>
            <w:pPr>
              <w:pStyle w:val="112"/>
              <w:rPr>
                <w:spacing w:val="5"/>
              </w:rPr>
            </w:pPr>
            <w:r>
              <w:rPr>
                <w:rFonts w:hint="eastAsia"/>
                <w:spacing w:val="5"/>
              </w:rPr>
              <w:t>路面</w:t>
            </w:r>
          </w:p>
          <w:p>
            <w:pPr>
              <w:pStyle w:val="112"/>
              <w:rPr>
                <w:spacing w:val="5"/>
              </w:rPr>
            </w:pPr>
            <w:r>
              <w:rPr>
                <w:rFonts w:hint="eastAsia"/>
                <w:spacing w:val="5"/>
              </w:rPr>
              <w:t>工程</w:t>
            </w:r>
          </w:p>
        </w:tc>
        <w:tc>
          <w:tcPr>
            <w:tcW w:w="8121" w:type="dxa"/>
            <w:vAlign w:val="center"/>
          </w:tcPr>
          <w:p>
            <w:pPr>
              <w:pStyle w:val="112"/>
              <w:jc w:val="left"/>
              <w:rPr>
                <w:rFonts w:eastAsia="黑体"/>
                <w:bCs/>
              </w:rPr>
            </w:pPr>
            <w:r>
              <w:rPr>
                <w:rFonts w:hint="eastAsia"/>
              </w:rPr>
              <w:t>现场抽测声环境敏感路段的施工场界噪声达标情况；</w:t>
            </w:r>
          </w:p>
          <w:p>
            <w:pPr>
              <w:pStyle w:val="112"/>
              <w:jc w:val="left"/>
              <w:rPr>
                <w:rFonts w:eastAsia="黑体"/>
                <w:bCs/>
              </w:rPr>
            </w:pPr>
            <w:r>
              <w:rPr>
                <w:rFonts w:hint="eastAsia"/>
              </w:rPr>
              <w:t>监督洒水降尘措施的实施情况；</w:t>
            </w:r>
          </w:p>
          <w:p>
            <w:pPr>
              <w:pStyle w:val="112"/>
              <w:jc w:val="left"/>
              <w:rPr>
                <w:rFonts w:eastAsia="黑体"/>
                <w:bCs/>
              </w:rPr>
            </w:pPr>
            <w:r>
              <w:rPr>
                <w:rFonts w:hint="eastAsia"/>
              </w:rPr>
              <w:t>检查路用粉状材料运输和堆放的遮盖措施。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1" w:type="dxa"/>
            <w:vAlign w:val="center"/>
          </w:tcPr>
          <w:p>
            <w:pPr>
              <w:pStyle w:val="112"/>
            </w:pPr>
            <w:r>
              <w:t>3</w:t>
            </w:r>
          </w:p>
        </w:tc>
        <w:tc>
          <w:tcPr>
            <w:tcW w:w="765" w:type="dxa"/>
            <w:vAlign w:val="center"/>
          </w:tcPr>
          <w:p>
            <w:pPr>
              <w:pStyle w:val="112"/>
            </w:pPr>
            <w:r>
              <w:rPr>
                <w:rFonts w:hint="eastAsia"/>
              </w:rPr>
              <w:t>桥涵</w:t>
            </w:r>
          </w:p>
          <w:p>
            <w:pPr>
              <w:pStyle w:val="112"/>
            </w:pPr>
            <w:r>
              <w:rPr>
                <w:rFonts w:hint="eastAsia"/>
              </w:rPr>
              <w:t>工程</w:t>
            </w:r>
          </w:p>
        </w:tc>
        <w:tc>
          <w:tcPr>
            <w:tcW w:w="8121" w:type="dxa"/>
            <w:vAlign w:val="center"/>
          </w:tcPr>
          <w:p>
            <w:pPr>
              <w:pStyle w:val="112"/>
              <w:jc w:val="left"/>
            </w:pPr>
            <w:r>
              <w:rPr>
                <w:rFonts w:hint="eastAsia"/>
              </w:rPr>
              <w:t>桥梁路段施工布置是否合理；桥梁路段施工时，检测周边水体悬浮物的变化情况；</w:t>
            </w:r>
          </w:p>
          <w:p>
            <w:pPr>
              <w:pStyle w:val="112"/>
              <w:jc w:val="left"/>
            </w:pPr>
            <w:r>
              <w:rPr>
                <w:rFonts w:hint="eastAsia"/>
              </w:rPr>
              <w:t>桩基础钻孔产生的钻渣抽排至两岸进行处理，加强施工管理，避免转运不当或管道破损等导致泥浆泄漏排入湄江河；</w:t>
            </w:r>
          </w:p>
          <w:p>
            <w:pPr>
              <w:pStyle w:val="112"/>
              <w:jc w:val="left"/>
              <w:rPr>
                <w:rFonts w:eastAsia="黑体"/>
                <w:bCs/>
              </w:rPr>
            </w:pPr>
            <w:r>
              <w:rPr>
                <w:rFonts w:hint="eastAsia"/>
              </w:rPr>
              <w:t>监督桥梁路段施工建材堆场设置的环境合理性；</w:t>
            </w:r>
          </w:p>
          <w:p>
            <w:pPr>
              <w:pStyle w:val="112"/>
              <w:jc w:val="left"/>
              <w:rPr>
                <w:rFonts w:eastAsia="黑体"/>
                <w:bCs/>
              </w:rPr>
            </w:pPr>
            <w:r>
              <w:rPr>
                <w:rFonts w:hint="eastAsia"/>
              </w:rPr>
              <w:t>监督施工机械是否经过漏油检查，避免在施工时发生油料泄露污染土壤；</w:t>
            </w:r>
          </w:p>
          <w:p>
            <w:pPr>
              <w:pStyle w:val="112"/>
              <w:jc w:val="left"/>
              <w:rPr>
                <w:rFonts w:eastAsia="黑体"/>
                <w:bCs/>
              </w:rPr>
            </w:pPr>
            <w:r>
              <w:rPr>
                <w:rFonts w:hint="eastAsia"/>
              </w:rPr>
              <w:t>桥梁工地人员的生活垃圾、施工物料垃圾等尽量分类收集，由环卫部门及时清运。</w:t>
            </w:r>
          </w:p>
          <w:p>
            <w:pPr>
              <w:pStyle w:val="112"/>
              <w:jc w:val="left"/>
              <w:rPr>
                <w:rFonts w:eastAsia="黑体"/>
                <w:bCs/>
              </w:rPr>
            </w:pPr>
            <w:r>
              <w:rPr>
                <w:rFonts w:hint="eastAsia"/>
              </w:rPr>
              <w:t>涵洞基础是否置于结实的地基上；</w:t>
            </w:r>
          </w:p>
          <w:p>
            <w:pPr>
              <w:pStyle w:val="112"/>
              <w:jc w:val="left"/>
              <w:rPr>
                <w:rFonts w:eastAsia="黑体"/>
                <w:bCs/>
              </w:rPr>
            </w:pPr>
            <w:r>
              <w:rPr>
                <w:rFonts w:hint="eastAsia"/>
              </w:rPr>
              <w:t>混凝土盖板或顶板、侧板外表面上在填土前是否涂刷沥青胶结材料和其它材料，以形成防水层。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1" w:type="dxa"/>
            <w:vAlign w:val="center"/>
          </w:tcPr>
          <w:p>
            <w:pPr>
              <w:pStyle w:val="112"/>
            </w:pPr>
            <w:r>
              <w:t>4</w:t>
            </w:r>
          </w:p>
        </w:tc>
        <w:tc>
          <w:tcPr>
            <w:tcW w:w="765" w:type="dxa"/>
            <w:vAlign w:val="center"/>
          </w:tcPr>
          <w:p>
            <w:pPr>
              <w:pStyle w:val="112"/>
            </w:pPr>
            <w:r>
              <w:rPr>
                <w:rFonts w:hint="eastAsia"/>
                <w:spacing w:val="5"/>
              </w:rPr>
              <w:t>施工生产生活区及临时材料堆放场</w:t>
            </w:r>
          </w:p>
        </w:tc>
        <w:tc>
          <w:tcPr>
            <w:tcW w:w="8121" w:type="dxa"/>
            <w:vAlign w:val="center"/>
          </w:tcPr>
          <w:p>
            <w:pPr>
              <w:pStyle w:val="112"/>
              <w:jc w:val="left"/>
            </w:pPr>
            <w:r>
              <w:rPr>
                <w:rFonts w:hint="eastAsia"/>
              </w:rPr>
              <w:t>核实施工生产生活区的选址；</w:t>
            </w:r>
          </w:p>
          <w:p>
            <w:pPr>
              <w:pStyle w:val="112"/>
              <w:jc w:val="left"/>
            </w:pPr>
            <w:r>
              <w:rPr>
                <w:rFonts w:hint="eastAsia"/>
              </w:rPr>
              <w:t>检查施工生产生活区生活污水是否达到排放标准、有关要求及处理设施建设情况；</w:t>
            </w:r>
          </w:p>
          <w:p>
            <w:pPr>
              <w:pStyle w:val="112"/>
              <w:jc w:val="left"/>
            </w:pPr>
            <w:r>
              <w:rPr>
                <w:rFonts w:hint="eastAsia"/>
              </w:rPr>
              <w:t>监督是否在施工生产生活区采用化粪池将生活污水收集处理，化粪池底泥作为农肥定期抽运；</w:t>
            </w:r>
          </w:p>
          <w:p>
            <w:pPr>
              <w:pStyle w:val="112"/>
              <w:jc w:val="left"/>
            </w:pPr>
            <w:r>
              <w:rPr>
                <w:rFonts w:hint="eastAsia"/>
              </w:rPr>
              <w:t>施工生产生活区的污水严禁直接排入地表溪沟；</w:t>
            </w:r>
          </w:p>
          <w:p>
            <w:pPr>
              <w:pStyle w:val="112"/>
              <w:jc w:val="left"/>
            </w:pPr>
            <w:r>
              <w:rPr>
                <w:rFonts w:hint="eastAsia"/>
              </w:rPr>
              <w:t>监督施工生产生活区的生活垃圾是否堆放在固定地点；</w:t>
            </w:r>
          </w:p>
          <w:p>
            <w:pPr>
              <w:pStyle w:val="112"/>
              <w:jc w:val="left"/>
            </w:pPr>
            <w:r>
              <w:rPr>
                <w:rFonts w:hint="eastAsia"/>
              </w:rPr>
              <w:t>监督是否按照环评报告的要求，在施工结束后对施工生产生活区和施工场地进行妥善恢复；</w:t>
            </w:r>
          </w:p>
          <w:p>
            <w:pPr>
              <w:pStyle w:val="112"/>
              <w:jc w:val="left"/>
            </w:pPr>
            <w:r>
              <w:rPr>
                <w:rFonts w:hint="eastAsia"/>
              </w:rPr>
              <w:t>严格控制施工道路修筑边界；</w:t>
            </w:r>
          </w:p>
          <w:p>
            <w:pPr>
              <w:pStyle w:val="112"/>
              <w:jc w:val="left"/>
            </w:pPr>
            <w:r>
              <w:rPr>
                <w:rFonts w:hint="eastAsia"/>
              </w:rPr>
              <w:t>检查监督施工定期洒水情况；</w:t>
            </w:r>
          </w:p>
          <w:p>
            <w:pPr>
              <w:pStyle w:val="112"/>
              <w:jc w:val="left"/>
            </w:pPr>
            <w:r>
              <w:rPr>
                <w:rFonts w:hint="eastAsia"/>
              </w:rPr>
              <w:t>现场抽测施工道路两侧敏感点噪声达标情况；</w:t>
            </w:r>
          </w:p>
          <w:p>
            <w:pPr>
              <w:pStyle w:val="112"/>
              <w:jc w:val="left"/>
            </w:pPr>
            <w:r>
              <w:rPr>
                <w:rFonts w:hint="eastAsia"/>
              </w:rPr>
              <w:t>检查材料仓库和临时堆料场的防止物料散漏污染措施。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7" w:hRule="atLeast"/>
          <w:jc w:val="center"/>
        </w:trPr>
        <w:tc>
          <w:tcPr>
            <w:tcW w:w="401" w:type="dxa"/>
            <w:vAlign w:val="center"/>
          </w:tcPr>
          <w:p>
            <w:pPr>
              <w:pStyle w:val="112"/>
            </w:pPr>
            <w:r>
              <w:t>5</w:t>
            </w:r>
          </w:p>
        </w:tc>
        <w:tc>
          <w:tcPr>
            <w:tcW w:w="765" w:type="dxa"/>
            <w:vAlign w:val="center"/>
          </w:tcPr>
          <w:p>
            <w:pPr>
              <w:pStyle w:val="112"/>
            </w:pPr>
            <w:r>
              <w:rPr>
                <w:rFonts w:hint="eastAsia"/>
              </w:rPr>
              <w:t>取弃土场、施工道路</w:t>
            </w:r>
          </w:p>
        </w:tc>
        <w:tc>
          <w:tcPr>
            <w:tcW w:w="8121" w:type="dxa"/>
            <w:vAlign w:val="center"/>
          </w:tcPr>
          <w:p>
            <w:pPr>
              <w:pStyle w:val="112"/>
              <w:jc w:val="left"/>
            </w:pPr>
            <w:r>
              <w:rPr>
                <w:rFonts w:hint="eastAsia"/>
              </w:rPr>
              <w:t>取弃土前是否将表土剥离和回填；</w:t>
            </w:r>
          </w:p>
          <w:p>
            <w:pPr>
              <w:pStyle w:val="112"/>
              <w:jc w:val="left"/>
            </w:pPr>
            <w:r>
              <w:rPr>
                <w:rFonts w:hint="eastAsia"/>
              </w:rPr>
              <w:t>取弃土时是否采取了相应的防护和防治水土流失的措施，在取弃土结束后是否进行了复耕；</w:t>
            </w:r>
          </w:p>
          <w:p>
            <w:pPr>
              <w:pStyle w:val="112"/>
              <w:jc w:val="left"/>
            </w:pPr>
            <w:r>
              <w:rPr>
                <w:rFonts w:hint="eastAsia"/>
              </w:rPr>
              <w:t>修建施工道路是否采取了相应的防护和防治水土流失的措施；施工结束后，靠近居民点的临时道路应利用为乡村道路，附近无居民的临时道路应复耕或覆盖植被。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1" w:type="dxa"/>
            <w:vAlign w:val="center"/>
          </w:tcPr>
          <w:p>
            <w:pPr>
              <w:pStyle w:val="112"/>
            </w:pPr>
            <w:r>
              <w:t>6</w:t>
            </w:r>
          </w:p>
        </w:tc>
        <w:tc>
          <w:tcPr>
            <w:tcW w:w="765" w:type="dxa"/>
            <w:vAlign w:val="center"/>
          </w:tcPr>
          <w:p>
            <w:pPr>
              <w:pStyle w:val="112"/>
            </w:pPr>
            <w:r>
              <w:rPr>
                <w:rFonts w:hint="eastAsia"/>
              </w:rPr>
              <w:t>沿线受影响的集中居民区</w:t>
            </w:r>
          </w:p>
        </w:tc>
        <w:tc>
          <w:tcPr>
            <w:tcW w:w="8121" w:type="dxa"/>
            <w:vAlign w:val="center"/>
          </w:tcPr>
          <w:p>
            <w:pPr>
              <w:pStyle w:val="112"/>
              <w:jc w:val="left"/>
            </w:pPr>
            <w:r>
              <w:rPr>
                <w:rFonts w:hint="eastAsia"/>
              </w:rPr>
              <w:t>施工场地是否合理安排，应尽量远离集中居民区；</w:t>
            </w:r>
          </w:p>
          <w:p>
            <w:pPr>
              <w:pStyle w:val="112"/>
              <w:jc w:val="left"/>
            </w:pPr>
            <w:r>
              <w:rPr>
                <w:rFonts w:hint="eastAsia"/>
              </w:rPr>
              <w:t>施工车辆在夜间施工时，要采取减速缓行、禁止鸣笛等措施；</w:t>
            </w:r>
          </w:p>
          <w:p>
            <w:pPr>
              <w:pStyle w:val="112"/>
              <w:jc w:val="left"/>
            </w:pPr>
            <w:r>
              <w:rPr>
                <w:rFonts w:hint="eastAsia"/>
              </w:rPr>
              <w:t>施工时间安排是否合理，夜间是否施工，是否在夜间进行打桩等高噪声施工作业；</w:t>
            </w:r>
          </w:p>
          <w:p>
            <w:pPr>
              <w:pStyle w:val="112"/>
              <w:jc w:val="left"/>
            </w:pPr>
            <w:r>
              <w:rPr>
                <w:rFonts w:hint="eastAsia"/>
              </w:rPr>
              <w:t>施工过程中是否根据施工进展进行噪声监测，有无发现施工噪声超标并对附近居民点产生影响，并及时采取有效的噪声污染防治措施。</w:t>
            </w:r>
          </w:p>
          <w:p>
            <w:pPr>
              <w:pStyle w:val="112"/>
              <w:jc w:val="left"/>
            </w:pPr>
            <w:r>
              <w:rPr>
                <w:rFonts w:hint="eastAsia"/>
              </w:rPr>
              <w:t>居民拆迁安置进度及安置方式，禁止占用农田进行安置。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01" w:type="dxa"/>
            <w:vAlign w:val="center"/>
          </w:tcPr>
          <w:p>
            <w:pPr>
              <w:pStyle w:val="112"/>
            </w:pPr>
            <w:r>
              <w:t>7</w:t>
            </w:r>
          </w:p>
        </w:tc>
        <w:tc>
          <w:tcPr>
            <w:tcW w:w="765" w:type="dxa"/>
            <w:vAlign w:val="center"/>
          </w:tcPr>
          <w:p>
            <w:pPr>
              <w:pStyle w:val="112"/>
            </w:pPr>
            <w:r>
              <w:rPr>
                <w:rFonts w:hint="eastAsia"/>
              </w:rPr>
              <w:t>其它共同监理（督）事项</w:t>
            </w:r>
          </w:p>
        </w:tc>
        <w:tc>
          <w:tcPr>
            <w:tcW w:w="8121" w:type="dxa"/>
            <w:vAlign w:val="center"/>
          </w:tcPr>
          <w:p>
            <w:pPr>
              <w:pStyle w:val="112"/>
              <w:jc w:val="left"/>
            </w:pPr>
            <w:r>
              <w:rPr>
                <w:rFonts w:hint="eastAsia"/>
              </w:rPr>
              <w:t>监督建设过程中是否落实水土保持方案内的水保措施。</w:t>
            </w:r>
          </w:p>
          <w:p>
            <w:pPr>
              <w:pStyle w:val="112"/>
              <w:jc w:val="left"/>
            </w:pPr>
            <w:r>
              <w:rPr>
                <w:rFonts w:hint="eastAsia"/>
              </w:rPr>
              <w:t>监督施工人员有无砍伐、破坏施工区以外的植被和作物，破坏生态的行为。</w:t>
            </w:r>
          </w:p>
          <w:p>
            <w:pPr>
              <w:pStyle w:val="112"/>
              <w:jc w:val="left"/>
            </w:pPr>
            <w:r>
              <w:rPr>
                <w:rFonts w:hint="eastAsia"/>
              </w:rPr>
              <w:t>监督施工单位在施工期间，所采取的交通分流、交通管制等保障交通畅通的措施是否合理。</w:t>
            </w:r>
          </w:p>
          <w:p>
            <w:pPr>
              <w:pStyle w:val="112"/>
              <w:jc w:val="left"/>
            </w:pPr>
            <w:r>
              <w:rPr>
                <w:rFonts w:hint="eastAsia"/>
              </w:rPr>
              <w:t>监督耕地占补平衡实施情况，沿线植被恢复、绿化情况。</w:t>
            </w:r>
          </w:p>
          <w:p>
            <w:pPr>
              <w:pStyle w:val="112"/>
              <w:jc w:val="left"/>
            </w:pPr>
            <w:r>
              <w:rPr>
                <w:rFonts w:hint="eastAsia"/>
              </w:rPr>
              <w:t>监督拆迁后，后靠安置实施情况，保障后靠安置住房能满足声环境质量标准要求。</w:t>
            </w:r>
          </w:p>
        </w:tc>
      </w:tr>
    </w:tbl>
    <w:p>
      <w:pPr>
        <w:pStyle w:val="4"/>
        <w:ind w:left="576"/>
      </w:pPr>
      <w:bookmarkStart w:id="332" w:name="_Toc9232"/>
      <w:r>
        <w:rPr>
          <w:rFonts w:hint="eastAsia"/>
        </w:rPr>
        <w:t>工程竣工环保验收</w:t>
      </w:r>
      <w:bookmarkEnd w:id="332"/>
    </w:p>
    <w:p>
      <w:pPr>
        <w:pStyle w:val="3"/>
        <w:ind w:firstLine="31680"/>
      </w:pPr>
      <w:r>
        <w:rPr>
          <w:rFonts w:hint="eastAsia"/>
        </w:rPr>
        <w:t>工程建成试开通</w:t>
      </w:r>
      <w:r>
        <w:t>3</w:t>
      </w:r>
      <w:r>
        <w:rPr>
          <w:rFonts w:hint="eastAsia"/>
        </w:rPr>
        <w:t>个月后应当实施环境保护工程的竣工验收，由主管环保部门联合验收。验收的具体内容见表</w:t>
      </w:r>
      <w:r>
        <w:t>13.4-1</w:t>
      </w:r>
      <w:r>
        <w:rPr>
          <w:rFonts w:hint="eastAsia"/>
        </w:rPr>
        <w:t>。</w:t>
      </w:r>
    </w:p>
    <w:p>
      <w:pPr>
        <w:pStyle w:val="19"/>
        <w:jc w:val="center"/>
        <w:rPr>
          <w:u w:val="wave"/>
        </w:rPr>
      </w:pPr>
      <w:r>
        <w:rPr>
          <w:rFonts w:hint="eastAsia"/>
        </w:rPr>
        <w:t>表</w:t>
      </w:r>
      <w:r>
        <w:t xml:space="preserve">13.4-1   </w:t>
      </w:r>
      <w:r>
        <w:rPr>
          <w:rFonts w:hint="eastAsia"/>
        </w:rPr>
        <w:t>工程竣工环保验收一览表</w:t>
      </w:r>
    </w:p>
    <w:tbl>
      <w:tblPr>
        <w:tblStyle w:val="65"/>
        <w:tblW w:w="8919" w:type="dxa"/>
        <w:jc w:val="center"/>
        <w:tblInd w:w="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1134"/>
        <w:gridCol w:w="1078"/>
        <w:gridCol w:w="3175"/>
        <w:gridCol w:w="922"/>
        <w:gridCol w:w="1629"/>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blHeader/>
          <w:jc w:val="center"/>
        </w:trPr>
        <w:tc>
          <w:tcPr>
            <w:tcW w:w="240" w:type="dxa"/>
            <w:vAlign w:val="center"/>
          </w:tcPr>
          <w:p>
            <w:pPr>
              <w:pStyle w:val="112"/>
              <w:rPr>
                <w:sz w:val="18"/>
                <w:szCs w:val="18"/>
              </w:rPr>
            </w:pPr>
            <w:r>
              <w:rPr>
                <w:rFonts w:hint="eastAsia" w:hAnsi="宋体"/>
                <w:sz w:val="18"/>
                <w:szCs w:val="18"/>
              </w:rPr>
              <w:t>序号</w:t>
            </w:r>
          </w:p>
        </w:tc>
        <w:tc>
          <w:tcPr>
            <w:tcW w:w="1134" w:type="dxa"/>
            <w:vAlign w:val="center"/>
          </w:tcPr>
          <w:p>
            <w:pPr>
              <w:pStyle w:val="112"/>
              <w:rPr>
                <w:sz w:val="18"/>
                <w:szCs w:val="18"/>
              </w:rPr>
            </w:pPr>
            <w:r>
              <w:rPr>
                <w:rFonts w:hint="eastAsia" w:hAnsi="宋体"/>
                <w:sz w:val="18"/>
                <w:szCs w:val="18"/>
              </w:rPr>
              <w:t>项目</w:t>
            </w:r>
          </w:p>
        </w:tc>
        <w:tc>
          <w:tcPr>
            <w:tcW w:w="1078" w:type="dxa"/>
            <w:vAlign w:val="center"/>
          </w:tcPr>
          <w:p>
            <w:pPr>
              <w:pStyle w:val="112"/>
              <w:rPr>
                <w:sz w:val="18"/>
                <w:szCs w:val="18"/>
              </w:rPr>
            </w:pPr>
            <w:r>
              <w:rPr>
                <w:rFonts w:hint="eastAsia" w:hAnsi="宋体"/>
                <w:sz w:val="18"/>
                <w:szCs w:val="18"/>
              </w:rPr>
              <w:t>数量</w:t>
            </w:r>
          </w:p>
        </w:tc>
        <w:tc>
          <w:tcPr>
            <w:tcW w:w="3175" w:type="dxa"/>
            <w:vAlign w:val="center"/>
          </w:tcPr>
          <w:p>
            <w:pPr>
              <w:pStyle w:val="112"/>
              <w:jc w:val="left"/>
              <w:rPr>
                <w:sz w:val="18"/>
                <w:szCs w:val="18"/>
              </w:rPr>
            </w:pPr>
            <w:r>
              <w:rPr>
                <w:rFonts w:hint="eastAsia" w:hAnsi="宋体"/>
                <w:sz w:val="18"/>
                <w:szCs w:val="18"/>
              </w:rPr>
              <w:t>报告书提出的环保措施</w:t>
            </w:r>
          </w:p>
        </w:tc>
        <w:tc>
          <w:tcPr>
            <w:tcW w:w="922" w:type="dxa"/>
            <w:vAlign w:val="center"/>
          </w:tcPr>
          <w:p>
            <w:pPr>
              <w:pStyle w:val="112"/>
              <w:rPr>
                <w:sz w:val="18"/>
                <w:szCs w:val="18"/>
              </w:rPr>
            </w:pPr>
            <w:r>
              <w:rPr>
                <w:rFonts w:hint="eastAsia" w:hAnsi="宋体"/>
                <w:sz w:val="18"/>
                <w:szCs w:val="18"/>
              </w:rPr>
              <w:t>环保措施实施单位</w:t>
            </w:r>
          </w:p>
        </w:tc>
        <w:tc>
          <w:tcPr>
            <w:tcW w:w="1629" w:type="dxa"/>
            <w:vAlign w:val="center"/>
          </w:tcPr>
          <w:p>
            <w:pPr>
              <w:pStyle w:val="112"/>
              <w:rPr>
                <w:sz w:val="18"/>
                <w:szCs w:val="18"/>
              </w:rPr>
            </w:pPr>
            <w:r>
              <w:rPr>
                <w:rFonts w:hint="eastAsia" w:hAnsi="宋体"/>
                <w:sz w:val="18"/>
                <w:szCs w:val="18"/>
              </w:rPr>
              <w:t>验收主要内容</w:t>
            </w:r>
          </w:p>
        </w:tc>
        <w:tc>
          <w:tcPr>
            <w:tcW w:w="741" w:type="dxa"/>
            <w:vAlign w:val="center"/>
          </w:tcPr>
          <w:p>
            <w:pPr>
              <w:pStyle w:val="112"/>
              <w:rPr>
                <w:sz w:val="18"/>
                <w:szCs w:val="18"/>
              </w:rPr>
            </w:pPr>
            <w:r>
              <w:rPr>
                <w:rFonts w:hint="eastAsia" w:hAnsi="宋体"/>
                <w:sz w:val="18"/>
                <w:szCs w:val="18"/>
              </w:rPr>
              <w:t>应验收</w:t>
            </w:r>
          </w:p>
          <w:p>
            <w:pPr>
              <w:pStyle w:val="112"/>
              <w:rPr>
                <w:sz w:val="18"/>
                <w:szCs w:val="18"/>
              </w:rPr>
            </w:pPr>
            <w:r>
              <w:rPr>
                <w:rFonts w:hint="eastAsia" w:hAnsi="宋体"/>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40" w:type="dxa"/>
            <w:vAlign w:val="center"/>
          </w:tcPr>
          <w:p>
            <w:pPr>
              <w:pStyle w:val="112"/>
              <w:rPr>
                <w:sz w:val="18"/>
                <w:szCs w:val="18"/>
              </w:rPr>
            </w:pPr>
            <w:r>
              <w:rPr>
                <w:sz w:val="18"/>
                <w:szCs w:val="18"/>
              </w:rPr>
              <w:t>1</w:t>
            </w:r>
          </w:p>
        </w:tc>
        <w:tc>
          <w:tcPr>
            <w:tcW w:w="1134" w:type="dxa"/>
            <w:vAlign w:val="center"/>
          </w:tcPr>
          <w:p>
            <w:pPr>
              <w:pStyle w:val="112"/>
              <w:rPr>
                <w:sz w:val="18"/>
                <w:szCs w:val="18"/>
              </w:rPr>
            </w:pPr>
            <w:r>
              <w:rPr>
                <w:rFonts w:hint="eastAsia" w:hAnsi="宋体"/>
                <w:sz w:val="18"/>
                <w:szCs w:val="18"/>
              </w:rPr>
              <w:t>绿化工程及生态保护措施</w:t>
            </w:r>
          </w:p>
        </w:tc>
        <w:tc>
          <w:tcPr>
            <w:tcW w:w="1078" w:type="dxa"/>
            <w:vAlign w:val="center"/>
          </w:tcPr>
          <w:p>
            <w:pPr>
              <w:pStyle w:val="112"/>
              <w:rPr>
                <w:sz w:val="18"/>
                <w:szCs w:val="18"/>
              </w:rPr>
            </w:pPr>
            <w:r>
              <w:rPr>
                <w:sz w:val="18"/>
                <w:szCs w:val="18"/>
              </w:rPr>
              <w:t>8.369km</w:t>
            </w:r>
          </w:p>
        </w:tc>
        <w:tc>
          <w:tcPr>
            <w:tcW w:w="3175" w:type="dxa"/>
            <w:vAlign w:val="center"/>
          </w:tcPr>
          <w:p>
            <w:pPr>
              <w:pStyle w:val="112"/>
              <w:jc w:val="left"/>
              <w:rPr>
                <w:b/>
                <w:sz w:val="18"/>
                <w:szCs w:val="18"/>
              </w:rPr>
            </w:pPr>
            <w:r>
              <w:rPr>
                <w:rFonts w:hint="eastAsia" w:hAnsi="宋体"/>
                <w:b/>
                <w:sz w:val="18"/>
                <w:szCs w:val="18"/>
              </w:rPr>
              <w:t>报告书提出环保措施：</w:t>
            </w:r>
          </w:p>
          <w:p>
            <w:pPr>
              <w:pStyle w:val="112"/>
              <w:jc w:val="left"/>
              <w:rPr>
                <w:sz w:val="18"/>
                <w:szCs w:val="18"/>
              </w:rPr>
            </w:pPr>
            <w:r>
              <w:rPr>
                <w:rFonts w:hint="eastAsia" w:hAnsi="宋体"/>
                <w:sz w:val="18"/>
                <w:szCs w:val="18"/>
              </w:rPr>
              <w:t>沿线的美化和绿化。植物种植应选择乡土植物（树、灌木、林荫树、树篱），绿化要突出地方特色。</w:t>
            </w:r>
          </w:p>
        </w:tc>
        <w:tc>
          <w:tcPr>
            <w:tcW w:w="922" w:type="dxa"/>
            <w:vAlign w:val="center"/>
          </w:tcPr>
          <w:p>
            <w:pPr>
              <w:pStyle w:val="112"/>
              <w:rPr>
                <w:sz w:val="18"/>
                <w:szCs w:val="18"/>
              </w:rPr>
            </w:pPr>
            <w:r>
              <w:rPr>
                <w:rFonts w:hint="eastAsia" w:hAnsi="宋体"/>
                <w:sz w:val="18"/>
                <w:szCs w:val="18"/>
              </w:rPr>
              <w:t>施工单位</w:t>
            </w:r>
          </w:p>
        </w:tc>
        <w:tc>
          <w:tcPr>
            <w:tcW w:w="1629" w:type="dxa"/>
            <w:vAlign w:val="center"/>
          </w:tcPr>
          <w:p>
            <w:pPr>
              <w:pStyle w:val="112"/>
              <w:rPr>
                <w:sz w:val="18"/>
                <w:szCs w:val="18"/>
              </w:rPr>
            </w:pPr>
            <w:r>
              <w:rPr>
                <w:rFonts w:hint="eastAsia" w:hAnsi="宋体"/>
                <w:sz w:val="18"/>
                <w:szCs w:val="18"/>
              </w:rPr>
              <w:t>路基边坡及山体护坡、绿化工程情况。</w:t>
            </w:r>
          </w:p>
        </w:tc>
        <w:tc>
          <w:tcPr>
            <w:tcW w:w="741" w:type="dxa"/>
            <w:vAlign w:val="center"/>
          </w:tcPr>
          <w:p>
            <w:pPr>
              <w:pStyle w:val="112"/>
              <w:rPr>
                <w:sz w:val="18"/>
                <w:szCs w:val="18"/>
              </w:rPr>
            </w:pPr>
            <w:r>
              <w:rPr>
                <w:rFonts w:hint="eastAsia" w:hAnsi="宋体"/>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40" w:type="dxa"/>
            <w:vAlign w:val="center"/>
          </w:tcPr>
          <w:p>
            <w:pPr>
              <w:pStyle w:val="112"/>
              <w:rPr>
                <w:sz w:val="18"/>
                <w:szCs w:val="18"/>
              </w:rPr>
            </w:pPr>
            <w:r>
              <w:rPr>
                <w:sz w:val="18"/>
                <w:szCs w:val="18"/>
              </w:rPr>
              <w:t>2</w:t>
            </w:r>
          </w:p>
        </w:tc>
        <w:tc>
          <w:tcPr>
            <w:tcW w:w="1134" w:type="dxa"/>
            <w:vAlign w:val="center"/>
          </w:tcPr>
          <w:p>
            <w:pPr>
              <w:pStyle w:val="112"/>
              <w:rPr>
                <w:sz w:val="18"/>
                <w:szCs w:val="18"/>
              </w:rPr>
            </w:pPr>
            <w:r>
              <w:rPr>
                <w:rFonts w:hint="eastAsia" w:hAnsi="宋体"/>
                <w:sz w:val="18"/>
                <w:szCs w:val="18"/>
              </w:rPr>
              <w:t>弃土场环境保护措施</w:t>
            </w:r>
          </w:p>
        </w:tc>
        <w:tc>
          <w:tcPr>
            <w:tcW w:w="1078" w:type="dxa"/>
            <w:vAlign w:val="center"/>
          </w:tcPr>
          <w:p>
            <w:pPr>
              <w:pStyle w:val="112"/>
              <w:rPr>
                <w:sz w:val="18"/>
                <w:szCs w:val="18"/>
              </w:rPr>
            </w:pPr>
            <w:r>
              <w:rPr>
                <w:sz w:val="18"/>
                <w:szCs w:val="18"/>
              </w:rPr>
              <w:t>3</w:t>
            </w:r>
            <w:r>
              <w:rPr>
                <w:rFonts w:hint="eastAsia" w:hAnsi="宋体"/>
                <w:sz w:val="18"/>
                <w:szCs w:val="18"/>
              </w:rPr>
              <w:t>处</w:t>
            </w:r>
          </w:p>
        </w:tc>
        <w:tc>
          <w:tcPr>
            <w:tcW w:w="3175" w:type="dxa"/>
            <w:vAlign w:val="center"/>
          </w:tcPr>
          <w:p>
            <w:pPr>
              <w:pStyle w:val="112"/>
              <w:jc w:val="left"/>
              <w:rPr>
                <w:b/>
                <w:sz w:val="18"/>
                <w:szCs w:val="18"/>
              </w:rPr>
            </w:pPr>
            <w:r>
              <w:rPr>
                <w:rFonts w:hint="eastAsia" w:hAnsi="宋体"/>
                <w:b/>
                <w:sz w:val="18"/>
                <w:szCs w:val="18"/>
              </w:rPr>
              <w:t>报告书提出环保措施：</w:t>
            </w:r>
          </w:p>
          <w:p>
            <w:pPr>
              <w:pStyle w:val="112"/>
              <w:jc w:val="left"/>
              <w:rPr>
                <w:sz w:val="18"/>
                <w:szCs w:val="18"/>
              </w:rPr>
            </w:pPr>
            <w:r>
              <w:rPr>
                <w:rFonts w:hint="eastAsia" w:hAnsi="宋体"/>
                <w:sz w:val="18"/>
                <w:szCs w:val="18"/>
              </w:rPr>
              <w:t>①弃土场、弃渣场水保与生态恢复措施。</w:t>
            </w:r>
          </w:p>
          <w:p>
            <w:pPr>
              <w:pStyle w:val="112"/>
              <w:jc w:val="left"/>
              <w:rPr>
                <w:sz w:val="18"/>
                <w:szCs w:val="18"/>
              </w:rPr>
            </w:pPr>
            <w:r>
              <w:rPr>
                <w:rFonts w:hint="eastAsia" w:hAnsi="宋体"/>
                <w:sz w:val="18"/>
                <w:szCs w:val="18"/>
              </w:rPr>
              <w:t>②根据最终水土保持提出的措施为施工迹地生态植被恢复。</w:t>
            </w:r>
          </w:p>
        </w:tc>
        <w:tc>
          <w:tcPr>
            <w:tcW w:w="922" w:type="dxa"/>
            <w:vAlign w:val="center"/>
          </w:tcPr>
          <w:p>
            <w:pPr>
              <w:pStyle w:val="112"/>
              <w:rPr>
                <w:sz w:val="18"/>
                <w:szCs w:val="18"/>
              </w:rPr>
            </w:pPr>
            <w:r>
              <w:rPr>
                <w:rFonts w:hint="eastAsia" w:hAnsi="宋体"/>
                <w:sz w:val="18"/>
                <w:szCs w:val="18"/>
              </w:rPr>
              <w:t>施工单位</w:t>
            </w:r>
          </w:p>
        </w:tc>
        <w:tc>
          <w:tcPr>
            <w:tcW w:w="1629" w:type="dxa"/>
            <w:vAlign w:val="center"/>
          </w:tcPr>
          <w:p>
            <w:pPr>
              <w:pStyle w:val="112"/>
              <w:rPr>
                <w:sz w:val="18"/>
                <w:szCs w:val="18"/>
              </w:rPr>
            </w:pPr>
            <w:r>
              <w:rPr>
                <w:rFonts w:hint="eastAsia" w:hAnsi="宋体"/>
                <w:sz w:val="18"/>
                <w:szCs w:val="18"/>
              </w:rPr>
              <w:t>取弃土场是否按指定地点进行，是否采取水土流失防治措施。检查取弃土场植被恢复情况。</w:t>
            </w:r>
          </w:p>
        </w:tc>
        <w:tc>
          <w:tcPr>
            <w:tcW w:w="741" w:type="dxa"/>
            <w:vAlign w:val="center"/>
          </w:tcPr>
          <w:p>
            <w:pPr>
              <w:pStyle w:val="112"/>
              <w:rPr>
                <w:sz w:val="18"/>
                <w:szCs w:val="18"/>
              </w:rPr>
            </w:pPr>
            <w:r>
              <w:rPr>
                <w:rFonts w:hint="eastAsia" w:hAnsi="宋体"/>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40" w:type="dxa"/>
            <w:vAlign w:val="center"/>
          </w:tcPr>
          <w:p>
            <w:pPr>
              <w:pStyle w:val="112"/>
              <w:rPr>
                <w:sz w:val="18"/>
                <w:szCs w:val="18"/>
              </w:rPr>
            </w:pPr>
            <w:r>
              <w:rPr>
                <w:sz w:val="18"/>
                <w:szCs w:val="18"/>
              </w:rPr>
              <w:t>3</w:t>
            </w:r>
          </w:p>
        </w:tc>
        <w:tc>
          <w:tcPr>
            <w:tcW w:w="1134" w:type="dxa"/>
            <w:vAlign w:val="center"/>
          </w:tcPr>
          <w:p>
            <w:pPr>
              <w:pStyle w:val="112"/>
              <w:rPr>
                <w:rFonts w:hAnsi="宋体"/>
                <w:sz w:val="18"/>
                <w:szCs w:val="18"/>
              </w:rPr>
            </w:pPr>
            <w:r>
              <w:rPr>
                <w:rFonts w:hint="eastAsia" w:hAnsi="宋体"/>
                <w:sz w:val="18"/>
                <w:szCs w:val="18"/>
              </w:rPr>
              <w:t>施工便道</w:t>
            </w:r>
          </w:p>
        </w:tc>
        <w:tc>
          <w:tcPr>
            <w:tcW w:w="1078" w:type="dxa"/>
            <w:vAlign w:val="center"/>
          </w:tcPr>
          <w:p>
            <w:pPr>
              <w:pStyle w:val="112"/>
              <w:rPr>
                <w:sz w:val="18"/>
                <w:szCs w:val="18"/>
              </w:rPr>
            </w:pPr>
            <w:r>
              <w:rPr>
                <w:sz w:val="18"/>
                <w:szCs w:val="18"/>
              </w:rPr>
              <w:t>4.185km</w:t>
            </w:r>
          </w:p>
        </w:tc>
        <w:tc>
          <w:tcPr>
            <w:tcW w:w="3175" w:type="dxa"/>
            <w:vAlign w:val="center"/>
          </w:tcPr>
          <w:p>
            <w:pPr>
              <w:pStyle w:val="112"/>
              <w:jc w:val="left"/>
              <w:rPr>
                <w:rFonts w:hAnsi="宋体"/>
                <w:b/>
                <w:sz w:val="18"/>
                <w:szCs w:val="18"/>
              </w:rPr>
            </w:pPr>
            <w:r>
              <w:rPr>
                <w:rFonts w:hint="eastAsia" w:hAnsi="宋体"/>
                <w:b/>
                <w:sz w:val="18"/>
                <w:szCs w:val="18"/>
              </w:rPr>
              <w:t>报告书提出环保措施：</w:t>
            </w:r>
          </w:p>
          <w:p>
            <w:pPr>
              <w:pStyle w:val="112"/>
              <w:jc w:val="left"/>
              <w:rPr>
                <w:rFonts w:hAnsi="宋体"/>
                <w:sz w:val="18"/>
                <w:szCs w:val="18"/>
              </w:rPr>
            </w:pPr>
            <w:r>
              <w:rPr>
                <w:rFonts w:hint="eastAsia" w:hAnsi="宋体"/>
                <w:sz w:val="18"/>
                <w:szCs w:val="18"/>
              </w:rPr>
              <w:t>①施工便道水保与生态恢复措施。</w:t>
            </w:r>
          </w:p>
          <w:p>
            <w:pPr>
              <w:pStyle w:val="112"/>
              <w:jc w:val="left"/>
              <w:rPr>
                <w:rFonts w:hAnsi="宋体"/>
                <w:sz w:val="18"/>
                <w:szCs w:val="18"/>
              </w:rPr>
            </w:pPr>
            <w:r>
              <w:rPr>
                <w:rFonts w:hint="eastAsia" w:hAnsi="宋体"/>
                <w:sz w:val="18"/>
                <w:szCs w:val="18"/>
              </w:rPr>
              <w:t>②水土保持措施主要为：随挖随运，在开挖边坡内侧设施排水沟，填方边坡和平坦路基处布设临时排水沟，并配套临时沉砂池。挖方和填方边坡进行植草防护。</w:t>
            </w:r>
          </w:p>
        </w:tc>
        <w:tc>
          <w:tcPr>
            <w:tcW w:w="922" w:type="dxa"/>
            <w:vAlign w:val="center"/>
          </w:tcPr>
          <w:p>
            <w:pPr>
              <w:pStyle w:val="112"/>
              <w:rPr>
                <w:rFonts w:hAnsi="宋体"/>
                <w:sz w:val="18"/>
                <w:szCs w:val="18"/>
              </w:rPr>
            </w:pPr>
            <w:r>
              <w:rPr>
                <w:rFonts w:hint="eastAsia" w:hAnsi="宋体"/>
                <w:sz w:val="18"/>
                <w:szCs w:val="18"/>
              </w:rPr>
              <w:t>施工单位</w:t>
            </w:r>
          </w:p>
        </w:tc>
        <w:tc>
          <w:tcPr>
            <w:tcW w:w="1629" w:type="dxa"/>
            <w:vAlign w:val="center"/>
          </w:tcPr>
          <w:p>
            <w:pPr>
              <w:pStyle w:val="112"/>
              <w:rPr>
                <w:rFonts w:hAnsi="宋体"/>
                <w:sz w:val="18"/>
                <w:szCs w:val="18"/>
              </w:rPr>
            </w:pPr>
            <w:r>
              <w:rPr>
                <w:rFonts w:hint="eastAsia" w:hAnsi="宋体"/>
                <w:sz w:val="18"/>
                <w:szCs w:val="18"/>
              </w:rPr>
              <w:t>施工便道是否采取水土保持措施。检查施工便道的植被恢复与利用情况。</w:t>
            </w:r>
          </w:p>
        </w:tc>
        <w:tc>
          <w:tcPr>
            <w:tcW w:w="741" w:type="dxa"/>
            <w:vAlign w:val="center"/>
          </w:tcPr>
          <w:p>
            <w:pPr>
              <w:pStyle w:val="112"/>
              <w:rPr>
                <w:rFonts w:hAnsi="宋体"/>
                <w:sz w:val="18"/>
                <w:szCs w:val="18"/>
              </w:rPr>
            </w:pPr>
            <w:r>
              <w:rPr>
                <w:rFonts w:hint="eastAsia" w:hAnsi="宋体"/>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40" w:type="dxa"/>
            <w:vAlign w:val="center"/>
          </w:tcPr>
          <w:p>
            <w:pPr>
              <w:pStyle w:val="112"/>
              <w:rPr>
                <w:sz w:val="18"/>
                <w:szCs w:val="18"/>
              </w:rPr>
            </w:pPr>
            <w:r>
              <w:rPr>
                <w:sz w:val="18"/>
                <w:szCs w:val="18"/>
              </w:rPr>
              <w:t>4</w:t>
            </w:r>
          </w:p>
        </w:tc>
        <w:tc>
          <w:tcPr>
            <w:tcW w:w="1134" w:type="dxa"/>
            <w:vAlign w:val="center"/>
          </w:tcPr>
          <w:p>
            <w:pPr>
              <w:pStyle w:val="112"/>
              <w:rPr>
                <w:rFonts w:hAnsi="宋体"/>
                <w:sz w:val="18"/>
                <w:szCs w:val="18"/>
              </w:rPr>
            </w:pPr>
            <w:r>
              <w:rPr>
                <w:rFonts w:hint="eastAsia" w:hAnsi="宋体"/>
                <w:sz w:val="18"/>
                <w:szCs w:val="18"/>
              </w:rPr>
              <w:t>施工生产生活临时用地区</w:t>
            </w:r>
          </w:p>
        </w:tc>
        <w:tc>
          <w:tcPr>
            <w:tcW w:w="1078" w:type="dxa"/>
            <w:vAlign w:val="center"/>
          </w:tcPr>
          <w:p>
            <w:pPr>
              <w:pStyle w:val="112"/>
              <w:rPr>
                <w:sz w:val="18"/>
                <w:szCs w:val="18"/>
              </w:rPr>
            </w:pPr>
            <w:r>
              <w:rPr>
                <w:sz w:val="18"/>
                <w:szCs w:val="18"/>
              </w:rPr>
              <w:t>3</w:t>
            </w:r>
            <w:r>
              <w:rPr>
                <w:rFonts w:hint="eastAsia"/>
                <w:sz w:val="18"/>
                <w:szCs w:val="18"/>
              </w:rPr>
              <w:t>处</w:t>
            </w:r>
          </w:p>
        </w:tc>
        <w:tc>
          <w:tcPr>
            <w:tcW w:w="3175" w:type="dxa"/>
            <w:vAlign w:val="center"/>
          </w:tcPr>
          <w:p>
            <w:pPr>
              <w:pStyle w:val="112"/>
              <w:jc w:val="left"/>
              <w:rPr>
                <w:rFonts w:hAnsi="宋体"/>
                <w:sz w:val="18"/>
                <w:szCs w:val="18"/>
              </w:rPr>
            </w:pPr>
            <w:r>
              <w:rPr>
                <w:rFonts w:hint="eastAsia" w:hAnsi="宋体"/>
                <w:b/>
                <w:sz w:val="18"/>
                <w:szCs w:val="18"/>
              </w:rPr>
              <w:t>报告书提出环保措施</w:t>
            </w:r>
            <w:r>
              <w:rPr>
                <w:rFonts w:hint="eastAsia" w:hAnsi="宋体"/>
                <w:sz w:val="18"/>
                <w:szCs w:val="18"/>
              </w:rPr>
              <w:t>：</w:t>
            </w:r>
          </w:p>
          <w:p>
            <w:pPr>
              <w:pStyle w:val="112"/>
              <w:jc w:val="left"/>
              <w:rPr>
                <w:rFonts w:hAnsi="宋体"/>
                <w:sz w:val="18"/>
                <w:szCs w:val="18"/>
              </w:rPr>
            </w:pPr>
            <w:r>
              <w:rPr>
                <w:rFonts w:hint="eastAsia" w:hAnsi="宋体"/>
                <w:sz w:val="18"/>
                <w:szCs w:val="18"/>
              </w:rPr>
              <w:t>①施工生产生活临时用地区水保与生态恢复措施。</w:t>
            </w:r>
          </w:p>
          <w:p>
            <w:pPr>
              <w:pStyle w:val="112"/>
              <w:jc w:val="left"/>
              <w:rPr>
                <w:rFonts w:hAnsi="宋体"/>
                <w:sz w:val="18"/>
                <w:szCs w:val="18"/>
              </w:rPr>
            </w:pPr>
            <w:r>
              <w:rPr>
                <w:rFonts w:hint="eastAsia" w:hAnsi="宋体"/>
                <w:sz w:val="18"/>
                <w:szCs w:val="18"/>
              </w:rPr>
              <w:t>②水土保持措施主要为：严格控制临时用地数量和用地范围，工程结束后按土地利用现状进行土地整治与植被恢复。</w:t>
            </w:r>
          </w:p>
        </w:tc>
        <w:tc>
          <w:tcPr>
            <w:tcW w:w="922" w:type="dxa"/>
            <w:vAlign w:val="center"/>
          </w:tcPr>
          <w:p>
            <w:pPr>
              <w:pStyle w:val="112"/>
              <w:rPr>
                <w:rFonts w:hAnsi="宋体"/>
                <w:sz w:val="18"/>
                <w:szCs w:val="18"/>
              </w:rPr>
            </w:pPr>
            <w:r>
              <w:rPr>
                <w:rFonts w:hint="eastAsia" w:hAnsi="宋体"/>
                <w:sz w:val="18"/>
                <w:szCs w:val="18"/>
              </w:rPr>
              <w:t>施工单位</w:t>
            </w:r>
          </w:p>
        </w:tc>
        <w:tc>
          <w:tcPr>
            <w:tcW w:w="1629" w:type="dxa"/>
            <w:vAlign w:val="center"/>
          </w:tcPr>
          <w:p>
            <w:pPr>
              <w:pStyle w:val="112"/>
              <w:rPr>
                <w:rFonts w:hAnsi="宋体"/>
                <w:sz w:val="18"/>
                <w:szCs w:val="18"/>
              </w:rPr>
            </w:pPr>
            <w:r>
              <w:rPr>
                <w:rFonts w:hint="eastAsia" w:hAnsi="宋体"/>
                <w:sz w:val="18"/>
                <w:szCs w:val="18"/>
              </w:rPr>
              <w:t>施工生产生活临时用地区是否采取了相应的水土保持措施。检查施工生产生活临时用地区的土地整治与植被恢复情况。</w:t>
            </w:r>
          </w:p>
        </w:tc>
        <w:tc>
          <w:tcPr>
            <w:tcW w:w="741" w:type="dxa"/>
            <w:vAlign w:val="center"/>
          </w:tcPr>
          <w:p>
            <w:pPr>
              <w:pStyle w:val="112"/>
              <w:rPr>
                <w:rFonts w:hAnsi="宋体"/>
                <w:sz w:val="18"/>
                <w:szCs w:val="18"/>
              </w:rPr>
            </w:pPr>
            <w:r>
              <w:rPr>
                <w:rFonts w:hint="eastAsia" w:hAnsi="宋体"/>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40" w:type="dxa"/>
            <w:vAlign w:val="center"/>
          </w:tcPr>
          <w:p>
            <w:pPr>
              <w:pStyle w:val="112"/>
              <w:rPr>
                <w:sz w:val="18"/>
                <w:szCs w:val="18"/>
              </w:rPr>
            </w:pPr>
            <w:r>
              <w:rPr>
                <w:sz w:val="18"/>
                <w:szCs w:val="18"/>
              </w:rPr>
              <w:t>5</w:t>
            </w:r>
          </w:p>
        </w:tc>
        <w:tc>
          <w:tcPr>
            <w:tcW w:w="1134" w:type="dxa"/>
            <w:vAlign w:val="center"/>
          </w:tcPr>
          <w:p>
            <w:pPr>
              <w:pStyle w:val="112"/>
              <w:rPr>
                <w:sz w:val="18"/>
                <w:szCs w:val="18"/>
              </w:rPr>
            </w:pPr>
            <w:r>
              <w:rPr>
                <w:rFonts w:hint="eastAsia" w:hAnsi="宋体"/>
                <w:sz w:val="18"/>
                <w:szCs w:val="18"/>
              </w:rPr>
              <w:t>环境空气保护措施</w:t>
            </w:r>
          </w:p>
        </w:tc>
        <w:tc>
          <w:tcPr>
            <w:tcW w:w="1078" w:type="dxa"/>
            <w:vAlign w:val="center"/>
          </w:tcPr>
          <w:p>
            <w:pPr>
              <w:pStyle w:val="112"/>
              <w:rPr>
                <w:sz w:val="18"/>
                <w:szCs w:val="18"/>
              </w:rPr>
            </w:pPr>
            <w:r>
              <w:rPr>
                <w:sz w:val="18"/>
                <w:szCs w:val="18"/>
              </w:rPr>
              <w:t>/</w:t>
            </w:r>
          </w:p>
        </w:tc>
        <w:tc>
          <w:tcPr>
            <w:tcW w:w="3175" w:type="dxa"/>
            <w:vAlign w:val="center"/>
          </w:tcPr>
          <w:p>
            <w:pPr>
              <w:pStyle w:val="112"/>
              <w:jc w:val="left"/>
              <w:rPr>
                <w:b/>
                <w:sz w:val="18"/>
                <w:szCs w:val="18"/>
              </w:rPr>
            </w:pPr>
            <w:r>
              <w:rPr>
                <w:rFonts w:hint="eastAsia" w:hAnsi="宋体"/>
                <w:b/>
                <w:sz w:val="18"/>
                <w:szCs w:val="18"/>
              </w:rPr>
              <w:t>报告书提出环保措施：</w:t>
            </w:r>
          </w:p>
          <w:p>
            <w:pPr>
              <w:pStyle w:val="112"/>
              <w:jc w:val="left"/>
              <w:rPr>
                <w:rFonts w:hAnsi="宋体"/>
                <w:sz w:val="18"/>
                <w:szCs w:val="18"/>
              </w:rPr>
            </w:pPr>
            <w:r>
              <w:rPr>
                <w:rFonts w:hint="eastAsia" w:hAnsi="宋体"/>
                <w:sz w:val="18"/>
                <w:szCs w:val="18"/>
              </w:rPr>
              <w:t>施工期：①定期洒水；</w:t>
            </w:r>
          </w:p>
          <w:p>
            <w:pPr>
              <w:pStyle w:val="112"/>
              <w:jc w:val="left"/>
              <w:rPr>
                <w:rFonts w:hAnsi="宋体"/>
                <w:sz w:val="18"/>
                <w:szCs w:val="18"/>
              </w:rPr>
            </w:pPr>
            <w:r>
              <w:rPr>
                <w:rFonts w:hint="eastAsia" w:hAnsi="宋体"/>
                <w:sz w:val="18"/>
                <w:szCs w:val="18"/>
              </w:rPr>
              <w:t>②选用符合国家卫生防护标准的施工机械设备和运输工具，确保其废气排放符合国家有关标准；</w:t>
            </w:r>
          </w:p>
          <w:p>
            <w:pPr>
              <w:pStyle w:val="112"/>
              <w:jc w:val="left"/>
              <w:rPr>
                <w:rFonts w:hAnsi="宋体"/>
                <w:sz w:val="18"/>
                <w:szCs w:val="18"/>
              </w:rPr>
            </w:pPr>
            <w:r>
              <w:rPr>
                <w:rFonts w:hAnsi="宋体"/>
                <w:sz w:val="18"/>
                <w:szCs w:val="18"/>
              </w:rPr>
              <w:fldChar w:fldCharType="begin"/>
            </w:r>
            <w:r>
              <w:rPr>
                <w:rFonts w:hAnsi="宋体"/>
                <w:sz w:val="18"/>
                <w:szCs w:val="18"/>
              </w:rPr>
              <w:instrText xml:space="preserve"> = 3 \* GB3 </w:instrText>
            </w:r>
            <w:r>
              <w:rPr>
                <w:rFonts w:hAnsi="宋体"/>
                <w:sz w:val="18"/>
                <w:szCs w:val="18"/>
              </w:rPr>
              <w:fldChar w:fldCharType="separate"/>
            </w:r>
            <w:r>
              <w:rPr>
                <w:rFonts w:hint="eastAsia" w:hAnsi="宋体"/>
                <w:sz w:val="18"/>
                <w:szCs w:val="18"/>
              </w:rPr>
              <w:t>③</w:t>
            </w:r>
            <w:r>
              <w:rPr>
                <w:rFonts w:hAnsi="宋体"/>
                <w:sz w:val="18"/>
                <w:szCs w:val="18"/>
              </w:rPr>
              <w:fldChar w:fldCharType="end"/>
            </w:r>
            <w:r>
              <w:rPr>
                <w:rFonts w:hint="eastAsia" w:hAnsi="宋体"/>
                <w:sz w:val="18"/>
                <w:szCs w:val="18"/>
              </w:rPr>
              <w:t>对堆场加强管理，在物料堆场四周设置挡风墙（网），并合理安排堆垛位置，必要时在堆垛表面掺和外加剂或喷洒润滑剂以使材料稳定，减少可能的起尘量；</w:t>
            </w:r>
          </w:p>
          <w:p>
            <w:pPr>
              <w:pStyle w:val="112"/>
              <w:jc w:val="left"/>
              <w:rPr>
                <w:rFonts w:hAnsi="宋体"/>
                <w:sz w:val="18"/>
                <w:szCs w:val="18"/>
              </w:rPr>
            </w:pPr>
            <w:r>
              <w:rPr>
                <w:rFonts w:hint="eastAsia" w:hAnsi="宋体"/>
                <w:sz w:val="18"/>
                <w:szCs w:val="18"/>
              </w:rPr>
              <w:t>④渣土必须实行封闭运输，运输车辆应具备封闭式加盖装置；</w:t>
            </w:r>
          </w:p>
          <w:p>
            <w:pPr>
              <w:pStyle w:val="112"/>
              <w:jc w:val="left"/>
              <w:rPr>
                <w:rFonts w:hAnsi="宋体"/>
                <w:sz w:val="18"/>
                <w:szCs w:val="18"/>
                <w:u w:val="wave"/>
              </w:rPr>
            </w:pPr>
            <w:r>
              <w:rPr>
                <w:rFonts w:hint="eastAsia" w:ascii="宋体" w:hAnsi="宋体"/>
                <w:sz w:val="18"/>
                <w:szCs w:val="18"/>
                <w:u w:val="wave"/>
              </w:rPr>
              <w:t>⑤</w:t>
            </w:r>
            <w:r>
              <w:rPr>
                <w:rFonts w:hint="eastAsia" w:hAnsi="宋体"/>
                <w:sz w:val="18"/>
                <w:szCs w:val="18"/>
              </w:rPr>
              <w:t>加强对改建路段施工车辆的管理和出入清洗工作，车辆不得“带泥上路”。</w:t>
            </w:r>
          </w:p>
          <w:p>
            <w:pPr>
              <w:pStyle w:val="112"/>
              <w:jc w:val="left"/>
              <w:rPr>
                <w:rFonts w:hAnsi="宋体"/>
                <w:sz w:val="18"/>
                <w:szCs w:val="18"/>
              </w:rPr>
            </w:pPr>
            <w:r>
              <w:rPr>
                <w:rFonts w:hint="eastAsia" w:hAnsi="宋体"/>
                <w:sz w:val="18"/>
                <w:szCs w:val="18"/>
              </w:rPr>
              <w:t>运营期：①配备路面清扫车和洒水车减少路面扬尘。</w:t>
            </w:r>
          </w:p>
        </w:tc>
        <w:tc>
          <w:tcPr>
            <w:tcW w:w="922" w:type="dxa"/>
            <w:vAlign w:val="center"/>
          </w:tcPr>
          <w:p>
            <w:pPr>
              <w:pStyle w:val="112"/>
              <w:rPr>
                <w:sz w:val="18"/>
                <w:szCs w:val="18"/>
              </w:rPr>
            </w:pPr>
            <w:r>
              <w:rPr>
                <w:rFonts w:hint="eastAsia" w:hAnsi="宋体"/>
                <w:sz w:val="18"/>
                <w:szCs w:val="18"/>
              </w:rPr>
              <w:t>施工单位</w:t>
            </w:r>
          </w:p>
        </w:tc>
        <w:tc>
          <w:tcPr>
            <w:tcW w:w="1629" w:type="dxa"/>
            <w:vAlign w:val="center"/>
          </w:tcPr>
          <w:p>
            <w:pPr>
              <w:pStyle w:val="112"/>
              <w:rPr>
                <w:sz w:val="18"/>
                <w:szCs w:val="18"/>
              </w:rPr>
            </w:pPr>
            <w:r>
              <w:rPr>
                <w:rFonts w:hint="eastAsia" w:hAnsi="宋体"/>
                <w:sz w:val="18"/>
                <w:szCs w:val="18"/>
              </w:rPr>
              <w:t>针对扬尘污染防治措施；检查是否配备洒水车、路面清扫车。</w:t>
            </w:r>
          </w:p>
        </w:tc>
        <w:tc>
          <w:tcPr>
            <w:tcW w:w="741" w:type="dxa"/>
            <w:vAlign w:val="center"/>
          </w:tcPr>
          <w:p>
            <w:pPr>
              <w:pStyle w:val="112"/>
              <w:rPr>
                <w:sz w:val="18"/>
                <w:szCs w:val="18"/>
              </w:rPr>
            </w:pPr>
            <w:r>
              <w:rPr>
                <w:rFonts w:hint="eastAsia" w:hAnsi="宋体"/>
                <w:sz w:val="18"/>
                <w:szCs w:val="18"/>
              </w:rPr>
              <w:t>施工期</w:t>
            </w:r>
          </w:p>
          <w:p>
            <w:pPr>
              <w:pStyle w:val="112"/>
              <w:rPr>
                <w:sz w:val="18"/>
                <w:szCs w:val="18"/>
              </w:rPr>
            </w:pPr>
            <w:r>
              <w:rPr>
                <w:rFonts w:hint="eastAsia" w:hAnsi="宋体"/>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40" w:type="dxa"/>
            <w:vAlign w:val="center"/>
          </w:tcPr>
          <w:p>
            <w:pPr>
              <w:pStyle w:val="112"/>
              <w:rPr>
                <w:sz w:val="18"/>
                <w:szCs w:val="18"/>
              </w:rPr>
            </w:pPr>
            <w:r>
              <w:rPr>
                <w:sz w:val="18"/>
                <w:szCs w:val="18"/>
              </w:rPr>
              <w:t>6</w:t>
            </w:r>
          </w:p>
        </w:tc>
        <w:tc>
          <w:tcPr>
            <w:tcW w:w="1134" w:type="dxa"/>
            <w:vAlign w:val="center"/>
          </w:tcPr>
          <w:p>
            <w:pPr>
              <w:pStyle w:val="112"/>
              <w:rPr>
                <w:sz w:val="18"/>
                <w:szCs w:val="18"/>
              </w:rPr>
            </w:pPr>
            <w:r>
              <w:rPr>
                <w:rFonts w:hint="eastAsia" w:hAnsi="宋体"/>
                <w:sz w:val="18"/>
                <w:szCs w:val="18"/>
              </w:rPr>
              <w:t>声环境保护措施</w:t>
            </w:r>
          </w:p>
        </w:tc>
        <w:tc>
          <w:tcPr>
            <w:tcW w:w="1078" w:type="dxa"/>
            <w:vAlign w:val="center"/>
          </w:tcPr>
          <w:p>
            <w:pPr>
              <w:pStyle w:val="112"/>
              <w:rPr>
                <w:sz w:val="18"/>
                <w:szCs w:val="18"/>
              </w:rPr>
            </w:pPr>
            <w:r>
              <w:rPr>
                <w:sz w:val="18"/>
                <w:szCs w:val="18"/>
              </w:rPr>
              <w:t>/</w:t>
            </w:r>
          </w:p>
        </w:tc>
        <w:tc>
          <w:tcPr>
            <w:tcW w:w="3175" w:type="dxa"/>
            <w:vAlign w:val="center"/>
          </w:tcPr>
          <w:p>
            <w:pPr>
              <w:pStyle w:val="112"/>
              <w:jc w:val="left"/>
              <w:rPr>
                <w:b/>
                <w:sz w:val="18"/>
                <w:szCs w:val="18"/>
              </w:rPr>
            </w:pPr>
            <w:r>
              <w:rPr>
                <w:rFonts w:hint="eastAsia" w:hAnsi="宋体"/>
                <w:b/>
                <w:sz w:val="18"/>
                <w:szCs w:val="18"/>
              </w:rPr>
              <w:t>报告书提出的环境措施：</w:t>
            </w:r>
          </w:p>
          <w:p>
            <w:pPr>
              <w:pStyle w:val="112"/>
              <w:jc w:val="left"/>
              <w:rPr>
                <w:sz w:val="18"/>
                <w:szCs w:val="18"/>
              </w:rPr>
            </w:pPr>
            <w:r>
              <w:rPr>
                <w:rFonts w:hint="eastAsia" w:hAnsi="宋体"/>
                <w:sz w:val="18"/>
                <w:szCs w:val="18"/>
              </w:rPr>
              <w:t>施工期：①加强施工管理，合理安排施工时间。在集中居民区附近施工，应限制高噪声设备的施工时间，夜间</w:t>
            </w:r>
            <w:r>
              <w:rPr>
                <w:sz w:val="18"/>
                <w:szCs w:val="18"/>
              </w:rPr>
              <w:t>22</w:t>
            </w:r>
            <w:r>
              <w:rPr>
                <w:rFonts w:hint="eastAsia" w:hAnsi="宋体"/>
                <w:sz w:val="18"/>
                <w:szCs w:val="18"/>
              </w:rPr>
              <w:t>时至次日</w:t>
            </w:r>
            <w:r>
              <w:rPr>
                <w:sz w:val="18"/>
                <w:szCs w:val="18"/>
              </w:rPr>
              <w:t>6</w:t>
            </w:r>
            <w:r>
              <w:rPr>
                <w:rFonts w:hint="eastAsia" w:hAnsi="宋体"/>
                <w:sz w:val="18"/>
                <w:szCs w:val="18"/>
              </w:rPr>
              <w:t>时后禁止施工作业。</w:t>
            </w:r>
          </w:p>
          <w:p>
            <w:pPr>
              <w:pStyle w:val="112"/>
              <w:jc w:val="left"/>
              <w:rPr>
                <w:rFonts w:hAnsi="宋体"/>
                <w:sz w:val="18"/>
                <w:szCs w:val="18"/>
              </w:rPr>
            </w:pPr>
            <w:r>
              <w:rPr>
                <w:rFonts w:hint="eastAsia" w:hAnsi="宋体"/>
                <w:sz w:val="18"/>
                <w:szCs w:val="18"/>
              </w:rPr>
              <w:t>②合理选择施工机械、施工方法，选用低噪声设备。</w:t>
            </w:r>
          </w:p>
          <w:p>
            <w:pPr>
              <w:pStyle w:val="112"/>
              <w:jc w:val="left"/>
              <w:rPr>
                <w:rFonts w:hAnsi="宋体"/>
                <w:sz w:val="18"/>
                <w:szCs w:val="18"/>
              </w:rPr>
            </w:pPr>
            <w:r>
              <w:rPr>
                <w:rFonts w:hAnsi="宋体"/>
                <w:sz w:val="18"/>
                <w:szCs w:val="18"/>
              </w:rPr>
              <w:fldChar w:fldCharType="begin"/>
            </w:r>
            <w:r>
              <w:rPr>
                <w:rFonts w:hAnsi="宋体"/>
                <w:sz w:val="18"/>
                <w:szCs w:val="18"/>
              </w:rPr>
              <w:instrText xml:space="preserve"> = 3 \* GB3 </w:instrText>
            </w:r>
            <w:r>
              <w:rPr>
                <w:rFonts w:hAnsi="宋体"/>
                <w:sz w:val="18"/>
                <w:szCs w:val="18"/>
              </w:rPr>
              <w:fldChar w:fldCharType="separate"/>
            </w:r>
            <w:r>
              <w:rPr>
                <w:rFonts w:hint="eastAsia" w:hAnsi="宋体"/>
                <w:sz w:val="18"/>
                <w:szCs w:val="18"/>
              </w:rPr>
              <w:t>③</w:t>
            </w:r>
            <w:r>
              <w:rPr>
                <w:rFonts w:hAnsi="宋体"/>
                <w:sz w:val="18"/>
                <w:szCs w:val="18"/>
              </w:rPr>
              <w:fldChar w:fldCharType="end"/>
            </w:r>
            <w:r>
              <w:rPr>
                <w:rFonts w:hint="eastAsia" w:hAnsi="宋体"/>
                <w:sz w:val="18"/>
                <w:szCs w:val="18"/>
              </w:rPr>
              <w:t>在临近敏感区（</w:t>
            </w:r>
            <w:r>
              <w:rPr>
                <w:rFonts w:hint="eastAsia"/>
                <w:sz w:val="18"/>
                <w:szCs w:val="18"/>
              </w:rPr>
              <w:t>铜盆村、大陆村、桃花村、莲花村、大里塘村</w:t>
            </w:r>
            <w:r>
              <w:rPr>
                <w:rFonts w:hint="eastAsia" w:hAnsi="宋体"/>
                <w:sz w:val="18"/>
                <w:szCs w:val="18"/>
              </w:rPr>
              <w:t>）的施工路段，设置移动式或临时声屏障等防噪措施。</w:t>
            </w:r>
          </w:p>
          <w:p>
            <w:pPr>
              <w:pStyle w:val="112"/>
              <w:jc w:val="left"/>
              <w:rPr>
                <w:sz w:val="18"/>
                <w:szCs w:val="18"/>
              </w:rPr>
            </w:pPr>
            <w:r>
              <w:rPr>
                <w:rFonts w:hint="eastAsia" w:hAnsi="宋体"/>
                <w:sz w:val="18"/>
                <w:szCs w:val="18"/>
              </w:rPr>
              <w:t>运营期：</w:t>
            </w:r>
            <w:r>
              <w:rPr>
                <w:sz w:val="18"/>
                <w:szCs w:val="18"/>
              </w:rPr>
              <w:fldChar w:fldCharType="begin"/>
            </w:r>
            <w:r>
              <w:rPr>
                <w:sz w:val="18"/>
                <w:szCs w:val="18"/>
              </w:rPr>
              <w:instrText xml:space="preserve"> = 1 \* GB3 </w:instrText>
            </w:r>
            <w:r>
              <w:rPr>
                <w:sz w:val="18"/>
                <w:szCs w:val="18"/>
              </w:rPr>
              <w:fldChar w:fldCharType="separate"/>
            </w:r>
            <w:r>
              <w:rPr>
                <w:rFonts w:hint="eastAsia" w:hAnsi="宋体"/>
                <w:sz w:val="18"/>
                <w:szCs w:val="18"/>
              </w:rPr>
              <w:t>①</w:t>
            </w:r>
            <w:r>
              <w:rPr>
                <w:sz w:val="18"/>
                <w:szCs w:val="18"/>
              </w:rPr>
              <w:fldChar w:fldCharType="end"/>
            </w:r>
            <w:r>
              <w:rPr>
                <w:rFonts w:hint="eastAsia" w:hAnsi="宋体"/>
                <w:sz w:val="18"/>
                <w:szCs w:val="18"/>
              </w:rPr>
              <w:t>在临近敏感区（</w:t>
            </w:r>
            <w:r>
              <w:rPr>
                <w:rFonts w:hint="eastAsia"/>
                <w:sz w:val="18"/>
                <w:szCs w:val="18"/>
              </w:rPr>
              <w:t>铜盆村、大陆村、桃花村、莲花村、大里塘村</w:t>
            </w:r>
            <w:r>
              <w:rPr>
                <w:rFonts w:hint="eastAsia" w:hAnsi="宋体"/>
                <w:sz w:val="18"/>
                <w:szCs w:val="18"/>
              </w:rPr>
              <w:t>）路段设置禁鸣标志，在工可实施的绿化措施基础上加强公路两侧绿化，提高绿化密度，种植高大乔木，并限制车辆鸣笛。</w:t>
            </w:r>
          </w:p>
          <w:p>
            <w:pPr>
              <w:pStyle w:val="112"/>
              <w:jc w:val="left"/>
              <w:rPr>
                <w:sz w:val="18"/>
                <w:szCs w:val="18"/>
              </w:rPr>
            </w:pPr>
            <w:r>
              <w:rPr>
                <w:sz w:val="18"/>
                <w:szCs w:val="18"/>
              </w:rPr>
              <w:fldChar w:fldCharType="begin"/>
            </w:r>
            <w:r>
              <w:rPr>
                <w:sz w:val="18"/>
                <w:szCs w:val="18"/>
              </w:rPr>
              <w:instrText xml:space="preserve"> = 2 \* GB3 </w:instrText>
            </w:r>
            <w:r>
              <w:rPr>
                <w:sz w:val="18"/>
                <w:szCs w:val="18"/>
              </w:rPr>
              <w:fldChar w:fldCharType="separate"/>
            </w:r>
            <w:r>
              <w:rPr>
                <w:rFonts w:hint="eastAsia" w:hAnsi="宋体"/>
                <w:sz w:val="18"/>
                <w:szCs w:val="18"/>
              </w:rPr>
              <w:t>②</w:t>
            </w:r>
            <w:r>
              <w:rPr>
                <w:sz w:val="18"/>
                <w:szCs w:val="18"/>
              </w:rPr>
              <w:fldChar w:fldCharType="end"/>
            </w:r>
            <w:r>
              <w:rPr>
                <w:rFonts w:hint="eastAsia" w:hAnsi="宋体"/>
                <w:sz w:val="18"/>
                <w:szCs w:val="18"/>
              </w:rPr>
              <w:t>在距离公路两侧边沟起</w:t>
            </w:r>
            <w:r>
              <w:rPr>
                <w:sz w:val="18"/>
                <w:szCs w:val="18"/>
              </w:rPr>
              <w:t>15m</w:t>
            </w:r>
            <w:r>
              <w:rPr>
                <w:rFonts w:hint="eastAsia" w:hAnsi="宋体"/>
                <w:sz w:val="18"/>
                <w:szCs w:val="18"/>
              </w:rPr>
              <w:t>范围内，除公路防护、养护需求以外，不得新建、改建、扩建建筑物或构筑物。</w:t>
            </w:r>
          </w:p>
          <w:p>
            <w:pPr>
              <w:pStyle w:val="112"/>
              <w:jc w:val="left"/>
              <w:rPr>
                <w:sz w:val="18"/>
                <w:szCs w:val="18"/>
              </w:rPr>
            </w:pPr>
            <w:r>
              <w:rPr>
                <w:sz w:val="18"/>
                <w:szCs w:val="18"/>
              </w:rPr>
              <w:fldChar w:fldCharType="begin"/>
            </w:r>
            <w:r>
              <w:rPr>
                <w:sz w:val="18"/>
                <w:szCs w:val="18"/>
              </w:rPr>
              <w:instrText xml:space="preserve"> = 3 \* GB3 </w:instrText>
            </w:r>
            <w:r>
              <w:rPr>
                <w:sz w:val="18"/>
                <w:szCs w:val="18"/>
              </w:rPr>
              <w:fldChar w:fldCharType="separate"/>
            </w:r>
            <w:r>
              <w:rPr>
                <w:rFonts w:hint="eastAsia" w:hAnsi="宋体"/>
                <w:sz w:val="18"/>
                <w:szCs w:val="18"/>
              </w:rPr>
              <w:t>③</w:t>
            </w:r>
            <w:r>
              <w:rPr>
                <w:sz w:val="18"/>
                <w:szCs w:val="18"/>
              </w:rPr>
              <w:fldChar w:fldCharType="end"/>
            </w:r>
            <w:r>
              <w:rPr>
                <w:rFonts w:hint="eastAsia" w:hAnsi="宋体"/>
                <w:sz w:val="18"/>
                <w:szCs w:val="18"/>
              </w:rPr>
              <w:t>公路两侧距路红线外</w:t>
            </w:r>
            <w:r>
              <w:rPr>
                <w:sz w:val="18"/>
                <w:szCs w:val="18"/>
              </w:rPr>
              <w:t>50m</w:t>
            </w:r>
            <w:r>
              <w:rPr>
                <w:rFonts w:hint="eastAsia" w:hAnsi="宋体"/>
                <w:sz w:val="18"/>
                <w:szCs w:val="18"/>
              </w:rPr>
              <w:t>范围以内禁止新建学校、医院等对声环境要求高的建筑。</w:t>
            </w:r>
          </w:p>
        </w:tc>
        <w:tc>
          <w:tcPr>
            <w:tcW w:w="922" w:type="dxa"/>
            <w:vAlign w:val="center"/>
          </w:tcPr>
          <w:p>
            <w:pPr>
              <w:pStyle w:val="112"/>
              <w:rPr>
                <w:sz w:val="18"/>
                <w:szCs w:val="18"/>
              </w:rPr>
            </w:pPr>
            <w:r>
              <w:rPr>
                <w:rFonts w:hint="eastAsia" w:hAnsi="宋体"/>
                <w:sz w:val="18"/>
                <w:szCs w:val="18"/>
              </w:rPr>
              <w:t>施工单位</w:t>
            </w:r>
          </w:p>
        </w:tc>
        <w:tc>
          <w:tcPr>
            <w:tcW w:w="1629" w:type="dxa"/>
            <w:vAlign w:val="center"/>
          </w:tcPr>
          <w:p>
            <w:pPr>
              <w:pStyle w:val="112"/>
              <w:rPr>
                <w:sz w:val="18"/>
                <w:szCs w:val="18"/>
              </w:rPr>
            </w:pPr>
            <w:r>
              <w:rPr>
                <w:rFonts w:hint="eastAsia" w:hAnsi="宋体"/>
                <w:sz w:val="18"/>
                <w:szCs w:val="18"/>
              </w:rPr>
              <w:t>施工管理制度；隔声挡板、绿化带、禁鸣标识</w:t>
            </w:r>
          </w:p>
        </w:tc>
        <w:tc>
          <w:tcPr>
            <w:tcW w:w="741" w:type="dxa"/>
            <w:vAlign w:val="center"/>
          </w:tcPr>
          <w:p>
            <w:pPr>
              <w:pStyle w:val="112"/>
              <w:rPr>
                <w:sz w:val="18"/>
                <w:szCs w:val="18"/>
              </w:rPr>
            </w:pPr>
            <w:r>
              <w:rPr>
                <w:rFonts w:hint="eastAsia" w:hAnsi="宋体"/>
                <w:sz w:val="18"/>
                <w:szCs w:val="18"/>
              </w:rPr>
              <w:t>施工期</w:t>
            </w:r>
          </w:p>
          <w:p>
            <w:pPr>
              <w:pStyle w:val="112"/>
              <w:rPr>
                <w:sz w:val="18"/>
                <w:szCs w:val="18"/>
              </w:rPr>
            </w:pPr>
            <w:r>
              <w:rPr>
                <w:rFonts w:hint="eastAsia" w:hAnsi="宋体"/>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40" w:type="dxa"/>
            <w:vAlign w:val="center"/>
          </w:tcPr>
          <w:p>
            <w:pPr>
              <w:pStyle w:val="112"/>
              <w:rPr>
                <w:sz w:val="18"/>
                <w:szCs w:val="18"/>
              </w:rPr>
            </w:pPr>
            <w:r>
              <w:rPr>
                <w:sz w:val="18"/>
                <w:szCs w:val="18"/>
              </w:rPr>
              <w:t>7</w:t>
            </w:r>
          </w:p>
        </w:tc>
        <w:tc>
          <w:tcPr>
            <w:tcW w:w="1134" w:type="dxa"/>
            <w:vAlign w:val="center"/>
          </w:tcPr>
          <w:p>
            <w:pPr>
              <w:pStyle w:val="112"/>
              <w:rPr>
                <w:sz w:val="18"/>
                <w:szCs w:val="18"/>
              </w:rPr>
            </w:pPr>
            <w:r>
              <w:rPr>
                <w:rFonts w:hint="eastAsia" w:hAnsi="宋体"/>
                <w:sz w:val="18"/>
                <w:szCs w:val="18"/>
              </w:rPr>
              <w:t>水环境保护措施</w:t>
            </w:r>
          </w:p>
        </w:tc>
        <w:tc>
          <w:tcPr>
            <w:tcW w:w="1078" w:type="dxa"/>
            <w:vAlign w:val="center"/>
          </w:tcPr>
          <w:p>
            <w:pPr>
              <w:pStyle w:val="112"/>
              <w:rPr>
                <w:sz w:val="18"/>
                <w:szCs w:val="18"/>
              </w:rPr>
            </w:pPr>
            <w:r>
              <w:rPr>
                <w:sz w:val="18"/>
                <w:szCs w:val="18"/>
              </w:rPr>
              <w:t>3</w:t>
            </w:r>
            <w:r>
              <w:rPr>
                <w:rFonts w:hint="eastAsia" w:hAnsi="宋体"/>
                <w:sz w:val="18"/>
                <w:szCs w:val="18"/>
              </w:rPr>
              <w:t>处</w:t>
            </w:r>
          </w:p>
        </w:tc>
        <w:tc>
          <w:tcPr>
            <w:tcW w:w="3175" w:type="dxa"/>
            <w:vAlign w:val="center"/>
          </w:tcPr>
          <w:p>
            <w:pPr>
              <w:pStyle w:val="112"/>
              <w:jc w:val="left"/>
              <w:rPr>
                <w:b/>
                <w:sz w:val="18"/>
                <w:szCs w:val="18"/>
              </w:rPr>
            </w:pPr>
            <w:r>
              <w:rPr>
                <w:rFonts w:hint="eastAsia" w:hAnsi="宋体"/>
                <w:b/>
                <w:sz w:val="18"/>
                <w:szCs w:val="18"/>
              </w:rPr>
              <w:t>报告书提出的环境措施：</w:t>
            </w:r>
          </w:p>
          <w:p>
            <w:pPr>
              <w:pStyle w:val="112"/>
              <w:jc w:val="left"/>
              <w:rPr>
                <w:rFonts w:hAnsi="宋体"/>
                <w:sz w:val="18"/>
                <w:szCs w:val="18"/>
              </w:rPr>
            </w:pPr>
            <w:r>
              <w:rPr>
                <w:rFonts w:hint="eastAsia" w:hAnsi="宋体"/>
                <w:sz w:val="18"/>
                <w:szCs w:val="18"/>
              </w:rPr>
              <w:t>施工期：</w:t>
            </w:r>
            <w:r>
              <w:rPr>
                <w:sz w:val="18"/>
                <w:szCs w:val="18"/>
              </w:rPr>
              <w:fldChar w:fldCharType="begin"/>
            </w:r>
            <w:r>
              <w:rPr>
                <w:sz w:val="18"/>
                <w:szCs w:val="18"/>
              </w:rPr>
              <w:instrText xml:space="preserve"> = 1 \* GB3 </w:instrText>
            </w:r>
            <w:r>
              <w:rPr>
                <w:sz w:val="18"/>
                <w:szCs w:val="18"/>
              </w:rPr>
              <w:fldChar w:fldCharType="separate"/>
            </w:r>
            <w:r>
              <w:rPr>
                <w:rFonts w:hint="eastAsia" w:hAnsi="宋体"/>
                <w:sz w:val="18"/>
                <w:szCs w:val="18"/>
              </w:rPr>
              <w:t>①</w:t>
            </w:r>
            <w:r>
              <w:rPr>
                <w:sz w:val="18"/>
                <w:szCs w:val="18"/>
              </w:rPr>
              <w:fldChar w:fldCharType="end"/>
            </w:r>
            <w:r>
              <w:rPr>
                <w:rFonts w:hint="eastAsia"/>
                <w:sz w:val="18"/>
                <w:szCs w:val="18"/>
              </w:rPr>
              <w:t>施</w:t>
            </w:r>
            <w:r>
              <w:rPr>
                <w:rFonts w:hint="eastAsia" w:hAnsi="宋体"/>
                <w:sz w:val="18"/>
                <w:szCs w:val="18"/>
              </w:rPr>
              <w:t>工营地配套生产废水、生活污水处理措施；</w:t>
            </w:r>
          </w:p>
          <w:p>
            <w:pPr>
              <w:pStyle w:val="112"/>
              <w:jc w:val="left"/>
              <w:rPr>
                <w:sz w:val="18"/>
                <w:szCs w:val="18"/>
              </w:rPr>
            </w:pPr>
            <w:r>
              <w:rPr>
                <w:rFonts w:hint="eastAsia" w:hAnsi="宋体"/>
                <w:sz w:val="18"/>
                <w:szCs w:val="18"/>
              </w:rPr>
              <w:t>②在樟树塘桥、范家屋场桥施工过程中，建筑材料堆放点应远离河道、干渠，各类筑路材料应有防雨遮雨设施，工程废料要及时运走。</w:t>
            </w:r>
          </w:p>
          <w:p>
            <w:pPr>
              <w:pStyle w:val="112"/>
              <w:jc w:val="left"/>
              <w:rPr>
                <w:sz w:val="18"/>
                <w:szCs w:val="18"/>
              </w:rPr>
            </w:pPr>
            <w:r>
              <w:rPr>
                <w:rFonts w:hint="eastAsia" w:hAnsi="宋体"/>
                <w:sz w:val="18"/>
                <w:szCs w:val="18"/>
              </w:rPr>
              <w:t>运营期：</w:t>
            </w:r>
            <w:r>
              <w:rPr>
                <w:rFonts w:hint="eastAsia" w:ascii="宋体" w:hAnsi="宋体"/>
                <w:sz w:val="18"/>
                <w:szCs w:val="18"/>
              </w:rPr>
              <w:t>①</w:t>
            </w:r>
            <w:r>
              <w:rPr>
                <w:rFonts w:hint="eastAsia" w:hAnsi="宋体"/>
                <w:sz w:val="18"/>
                <w:szCs w:val="18"/>
              </w:rPr>
              <w:t>完善路面排水设施；</w:t>
            </w:r>
          </w:p>
        </w:tc>
        <w:tc>
          <w:tcPr>
            <w:tcW w:w="922" w:type="dxa"/>
            <w:vAlign w:val="center"/>
          </w:tcPr>
          <w:p>
            <w:pPr>
              <w:pStyle w:val="112"/>
              <w:rPr>
                <w:sz w:val="18"/>
                <w:szCs w:val="18"/>
              </w:rPr>
            </w:pPr>
            <w:r>
              <w:rPr>
                <w:rFonts w:hint="eastAsia" w:hAnsi="宋体"/>
                <w:sz w:val="18"/>
                <w:szCs w:val="18"/>
              </w:rPr>
              <w:t>施工单位</w:t>
            </w:r>
          </w:p>
        </w:tc>
        <w:tc>
          <w:tcPr>
            <w:tcW w:w="1629" w:type="dxa"/>
            <w:vAlign w:val="center"/>
          </w:tcPr>
          <w:p>
            <w:pPr>
              <w:pStyle w:val="112"/>
              <w:rPr>
                <w:sz w:val="18"/>
                <w:szCs w:val="18"/>
              </w:rPr>
            </w:pPr>
            <w:r>
              <w:rPr>
                <w:rFonts w:hint="eastAsia" w:hAnsi="宋体"/>
                <w:sz w:val="18"/>
                <w:szCs w:val="18"/>
              </w:rPr>
              <w:t>施工生产生活区污水收集管网或沟渠，隔油池、沉淀池。</w:t>
            </w:r>
          </w:p>
          <w:p>
            <w:pPr>
              <w:pStyle w:val="112"/>
              <w:rPr>
                <w:sz w:val="18"/>
                <w:szCs w:val="18"/>
              </w:rPr>
            </w:pPr>
            <w:r>
              <w:rPr>
                <w:rFonts w:hint="eastAsia" w:hAnsi="宋体"/>
                <w:sz w:val="18"/>
                <w:szCs w:val="18"/>
              </w:rPr>
              <w:t>临樟树塘桥、范家屋场桥的环保措施。</w:t>
            </w:r>
          </w:p>
        </w:tc>
        <w:tc>
          <w:tcPr>
            <w:tcW w:w="741" w:type="dxa"/>
            <w:vAlign w:val="center"/>
          </w:tcPr>
          <w:p>
            <w:pPr>
              <w:pStyle w:val="112"/>
              <w:rPr>
                <w:sz w:val="18"/>
                <w:szCs w:val="18"/>
              </w:rPr>
            </w:pPr>
            <w:r>
              <w:rPr>
                <w:rFonts w:hint="eastAsia" w:hAnsi="宋体"/>
                <w:sz w:val="18"/>
                <w:szCs w:val="18"/>
              </w:rPr>
              <w:t>施工期</w:t>
            </w:r>
          </w:p>
          <w:p>
            <w:pPr>
              <w:pStyle w:val="112"/>
              <w:rPr>
                <w:sz w:val="18"/>
                <w:szCs w:val="18"/>
              </w:rPr>
            </w:pPr>
            <w:r>
              <w:rPr>
                <w:rFonts w:hint="eastAsia" w:hAnsi="宋体"/>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240" w:type="dxa"/>
            <w:vAlign w:val="center"/>
          </w:tcPr>
          <w:p>
            <w:pPr>
              <w:pStyle w:val="112"/>
              <w:rPr>
                <w:sz w:val="18"/>
                <w:szCs w:val="18"/>
              </w:rPr>
            </w:pPr>
            <w:r>
              <w:rPr>
                <w:sz w:val="18"/>
                <w:szCs w:val="18"/>
              </w:rPr>
              <w:t>8</w:t>
            </w:r>
          </w:p>
        </w:tc>
        <w:tc>
          <w:tcPr>
            <w:tcW w:w="1134" w:type="dxa"/>
            <w:vAlign w:val="center"/>
          </w:tcPr>
          <w:p>
            <w:pPr>
              <w:pStyle w:val="112"/>
              <w:rPr>
                <w:sz w:val="18"/>
                <w:szCs w:val="18"/>
              </w:rPr>
            </w:pPr>
            <w:r>
              <w:rPr>
                <w:rFonts w:hint="eastAsia" w:hAnsi="宋体"/>
                <w:sz w:val="18"/>
                <w:szCs w:val="18"/>
              </w:rPr>
              <w:t>环境风险防范措施</w:t>
            </w:r>
          </w:p>
        </w:tc>
        <w:tc>
          <w:tcPr>
            <w:tcW w:w="1078" w:type="dxa"/>
            <w:vAlign w:val="center"/>
          </w:tcPr>
          <w:p>
            <w:pPr>
              <w:pStyle w:val="112"/>
              <w:rPr>
                <w:sz w:val="18"/>
                <w:szCs w:val="18"/>
              </w:rPr>
            </w:pPr>
            <w:r>
              <w:rPr>
                <w:sz w:val="18"/>
                <w:szCs w:val="18"/>
              </w:rPr>
              <w:t>1</w:t>
            </w:r>
            <w:r>
              <w:rPr>
                <w:rFonts w:hint="eastAsia" w:hAnsi="宋体"/>
                <w:sz w:val="18"/>
                <w:szCs w:val="18"/>
              </w:rPr>
              <w:t>处</w:t>
            </w:r>
          </w:p>
        </w:tc>
        <w:tc>
          <w:tcPr>
            <w:tcW w:w="3175" w:type="dxa"/>
            <w:vAlign w:val="center"/>
          </w:tcPr>
          <w:p>
            <w:pPr>
              <w:pStyle w:val="112"/>
              <w:jc w:val="left"/>
              <w:rPr>
                <w:b/>
                <w:sz w:val="18"/>
                <w:szCs w:val="18"/>
              </w:rPr>
            </w:pPr>
            <w:r>
              <w:rPr>
                <w:rFonts w:hint="eastAsia" w:hAnsi="宋体"/>
                <w:b/>
                <w:sz w:val="18"/>
                <w:szCs w:val="18"/>
              </w:rPr>
              <w:t>报告书提出的环境措施：</w:t>
            </w:r>
          </w:p>
          <w:p>
            <w:pPr>
              <w:pStyle w:val="112"/>
              <w:jc w:val="left"/>
              <w:rPr>
                <w:rFonts w:hAnsi="宋体"/>
                <w:sz w:val="18"/>
                <w:szCs w:val="18"/>
              </w:rPr>
            </w:pPr>
            <w:r>
              <w:rPr>
                <w:rFonts w:hint="eastAsia" w:hAnsi="宋体"/>
                <w:sz w:val="18"/>
                <w:szCs w:val="18"/>
              </w:rPr>
              <w:t>在樟树塘桥、范家屋场桥路段，提高交通安全设施的标准，对护栏（防撞栏）加高加固、采用弹性好的材料及结构，并加强防撞措施。同时设置安全警示标志</w:t>
            </w:r>
          </w:p>
        </w:tc>
        <w:tc>
          <w:tcPr>
            <w:tcW w:w="922" w:type="dxa"/>
            <w:vAlign w:val="center"/>
          </w:tcPr>
          <w:p>
            <w:pPr>
              <w:pStyle w:val="112"/>
              <w:rPr>
                <w:sz w:val="18"/>
                <w:szCs w:val="18"/>
              </w:rPr>
            </w:pPr>
            <w:r>
              <w:rPr>
                <w:rFonts w:hint="eastAsia" w:hAnsi="宋体"/>
                <w:sz w:val="18"/>
                <w:szCs w:val="18"/>
              </w:rPr>
              <w:t>建设单位</w:t>
            </w:r>
          </w:p>
        </w:tc>
        <w:tc>
          <w:tcPr>
            <w:tcW w:w="1629" w:type="dxa"/>
            <w:vAlign w:val="center"/>
          </w:tcPr>
          <w:p>
            <w:pPr>
              <w:pStyle w:val="112"/>
              <w:rPr>
                <w:sz w:val="18"/>
                <w:szCs w:val="18"/>
              </w:rPr>
            </w:pPr>
            <w:r>
              <w:rPr>
                <w:rFonts w:hint="eastAsia" w:hAnsi="宋体"/>
                <w:sz w:val="18"/>
                <w:szCs w:val="18"/>
              </w:rPr>
              <w:t>防撞礅、护栏、防侧翻设施等、安全警示标志</w:t>
            </w:r>
          </w:p>
        </w:tc>
        <w:tc>
          <w:tcPr>
            <w:tcW w:w="741" w:type="dxa"/>
            <w:vAlign w:val="center"/>
          </w:tcPr>
          <w:p>
            <w:pPr>
              <w:pStyle w:val="112"/>
              <w:rPr>
                <w:sz w:val="18"/>
                <w:szCs w:val="18"/>
              </w:rPr>
            </w:pPr>
            <w:r>
              <w:rPr>
                <w:rFonts w:hint="eastAsia" w:hAnsi="宋体"/>
                <w:sz w:val="18"/>
                <w:szCs w:val="18"/>
              </w:rPr>
              <w:t>营运期</w:t>
            </w:r>
          </w:p>
        </w:tc>
      </w:tr>
    </w:tbl>
    <w:p>
      <w:pPr>
        <w:ind w:firstLine="480"/>
        <w:rPr>
          <w:color w:val="FF0000"/>
        </w:rPr>
      </w:pPr>
    </w:p>
    <w:p>
      <w:pPr>
        <w:jc w:val="left"/>
        <w:rPr>
          <w:color w:val="FF0000"/>
          <w:highlight w:val="yellow"/>
        </w:rPr>
        <w:sectPr>
          <w:pgSz w:w="11907" w:h="16840"/>
          <w:pgMar w:top="1474" w:right="1361" w:bottom="1474" w:left="1588" w:header="1020" w:footer="851" w:gutter="0"/>
          <w:pgBorders>
            <w:top w:val="none" w:sz="0" w:space="0"/>
            <w:left w:val="none" w:sz="0" w:space="0"/>
            <w:bottom w:val="none" w:sz="0" w:space="0"/>
            <w:right w:val="none" w:sz="0" w:space="0"/>
          </w:pgBorders>
          <w:cols w:space="425" w:num="1"/>
          <w:docGrid w:linePitch="286" w:charSpace="0"/>
        </w:sectPr>
      </w:pPr>
    </w:p>
    <w:p>
      <w:pPr>
        <w:pStyle w:val="2"/>
        <w:ind w:left="567" w:hanging="567"/>
      </w:pPr>
      <w:bookmarkStart w:id="333" w:name="_Toc354581926"/>
      <w:bookmarkStart w:id="334" w:name="_Toc354558944"/>
      <w:bookmarkStart w:id="335" w:name="_Toc354581746"/>
      <w:bookmarkStart w:id="336" w:name="_Toc18177"/>
      <w:r>
        <w:rPr>
          <w:rFonts w:hint="eastAsia"/>
        </w:rPr>
        <w:t>环境经济损益分析</w:t>
      </w:r>
      <w:bookmarkEnd w:id="333"/>
      <w:bookmarkEnd w:id="334"/>
      <w:bookmarkEnd w:id="335"/>
      <w:bookmarkEnd w:id="336"/>
    </w:p>
    <w:p>
      <w:pPr>
        <w:pStyle w:val="3"/>
        <w:ind w:firstLine="31680"/>
      </w:pPr>
      <w:r>
        <w:rPr>
          <w:rFonts w:hint="eastAsia"/>
        </w:rPr>
        <w:t>鉴于环境资源的不可再生性，公路建设项目对环境所产生的社会效益和生态效益的损失已越来越受到重视，限于目前对环境影响的经济损益分析尚缺乏成熟的定量评价方法。本报告尝试对本工程建设带来的生态环境和社会经济的的经济损益作出简要的定量或定性分析，并对环保投资的环境效益、社会经济效益作简要的定性分析。</w:t>
      </w:r>
    </w:p>
    <w:p>
      <w:pPr>
        <w:pStyle w:val="4"/>
        <w:ind w:left="567" w:hanging="567"/>
      </w:pPr>
      <w:bookmarkStart w:id="337" w:name="_Toc354581748"/>
      <w:bookmarkStart w:id="338" w:name="_Toc354558946"/>
      <w:bookmarkStart w:id="339" w:name="_Toc22703"/>
      <w:bookmarkStart w:id="340" w:name="_Toc354581928"/>
      <w:r>
        <w:rPr>
          <w:rFonts w:hint="eastAsia"/>
        </w:rPr>
        <w:t>社会环境经济损益分析</w:t>
      </w:r>
      <w:bookmarkEnd w:id="337"/>
      <w:bookmarkEnd w:id="338"/>
      <w:bookmarkEnd w:id="339"/>
      <w:bookmarkEnd w:id="340"/>
    </w:p>
    <w:p>
      <w:pPr>
        <w:pStyle w:val="3"/>
        <w:ind w:firstLine="31680"/>
      </w:pPr>
      <w:r>
        <w:rPr>
          <w:rFonts w:hint="eastAsia"/>
        </w:rPr>
        <w:t>本项目的建设占用土地，直接导致了沿线区域农业经济的损失，表现为耕地和经济林地被占用的农产的收入损失。以下简要对项目占用耕地和经济林导致的社会经济效益损失进行估算。经过广泛调查项目沿线区域的社会经济统计资料，拟建项目沿线农田及经济林的年产值及项目占地引起的经济损失情况见表</w:t>
      </w:r>
      <w:r>
        <w:t>14.1-1</w:t>
      </w:r>
      <w:r>
        <w:rPr>
          <w:rFonts w:hint="eastAsia"/>
        </w:rPr>
        <w:t>。</w:t>
      </w:r>
    </w:p>
    <w:p>
      <w:pPr>
        <w:pStyle w:val="19"/>
        <w:jc w:val="center"/>
      </w:pPr>
      <w:bookmarkStart w:id="341" w:name="_Ref401503845"/>
      <w:r>
        <w:rPr>
          <w:rFonts w:hint="eastAsia"/>
        </w:rPr>
        <w:t>表</w:t>
      </w:r>
      <w:r>
        <w:fldChar w:fldCharType="begin"/>
      </w:r>
      <w:r>
        <w:instrText xml:space="preserve"> STYLEREF 1 \s </w:instrText>
      </w:r>
      <w:r>
        <w:fldChar w:fldCharType="separate"/>
      </w:r>
      <w:r>
        <w:t>14</w:t>
      </w:r>
      <w:r>
        <w:fldChar w:fldCharType="end"/>
      </w:r>
      <w:r>
        <w:t>-</w:t>
      </w:r>
      <w:r>
        <w:fldChar w:fldCharType="begin"/>
      </w:r>
      <w:r>
        <w:instrText xml:space="preserve"> SEQ </w:instrText>
      </w:r>
      <w:r>
        <w:rPr>
          <w:rFonts w:hint="eastAsia"/>
        </w:rPr>
        <w:instrText xml:space="preserve">表</w:instrText>
      </w:r>
      <w:r>
        <w:instrText xml:space="preserve"> \* ARABIC \s 1 </w:instrText>
      </w:r>
      <w:r>
        <w:fldChar w:fldCharType="separate"/>
      </w:r>
      <w:r>
        <w:t>1</w:t>
      </w:r>
      <w:r>
        <w:fldChar w:fldCharType="end"/>
      </w:r>
      <w:bookmarkEnd w:id="341"/>
      <w:r>
        <w:t xml:space="preserve">  </w:t>
      </w:r>
      <w:r>
        <w:rPr>
          <w:rFonts w:hint="eastAsia"/>
        </w:rPr>
        <w:t>本工程建设造成的社会经济损失估算表</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2127"/>
        <w:gridCol w:w="2550"/>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2235" w:type="dxa"/>
            <w:gridSpan w:val="2"/>
            <w:vAlign w:val="center"/>
          </w:tcPr>
          <w:p>
            <w:pPr>
              <w:pStyle w:val="112"/>
              <w:rPr>
                <w:kern w:val="2"/>
              </w:rPr>
            </w:pPr>
            <w:r>
              <w:rPr>
                <w:rFonts w:hint="eastAsia"/>
                <w:kern w:val="2"/>
              </w:rPr>
              <w:t>占地类型</w:t>
            </w:r>
          </w:p>
        </w:tc>
        <w:tc>
          <w:tcPr>
            <w:tcW w:w="2127" w:type="dxa"/>
            <w:vAlign w:val="center"/>
          </w:tcPr>
          <w:p>
            <w:pPr>
              <w:pStyle w:val="112"/>
              <w:rPr>
                <w:kern w:val="2"/>
              </w:rPr>
            </w:pPr>
            <w:r>
              <w:rPr>
                <w:rFonts w:hint="eastAsia"/>
                <w:kern w:val="2"/>
              </w:rPr>
              <w:t>占地面积（</w:t>
            </w:r>
            <w:r>
              <w:rPr>
                <w:kern w:val="2"/>
              </w:rPr>
              <w:t>hm</w:t>
            </w:r>
            <w:r>
              <w:rPr>
                <w:kern w:val="2"/>
                <w:vertAlign w:val="superscript"/>
              </w:rPr>
              <w:t>2</w:t>
            </w:r>
            <w:r>
              <w:rPr>
                <w:rFonts w:hint="eastAsia"/>
                <w:kern w:val="2"/>
              </w:rPr>
              <w:t>）</w:t>
            </w:r>
          </w:p>
        </w:tc>
        <w:tc>
          <w:tcPr>
            <w:tcW w:w="2550" w:type="dxa"/>
            <w:vAlign w:val="center"/>
          </w:tcPr>
          <w:p>
            <w:pPr>
              <w:pStyle w:val="112"/>
              <w:rPr>
                <w:kern w:val="2"/>
              </w:rPr>
            </w:pPr>
            <w:r>
              <w:rPr>
                <w:rFonts w:hint="eastAsia"/>
                <w:kern w:val="2"/>
              </w:rPr>
              <w:t>平均产值（万元</w:t>
            </w:r>
            <w:r>
              <w:rPr>
                <w:kern w:val="2"/>
              </w:rPr>
              <w:t>/hm</w:t>
            </w:r>
            <w:r>
              <w:rPr>
                <w:kern w:val="2"/>
                <w:vertAlign w:val="superscript"/>
              </w:rPr>
              <w:t>2</w:t>
            </w:r>
            <w:r>
              <w:rPr>
                <w:kern w:val="2"/>
              </w:rPr>
              <w:t>.a</w:t>
            </w:r>
            <w:r>
              <w:rPr>
                <w:rFonts w:hint="eastAsia"/>
                <w:kern w:val="2"/>
              </w:rPr>
              <w:t>）</w:t>
            </w:r>
          </w:p>
        </w:tc>
        <w:tc>
          <w:tcPr>
            <w:tcW w:w="2262" w:type="dxa"/>
            <w:vAlign w:val="center"/>
          </w:tcPr>
          <w:p>
            <w:pPr>
              <w:pStyle w:val="112"/>
              <w:rPr>
                <w:kern w:val="2"/>
              </w:rPr>
            </w:pPr>
            <w:r>
              <w:rPr>
                <w:rFonts w:hint="eastAsia"/>
                <w:kern w:val="2"/>
              </w:rPr>
              <w:t>年损失（万元</w:t>
            </w:r>
            <w:r>
              <w:rPr>
                <w:kern w:val="2"/>
              </w:rPr>
              <w:t>/a</w:t>
            </w:r>
            <w:r>
              <w:rPr>
                <w:rFonts w:hint="eastAsia"/>
                <w:kern w:val="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817" w:type="dxa"/>
            <w:vMerge w:val="restart"/>
            <w:vAlign w:val="center"/>
          </w:tcPr>
          <w:p>
            <w:r>
              <w:rPr>
                <w:rFonts w:hint="eastAsia" w:hAnsi="宋体"/>
              </w:rPr>
              <w:t>永久</w:t>
            </w:r>
          </w:p>
          <w:p>
            <w:r>
              <w:rPr>
                <w:rFonts w:hint="eastAsia" w:hAnsi="宋体"/>
              </w:rPr>
              <w:t>占地</w:t>
            </w:r>
          </w:p>
        </w:tc>
        <w:tc>
          <w:tcPr>
            <w:tcW w:w="1418" w:type="dxa"/>
            <w:vAlign w:val="center"/>
          </w:tcPr>
          <w:p>
            <w:pPr>
              <w:pStyle w:val="112"/>
              <w:rPr>
                <w:kern w:val="2"/>
              </w:rPr>
            </w:pPr>
            <w:r>
              <w:rPr>
                <w:rFonts w:hint="eastAsia"/>
                <w:kern w:val="2"/>
              </w:rPr>
              <w:t>耕地</w:t>
            </w:r>
          </w:p>
        </w:tc>
        <w:tc>
          <w:tcPr>
            <w:tcW w:w="2127" w:type="dxa"/>
            <w:vAlign w:val="center"/>
          </w:tcPr>
          <w:p>
            <w:pPr>
              <w:pStyle w:val="112"/>
              <w:rPr>
                <w:kern w:val="2"/>
              </w:rPr>
            </w:pPr>
            <w:r>
              <w:rPr>
                <w:kern w:val="2"/>
              </w:rPr>
              <w:t>8.7</w:t>
            </w:r>
          </w:p>
        </w:tc>
        <w:tc>
          <w:tcPr>
            <w:tcW w:w="2550" w:type="dxa"/>
            <w:vAlign w:val="center"/>
          </w:tcPr>
          <w:p>
            <w:pPr>
              <w:pStyle w:val="112"/>
              <w:rPr>
                <w:kern w:val="2"/>
              </w:rPr>
            </w:pPr>
            <w:r>
              <w:rPr>
                <w:kern w:val="2"/>
              </w:rPr>
              <w:t>1.0</w:t>
            </w:r>
          </w:p>
        </w:tc>
        <w:tc>
          <w:tcPr>
            <w:tcW w:w="2262" w:type="dxa"/>
            <w:vAlign w:val="center"/>
          </w:tcPr>
          <w:p>
            <w:pPr>
              <w:pStyle w:val="112"/>
              <w:rPr>
                <w:kern w:val="2"/>
              </w:rPr>
            </w:pPr>
            <w:r>
              <w:rPr>
                <w:kern w:val="2"/>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817" w:type="dxa"/>
            <w:vMerge w:val="continue"/>
            <w:vAlign w:val="center"/>
          </w:tcPr>
          <w:p/>
        </w:tc>
        <w:tc>
          <w:tcPr>
            <w:tcW w:w="1418" w:type="dxa"/>
            <w:vAlign w:val="center"/>
          </w:tcPr>
          <w:p>
            <w:pPr>
              <w:pStyle w:val="112"/>
              <w:rPr>
                <w:kern w:val="2"/>
              </w:rPr>
            </w:pPr>
            <w:r>
              <w:rPr>
                <w:rFonts w:hint="eastAsia"/>
                <w:kern w:val="2"/>
              </w:rPr>
              <w:t>林地</w:t>
            </w:r>
          </w:p>
        </w:tc>
        <w:tc>
          <w:tcPr>
            <w:tcW w:w="2127" w:type="dxa"/>
            <w:vAlign w:val="center"/>
          </w:tcPr>
          <w:p>
            <w:pPr>
              <w:pStyle w:val="112"/>
              <w:rPr>
                <w:kern w:val="2"/>
              </w:rPr>
            </w:pPr>
            <w:r>
              <w:rPr>
                <w:kern w:val="2"/>
              </w:rPr>
              <w:t>16.07</w:t>
            </w:r>
          </w:p>
        </w:tc>
        <w:tc>
          <w:tcPr>
            <w:tcW w:w="2550" w:type="dxa"/>
            <w:vAlign w:val="center"/>
          </w:tcPr>
          <w:p>
            <w:pPr>
              <w:pStyle w:val="112"/>
              <w:rPr>
                <w:kern w:val="2"/>
              </w:rPr>
            </w:pPr>
            <w:r>
              <w:rPr>
                <w:kern w:val="2"/>
              </w:rPr>
              <w:t>0.5</w:t>
            </w:r>
          </w:p>
        </w:tc>
        <w:tc>
          <w:tcPr>
            <w:tcW w:w="2262" w:type="dxa"/>
            <w:vAlign w:val="center"/>
          </w:tcPr>
          <w:p>
            <w:pPr>
              <w:pStyle w:val="112"/>
              <w:rPr>
                <w:kern w:val="2"/>
              </w:rPr>
            </w:pPr>
            <w:r>
              <w:rPr>
                <w:kern w:val="2"/>
              </w:rPr>
              <w:t>8.035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817" w:type="dxa"/>
            <w:vMerge w:val="continue"/>
            <w:vAlign w:val="center"/>
          </w:tcPr>
          <w:p/>
        </w:tc>
        <w:tc>
          <w:tcPr>
            <w:tcW w:w="1418" w:type="dxa"/>
            <w:vAlign w:val="center"/>
          </w:tcPr>
          <w:p>
            <w:pPr>
              <w:pStyle w:val="112"/>
              <w:rPr>
                <w:kern w:val="2"/>
              </w:rPr>
            </w:pPr>
            <w:r>
              <w:rPr>
                <w:rFonts w:hint="eastAsia"/>
                <w:kern w:val="2"/>
              </w:rPr>
              <w:t>合计</w:t>
            </w:r>
          </w:p>
        </w:tc>
        <w:tc>
          <w:tcPr>
            <w:tcW w:w="2127" w:type="dxa"/>
            <w:vAlign w:val="center"/>
          </w:tcPr>
          <w:p>
            <w:pPr>
              <w:pStyle w:val="112"/>
              <w:rPr>
                <w:kern w:val="2"/>
              </w:rPr>
            </w:pPr>
            <w:r>
              <w:rPr>
                <w:kern w:val="2"/>
              </w:rPr>
              <w:t>/</w:t>
            </w:r>
          </w:p>
        </w:tc>
        <w:tc>
          <w:tcPr>
            <w:tcW w:w="2550" w:type="dxa"/>
            <w:vAlign w:val="center"/>
          </w:tcPr>
          <w:p>
            <w:pPr>
              <w:pStyle w:val="112"/>
              <w:rPr>
                <w:kern w:val="2"/>
              </w:rPr>
            </w:pPr>
            <w:r>
              <w:rPr>
                <w:kern w:val="2"/>
              </w:rPr>
              <w:t>/</w:t>
            </w:r>
          </w:p>
        </w:tc>
        <w:tc>
          <w:tcPr>
            <w:tcW w:w="2262" w:type="dxa"/>
            <w:vAlign w:val="center"/>
          </w:tcPr>
          <w:p>
            <w:pPr>
              <w:pStyle w:val="112"/>
              <w:rPr>
                <w:kern w:val="2"/>
              </w:rPr>
            </w:pPr>
            <w:r>
              <w:rPr>
                <w:kern w:val="2"/>
              </w:rPr>
              <w:t>16.735</w:t>
            </w:r>
          </w:p>
        </w:tc>
      </w:tr>
    </w:tbl>
    <w:p>
      <w:pPr>
        <w:pStyle w:val="3"/>
        <w:ind w:firstLine="31680"/>
      </w:pPr>
      <w:r>
        <w:rPr>
          <w:rFonts w:hint="eastAsia"/>
        </w:rPr>
        <w:t>从上表中可以看出，拟建项目占用耕地和林地所造成的社会经济效益年损失为</w:t>
      </w:r>
      <w:r>
        <w:t>16.735</w:t>
      </w:r>
      <w:r>
        <w:rPr>
          <w:rFonts w:hint="eastAsia"/>
        </w:rPr>
        <w:t>万元。</w:t>
      </w:r>
    </w:p>
    <w:p>
      <w:pPr>
        <w:pStyle w:val="4"/>
        <w:ind w:left="567" w:hanging="567"/>
      </w:pPr>
      <w:bookmarkStart w:id="342" w:name="_Toc354581749"/>
      <w:bookmarkStart w:id="343" w:name="_Toc32082"/>
      <w:bookmarkStart w:id="344" w:name="_Toc354558947"/>
      <w:bookmarkStart w:id="345" w:name="_Toc346361811"/>
      <w:bookmarkStart w:id="346" w:name="_Toc354581929"/>
      <w:r>
        <w:rPr>
          <w:rFonts w:hint="eastAsia"/>
        </w:rPr>
        <w:t>生态效益经济损失分析</w:t>
      </w:r>
      <w:bookmarkEnd w:id="342"/>
      <w:bookmarkEnd w:id="343"/>
      <w:bookmarkEnd w:id="344"/>
      <w:bookmarkEnd w:id="345"/>
      <w:bookmarkEnd w:id="346"/>
    </w:p>
    <w:p>
      <w:pPr>
        <w:pStyle w:val="5"/>
        <w:widowControl/>
        <w:ind w:left="567" w:hanging="567"/>
      </w:pPr>
      <w:r>
        <w:rPr>
          <w:rFonts w:hint="eastAsia"/>
        </w:rPr>
        <w:t>主要植被类型的生态服务功能</w:t>
      </w:r>
    </w:p>
    <w:p>
      <w:pPr>
        <w:pStyle w:val="3"/>
        <w:ind w:firstLine="31680"/>
      </w:pPr>
      <w:r>
        <w:t>a</w:t>
      </w:r>
      <w:r>
        <w:rPr>
          <w:rFonts w:hint="eastAsia"/>
        </w:rPr>
        <w:t>）农田</w:t>
      </w:r>
    </w:p>
    <w:p>
      <w:pPr>
        <w:pStyle w:val="3"/>
        <w:ind w:firstLine="31680"/>
      </w:pPr>
      <w:r>
        <w:rPr>
          <w:rFonts w:hint="eastAsia"/>
        </w:rPr>
        <w:t>农田的生态服务功能主要表现为：</w:t>
      </w:r>
    </w:p>
    <w:p>
      <w:pPr>
        <w:pStyle w:val="3"/>
        <w:ind w:firstLine="31680"/>
      </w:pPr>
      <w:r>
        <w:t>1</w:t>
      </w:r>
      <w:r>
        <w:rPr>
          <w:rFonts w:hint="eastAsia"/>
        </w:rPr>
        <w:t>）对大气的调节，即农作物吸收固定温室气体</w:t>
      </w:r>
      <w:r>
        <w:t>CO</w:t>
      </w:r>
      <w:r>
        <w:rPr>
          <w:vertAlign w:val="subscript"/>
        </w:rPr>
        <w:t>2</w:t>
      </w:r>
      <w:r>
        <w:rPr>
          <w:rFonts w:hint="eastAsia"/>
        </w:rPr>
        <w:t>的功能以及释放</w:t>
      </w:r>
      <w:r>
        <w:t>O</w:t>
      </w:r>
      <w:r>
        <w:rPr>
          <w:vertAlign w:val="subscript"/>
        </w:rPr>
        <w:t>2</w:t>
      </w:r>
      <w:r>
        <w:rPr>
          <w:rFonts w:hint="eastAsia"/>
        </w:rPr>
        <w:t>的功能。</w:t>
      </w:r>
    </w:p>
    <w:p>
      <w:pPr>
        <w:pStyle w:val="3"/>
        <w:ind w:firstLine="31680"/>
      </w:pPr>
      <w:r>
        <w:t>2</w:t>
      </w:r>
      <w:r>
        <w:rPr>
          <w:rFonts w:hint="eastAsia"/>
        </w:rPr>
        <w:t>）阻滞地表径流、减轻洪涝灾害。</w:t>
      </w:r>
    </w:p>
    <w:p>
      <w:pPr>
        <w:pStyle w:val="3"/>
        <w:ind w:firstLine="31680"/>
      </w:pPr>
      <w:r>
        <w:t>3</w:t>
      </w:r>
      <w:r>
        <w:rPr>
          <w:rFonts w:hint="eastAsia"/>
        </w:rPr>
        <w:t>）净化环境。</w:t>
      </w:r>
    </w:p>
    <w:p>
      <w:pPr>
        <w:pStyle w:val="3"/>
        <w:ind w:firstLine="31680"/>
      </w:pPr>
      <w:r>
        <w:t>b</w:t>
      </w:r>
      <w:r>
        <w:rPr>
          <w:rFonts w:hint="eastAsia"/>
        </w:rPr>
        <w:t>）林地</w:t>
      </w:r>
    </w:p>
    <w:p>
      <w:pPr>
        <w:pStyle w:val="3"/>
        <w:ind w:firstLine="31680"/>
      </w:pPr>
      <w:r>
        <w:rPr>
          <w:rFonts w:hint="eastAsia"/>
        </w:rPr>
        <w:t>森林具有巨大的生态服务功能，主要包括：生产有机质、涵养水源、保护土壤、固定</w:t>
      </w:r>
      <w:r>
        <w:t>CO</w:t>
      </w:r>
      <w:r>
        <w:rPr>
          <w:vertAlign w:val="subscript"/>
        </w:rPr>
        <w:t>2</w:t>
      </w:r>
      <w:r>
        <w:rPr>
          <w:rFonts w:hint="eastAsia"/>
        </w:rPr>
        <w:t>、释放</w:t>
      </w:r>
      <w:r>
        <w:t>O</w:t>
      </w:r>
      <w:r>
        <w:rPr>
          <w:vertAlign w:val="subscript"/>
        </w:rPr>
        <w:t>2</w:t>
      </w:r>
      <w:r>
        <w:rPr>
          <w:rFonts w:hint="eastAsia"/>
        </w:rPr>
        <w:t>、营养物质循环、吸收污染物以及防治病虫害等方面。</w:t>
      </w:r>
    </w:p>
    <w:p>
      <w:pPr>
        <w:pStyle w:val="5"/>
        <w:keepNext w:val="0"/>
        <w:keepLines w:val="0"/>
        <w:ind w:left="567" w:hanging="567"/>
      </w:pPr>
      <w:r>
        <w:rPr>
          <w:rFonts w:hint="eastAsia"/>
        </w:rPr>
        <w:t>生态价值损失分析</w:t>
      </w:r>
    </w:p>
    <w:p>
      <w:pPr>
        <w:pStyle w:val="3"/>
        <w:ind w:firstLine="31680"/>
      </w:pPr>
      <w:r>
        <w:rPr>
          <w:rFonts w:hint="eastAsia"/>
        </w:rPr>
        <w:t>对于生态价值，目前还没有很成熟的理论及计算方法。也有不少专家进行了研究和探讨。比如说林地的生态价值（效益）主要包括经济效益和公益效益两大方面：经济效益即木材生产效益，公益效益主要包括森林的水源涵养效益、固土保肥效益、森林改良土壤效益、森林净化大气效益、森林景观效益等。另外，公路施工噪声、扬尘、水土流失及运营后的交通噪声、汽车尾气、污水排放等造成沿线环境质量下降，影响居民身体健康和生活质量。如果把这些无形的生态价值用经济学方法进行量化，其数值之大往往是人们不能够接受的。随着社会经济发展和人们生活水平的不断提高，人们对环境的舒适性服务的需求，即对环境价值的重视程度就会迅速提高，环境资源的生态价值也会日益显现和积累。</w:t>
      </w:r>
    </w:p>
    <w:p>
      <w:pPr>
        <w:pStyle w:val="4"/>
        <w:ind w:left="567" w:hanging="567"/>
      </w:pPr>
      <w:bookmarkStart w:id="347" w:name="_Toc346361812"/>
      <w:bookmarkStart w:id="348" w:name="_Toc354581930"/>
      <w:bookmarkStart w:id="349" w:name="_Toc26319"/>
      <w:bookmarkStart w:id="350" w:name="_Toc354581750"/>
      <w:bookmarkStart w:id="351" w:name="_Toc354558948"/>
      <w:r>
        <w:rPr>
          <w:rFonts w:hint="eastAsia"/>
        </w:rPr>
        <w:t>社会影响损益分析</w:t>
      </w:r>
      <w:bookmarkEnd w:id="347"/>
      <w:bookmarkEnd w:id="348"/>
      <w:bookmarkEnd w:id="349"/>
      <w:bookmarkEnd w:id="350"/>
      <w:bookmarkEnd w:id="351"/>
    </w:p>
    <w:p>
      <w:pPr>
        <w:pStyle w:val="3"/>
        <w:ind w:firstLine="31680"/>
      </w:pPr>
      <w:r>
        <w:rPr>
          <w:rFonts w:hint="eastAsia"/>
        </w:rPr>
        <w:t>本工程建成后，将带动沿线诸多产业兴起和资源开发利用，由此为社会提供大量的就业机会，同时改善沿线交通运输条件，加快城乡贸易通道，从而促进人民生活水平的提高。</w:t>
      </w:r>
    </w:p>
    <w:p>
      <w:pPr>
        <w:pStyle w:val="3"/>
        <w:ind w:firstLine="31680"/>
      </w:pPr>
      <w:r>
        <w:rPr>
          <w:rFonts w:hint="eastAsia"/>
        </w:rPr>
        <w:t>拟建工程所在地及周边县市环境优美，有较丰富的旅游资源和较完善的配套服务设施。交通条件的改善，将提高旅游景点的可达性，有效地促进旅游事业的发展。</w:t>
      </w:r>
    </w:p>
    <w:p>
      <w:pPr>
        <w:pStyle w:val="4"/>
        <w:ind w:left="567" w:hanging="567"/>
      </w:pPr>
      <w:bookmarkStart w:id="352" w:name="_Toc14043"/>
      <w:bookmarkStart w:id="353" w:name="_Toc354581751"/>
      <w:bookmarkStart w:id="354" w:name="_Toc354558949"/>
      <w:bookmarkStart w:id="355" w:name="_Toc354581931"/>
      <w:bookmarkStart w:id="356" w:name="_Toc346361813"/>
      <w:r>
        <w:rPr>
          <w:rFonts w:hint="eastAsia"/>
        </w:rPr>
        <w:t>环境影响损益分析</w:t>
      </w:r>
      <w:bookmarkEnd w:id="352"/>
      <w:bookmarkEnd w:id="353"/>
      <w:bookmarkEnd w:id="354"/>
      <w:bookmarkEnd w:id="355"/>
      <w:bookmarkEnd w:id="356"/>
    </w:p>
    <w:p>
      <w:pPr>
        <w:pStyle w:val="3"/>
        <w:ind w:firstLine="31680"/>
      </w:pPr>
      <w:r>
        <w:rPr>
          <w:rFonts w:hint="eastAsia"/>
        </w:rPr>
        <w:t>虽然本工程的施工和运营会对沿线环境产生一定的干扰和破坏影响，但采取一定的环保措施后，这些影响在一定程度上将得以减轻或消除，有的甚至可能会对社会环境和生态环境产生正效应。拟建工程的建成带来的区域经济发展和居民收入的增加，将有助于增加区域生态环境效益。</w:t>
      </w:r>
    </w:p>
    <w:p>
      <w:pPr>
        <w:pStyle w:val="3"/>
        <w:tabs>
          <w:tab w:val="left" w:pos="8647"/>
        </w:tabs>
        <w:ind w:firstLine="31680"/>
      </w:pPr>
      <w:r>
        <w:rPr>
          <w:rFonts w:hint="eastAsia"/>
        </w:rPr>
        <w:t>对受本工程影响的主要环境因素，分别采用补偿法、专家打分法等分析方法对拟建公路的环境经济损益进行定性分析，其结果见表</w:t>
      </w:r>
      <w:r>
        <w:t>14.4-1</w:t>
      </w:r>
      <w:r>
        <w:rPr>
          <w:rFonts w:hint="eastAsia"/>
        </w:rPr>
        <w:t>。</w:t>
      </w:r>
      <w:bookmarkStart w:id="357" w:name="_Ref351904771"/>
    </w:p>
    <w:bookmarkEnd w:id="357"/>
    <w:p>
      <w:pPr>
        <w:pStyle w:val="19"/>
        <w:jc w:val="center"/>
        <w:rPr>
          <w:rStyle w:val="115"/>
        </w:rPr>
      </w:pPr>
      <w:bookmarkStart w:id="358" w:name="_Ref401500007"/>
      <w:r>
        <w:rPr>
          <w:rFonts w:hint="eastAsia"/>
        </w:rPr>
        <w:t>表</w:t>
      </w:r>
      <w:bookmarkEnd w:id="358"/>
      <w:r>
        <w:t xml:space="preserve">14.4-1  </w:t>
      </w:r>
      <w:r>
        <w:rPr>
          <w:rStyle w:val="115"/>
          <w:rFonts w:hint="eastAsia"/>
        </w:rPr>
        <w:t>环境影响的经济效益分析表</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038"/>
        <w:gridCol w:w="5668"/>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19" w:type="dxa"/>
            <w:vAlign w:val="center"/>
          </w:tcPr>
          <w:p>
            <w:pPr>
              <w:pStyle w:val="112"/>
              <w:rPr>
                <w:kern w:val="2"/>
              </w:rPr>
            </w:pPr>
            <w:r>
              <w:rPr>
                <w:rFonts w:hint="eastAsia"/>
                <w:kern w:val="2"/>
              </w:rPr>
              <w:t>序号</w:t>
            </w:r>
          </w:p>
        </w:tc>
        <w:tc>
          <w:tcPr>
            <w:tcW w:w="2038" w:type="dxa"/>
            <w:vAlign w:val="center"/>
          </w:tcPr>
          <w:p>
            <w:pPr>
              <w:pStyle w:val="112"/>
              <w:rPr>
                <w:kern w:val="2"/>
              </w:rPr>
            </w:pPr>
            <w:r>
              <w:rPr>
                <w:rFonts w:hint="eastAsia"/>
                <w:kern w:val="2"/>
              </w:rPr>
              <w:t>环境要素</w:t>
            </w:r>
          </w:p>
        </w:tc>
        <w:tc>
          <w:tcPr>
            <w:tcW w:w="5668" w:type="dxa"/>
            <w:vAlign w:val="center"/>
          </w:tcPr>
          <w:p>
            <w:pPr>
              <w:pStyle w:val="112"/>
              <w:rPr>
                <w:kern w:val="2"/>
              </w:rPr>
            </w:pPr>
            <w:r>
              <w:rPr>
                <w:rFonts w:hint="eastAsia"/>
                <w:kern w:val="2"/>
              </w:rPr>
              <w:t>影响、措施及投资</w:t>
            </w:r>
          </w:p>
        </w:tc>
        <w:tc>
          <w:tcPr>
            <w:tcW w:w="749" w:type="dxa"/>
            <w:vAlign w:val="center"/>
          </w:tcPr>
          <w:p>
            <w:pPr>
              <w:pStyle w:val="112"/>
              <w:rPr>
                <w:kern w:val="2"/>
              </w:rPr>
            </w:pPr>
            <w:r>
              <w:rPr>
                <w:rFonts w:hint="eastAsia"/>
                <w:kern w:val="2"/>
              </w:rPr>
              <w:t>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1</w:t>
            </w:r>
          </w:p>
        </w:tc>
        <w:tc>
          <w:tcPr>
            <w:tcW w:w="2038" w:type="dxa"/>
            <w:vAlign w:val="center"/>
          </w:tcPr>
          <w:p>
            <w:pPr>
              <w:pStyle w:val="112"/>
              <w:rPr>
                <w:kern w:val="2"/>
              </w:rPr>
            </w:pPr>
            <w:r>
              <w:rPr>
                <w:rFonts w:hint="eastAsia"/>
                <w:kern w:val="2"/>
              </w:rPr>
              <w:t>环境空气、声环境</w:t>
            </w:r>
          </w:p>
        </w:tc>
        <w:tc>
          <w:tcPr>
            <w:tcW w:w="5668" w:type="dxa"/>
            <w:vAlign w:val="center"/>
          </w:tcPr>
          <w:p>
            <w:pPr>
              <w:pStyle w:val="112"/>
              <w:rPr>
                <w:kern w:val="2"/>
              </w:rPr>
            </w:pPr>
            <w:r>
              <w:rPr>
                <w:rFonts w:hint="eastAsia"/>
                <w:kern w:val="2"/>
              </w:rPr>
              <w:t>项目沿线声、气环境质量下降</w:t>
            </w:r>
          </w:p>
        </w:tc>
        <w:tc>
          <w:tcPr>
            <w:tcW w:w="749" w:type="dxa"/>
            <w:vAlign w:val="center"/>
          </w:tcPr>
          <w:p>
            <w:pPr>
              <w:pStyle w:val="112"/>
              <w:rPr>
                <w:kern w:val="2"/>
              </w:rPr>
            </w:pPr>
            <w:r>
              <w:rPr>
                <w:kern w:val="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2</w:t>
            </w:r>
          </w:p>
        </w:tc>
        <w:tc>
          <w:tcPr>
            <w:tcW w:w="2038" w:type="dxa"/>
            <w:vAlign w:val="center"/>
          </w:tcPr>
          <w:p>
            <w:pPr>
              <w:pStyle w:val="112"/>
              <w:rPr>
                <w:kern w:val="2"/>
              </w:rPr>
            </w:pPr>
            <w:r>
              <w:rPr>
                <w:rFonts w:hint="eastAsia"/>
                <w:kern w:val="2"/>
              </w:rPr>
              <w:t>水质</w:t>
            </w:r>
          </w:p>
        </w:tc>
        <w:tc>
          <w:tcPr>
            <w:tcW w:w="5668" w:type="dxa"/>
            <w:vAlign w:val="center"/>
          </w:tcPr>
          <w:p>
            <w:pPr>
              <w:pStyle w:val="112"/>
              <w:rPr>
                <w:kern w:val="2"/>
              </w:rPr>
            </w:pPr>
            <w:r>
              <w:rPr>
                <w:rFonts w:hint="eastAsia"/>
                <w:kern w:val="2"/>
              </w:rPr>
              <w:t>施工期对沿线水环境影响轻微</w:t>
            </w:r>
          </w:p>
        </w:tc>
        <w:tc>
          <w:tcPr>
            <w:tcW w:w="749" w:type="dxa"/>
            <w:vAlign w:val="center"/>
          </w:tcPr>
          <w:p>
            <w:pPr>
              <w:pStyle w:val="112"/>
              <w:rPr>
                <w:kern w:val="2"/>
              </w:rPr>
            </w:pPr>
            <w:r>
              <w:rPr>
                <w:kern w:val="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3</w:t>
            </w:r>
          </w:p>
        </w:tc>
        <w:tc>
          <w:tcPr>
            <w:tcW w:w="2038" w:type="dxa"/>
            <w:vAlign w:val="center"/>
          </w:tcPr>
          <w:p>
            <w:pPr>
              <w:pStyle w:val="112"/>
              <w:rPr>
                <w:kern w:val="2"/>
              </w:rPr>
            </w:pPr>
            <w:r>
              <w:rPr>
                <w:rFonts w:hint="eastAsia"/>
                <w:kern w:val="2"/>
              </w:rPr>
              <w:t>人群健康</w:t>
            </w:r>
          </w:p>
        </w:tc>
        <w:tc>
          <w:tcPr>
            <w:tcW w:w="5668" w:type="dxa"/>
            <w:vAlign w:val="center"/>
          </w:tcPr>
          <w:p>
            <w:pPr>
              <w:pStyle w:val="112"/>
              <w:rPr>
                <w:kern w:val="2"/>
              </w:rPr>
            </w:pPr>
            <w:r>
              <w:rPr>
                <w:rFonts w:hint="eastAsia"/>
                <w:kern w:val="2"/>
              </w:rPr>
              <w:t>无显著不利影响，交通方便有利于就医</w:t>
            </w:r>
          </w:p>
        </w:tc>
        <w:tc>
          <w:tcPr>
            <w:tcW w:w="749" w:type="dxa"/>
            <w:vAlign w:val="center"/>
          </w:tcPr>
          <w:p>
            <w:pPr>
              <w:pStyle w:val="112"/>
              <w:rPr>
                <w:kern w:val="2"/>
              </w:rPr>
            </w:pPr>
            <w:r>
              <w:rPr>
                <w:kern w:val="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4</w:t>
            </w:r>
          </w:p>
        </w:tc>
        <w:tc>
          <w:tcPr>
            <w:tcW w:w="2038" w:type="dxa"/>
            <w:vAlign w:val="center"/>
          </w:tcPr>
          <w:p>
            <w:pPr>
              <w:pStyle w:val="112"/>
              <w:rPr>
                <w:kern w:val="2"/>
              </w:rPr>
            </w:pPr>
            <w:r>
              <w:rPr>
                <w:rFonts w:hint="eastAsia"/>
                <w:kern w:val="2"/>
              </w:rPr>
              <w:t>植物</w:t>
            </w:r>
          </w:p>
        </w:tc>
        <w:tc>
          <w:tcPr>
            <w:tcW w:w="5668" w:type="dxa"/>
            <w:vAlign w:val="center"/>
          </w:tcPr>
          <w:p>
            <w:pPr>
              <w:pStyle w:val="112"/>
              <w:rPr>
                <w:kern w:val="2"/>
              </w:rPr>
            </w:pPr>
            <w:r>
              <w:rPr>
                <w:rFonts w:hint="eastAsia"/>
                <w:kern w:val="2"/>
              </w:rPr>
              <w:t>占用林地，但绿化工程将有一定的程度上的补偿</w:t>
            </w:r>
          </w:p>
        </w:tc>
        <w:tc>
          <w:tcPr>
            <w:tcW w:w="749" w:type="dxa"/>
            <w:vAlign w:val="center"/>
          </w:tcPr>
          <w:p>
            <w:pPr>
              <w:pStyle w:val="112"/>
              <w:rPr>
                <w:kern w:val="2"/>
              </w:rPr>
            </w:pPr>
            <w:r>
              <w:rPr>
                <w:kern w:val="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5</w:t>
            </w:r>
          </w:p>
        </w:tc>
        <w:tc>
          <w:tcPr>
            <w:tcW w:w="2038" w:type="dxa"/>
            <w:vAlign w:val="center"/>
          </w:tcPr>
          <w:p>
            <w:pPr>
              <w:pStyle w:val="112"/>
              <w:rPr>
                <w:kern w:val="2"/>
              </w:rPr>
            </w:pPr>
            <w:r>
              <w:rPr>
                <w:rFonts w:hint="eastAsia"/>
                <w:kern w:val="2"/>
              </w:rPr>
              <w:t>动物</w:t>
            </w:r>
          </w:p>
        </w:tc>
        <w:tc>
          <w:tcPr>
            <w:tcW w:w="5668" w:type="dxa"/>
            <w:vAlign w:val="center"/>
          </w:tcPr>
          <w:p>
            <w:pPr>
              <w:pStyle w:val="112"/>
              <w:rPr>
                <w:kern w:val="2"/>
              </w:rPr>
            </w:pPr>
            <w:r>
              <w:rPr>
                <w:rFonts w:hint="eastAsia"/>
                <w:kern w:val="2"/>
              </w:rPr>
              <w:t>对野生动物及其生存环境基本上无影响</w:t>
            </w:r>
          </w:p>
        </w:tc>
        <w:tc>
          <w:tcPr>
            <w:tcW w:w="749" w:type="dxa"/>
            <w:vAlign w:val="center"/>
          </w:tcPr>
          <w:p>
            <w:pPr>
              <w:pStyle w:val="112"/>
              <w:rPr>
                <w:kern w:val="2"/>
              </w:rPr>
            </w:pPr>
            <w:r>
              <w:rPr>
                <w:kern w:val="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6</w:t>
            </w:r>
          </w:p>
        </w:tc>
        <w:tc>
          <w:tcPr>
            <w:tcW w:w="2038" w:type="dxa"/>
            <w:vAlign w:val="center"/>
          </w:tcPr>
          <w:p>
            <w:pPr>
              <w:pStyle w:val="112"/>
              <w:rPr>
                <w:kern w:val="2"/>
              </w:rPr>
            </w:pPr>
            <w:r>
              <w:rPr>
                <w:rFonts w:hint="eastAsia"/>
                <w:kern w:val="2"/>
              </w:rPr>
              <w:t>旅游资源</w:t>
            </w:r>
          </w:p>
        </w:tc>
        <w:tc>
          <w:tcPr>
            <w:tcW w:w="5668" w:type="dxa"/>
            <w:vAlign w:val="center"/>
          </w:tcPr>
          <w:p>
            <w:pPr>
              <w:pStyle w:val="112"/>
              <w:rPr>
                <w:kern w:val="2"/>
              </w:rPr>
            </w:pPr>
            <w:r>
              <w:rPr>
                <w:rFonts w:hint="eastAsia"/>
                <w:kern w:val="2"/>
              </w:rPr>
              <w:t>无显著的不利影响，有利于资源开发</w:t>
            </w:r>
          </w:p>
        </w:tc>
        <w:tc>
          <w:tcPr>
            <w:tcW w:w="749" w:type="dxa"/>
            <w:vAlign w:val="center"/>
          </w:tcPr>
          <w:p>
            <w:pPr>
              <w:pStyle w:val="112"/>
              <w:rPr>
                <w:kern w:val="2"/>
              </w:rPr>
            </w:pPr>
            <w:r>
              <w:rPr>
                <w:kern w:val="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7</w:t>
            </w:r>
          </w:p>
        </w:tc>
        <w:tc>
          <w:tcPr>
            <w:tcW w:w="2038" w:type="dxa"/>
            <w:vAlign w:val="center"/>
          </w:tcPr>
          <w:p>
            <w:pPr>
              <w:pStyle w:val="112"/>
              <w:rPr>
                <w:kern w:val="2"/>
              </w:rPr>
            </w:pPr>
            <w:r>
              <w:rPr>
                <w:rFonts w:hint="eastAsia"/>
                <w:kern w:val="2"/>
              </w:rPr>
              <w:t>矿产</w:t>
            </w:r>
          </w:p>
        </w:tc>
        <w:tc>
          <w:tcPr>
            <w:tcW w:w="5668" w:type="dxa"/>
            <w:vAlign w:val="center"/>
          </w:tcPr>
          <w:p>
            <w:pPr>
              <w:pStyle w:val="112"/>
              <w:rPr>
                <w:kern w:val="2"/>
              </w:rPr>
            </w:pPr>
            <w:r>
              <w:rPr>
                <w:rFonts w:hint="eastAsia"/>
                <w:kern w:val="2"/>
              </w:rPr>
              <w:t>有利于矿产资源的开发利用</w:t>
            </w:r>
          </w:p>
        </w:tc>
        <w:tc>
          <w:tcPr>
            <w:tcW w:w="749" w:type="dxa"/>
            <w:vAlign w:val="center"/>
          </w:tcPr>
          <w:p>
            <w:pPr>
              <w:pStyle w:val="112"/>
              <w:rPr>
                <w:kern w:val="2"/>
              </w:rPr>
            </w:pPr>
            <w:r>
              <w:rPr>
                <w:kern w:val="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8</w:t>
            </w:r>
          </w:p>
        </w:tc>
        <w:tc>
          <w:tcPr>
            <w:tcW w:w="2038" w:type="dxa"/>
            <w:vAlign w:val="center"/>
          </w:tcPr>
          <w:p>
            <w:pPr>
              <w:pStyle w:val="112"/>
              <w:rPr>
                <w:kern w:val="2"/>
              </w:rPr>
            </w:pPr>
            <w:r>
              <w:rPr>
                <w:rFonts w:hint="eastAsia"/>
                <w:kern w:val="2"/>
              </w:rPr>
              <w:t>农业</w:t>
            </w:r>
          </w:p>
        </w:tc>
        <w:tc>
          <w:tcPr>
            <w:tcW w:w="5668" w:type="dxa"/>
            <w:vAlign w:val="center"/>
          </w:tcPr>
          <w:p>
            <w:pPr>
              <w:pStyle w:val="112"/>
              <w:rPr>
                <w:kern w:val="2"/>
              </w:rPr>
            </w:pPr>
            <w:r>
              <w:rPr>
                <w:rFonts w:hint="eastAsia"/>
                <w:kern w:val="2"/>
              </w:rPr>
              <w:t>占地影响农业生产，但加速地区间的物流交换</w:t>
            </w:r>
          </w:p>
        </w:tc>
        <w:tc>
          <w:tcPr>
            <w:tcW w:w="749" w:type="dxa"/>
            <w:vAlign w:val="center"/>
          </w:tcPr>
          <w:p>
            <w:pPr>
              <w:pStyle w:val="112"/>
              <w:rPr>
                <w:kern w:val="2"/>
              </w:rPr>
            </w:pPr>
            <w:r>
              <w:rPr>
                <w:kern w:val="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9</w:t>
            </w:r>
          </w:p>
        </w:tc>
        <w:tc>
          <w:tcPr>
            <w:tcW w:w="2038" w:type="dxa"/>
            <w:vAlign w:val="center"/>
          </w:tcPr>
          <w:p>
            <w:pPr>
              <w:pStyle w:val="112"/>
              <w:rPr>
                <w:kern w:val="2"/>
              </w:rPr>
            </w:pPr>
            <w:r>
              <w:rPr>
                <w:rFonts w:hint="eastAsia"/>
                <w:kern w:val="2"/>
              </w:rPr>
              <w:t>城镇规划</w:t>
            </w:r>
          </w:p>
        </w:tc>
        <w:tc>
          <w:tcPr>
            <w:tcW w:w="5668" w:type="dxa"/>
            <w:vAlign w:val="center"/>
          </w:tcPr>
          <w:p>
            <w:pPr>
              <w:pStyle w:val="112"/>
              <w:rPr>
                <w:kern w:val="2"/>
              </w:rPr>
            </w:pPr>
            <w:r>
              <w:rPr>
                <w:rFonts w:hint="eastAsia"/>
                <w:kern w:val="2"/>
              </w:rPr>
              <w:t>无显著的不利影响，有利于城镇、社会发展</w:t>
            </w:r>
          </w:p>
        </w:tc>
        <w:tc>
          <w:tcPr>
            <w:tcW w:w="749" w:type="dxa"/>
            <w:vAlign w:val="center"/>
          </w:tcPr>
          <w:p>
            <w:pPr>
              <w:pStyle w:val="112"/>
              <w:rPr>
                <w:kern w:val="2"/>
              </w:rPr>
            </w:pPr>
            <w:r>
              <w:rPr>
                <w:kern w:val="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10</w:t>
            </w:r>
          </w:p>
        </w:tc>
        <w:tc>
          <w:tcPr>
            <w:tcW w:w="2038" w:type="dxa"/>
            <w:vAlign w:val="center"/>
          </w:tcPr>
          <w:p>
            <w:pPr>
              <w:pStyle w:val="112"/>
              <w:rPr>
                <w:kern w:val="2"/>
              </w:rPr>
            </w:pPr>
            <w:r>
              <w:rPr>
                <w:rFonts w:hint="eastAsia"/>
                <w:kern w:val="2"/>
              </w:rPr>
              <w:t>景观美化</w:t>
            </w:r>
          </w:p>
        </w:tc>
        <w:tc>
          <w:tcPr>
            <w:tcW w:w="5668" w:type="dxa"/>
            <w:vAlign w:val="center"/>
          </w:tcPr>
          <w:p>
            <w:pPr>
              <w:pStyle w:val="112"/>
              <w:rPr>
                <w:kern w:val="2"/>
              </w:rPr>
            </w:pPr>
            <w:r>
              <w:rPr>
                <w:rFonts w:hint="eastAsia"/>
                <w:kern w:val="2"/>
              </w:rPr>
              <w:t>增加环保投资，改善沿线环境质量</w:t>
            </w:r>
          </w:p>
        </w:tc>
        <w:tc>
          <w:tcPr>
            <w:tcW w:w="749" w:type="dxa"/>
            <w:vAlign w:val="center"/>
          </w:tcPr>
          <w:p>
            <w:pPr>
              <w:pStyle w:val="112"/>
              <w:rPr>
                <w:kern w:val="2"/>
              </w:rPr>
            </w:pPr>
            <w:r>
              <w:rPr>
                <w:kern w:val="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11</w:t>
            </w:r>
          </w:p>
        </w:tc>
        <w:tc>
          <w:tcPr>
            <w:tcW w:w="2038" w:type="dxa"/>
            <w:vAlign w:val="center"/>
          </w:tcPr>
          <w:p>
            <w:pPr>
              <w:pStyle w:val="112"/>
              <w:rPr>
                <w:kern w:val="2"/>
              </w:rPr>
            </w:pPr>
            <w:r>
              <w:rPr>
                <w:rFonts w:hint="eastAsia"/>
                <w:kern w:val="2"/>
              </w:rPr>
              <w:t>水土保持</w:t>
            </w:r>
          </w:p>
        </w:tc>
        <w:tc>
          <w:tcPr>
            <w:tcW w:w="5668" w:type="dxa"/>
            <w:vAlign w:val="center"/>
          </w:tcPr>
          <w:p>
            <w:pPr>
              <w:pStyle w:val="112"/>
              <w:rPr>
                <w:kern w:val="2"/>
              </w:rPr>
            </w:pPr>
            <w:r>
              <w:rPr>
                <w:rFonts w:hint="eastAsia"/>
                <w:kern w:val="2"/>
              </w:rPr>
              <w:t>无显著不利影响，但增加防护、排水工程及环保措施</w:t>
            </w:r>
          </w:p>
        </w:tc>
        <w:tc>
          <w:tcPr>
            <w:tcW w:w="749" w:type="dxa"/>
            <w:vAlign w:val="center"/>
          </w:tcPr>
          <w:p>
            <w:pPr>
              <w:pStyle w:val="112"/>
              <w:rPr>
                <w:kern w:val="2"/>
              </w:rPr>
            </w:pPr>
            <w:r>
              <w:rPr>
                <w:kern w:val="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12</w:t>
            </w:r>
          </w:p>
        </w:tc>
        <w:tc>
          <w:tcPr>
            <w:tcW w:w="2038" w:type="dxa"/>
            <w:vAlign w:val="center"/>
          </w:tcPr>
          <w:p>
            <w:pPr>
              <w:pStyle w:val="112"/>
              <w:rPr>
                <w:kern w:val="2"/>
              </w:rPr>
            </w:pPr>
            <w:r>
              <w:rPr>
                <w:rFonts w:hint="eastAsia"/>
                <w:kern w:val="2"/>
              </w:rPr>
              <w:t>拆迁安置</w:t>
            </w:r>
          </w:p>
        </w:tc>
        <w:tc>
          <w:tcPr>
            <w:tcW w:w="5668" w:type="dxa"/>
            <w:vAlign w:val="center"/>
          </w:tcPr>
          <w:p>
            <w:pPr>
              <w:pStyle w:val="112"/>
              <w:rPr>
                <w:kern w:val="2"/>
              </w:rPr>
            </w:pPr>
            <w:r>
              <w:rPr>
                <w:rFonts w:hint="eastAsia"/>
                <w:kern w:val="2"/>
              </w:rPr>
              <w:t>拆迁货币补偿，无显著的不利影响</w:t>
            </w:r>
          </w:p>
        </w:tc>
        <w:tc>
          <w:tcPr>
            <w:tcW w:w="749" w:type="dxa"/>
            <w:vAlign w:val="center"/>
          </w:tcPr>
          <w:p>
            <w:pPr>
              <w:pStyle w:val="112"/>
              <w:rPr>
                <w:kern w:val="2"/>
              </w:rPr>
            </w:pPr>
            <w:r>
              <w:rPr>
                <w:kern w:val="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13</w:t>
            </w:r>
          </w:p>
        </w:tc>
        <w:tc>
          <w:tcPr>
            <w:tcW w:w="2038" w:type="dxa"/>
            <w:vAlign w:val="center"/>
          </w:tcPr>
          <w:p>
            <w:pPr>
              <w:pStyle w:val="112"/>
              <w:rPr>
                <w:kern w:val="2"/>
              </w:rPr>
            </w:pPr>
            <w:r>
              <w:rPr>
                <w:rFonts w:hint="eastAsia"/>
                <w:kern w:val="2"/>
              </w:rPr>
              <w:t>土地价值</w:t>
            </w:r>
          </w:p>
        </w:tc>
        <w:tc>
          <w:tcPr>
            <w:tcW w:w="5668" w:type="dxa"/>
            <w:vAlign w:val="center"/>
          </w:tcPr>
          <w:p>
            <w:pPr>
              <w:pStyle w:val="112"/>
              <w:rPr>
                <w:kern w:val="2"/>
              </w:rPr>
            </w:pPr>
            <w:r>
              <w:rPr>
                <w:rFonts w:hint="eastAsia"/>
                <w:kern w:val="2"/>
              </w:rPr>
              <w:t>公路沿线两侧居住用地贬值；工、商用地增值</w:t>
            </w:r>
          </w:p>
        </w:tc>
        <w:tc>
          <w:tcPr>
            <w:tcW w:w="749" w:type="dxa"/>
            <w:vAlign w:val="center"/>
          </w:tcPr>
          <w:p>
            <w:pPr>
              <w:pStyle w:val="112"/>
              <w:rPr>
                <w:kern w:val="2"/>
              </w:rPr>
            </w:pPr>
            <w:r>
              <w:rPr>
                <w:kern w:val="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14</w:t>
            </w:r>
          </w:p>
        </w:tc>
        <w:tc>
          <w:tcPr>
            <w:tcW w:w="2038" w:type="dxa"/>
            <w:vAlign w:val="center"/>
          </w:tcPr>
          <w:p>
            <w:pPr>
              <w:pStyle w:val="112"/>
              <w:rPr>
                <w:kern w:val="2"/>
              </w:rPr>
            </w:pPr>
            <w:r>
              <w:rPr>
                <w:rFonts w:hint="eastAsia"/>
                <w:kern w:val="2"/>
              </w:rPr>
              <w:t>公路直接社会效益</w:t>
            </w:r>
          </w:p>
        </w:tc>
        <w:tc>
          <w:tcPr>
            <w:tcW w:w="5668" w:type="dxa"/>
            <w:vAlign w:val="center"/>
          </w:tcPr>
          <w:p>
            <w:pPr>
              <w:pStyle w:val="112"/>
              <w:rPr>
                <w:kern w:val="2"/>
              </w:rPr>
            </w:pPr>
            <w:r>
              <w:rPr>
                <w:rFonts w:hint="eastAsia"/>
                <w:kern w:val="2"/>
              </w:rPr>
              <w:t>缩短里程、节约时间、降低运输成本、降低油耗、提高安全性等</w:t>
            </w:r>
            <w:r>
              <w:rPr>
                <w:kern w:val="2"/>
              </w:rPr>
              <w:t>5</w:t>
            </w:r>
            <w:r>
              <w:rPr>
                <w:rFonts w:hint="eastAsia"/>
                <w:kern w:val="2"/>
              </w:rPr>
              <w:t>种效益</w:t>
            </w:r>
          </w:p>
        </w:tc>
        <w:tc>
          <w:tcPr>
            <w:tcW w:w="749" w:type="dxa"/>
            <w:vAlign w:val="center"/>
          </w:tcPr>
          <w:p>
            <w:pPr>
              <w:pStyle w:val="112"/>
              <w:rPr>
                <w:kern w:val="2"/>
              </w:rPr>
            </w:pPr>
            <w:r>
              <w:rPr>
                <w:kern w:val="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15</w:t>
            </w:r>
          </w:p>
        </w:tc>
        <w:tc>
          <w:tcPr>
            <w:tcW w:w="2038" w:type="dxa"/>
            <w:vAlign w:val="center"/>
          </w:tcPr>
          <w:p>
            <w:pPr>
              <w:pStyle w:val="112"/>
              <w:rPr>
                <w:kern w:val="2"/>
              </w:rPr>
            </w:pPr>
            <w:r>
              <w:rPr>
                <w:rFonts w:hint="eastAsia"/>
                <w:kern w:val="2"/>
              </w:rPr>
              <w:t>公路间接社会效益</w:t>
            </w:r>
          </w:p>
        </w:tc>
        <w:tc>
          <w:tcPr>
            <w:tcW w:w="5668" w:type="dxa"/>
            <w:vAlign w:val="center"/>
          </w:tcPr>
          <w:p>
            <w:pPr>
              <w:pStyle w:val="112"/>
              <w:rPr>
                <w:kern w:val="2"/>
              </w:rPr>
            </w:pPr>
            <w:r>
              <w:rPr>
                <w:rFonts w:hint="eastAsia"/>
                <w:kern w:val="2"/>
              </w:rPr>
              <w:t>改善投资环境、促进经济发展、增强环境意识</w:t>
            </w:r>
          </w:p>
        </w:tc>
        <w:tc>
          <w:tcPr>
            <w:tcW w:w="749" w:type="dxa"/>
            <w:vAlign w:val="center"/>
          </w:tcPr>
          <w:p>
            <w:pPr>
              <w:pStyle w:val="112"/>
              <w:rPr>
                <w:kern w:val="2"/>
              </w:rPr>
            </w:pPr>
            <w:r>
              <w:rPr>
                <w:kern w:val="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19" w:type="dxa"/>
            <w:vAlign w:val="center"/>
          </w:tcPr>
          <w:p>
            <w:pPr>
              <w:pStyle w:val="112"/>
              <w:rPr>
                <w:kern w:val="2"/>
              </w:rPr>
            </w:pPr>
            <w:r>
              <w:rPr>
                <w:kern w:val="2"/>
              </w:rPr>
              <w:t>16</w:t>
            </w:r>
          </w:p>
        </w:tc>
        <w:tc>
          <w:tcPr>
            <w:tcW w:w="2038" w:type="dxa"/>
            <w:vAlign w:val="center"/>
          </w:tcPr>
          <w:p>
            <w:pPr>
              <w:pStyle w:val="112"/>
              <w:rPr>
                <w:kern w:val="2"/>
              </w:rPr>
            </w:pPr>
            <w:r>
              <w:rPr>
                <w:rFonts w:hint="eastAsia"/>
                <w:kern w:val="2"/>
              </w:rPr>
              <w:t>环保措施</w:t>
            </w:r>
          </w:p>
        </w:tc>
        <w:tc>
          <w:tcPr>
            <w:tcW w:w="5668" w:type="dxa"/>
            <w:vAlign w:val="center"/>
          </w:tcPr>
          <w:p>
            <w:pPr>
              <w:pStyle w:val="112"/>
              <w:rPr>
                <w:kern w:val="2"/>
              </w:rPr>
            </w:pPr>
            <w:r>
              <w:rPr>
                <w:rFonts w:hint="eastAsia"/>
                <w:kern w:val="2"/>
              </w:rPr>
              <w:t>增加工程投资</w:t>
            </w:r>
          </w:p>
        </w:tc>
        <w:tc>
          <w:tcPr>
            <w:tcW w:w="749" w:type="dxa"/>
            <w:vAlign w:val="center"/>
          </w:tcPr>
          <w:p>
            <w:pPr>
              <w:pStyle w:val="112"/>
              <w:rPr>
                <w:kern w:val="2"/>
              </w:rPr>
            </w:pPr>
            <w:r>
              <w:rPr>
                <w:kern w:val="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757" w:type="dxa"/>
            <w:gridSpan w:val="2"/>
            <w:vAlign w:val="center"/>
          </w:tcPr>
          <w:p>
            <w:pPr>
              <w:pStyle w:val="112"/>
              <w:rPr>
                <w:kern w:val="2"/>
              </w:rPr>
            </w:pPr>
            <w:r>
              <w:rPr>
                <w:rFonts w:hint="eastAsia"/>
                <w:kern w:val="2"/>
              </w:rPr>
              <w:t>合计</w:t>
            </w:r>
          </w:p>
        </w:tc>
        <w:tc>
          <w:tcPr>
            <w:tcW w:w="5668" w:type="dxa"/>
            <w:vAlign w:val="center"/>
          </w:tcPr>
          <w:p>
            <w:pPr>
              <w:pStyle w:val="112"/>
              <w:rPr>
                <w:kern w:val="2"/>
              </w:rPr>
            </w:pPr>
            <w:r>
              <w:rPr>
                <w:rFonts w:hint="eastAsia"/>
                <w:kern w:val="2"/>
              </w:rPr>
              <w:t>正效益：（</w:t>
            </w:r>
            <w:r>
              <w:rPr>
                <w:kern w:val="2"/>
              </w:rPr>
              <w:t>+19)</w:t>
            </w:r>
            <w:r>
              <w:rPr>
                <w:rFonts w:hint="eastAsia"/>
                <w:kern w:val="2"/>
              </w:rPr>
              <w:t>：负效益：</w:t>
            </w:r>
            <w:r>
              <w:rPr>
                <w:kern w:val="2"/>
              </w:rPr>
              <w:t>(-8)</w:t>
            </w:r>
            <w:r>
              <w:rPr>
                <w:rFonts w:hint="eastAsia"/>
                <w:kern w:val="2"/>
              </w:rPr>
              <w:t>；正效益</w:t>
            </w:r>
            <w:r>
              <w:rPr>
                <w:kern w:val="2"/>
              </w:rPr>
              <w:t>/</w:t>
            </w:r>
            <w:r>
              <w:rPr>
                <w:rFonts w:hint="eastAsia"/>
                <w:kern w:val="2"/>
              </w:rPr>
              <w:t>负效益</w:t>
            </w:r>
            <w:r>
              <w:rPr>
                <w:kern w:val="2"/>
              </w:rPr>
              <w:t>2.375</w:t>
            </w:r>
          </w:p>
        </w:tc>
        <w:tc>
          <w:tcPr>
            <w:tcW w:w="749" w:type="dxa"/>
            <w:vAlign w:val="center"/>
          </w:tcPr>
          <w:p>
            <w:pPr>
              <w:pStyle w:val="112"/>
              <w:rPr>
                <w:kern w:val="2"/>
              </w:rPr>
            </w:pPr>
            <w:r>
              <w:rPr>
                <w:kern w:val="2"/>
              </w:rPr>
              <w:t>+11</w:t>
            </w:r>
          </w:p>
        </w:tc>
      </w:tr>
    </w:tbl>
    <w:p>
      <w:pPr>
        <w:rPr>
          <w:rFonts w:eastAsia="仿宋"/>
          <w:sz w:val="21"/>
          <w:szCs w:val="21"/>
        </w:rPr>
      </w:pPr>
      <w:r>
        <w:rPr>
          <w:rFonts w:hint="eastAsia" w:hAnsi="仿宋" w:eastAsia="仿宋"/>
          <w:sz w:val="21"/>
          <w:szCs w:val="21"/>
        </w:rPr>
        <w:t>注：</w:t>
      </w:r>
      <w:r>
        <w:rPr>
          <w:rFonts w:eastAsia="仿宋"/>
          <w:sz w:val="21"/>
          <w:szCs w:val="21"/>
        </w:rPr>
        <w:t>1</w:t>
      </w:r>
      <w:r>
        <w:rPr>
          <w:rFonts w:hint="eastAsia" w:hAnsi="仿宋" w:eastAsia="仿宋"/>
          <w:sz w:val="21"/>
          <w:szCs w:val="21"/>
        </w:rPr>
        <w:t>．按影响程度由小到大分别打</w:t>
      </w:r>
      <w:r>
        <w:rPr>
          <w:rFonts w:eastAsia="仿宋"/>
          <w:sz w:val="21"/>
          <w:szCs w:val="21"/>
        </w:rPr>
        <w:t>1</w:t>
      </w:r>
      <w:r>
        <w:rPr>
          <w:rFonts w:hint="eastAsia" w:hAnsi="仿宋" w:eastAsia="仿宋"/>
          <w:sz w:val="21"/>
          <w:szCs w:val="21"/>
        </w:rPr>
        <w:t>、</w:t>
      </w:r>
      <w:r>
        <w:rPr>
          <w:rFonts w:eastAsia="仿宋"/>
          <w:sz w:val="21"/>
          <w:szCs w:val="21"/>
        </w:rPr>
        <w:t>2</w:t>
      </w:r>
      <w:r>
        <w:rPr>
          <w:rFonts w:hint="eastAsia" w:hAnsi="仿宋" w:eastAsia="仿宋"/>
          <w:sz w:val="21"/>
          <w:szCs w:val="21"/>
        </w:rPr>
        <w:t>、</w:t>
      </w:r>
      <w:r>
        <w:rPr>
          <w:rFonts w:eastAsia="仿宋"/>
          <w:sz w:val="21"/>
          <w:szCs w:val="21"/>
        </w:rPr>
        <w:t>3</w:t>
      </w:r>
      <w:r>
        <w:rPr>
          <w:rFonts w:hint="eastAsia" w:hAnsi="仿宋" w:eastAsia="仿宋"/>
          <w:sz w:val="21"/>
          <w:szCs w:val="21"/>
        </w:rPr>
        <w:t>分；</w:t>
      </w:r>
      <w:r>
        <w:rPr>
          <w:rFonts w:eastAsia="仿宋"/>
          <w:sz w:val="21"/>
          <w:szCs w:val="21"/>
        </w:rPr>
        <w:t>2</w:t>
      </w:r>
      <w:r>
        <w:rPr>
          <w:rFonts w:hint="eastAsia" w:hAnsi="仿宋" w:eastAsia="仿宋"/>
          <w:sz w:val="21"/>
          <w:szCs w:val="21"/>
        </w:rPr>
        <w:t>．</w:t>
      </w:r>
      <w:r>
        <w:rPr>
          <w:rFonts w:eastAsia="仿宋"/>
          <w:sz w:val="21"/>
          <w:szCs w:val="21"/>
        </w:rPr>
        <w:t>“+”</w:t>
      </w:r>
      <w:r>
        <w:rPr>
          <w:rFonts w:hint="eastAsia" w:hAnsi="仿宋" w:eastAsia="仿宋"/>
          <w:sz w:val="21"/>
          <w:szCs w:val="21"/>
        </w:rPr>
        <w:t>表示正效益、</w:t>
      </w:r>
      <w:r>
        <w:rPr>
          <w:rFonts w:eastAsia="仿宋"/>
          <w:sz w:val="21"/>
          <w:szCs w:val="21"/>
        </w:rPr>
        <w:t>“-”</w:t>
      </w:r>
      <w:r>
        <w:rPr>
          <w:rFonts w:hint="eastAsia" w:hAnsi="仿宋" w:eastAsia="仿宋"/>
          <w:sz w:val="21"/>
          <w:szCs w:val="21"/>
        </w:rPr>
        <w:t>表示负效益。</w:t>
      </w:r>
    </w:p>
    <w:p>
      <w:pPr>
        <w:pStyle w:val="3"/>
        <w:ind w:firstLine="31680"/>
      </w:pPr>
      <w:r>
        <w:rPr>
          <w:rFonts w:hint="eastAsia"/>
        </w:rPr>
        <w:t>从上表可以看出，拟建工程的环境正负效益比为</w:t>
      </w:r>
      <w:r>
        <w:rPr>
          <w:kern w:val="2"/>
        </w:rPr>
        <w:t>2.375</w:t>
      </w:r>
      <w:r>
        <w:rPr>
          <w:rFonts w:hint="eastAsia"/>
        </w:rPr>
        <w:t>，说明拟建工程所产生的环境经济的正效益占主导地位。从环保角度来看该项目建设可行。</w:t>
      </w:r>
    </w:p>
    <w:p>
      <w:pPr>
        <w:pStyle w:val="4"/>
        <w:ind w:left="567" w:hanging="567"/>
      </w:pPr>
      <w:bookmarkStart w:id="359" w:name="_Toc346361814"/>
      <w:bookmarkStart w:id="360" w:name="_Toc354581752"/>
      <w:bookmarkStart w:id="361" w:name="_Toc354558950"/>
      <w:bookmarkStart w:id="362" w:name="_Toc354581932"/>
      <w:bookmarkStart w:id="363" w:name="_Toc10531"/>
      <w:r>
        <w:rPr>
          <w:rFonts w:hint="eastAsia"/>
        </w:rPr>
        <w:t>环境工程投资估算及其效益分析</w:t>
      </w:r>
      <w:bookmarkEnd w:id="359"/>
      <w:bookmarkEnd w:id="360"/>
      <w:bookmarkEnd w:id="361"/>
      <w:bookmarkEnd w:id="362"/>
      <w:bookmarkEnd w:id="363"/>
    </w:p>
    <w:p>
      <w:pPr>
        <w:pStyle w:val="5"/>
        <w:ind w:left="567" w:hanging="567"/>
      </w:pPr>
      <w:r>
        <w:rPr>
          <w:rFonts w:hint="eastAsia"/>
        </w:rPr>
        <w:t>环保投资估算</w:t>
      </w:r>
    </w:p>
    <w:p>
      <w:pPr>
        <w:pStyle w:val="3"/>
        <w:ind w:firstLine="31680"/>
      </w:pPr>
      <w:bookmarkStart w:id="364" w:name="_Ref401500045"/>
      <w:r>
        <w:rPr>
          <w:rFonts w:hint="eastAsia"/>
        </w:rPr>
        <w:t>拟建工程总投资</w:t>
      </w:r>
      <w:r>
        <w:rPr>
          <w:rFonts w:cs="宋体"/>
        </w:rPr>
        <w:t>24018.59</w:t>
      </w:r>
      <w:r>
        <w:rPr>
          <w:rFonts w:hint="eastAsia"/>
        </w:rPr>
        <w:t>万元，根据拟建工程沿线的环境特点以及本报告书中提出的设计、施工和营运三个时段应采取的环保措施及建议，占总投资的比例为</w:t>
      </w:r>
      <w:r>
        <w:t>2.5%</w:t>
      </w:r>
      <w:r>
        <w:rPr>
          <w:rFonts w:hint="eastAsia"/>
        </w:rPr>
        <w:t>。具体环保项目投资见表</w:t>
      </w:r>
      <w:r>
        <w:t>14.5-1</w:t>
      </w:r>
      <w:r>
        <w:rPr>
          <w:rFonts w:hint="eastAsia"/>
        </w:rPr>
        <w:t>。</w:t>
      </w:r>
    </w:p>
    <w:p>
      <w:pPr>
        <w:pStyle w:val="19"/>
        <w:jc w:val="center"/>
      </w:pPr>
      <w:r>
        <w:rPr>
          <w:rFonts w:hint="eastAsia"/>
        </w:rPr>
        <w:t>表</w:t>
      </w:r>
      <w:bookmarkEnd w:id="364"/>
      <w:r>
        <w:t xml:space="preserve">14.5-1  </w:t>
      </w:r>
      <w:r>
        <w:rPr>
          <w:rFonts w:hint="eastAsia"/>
        </w:rPr>
        <w:t>环境保护投资估算表</w:t>
      </w:r>
    </w:p>
    <w:tbl>
      <w:tblPr>
        <w:tblStyle w:val="65"/>
        <w:tblW w:w="92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509"/>
        <w:gridCol w:w="836"/>
        <w:gridCol w:w="1029"/>
        <w:gridCol w:w="2550"/>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blHeader/>
          <w:jc w:val="center"/>
        </w:trPr>
        <w:tc>
          <w:tcPr>
            <w:tcW w:w="840" w:type="dxa"/>
            <w:vAlign w:val="center"/>
          </w:tcPr>
          <w:p>
            <w:pPr>
              <w:pStyle w:val="112"/>
              <w:rPr>
                <w:sz w:val="18"/>
                <w:szCs w:val="18"/>
              </w:rPr>
            </w:pPr>
            <w:r>
              <w:rPr>
                <w:rFonts w:hint="eastAsia"/>
                <w:sz w:val="18"/>
                <w:szCs w:val="18"/>
              </w:rPr>
              <w:t>污染</w:t>
            </w:r>
          </w:p>
          <w:p>
            <w:pPr>
              <w:pStyle w:val="112"/>
              <w:rPr>
                <w:sz w:val="18"/>
                <w:szCs w:val="18"/>
              </w:rPr>
            </w:pPr>
            <w:r>
              <w:rPr>
                <w:rFonts w:hint="eastAsia"/>
                <w:sz w:val="18"/>
                <w:szCs w:val="18"/>
              </w:rPr>
              <w:t>因素</w:t>
            </w:r>
          </w:p>
        </w:tc>
        <w:tc>
          <w:tcPr>
            <w:tcW w:w="2509" w:type="dxa"/>
            <w:vAlign w:val="center"/>
          </w:tcPr>
          <w:p>
            <w:pPr>
              <w:pStyle w:val="112"/>
              <w:rPr>
                <w:sz w:val="18"/>
                <w:szCs w:val="18"/>
              </w:rPr>
            </w:pPr>
            <w:r>
              <w:rPr>
                <w:rFonts w:hint="eastAsia"/>
                <w:sz w:val="18"/>
                <w:szCs w:val="18"/>
              </w:rPr>
              <w:t>环保措施</w:t>
            </w:r>
          </w:p>
        </w:tc>
        <w:tc>
          <w:tcPr>
            <w:tcW w:w="836" w:type="dxa"/>
            <w:vAlign w:val="center"/>
          </w:tcPr>
          <w:p>
            <w:pPr>
              <w:pStyle w:val="112"/>
              <w:rPr>
                <w:sz w:val="18"/>
                <w:szCs w:val="18"/>
              </w:rPr>
            </w:pPr>
            <w:r>
              <w:rPr>
                <w:rFonts w:hint="eastAsia"/>
                <w:sz w:val="18"/>
                <w:szCs w:val="18"/>
              </w:rPr>
              <w:t>数量</w:t>
            </w:r>
          </w:p>
        </w:tc>
        <w:tc>
          <w:tcPr>
            <w:tcW w:w="1029" w:type="dxa"/>
            <w:vAlign w:val="center"/>
          </w:tcPr>
          <w:p>
            <w:pPr>
              <w:pStyle w:val="112"/>
              <w:rPr>
                <w:sz w:val="18"/>
                <w:szCs w:val="18"/>
              </w:rPr>
            </w:pPr>
            <w:r>
              <w:rPr>
                <w:rFonts w:hint="eastAsia"/>
                <w:sz w:val="18"/>
                <w:szCs w:val="18"/>
              </w:rPr>
              <w:t>金额</w:t>
            </w:r>
          </w:p>
          <w:p>
            <w:pPr>
              <w:pStyle w:val="112"/>
              <w:rPr>
                <w:sz w:val="18"/>
                <w:szCs w:val="18"/>
              </w:rPr>
            </w:pPr>
            <w:r>
              <w:rPr>
                <w:rFonts w:hint="eastAsia"/>
                <w:sz w:val="18"/>
                <w:szCs w:val="18"/>
              </w:rPr>
              <w:t>（万元）</w:t>
            </w:r>
          </w:p>
        </w:tc>
        <w:tc>
          <w:tcPr>
            <w:tcW w:w="2550" w:type="dxa"/>
            <w:vAlign w:val="center"/>
          </w:tcPr>
          <w:p>
            <w:pPr>
              <w:pStyle w:val="112"/>
              <w:rPr>
                <w:sz w:val="18"/>
                <w:szCs w:val="18"/>
              </w:rPr>
            </w:pPr>
            <w:r>
              <w:rPr>
                <w:rFonts w:hint="eastAsia"/>
                <w:sz w:val="18"/>
                <w:szCs w:val="18"/>
              </w:rPr>
              <w:t>具体内容</w:t>
            </w:r>
          </w:p>
        </w:tc>
        <w:tc>
          <w:tcPr>
            <w:tcW w:w="1523" w:type="dxa"/>
            <w:vAlign w:val="center"/>
          </w:tcPr>
          <w:p>
            <w:pPr>
              <w:pStyle w:val="112"/>
              <w:rPr>
                <w:sz w:val="18"/>
                <w:szCs w:val="18"/>
              </w:rPr>
            </w:pPr>
            <w:r>
              <w:rPr>
                <w:rFonts w:hint="eastAsia"/>
                <w:sz w:val="18"/>
                <w:szCs w:val="18"/>
              </w:rPr>
              <w:t>实施时段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Align w:val="center"/>
          </w:tcPr>
          <w:p>
            <w:pPr>
              <w:pStyle w:val="112"/>
              <w:rPr>
                <w:sz w:val="18"/>
                <w:szCs w:val="18"/>
              </w:rPr>
            </w:pPr>
            <w:r>
              <w:rPr>
                <w:rFonts w:hint="eastAsia"/>
                <w:sz w:val="18"/>
                <w:szCs w:val="18"/>
              </w:rPr>
              <w:t>废水</w:t>
            </w:r>
          </w:p>
        </w:tc>
        <w:tc>
          <w:tcPr>
            <w:tcW w:w="2509" w:type="dxa"/>
            <w:vAlign w:val="center"/>
          </w:tcPr>
          <w:p>
            <w:pPr>
              <w:pStyle w:val="112"/>
              <w:rPr>
                <w:sz w:val="18"/>
                <w:szCs w:val="18"/>
              </w:rPr>
            </w:pPr>
            <w:r>
              <w:rPr>
                <w:rFonts w:hint="eastAsia"/>
                <w:sz w:val="18"/>
                <w:szCs w:val="18"/>
              </w:rPr>
              <w:t>各施工生产生活区生活污水化粪池、施工废水沉淀池、隔油池等措施</w:t>
            </w:r>
          </w:p>
        </w:tc>
        <w:tc>
          <w:tcPr>
            <w:tcW w:w="836" w:type="dxa"/>
            <w:vAlign w:val="center"/>
          </w:tcPr>
          <w:p>
            <w:pPr>
              <w:pStyle w:val="112"/>
              <w:rPr>
                <w:sz w:val="18"/>
                <w:szCs w:val="18"/>
              </w:rPr>
            </w:pPr>
            <w:r>
              <w:rPr>
                <w:sz w:val="18"/>
                <w:szCs w:val="18"/>
              </w:rPr>
              <w:t>4</w:t>
            </w:r>
            <w:r>
              <w:rPr>
                <w:rFonts w:hint="eastAsia"/>
                <w:sz w:val="18"/>
                <w:szCs w:val="18"/>
              </w:rPr>
              <w:t>处</w:t>
            </w:r>
          </w:p>
        </w:tc>
        <w:tc>
          <w:tcPr>
            <w:tcW w:w="1029" w:type="dxa"/>
            <w:vAlign w:val="center"/>
          </w:tcPr>
          <w:p>
            <w:pPr>
              <w:pStyle w:val="112"/>
              <w:rPr>
                <w:sz w:val="18"/>
                <w:szCs w:val="18"/>
              </w:rPr>
            </w:pPr>
            <w:r>
              <w:rPr>
                <w:sz w:val="18"/>
                <w:szCs w:val="18"/>
              </w:rPr>
              <w:t>40</w:t>
            </w:r>
          </w:p>
        </w:tc>
        <w:tc>
          <w:tcPr>
            <w:tcW w:w="2550" w:type="dxa"/>
            <w:vAlign w:val="center"/>
          </w:tcPr>
          <w:p>
            <w:pPr>
              <w:pStyle w:val="112"/>
              <w:rPr>
                <w:sz w:val="18"/>
                <w:szCs w:val="18"/>
              </w:rPr>
            </w:pPr>
            <w:r>
              <w:rPr>
                <w:sz w:val="18"/>
                <w:szCs w:val="18"/>
              </w:rPr>
              <w:t>4</w:t>
            </w:r>
            <w:r>
              <w:rPr>
                <w:rFonts w:hint="eastAsia"/>
                <w:sz w:val="18"/>
                <w:szCs w:val="18"/>
              </w:rPr>
              <w:t>处施工生产生活区，</w:t>
            </w:r>
          </w:p>
          <w:p>
            <w:pPr>
              <w:pStyle w:val="112"/>
              <w:rPr>
                <w:sz w:val="18"/>
                <w:szCs w:val="18"/>
              </w:rPr>
            </w:pPr>
            <w:r>
              <w:rPr>
                <w:rFonts w:hint="eastAsia"/>
                <w:sz w:val="18"/>
                <w:szCs w:val="18"/>
              </w:rPr>
              <w:t>每处按</w:t>
            </w:r>
            <w:r>
              <w:rPr>
                <w:sz w:val="18"/>
                <w:szCs w:val="18"/>
              </w:rPr>
              <w:t>10</w:t>
            </w:r>
            <w:r>
              <w:rPr>
                <w:rFonts w:hint="eastAsia"/>
                <w:sz w:val="18"/>
                <w:szCs w:val="18"/>
              </w:rPr>
              <w:t>万元计算</w:t>
            </w:r>
          </w:p>
        </w:tc>
        <w:tc>
          <w:tcPr>
            <w:tcW w:w="1523" w:type="dxa"/>
            <w:vAlign w:val="center"/>
          </w:tcPr>
          <w:p>
            <w:pPr>
              <w:pStyle w:val="112"/>
              <w:rPr>
                <w:sz w:val="18"/>
                <w:szCs w:val="18"/>
              </w:rPr>
            </w:pPr>
            <w:r>
              <w:rPr>
                <w:rFonts w:hint="eastAsia"/>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Align w:val="center"/>
          </w:tcPr>
          <w:p>
            <w:pPr>
              <w:pStyle w:val="112"/>
              <w:rPr>
                <w:sz w:val="18"/>
                <w:szCs w:val="18"/>
              </w:rPr>
            </w:pPr>
            <w:r>
              <w:rPr>
                <w:rFonts w:hint="eastAsia"/>
                <w:sz w:val="18"/>
                <w:szCs w:val="18"/>
              </w:rPr>
              <w:t>废气</w:t>
            </w:r>
          </w:p>
        </w:tc>
        <w:tc>
          <w:tcPr>
            <w:tcW w:w="2509" w:type="dxa"/>
            <w:vAlign w:val="center"/>
          </w:tcPr>
          <w:p>
            <w:pPr>
              <w:pStyle w:val="112"/>
              <w:rPr>
                <w:sz w:val="18"/>
                <w:szCs w:val="18"/>
              </w:rPr>
            </w:pPr>
            <w:r>
              <w:rPr>
                <w:rFonts w:hint="eastAsia"/>
                <w:sz w:val="18"/>
                <w:szCs w:val="18"/>
              </w:rPr>
              <w:t>施工期扬尘防治</w:t>
            </w:r>
          </w:p>
        </w:tc>
        <w:tc>
          <w:tcPr>
            <w:tcW w:w="836" w:type="dxa"/>
            <w:vAlign w:val="center"/>
          </w:tcPr>
          <w:p>
            <w:pPr>
              <w:pStyle w:val="112"/>
              <w:rPr>
                <w:sz w:val="18"/>
                <w:szCs w:val="18"/>
              </w:rPr>
            </w:pPr>
            <w:r>
              <w:rPr>
                <w:rFonts w:hint="eastAsia"/>
                <w:sz w:val="18"/>
                <w:szCs w:val="18"/>
              </w:rPr>
              <w:t>全线</w:t>
            </w:r>
          </w:p>
        </w:tc>
        <w:tc>
          <w:tcPr>
            <w:tcW w:w="1029" w:type="dxa"/>
            <w:vAlign w:val="center"/>
          </w:tcPr>
          <w:p>
            <w:pPr>
              <w:pStyle w:val="112"/>
              <w:rPr>
                <w:sz w:val="18"/>
                <w:szCs w:val="18"/>
              </w:rPr>
            </w:pPr>
            <w:r>
              <w:rPr>
                <w:sz w:val="18"/>
                <w:szCs w:val="18"/>
              </w:rPr>
              <w:t>80</w:t>
            </w:r>
          </w:p>
        </w:tc>
        <w:tc>
          <w:tcPr>
            <w:tcW w:w="2550" w:type="dxa"/>
            <w:vAlign w:val="center"/>
          </w:tcPr>
          <w:p>
            <w:pPr>
              <w:pStyle w:val="112"/>
              <w:rPr>
                <w:sz w:val="18"/>
                <w:szCs w:val="18"/>
              </w:rPr>
            </w:pPr>
            <w:r>
              <w:rPr>
                <w:rFonts w:hint="eastAsia"/>
                <w:sz w:val="18"/>
                <w:szCs w:val="18"/>
              </w:rPr>
              <w:t>洒水车；局部施工围挡及其它扬尘控制措施</w:t>
            </w:r>
          </w:p>
        </w:tc>
        <w:tc>
          <w:tcPr>
            <w:tcW w:w="1523" w:type="dxa"/>
            <w:vAlign w:val="center"/>
          </w:tcPr>
          <w:p>
            <w:pPr>
              <w:pStyle w:val="112"/>
              <w:rPr>
                <w:sz w:val="18"/>
                <w:szCs w:val="18"/>
              </w:rPr>
            </w:pPr>
            <w:r>
              <w:rPr>
                <w:rFonts w:hint="eastAsia"/>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Align w:val="center"/>
          </w:tcPr>
          <w:p>
            <w:pPr>
              <w:pStyle w:val="112"/>
              <w:rPr>
                <w:sz w:val="18"/>
                <w:szCs w:val="18"/>
              </w:rPr>
            </w:pPr>
            <w:r>
              <w:rPr>
                <w:rFonts w:hint="eastAsia"/>
                <w:sz w:val="18"/>
                <w:szCs w:val="18"/>
              </w:rPr>
              <w:t>固体</w:t>
            </w:r>
          </w:p>
          <w:p>
            <w:pPr>
              <w:pStyle w:val="112"/>
              <w:rPr>
                <w:sz w:val="18"/>
                <w:szCs w:val="18"/>
              </w:rPr>
            </w:pPr>
            <w:r>
              <w:rPr>
                <w:rFonts w:hint="eastAsia"/>
                <w:sz w:val="18"/>
                <w:szCs w:val="18"/>
              </w:rPr>
              <w:t>废物</w:t>
            </w:r>
          </w:p>
        </w:tc>
        <w:tc>
          <w:tcPr>
            <w:tcW w:w="2509" w:type="dxa"/>
            <w:vAlign w:val="center"/>
          </w:tcPr>
          <w:p>
            <w:pPr>
              <w:pStyle w:val="112"/>
              <w:rPr>
                <w:sz w:val="18"/>
                <w:szCs w:val="18"/>
              </w:rPr>
            </w:pPr>
            <w:r>
              <w:rPr>
                <w:rFonts w:hint="eastAsia"/>
                <w:sz w:val="18"/>
                <w:szCs w:val="18"/>
              </w:rPr>
              <w:t>施工人员生活垃圾清运</w:t>
            </w:r>
          </w:p>
        </w:tc>
        <w:tc>
          <w:tcPr>
            <w:tcW w:w="836" w:type="dxa"/>
            <w:vAlign w:val="center"/>
          </w:tcPr>
          <w:p>
            <w:pPr>
              <w:pStyle w:val="112"/>
              <w:rPr>
                <w:sz w:val="18"/>
                <w:szCs w:val="18"/>
              </w:rPr>
            </w:pPr>
            <w:r>
              <w:rPr>
                <w:rFonts w:hint="eastAsia"/>
                <w:sz w:val="18"/>
                <w:szCs w:val="18"/>
              </w:rPr>
              <w:t>沿线</w:t>
            </w:r>
          </w:p>
        </w:tc>
        <w:tc>
          <w:tcPr>
            <w:tcW w:w="1029" w:type="dxa"/>
            <w:vAlign w:val="center"/>
          </w:tcPr>
          <w:p>
            <w:pPr>
              <w:pStyle w:val="112"/>
              <w:rPr>
                <w:sz w:val="18"/>
                <w:szCs w:val="18"/>
              </w:rPr>
            </w:pPr>
            <w:r>
              <w:rPr>
                <w:sz w:val="18"/>
                <w:szCs w:val="18"/>
              </w:rPr>
              <w:t>8</w:t>
            </w:r>
          </w:p>
        </w:tc>
        <w:tc>
          <w:tcPr>
            <w:tcW w:w="2550" w:type="dxa"/>
            <w:vAlign w:val="center"/>
          </w:tcPr>
          <w:p>
            <w:pPr>
              <w:pStyle w:val="112"/>
              <w:rPr>
                <w:sz w:val="18"/>
                <w:szCs w:val="18"/>
              </w:rPr>
            </w:pPr>
            <w:r>
              <w:rPr>
                <w:rFonts w:hint="eastAsia"/>
                <w:sz w:val="18"/>
                <w:szCs w:val="18"/>
              </w:rPr>
              <w:t>施工人员生活垃圾及时清运至生活垃圾填埋场</w:t>
            </w:r>
          </w:p>
        </w:tc>
        <w:tc>
          <w:tcPr>
            <w:tcW w:w="1523" w:type="dxa"/>
            <w:vAlign w:val="center"/>
          </w:tcPr>
          <w:p>
            <w:pPr>
              <w:pStyle w:val="112"/>
              <w:rPr>
                <w:sz w:val="18"/>
                <w:szCs w:val="18"/>
              </w:rPr>
            </w:pPr>
            <w:r>
              <w:rPr>
                <w:rFonts w:hint="eastAsia"/>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Merge w:val="restart"/>
            <w:vAlign w:val="center"/>
          </w:tcPr>
          <w:p>
            <w:pPr>
              <w:pStyle w:val="112"/>
              <w:rPr>
                <w:sz w:val="18"/>
                <w:szCs w:val="18"/>
              </w:rPr>
            </w:pPr>
            <w:r>
              <w:rPr>
                <w:rFonts w:hint="eastAsia"/>
                <w:sz w:val="18"/>
                <w:szCs w:val="18"/>
              </w:rPr>
              <w:t>噪声</w:t>
            </w:r>
          </w:p>
        </w:tc>
        <w:tc>
          <w:tcPr>
            <w:tcW w:w="2509" w:type="dxa"/>
            <w:vAlign w:val="center"/>
          </w:tcPr>
          <w:p>
            <w:pPr>
              <w:pStyle w:val="112"/>
              <w:rPr>
                <w:sz w:val="18"/>
                <w:szCs w:val="18"/>
              </w:rPr>
            </w:pPr>
            <w:r>
              <w:rPr>
                <w:rFonts w:hint="eastAsia"/>
                <w:sz w:val="18"/>
                <w:szCs w:val="18"/>
              </w:rPr>
              <w:t>对于临近敏感区的施工路段（铜盆村、桃花村、大陆村、莲花村、大里塘村），设置移动式或施工围挡等防噪措施</w:t>
            </w:r>
          </w:p>
        </w:tc>
        <w:tc>
          <w:tcPr>
            <w:tcW w:w="836" w:type="dxa"/>
            <w:vAlign w:val="center"/>
          </w:tcPr>
          <w:p>
            <w:pPr>
              <w:pStyle w:val="112"/>
              <w:rPr>
                <w:sz w:val="18"/>
                <w:szCs w:val="18"/>
              </w:rPr>
            </w:pPr>
            <w:r>
              <w:rPr>
                <w:sz w:val="18"/>
                <w:szCs w:val="18"/>
              </w:rPr>
              <w:t>5</w:t>
            </w:r>
            <w:r>
              <w:rPr>
                <w:rFonts w:hint="eastAsia"/>
                <w:sz w:val="18"/>
                <w:szCs w:val="18"/>
              </w:rPr>
              <w:t>处</w:t>
            </w:r>
          </w:p>
        </w:tc>
        <w:tc>
          <w:tcPr>
            <w:tcW w:w="1029" w:type="dxa"/>
            <w:vAlign w:val="center"/>
          </w:tcPr>
          <w:p>
            <w:pPr>
              <w:pStyle w:val="112"/>
              <w:rPr>
                <w:sz w:val="18"/>
                <w:szCs w:val="18"/>
              </w:rPr>
            </w:pPr>
            <w:r>
              <w:rPr>
                <w:sz w:val="18"/>
                <w:szCs w:val="18"/>
              </w:rPr>
              <w:t>25</w:t>
            </w:r>
          </w:p>
        </w:tc>
        <w:tc>
          <w:tcPr>
            <w:tcW w:w="2550" w:type="dxa"/>
            <w:vAlign w:val="center"/>
          </w:tcPr>
          <w:p>
            <w:pPr>
              <w:pStyle w:val="112"/>
              <w:rPr>
                <w:sz w:val="18"/>
                <w:szCs w:val="18"/>
              </w:rPr>
            </w:pPr>
            <w:r>
              <w:rPr>
                <w:sz w:val="18"/>
                <w:szCs w:val="18"/>
              </w:rPr>
              <w:t>5</w:t>
            </w:r>
            <w:r>
              <w:rPr>
                <w:rFonts w:hint="eastAsia"/>
                <w:sz w:val="18"/>
                <w:szCs w:val="18"/>
              </w:rPr>
              <w:t>处施工围挡，每处按</w:t>
            </w:r>
            <w:r>
              <w:rPr>
                <w:sz w:val="18"/>
                <w:szCs w:val="18"/>
              </w:rPr>
              <w:t>5</w:t>
            </w:r>
            <w:r>
              <w:rPr>
                <w:rFonts w:hint="eastAsia"/>
                <w:sz w:val="18"/>
                <w:szCs w:val="18"/>
              </w:rPr>
              <w:t>万元计算</w:t>
            </w:r>
          </w:p>
        </w:tc>
        <w:tc>
          <w:tcPr>
            <w:tcW w:w="1523" w:type="dxa"/>
            <w:vAlign w:val="center"/>
          </w:tcPr>
          <w:p>
            <w:pPr>
              <w:pStyle w:val="112"/>
              <w:rPr>
                <w:sz w:val="18"/>
                <w:szCs w:val="18"/>
              </w:rPr>
            </w:pPr>
            <w:r>
              <w:rPr>
                <w:rFonts w:hint="eastAsia"/>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Merge w:val="continue"/>
            <w:vAlign w:val="center"/>
          </w:tcPr>
          <w:p>
            <w:pPr>
              <w:pStyle w:val="112"/>
              <w:rPr>
                <w:sz w:val="18"/>
                <w:szCs w:val="18"/>
                <w:u w:val="wave"/>
              </w:rPr>
            </w:pPr>
          </w:p>
        </w:tc>
        <w:tc>
          <w:tcPr>
            <w:tcW w:w="2509" w:type="dxa"/>
            <w:vAlign w:val="center"/>
          </w:tcPr>
          <w:p>
            <w:pPr>
              <w:pStyle w:val="112"/>
              <w:rPr>
                <w:sz w:val="18"/>
                <w:szCs w:val="18"/>
              </w:rPr>
            </w:pPr>
            <w:r>
              <w:rPr>
                <w:rFonts w:hint="eastAsia"/>
                <w:sz w:val="18"/>
                <w:szCs w:val="18"/>
              </w:rPr>
              <w:t>预留环保费用</w:t>
            </w:r>
          </w:p>
        </w:tc>
        <w:tc>
          <w:tcPr>
            <w:tcW w:w="836" w:type="dxa"/>
            <w:vAlign w:val="center"/>
          </w:tcPr>
          <w:p>
            <w:pPr>
              <w:pStyle w:val="112"/>
              <w:rPr>
                <w:sz w:val="18"/>
                <w:szCs w:val="18"/>
              </w:rPr>
            </w:pPr>
            <w:r>
              <w:rPr>
                <w:sz w:val="18"/>
                <w:szCs w:val="18"/>
              </w:rPr>
              <w:t>/</w:t>
            </w:r>
          </w:p>
        </w:tc>
        <w:tc>
          <w:tcPr>
            <w:tcW w:w="1029" w:type="dxa"/>
            <w:vAlign w:val="center"/>
          </w:tcPr>
          <w:p>
            <w:pPr>
              <w:pStyle w:val="112"/>
              <w:rPr>
                <w:sz w:val="18"/>
                <w:szCs w:val="18"/>
              </w:rPr>
            </w:pPr>
            <w:r>
              <w:rPr>
                <w:sz w:val="18"/>
                <w:szCs w:val="18"/>
              </w:rPr>
              <w:t>50</w:t>
            </w:r>
          </w:p>
        </w:tc>
        <w:tc>
          <w:tcPr>
            <w:tcW w:w="2550" w:type="dxa"/>
            <w:vAlign w:val="center"/>
          </w:tcPr>
          <w:p>
            <w:pPr>
              <w:pStyle w:val="112"/>
              <w:rPr>
                <w:sz w:val="18"/>
                <w:szCs w:val="18"/>
              </w:rPr>
            </w:pPr>
            <w:r>
              <w:rPr>
                <w:rFonts w:hint="eastAsia"/>
                <w:sz w:val="18"/>
                <w:szCs w:val="18"/>
              </w:rPr>
              <w:t>跟踪监测和调整、完善噪声防治措施费用</w:t>
            </w:r>
          </w:p>
        </w:tc>
        <w:tc>
          <w:tcPr>
            <w:tcW w:w="1523" w:type="dxa"/>
            <w:vAlign w:val="center"/>
          </w:tcPr>
          <w:p>
            <w:pPr>
              <w:pStyle w:val="112"/>
              <w:rPr>
                <w:sz w:val="18"/>
                <w:szCs w:val="18"/>
              </w:rPr>
            </w:pPr>
            <w:r>
              <w:rPr>
                <w:rFonts w:hint="eastAsia"/>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Merge w:val="restart"/>
            <w:vAlign w:val="center"/>
          </w:tcPr>
          <w:p>
            <w:pPr>
              <w:pStyle w:val="112"/>
              <w:rPr>
                <w:sz w:val="18"/>
                <w:szCs w:val="18"/>
              </w:rPr>
            </w:pPr>
            <w:r>
              <w:rPr>
                <w:rFonts w:hint="eastAsia"/>
                <w:sz w:val="18"/>
                <w:szCs w:val="18"/>
              </w:rPr>
              <w:t>生态保护措施</w:t>
            </w:r>
          </w:p>
        </w:tc>
        <w:tc>
          <w:tcPr>
            <w:tcW w:w="2509" w:type="dxa"/>
            <w:vAlign w:val="center"/>
          </w:tcPr>
          <w:p>
            <w:pPr>
              <w:pStyle w:val="112"/>
              <w:rPr>
                <w:sz w:val="18"/>
                <w:szCs w:val="18"/>
              </w:rPr>
            </w:pPr>
            <w:r>
              <w:rPr>
                <w:rFonts w:hint="eastAsia"/>
                <w:sz w:val="18"/>
                <w:szCs w:val="18"/>
              </w:rPr>
              <w:t>水土保持措施</w:t>
            </w:r>
          </w:p>
        </w:tc>
        <w:tc>
          <w:tcPr>
            <w:tcW w:w="836" w:type="dxa"/>
            <w:vAlign w:val="center"/>
          </w:tcPr>
          <w:p>
            <w:pPr>
              <w:pStyle w:val="112"/>
              <w:rPr>
                <w:sz w:val="18"/>
                <w:szCs w:val="18"/>
              </w:rPr>
            </w:pPr>
            <w:r>
              <w:rPr>
                <w:rFonts w:hint="eastAsia"/>
                <w:sz w:val="18"/>
                <w:szCs w:val="18"/>
              </w:rPr>
              <w:t>沿线</w:t>
            </w:r>
          </w:p>
        </w:tc>
        <w:tc>
          <w:tcPr>
            <w:tcW w:w="1029" w:type="dxa"/>
            <w:vAlign w:val="center"/>
          </w:tcPr>
          <w:p>
            <w:pPr>
              <w:pStyle w:val="112"/>
              <w:rPr>
                <w:sz w:val="18"/>
                <w:szCs w:val="18"/>
                <w:highlight w:val="yellow"/>
              </w:rPr>
            </w:pPr>
            <w:r>
              <w:rPr>
                <w:sz w:val="18"/>
                <w:szCs w:val="18"/>
              </w:rPr>
              <w:t>/</w:t>
            </w:r>
          </w:p>
        </w:tc>
        <w:tc>
          <w:tcPr>
            <w:tcW w:w="2550" w:type="dxa"/>
            <w:vAlign w:val="center"/>
          </w:tcPr>
          <w:p>
            <w:pPr>
              <w:pStyle w:val="112"/>
              <w:rPr>
                <w:sz w:val="18"/>
                <w:szCs w:val="18"/>
              </w:rPr>
            </w:pPr>
            <w:r>
              <w:rPr>
                <w:rFonts w:hint="eastAsia"/>
                <w:sz w:val="18"/>
                <w:szCs w:val="18"/>
              </w:rPr>
              <w:t>列入水土保持专项投资</w:t>
            </w:r>
          </w:p>
        </w:tc>
        <w:tc>
          <w:tcPr>
            <w:tcW w:w="1523" w:type="dxa"/>
            <w:vAlign w:val="center"/>
          </w:tcPr>
          <w:p>
            <w:pPr>
              <w:pStyle w:val="112"/>
              <w:rPr>
                <w:sz w:val="18"/>
                <w:szCs w:val="18"/>
              </w:rPr>
            </w:pPr>
            <w:r>
              <w:rPr>
                <w:rFonts w:hint="eastAsia"/>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Merge w:val="continue"/>
            <w:vAlign w:val="center"/>
          </w:tcPr>
          <w:p>
            <w:pPr>
              <w:pStyle w:val="112"/>
              <w:rPr>
                <w:color w:val="FF0000"/>
                <w:sz w:val="18"/>
                <w:szCs w:val="18"/>
              </w:rPr>
            </w:pPr>
          </w:p>
        </w:tc>
        <w:tc>
          <w:tcPr>
            <w:tcW w:w="2509" w:type="dxa"/>
            <w:vAlign w:val="center"/>
          </w:tcPr>
          <w:p>
            <w:pPr>
              <w:pStyle w:val="112"/>
              <w:rPr>
                <w:sz w:val="18"/>
                <w:szCs w:val="18"/>
              </w:rPr>
            </w:pPr>
            <w:r>
              <w:rPr>
                <w:rFonts w:hint="eastAsia"/>
                <w:sz w:val="18"/>
                <w:szCs w:val="18"/>
              </w:rPr>
              <w:t>施工期生态管理与保护</w:t>
            </w:r>
          </w:p>
        </w:tc>
        <w:tc>
          <w:tcPr>
            <w:tcW w:w="836" w:type="dxa"/>
            <w:vAlign w:val="center"/>
          </w:tcPr>
          <w:p>
            <w:pPr>
              <w:pStyle w:val="112"/>
              <w:rPr>
                <w:sz w:val="18"/>
                <w:szCs w:val="18"/>
              </w:rPr>
            </w:pPr>
            <w:r>
              <w:rPr>
                <w:rFonts w:hint="eastAsia"/>
                <w:sz w:val="18"/>
                <w:szCs w:val="18"/>
              </w:rPr>
              <w:t>沿线</w:t>
            </w:r>
          </w:p>
        </w:tc>
        <w:tc>
          <w:tcPr>
            <w:tcW w:w="1029" w:type="dxa"/>
            <w:vAlign w:val="center"/>
          </w:tcPr>
          <w:p>
            <w:pPr>
              <w:pStyle w:val="112"/>
              <w:rPr>
                <w:sz w:val="18"/>
                <w:szCs w:val="18"/>
              </w:rPr>
            </w:pPr>
            <w:r>
              <w:rPr>
                <w:sz w:val="18"/>
                <w:szCs w:val="18"/>
              </w:rPr>
              <w:t>100</w:t>
            </w:r>
          </w:p>
        </w:tc>
        <w:tc>
          <w:tcPr>
            <w:tcW w:w="2550" w:type="dxa"/>
            <w:vAlign w:val="center"/>
          </w:tcPr>
          <w:p>
            <w:pPr>
              <w:pStyle w:val="112"/>
              <w:rPr>
                <w:sz w:val="18"/>
                <w:szCs w:val="18"/>
              </w:rPr>
            </w:pPr>
            <w:r>
              <w:rPr>
                <w:rFonts w:hint="eastAsia"/>
                <w:sz w:val="18"/>
                <w:szCs w:val="18"/>
              </w:rPr>
              <w:t>施工期生态保护；沿线路段的边坡稳定化处理及植被绿化美化；鸟类、兽类经常出没的地带设置禁鸣及减速慢行标识牌；</w:t>
            </w:r>
          </w:p>
        </w:tc>
        <w:tc>
          <w:tcPr>
            <w:tcW w:w="1523" w:type="dxa"/>
            <w:vAlign w:val="center"/>
          </w:tcPr>
          <w:p>
            <w:pPr>
              <w:pStyle w:val="112"/>
              <w:rPr>
                <w:sz w:val="18"/>
                <w:szCs w:val="18"/>
              </w:rPr>
            </w:pPr>
            <w:r>
              <w:rPr>
                <w:rFonts w:hint="eastAsia"/>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Merge w:val="continue"/>
            <w:vAlign w:val="center"/>
          </w:tcPr>
          <w:p>
            <w:pPr>
              <w:pStyle w:val="112"/>
              <w:rPr>
                <w:color w:val="FF0000"/>
                <w:sz w:val="18"/>
                <w:szCs w:val="18"/>
              </w:rPr>
            </w:pPr>
          </w:p>
        </w:tc>
        <w:tc>
          <w:tcPr>
            <w:tcW w:w="2509" w:type="dxa"/>
            <w:vAlign w:val="center"/>
          </w:tcPr>
          <w:p>
            <w:pPr>
              <w:pStyle w:val="112"/>
              <w:rPr>
                <w:sz w:val="18"/>
                <w:szCs w:val="18"/>
              </w:rPr>
            </w:pPr>
            <w:r>
              <w:rPr>
                <w:rFonts w:hint="eastAsia"/>
                <w:sz w:val="18"/>
                <w:szCs w:val="18"/>
              </w:rPr>
              <w:t>施工生产区等临时用地</w:t>
            </w:r>
          </w:p>
          <w:p>
            <w:pPr>
              <w:pStyle w:val="112"/>
              <w:rPr>
                <w:sz w:val="18"/>
                <w:szCs w:val="18"/>
              </w:rPr>
            </w:pPr>
            <w:r>
              <w:rPr>
                <w:rFonts w:hint="eastAsia"/>
                <w:sz w:val="18"/>
                <w:szCs w:val="18"/>
              </w:rPr>
              <w:t>植被恢复</w:t>
            </w:r>
          </w:p>
        </w:tc>
        <w:tc>
          <w:tcPr>
            <w:tcW w:w="836" w:type="dxa"/>
            <w:vAlign w:val="center"/>
          </w:tcPr>
          <w:p>
            <w:pPr>
              <w:pStyle w:val="112"/>
              <w:rPr>
                <w:sz w:val="18"/>
                <w:szCs w:val="18"/>
              </w:rPr>
            </w:pPr>
            <w:r>
              <w:rPr>
                <w:sz w:val="18"/>
                <w:szCs w:val="18"/>
              </w:rPr>
              <w:t>/</w:t>
            </w:r>
          </w:p>
        </w:tc>
        <w:tc>
          <w:tcPr>
            <w:tcW w:w="1029" w:type="dxa"/>
            <w:vAlign w:val="center"/>
          </w:tcPr>
          <w:p>
            <w:pPr>
              <w:pStyle w:val="112"/>
              <w:rPr>
                <w:sz w:val="18"/>
                <w:szCs w:val="18"/>
              </w:rPr>
            </w:pPr>
            <w:r>
              <w:rPr>
                <w:sz w:val="18"/>
                <w:szCs w:val="18"/>
              </w:rPr>
              <w:t>30</w:t>
            </w:r>
          </w:p>
        </w:tc>
        <w:tc>
          <w:tcPr>
            <w:tcW w:w="2550" w:type="dxa"/>
            <w:vAlign w:val="center"/>
          </w:tcPr>
          <w:p>
            <w:pPr>
              <w:pStyle w:val="112"/>
              <w:rPr>
                <w:sz w:val="18"/>
                <w:szCs w:val="18"/>
              </w:rPr>
            </w:pPr>
            <w:r>
              <w:rPr>
                <w:rFonts w:hint="eastAsia"/>
                <w:sz w:val="18"/>
                <w:szCs w:val="18"/>
              </w:rPr>
              <w:t>恢复为旱地和林地</w:t>
            </w:r>
          </w:p>
        </w:tc>
        <w:tc>
          <w:tcPr>
            <w:tcW w:w="1523" w:type="dxa"/>
            <w:vAlign w:val="center"/>
          </w:tcPr>
          <w:p>
            <w:pPr>
              <w:pStyle w:val="112"/>
              <w:rPr>
                <w:sz w:val="18"/>
                <w:szCs w:val="18"/>
              </w:rPr>
            </w:pPr>
            <w:r>
              <w:rPr>
                <w:rFonts w:hint="eastAsia"/>
                <w:sz w:val="18"/>
                <w:szCs w:val="18"/>
              </w:rPr>
              <w:t>营运前完成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Align w:val="center"/>
          </w:tcPr>
          <w:p>
            <w:pPr>
              <w:pStyle w:val="112"/>
              <w:rPr>
                <w:sz w:val="18"/>
                <w:szCs w:val="18"/>
              </w:rPr>
            </w:pPr>
            <w:r>
              <w:rPr>
                <w:rFonts w:hint="eastAsia"/>
                <w:sz w:val="18"/>
                <w:szCs w:val="18"/>
              </w:rPr>
              <w:t>现有</w:t>
            </w:r>
          </w:p>
          <w:p>
            <w:pPr>
              <w:pStyle w:val="112"/>
              <w:rPr>
                <w:sz w:val="18"/>
                <w:szCs w:val="18"/>
              </w:rPr>
            </w:pPr>
            <w:r>
              <w:rPr>
                <w:rFonts w:hint="eastAsia"/>
                <w:sz w:val="18"/>
                <w:szCs w:val="18"/>
              </w:rPr>
              <w:t>道路</w:t>
            </w:r>
          </w:p>
        </w:tc>
        <w:tc>
          <w:tcPr>
            <w:tcW w:w="2509" w:type="dxa"/>
            <w:vAlign w:val="center"/>
          </w:tcPr>
          <w:p>
            <w:pPr>
              <w:pStyle w:val="112"/>
              <w:rPr>
                <w:sz w:val="18"/>
                <w:szCs w:val="18"/>
              </w:rPr>
            </w:pPr>
            <w:r>
              <w:rPr>
                <w:rFonts w:hint="eastAsia"/>
                <w:sz w:val="18"/>
                <w:szCs w:val="18"/>
              </w:rPr>
              <w:t>完善现有道路排水沟、边坡防护工程，种植行道树，清除沿线原有生活、建筑垃圾。</w:t>
            </w:r>
          </w:p>
        </w:tc>
        <w:tc>
          <w:tcPr>
            <w:tcW w:w="836" w:type="dxa"/>
            <w:vAlign w:val="center"/>
          </w:tcPr>
          <w:p>
            <w:pPr>
              <w:pStyle w:val="112"/>
              <w:rPr>
                <w:sz w:val="18"/>
                <w:szCs w:val="18"/>
              </w:rPr>
            </w:pPr>
            <w:r>
              <w:rPr>
                <w:sz w:val="18"/>
                <w:szCs w:val="18"/>
              </w:rPr>
              <w:t>/</w:t>
            </w:r>
          </w:p>
        </w:tc>
        <w:tc>
          <w:tcPr>
            <w:tcW w:w="1029" w:type="dxa"/>
            <w:vAlign w:val="center"/>
          </w:tcPr>
          <w:p>
            <w:pPr>
              <w:pStyle w:val="112"/>
              <w:rPr>
                <w:sz w:val="18"/>
                <w:szCs w:val="18"/>
              </w:rPr>
            </w:pPr>
            <w:r>
              <w:rPr>
                <w:sz w:val="18"/>
                <w:szCs w:val="18"/>
              </w:rPr>
              <w:t>20</w:t>
            </w:r>
          </w:p>
        </w:tc>
        <w:tc>
          <w:tcPr>
            <w:tcW w:w="2550" w:type="dxa"/>
            <w:vAlign w:val="center"/>
          </w:tcPr>
          <w:p>
            <w:pPr>
              <w:pStyle w:val="112"/>
              <w:rPr>
                <w:sz w:val="18"/>
                <w:szCs w:val="18"/>
              </w:rPr>
            </w:pPr>
            <w:r>
              <w:rPr>
                <w:rFonts w:hint="eastAsia"/>
                <w:sz w:val="18"/>
                <w:szCs w:val="18"/>
              </w:rPr>
              <w:t>完善现有道路排水沟、边坡防护工程，种植行道树，清除沿线原有生活、建筑垃圾。</w:t>
            </w:r>
          </w:p>
        </w:tc>
        <w:tc>
          <w:tcPr>
            <w:tcW w:w="1523" w:type="dxa"/>
            <w:vAlign w:val="center"/>
          </w:tcPr>
          <w:p>
            <w:pPr>
              <w:pStyle w:val="112"/>
              <w:rPr>
                <w:sz w:val="18"/>
                <w:szCs w:val="18"/>
              </w:rPr>
            </w:pPr>
            <w:r>
              <w:rPr>
                <w:rFonts w:hint="eastAsia"/>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Align w:val="center"/>
          </w:tcPr>
          <w:p>
            <w:pPr>
              <w:pStyle w:val="112"/>
              <w:rPr>
                <w:sz w:val="18"/>
                <w:szCs w:val="18"/>
                <w:u w:val="wave"/>
              </w:rPr>
            </w:pPr>
            <w:r>
              <w:rPr>
                <w:rFonts w:hint="eastAsia"/>
                <w:sz w:val="18"/>
                <w:szCs w:val="18"/>
              </w:rPr>
              <w:t>风险防范措施</w:t>
            </w:r>
          </w:p>
        </w:tc>
        <w:tc>
          <w:tcPr>
            <w:tcW w:w="2509" w:type="dxa"/>
            <w:vAlign w:val="center"/>
          </w:tcPr>
          <w:p>
            <w:pPr>
              <w:pStyle w:val="112"/>
              <w:rPr>
                <w:sz w:val="18"/>
                <w:szCs w:val="18"/>
              </w:rPr>
            </w:pPr>
            <w:r>
              <w:rPr>
                <w:rFonts w:hint="eastAsia" w:hAnsi="宋体"/>
                <w:sz w:val="18"/>
                <w:szCs w:val="18"/>
              </w:rPr>
              <w:t>樟树塘桥、范家屋场桥梁路段</w:t>
            </w:r>
            <w:r>
              <w:rPr>
                <w:rFonts w:hint="eastAsia"/>
                <w:sz w:val="18"/>
                <w:szCs w:val="18"/>
              </w:rPr>
              <w:t>风险防范措施</w:t>
            </w:r>
          </w:p>
        </w:tc>
        <w:tc>
          <w:tcPr>
            <w:tcW w:w="836" w:type="dxa"/>
            <w:vAlign w:val="center"/>
          </w:tcPr>
          <w:p>
            <w:pPr>
              <w:pStyle w:val="112"/>
              <w:rPr>
                <w:sz w:val="18"/>
                <w:szCs w:val="18"/>
                <w:u w:val="wave"/>
              </w:rPr>
            </w:pPr>
            <w:r>
              <w:rPr>
                <w:sz w:val="18"/>
                <w:szCs w:val="18"/>
              </w:rPr>
              <w:t>2</w:t>
            </w:r>
            <w:r>
              <w:rPr>
                <w:rFonts w:hint="eastAsia"/>
                <w:sz w:val="18"/>
                <w:szCs w:val="18"/>
              </w:rPr>
              <w:t>处</w:t>
            </w:r>
          </w:p>
        </w:tc>
        <w:tc>
          <w:tcPr>
            <w:tcW w:w="1029" w:type="dxa"/>
            <w:vAlign w:val="center"/>
          </w:tcPr>
          <w:p>
            <w:pPr>
              <w:pStyle w:val="112"/>
              <w:rPr>
                <w:sz w:val="18"/>
                <w:szCs w:val="18"/>
              </w:rPr>
            </w:pPr>
            <w:r>
              <w:rPr>
                <w:sz w:val="18"/>
                <w:szCs w:val="18"/>
              </w:rPr>
              <w:t>10</w:t>
            </w:r>
          </w:p>
        </w:tc>
        <w:tc>
          <w:tcPr>
            <w:tcW w:w="2550" w:type="dxa"/>
            <w:vAlign w:val="center"/>
          </w:tcPr>
          <w:p>
            <w:pPr>
              <w:pStyle w:val="112"/>
              <w:rPr>
                <w:sz w:val="18"/>
                <w:szCs w:val="18"/>
              </w:rPr>
            </w:pPr>
            <w:r>
              <w:rPr>
                <w:rFonts w:hint="eastAsia"/>
                <w:sz w:val="18"/>
                <w:szCs w:val="18"/>
              </w:rPr>
              <w:t>在临</w:t>
            </w:r>
            <w:r>
              <w:rPr>
                <w:rFonts w:hint="eastAsia" w:hAnsi="宋体"/>
                <w:sz w:val="18"/>
                <w:szCs w:val="18"/>
              </w:rPr>
              <w:t>樟树塘桥、范家屋场桥</w:t>
            </w:r>
            <w:r>
              <w:rPr>
                <w:rFonts w:hint="eastAsia"/>
                <w:sz w:val="18"/>
                <w:szCs w:val="18"/>
              </w:rPr>
              <w:t>梁路段，对护栏（防撞栏）加高加固、采用弹性好的材料及结构，并在桥两侧设置限速警示标志。</w:t>
            </w:r>
          </w:p>
        </w:tc>
        <w:tc>
          <w:tcPr>
            <w:tcW w:w="1523" w:type="dxa"/>
            <w:vAlign w:val="center"/>
          </w:tcPr>
          <w:p>
            <w:pPr>
              <w:pStyle w:val="112"/>
              <w:rPr>
                <w:sz w:val="18"/>
                <w:szCs w:val="18"/>
                <w:u w:val="wave"/>
              </w:rPr>
            </w:pPr>
            <w:r>
              <w:rPr>
                <w:rFonts w:hint="eastAsia"/>
                <w:sz w:val="18"/>
                <w:szCs w:val="18"/>
              </w:rPr>
              <w:t>营运前完成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Merge w:val="restart"/>
            <w:vAlign w:val="center"/>
          </w:tcPr>
          <w:p>
            <w:pPr>
              <w:pStyle w:val="112"/>
              <w:rPr>
                <w:sz w:val="18"/>
                <w:szCs w:val="18"/>
              </w:rPr>
            </w:pPr>
            <w:r>
              <w:rPr>
                <w:rFonts w:hint="eastAsia"/>
                <w:sz w:val="18"/>
                <w:szCs w:val="18"/>
              </w:rPr>
              <w:t>环境</w:t>
            </w:r>
          </w:p>
          <w:p>
            <w:pPr>
              <w:pStyle w:val="112"/>
              <w:rPr>
                <w:sz w:val="18"/>
                <w:szCs w:val="18"/>
              </w:rPr>
            </w:pPr>
            <w:r>
              <w:rPr>
                <w:rFonts w:hint="eastAsia"/>
                <w:sz w:val="18"/>
                <w:szCs w:val="18"/>
              </w:rPr>
              <w:t>管理</w:t>
            </w:r>
          </w:p>
        </w:tc>
        <w:tc>
          <w:tcPr>
            <w:tcW w:w="2509" w:type="dxa"/>
            <w:vAlign w:val="center"/>
          </w:tcPr>
          <w:p>
            <w:pPr>
              <w:pStyle w:val="112"/>
              <w:rPr>
                <w:sz w:val="18"/>
                <w:szCs w:val="18"/>
              </w:rPr>
            </w:pPr>
            <w:r>
              <w:rPr>
                <w:rFonts w:hint="eastAsia"/>
                <w:sz w:val="18"/>
                <w:szCs w:val="18"/>
              </w:rPr>
              <w:t>环境行动实施计划以</w:t>
            </w:r>
          </w:p>
          <w:p>
            <w:pPr>
              <w:pStyle w:val="112"/>
              <w:rPr>
                <w:sz w:val="18"/>
                <w:szCs w:val="18"/>
              </w:rPr>
            </w:pPr>
            <w:r>
              <w:rPr>
                <w:rFonts w:hint="eastAsia"/>
                <w:sz w:val="18"/>
                <w:szCs w:val="18"/>
              </w:rPr>
              <w:t>及人员培训</w:t>
            </w:r>
          </w:p>
        </w:tc>
        <w:tc>
          <w:tcPr>
            <w:tcW w:w="836" w:type="dxa"/>
            <w:vAlign w:val="center"/>
          </w:tcPr>
          <w:p>
            <w:pPr>
              <w:pStyle w:val="112"/>
              <w:rPr>
                <w:sz w:val="18"/>
                <w:szCs w:val="18"/>
              </w:rPr>
            </w:pPr>
            <w:r>
              <w:rPr>
                <w:sz w:val="18"/>
                <w:szCs w:val="18"/>
              </w:rPr>
              <w:t>/</w:t>
            </w:r>
          </w:p>
        </w:tc>
        <w:tc>
          <w:tcPr>
            <w:tcW w:w="1029" w:type="dxa"/>
            <w:vAlign w:val="center"/>
          </w:tcPr>
          <w:p>
            <w:pPr>
              <w:pStyle w:val="112"/>
              <w:rPr>
                <w:sz w:val="18"/>
                <w:szCs w:val="18"/>
              </w:rPr>
            </w:pPr>
            <w:r>
              <w:rPr>
                <w:sz w:val="18"/>
                <w:szCs w:val="18"/>
              </w:rPr>
              <w:t>50</w:t>
            </w:r>
          </w:p>
        </w:tc>
        <w:tc>
          <w:tcPr>
            <w:tcW w:w="2550" w:type="dxa"/>
            <w:vAlign w:val="center"/>
          </w:tcPr>
          <w:p>
            <w:pPr>
              <w:pStyle w:val="112"/>
              <w:rPr>
                <w:sz w:val="18"/>
                <w:szCs w:val="18"/>
              </w:rPr>
            </w:pPr>
            <w:r>
              <w:rPr>
                <w:rFonts w:hint="eastAsia"/>
                <w:sz w:val="18"/>
                <w:szCs w:val="18"/>
              </w:rPr>
              <w:t>施工期</w:t>
            </w:r>
            <w:r>
              <w:rPr>
                <w:sz w:val="18"/>
                <w:szCs w:val="18"/>
              </w:rPr>
              <w:t>3</w:t>
            </w:r>
            <w:r>
              <w:rPr>
                <w:rFonts w:hint="eastAsia"/>
                <w:sz w:val="18"/>
                <w:szCs w:val="18"/>
              </w:rPr>
              <w:t>年，营运期</w:t>
            </w:r>
            <w:r>
              <w:rPr>
                <w:sz w:val="18"/>
                <w:szCs w:val="18"/>
              </w:rPr>
              <w:t>20</w:t>
            </w:r>
            <w:r>
              <w:rPr>
                <w:rFonts w:hint="eastAsia"/>
                <w:sz w:val="18"/>
                <w:szCs w:val="18"/>
              </w:rPr>
              <w:t>年</w:t>
            </w:r>
          </w:p>
        </w:tc>
        <w:tc>
          <w:tcPr>
            <w:tcW w:w="1523" w:type="dxa"/>
            <w:vAlign w:val="center"/>
          </w:tcPr>
          <w:p>
            <w:pPr>
              <w:pStyle w:val="112"/>
              <w:rPr>
                <w:sz w:val="18"/>
                <w:szCs w:val="18"/>
              </w:rPr>
            </w:pPr>
            <w:r>
              <w:rPr>
                <w:rFonts w:hint="eastAsia"/>
                <w:sz w:val="18"/>
                <w:szCs w:val="18"/>
              </w:rPr>
              <w:t>施工期、营运期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Merge w:val="continue"/>
            <w:vAlign w:val="center"/>
          </w:tcPr>
          <w:p>
            <w:pPr>
              <w:pStyle w:val="112"/>
              <w:rPr>
                <w:sz w:val="18"/>
                <w:szCs w:val="18"/>
              </w:rPr>
            </w:pPr>
          </w:p>
        </w:tc>
        <w:tc>
          <w:tcPr>
            <w:tcW w:w="2509" w:type="dxa"/>
            <w:vAlign w:val="center"/>
          </w:tcPr>
          <w:p>
            <w:pPr>
              <w:pStyle w:val="112"/>
              <w:rPr>
                <w:sz w:val="18"/>
                <w:szCs w:val="18"/>
              </w:rPr>
            </w:pPr>
            <w:r>
              <w:rPr>
                <w:rFonts w:hint="eastAsia"/>
                <w:sz w:val="18"/>
                <w:szCs w:val="18"/>
              </w:rPr>
              <w:t>环境监理</w:t>
            </w:r>
          </w:p>
        </w:tc>
        <w:tc>
          <w:tcPr>
            <w:tcW w:w="836" w:type="dxa"/>
            <w:vAlign w:val="center"/>
          </w:tcPr>
          <w:p>
            <w:pPr>
              <w:pStyle w:val="112"/>
              <w:rPr>
                <w:sz w:val="18"/>
                <w:szCs w:val="18"/>
              </w:rPr>
            </w:pPr>
            <w:r>
              <w:rPr>
                <w:sz w:val="18"/>
                <w:szCs w:val="18"/>
              </w:rPr>
              <w:t>2</w:t>
            </w:r>
            <w:r>
              <w:rPr>
                <w:rFonts w:hint="eastAsia"/>
                <w:sz w:val="18"/>
                <w:szCs w:val="18"/>
              </w:rPr>
              <w:t>年</w:t>
            </w:r>
          </w:p>
        </w:tc>
        <w:tc>
          <w:tcPr>
            <w:tcW w:w="1029" w:type="dxa"/>
            <w:vAlign w:val="center"/>
          </w:tcPr>
          <w:p>
            <w:pPr>
              <w:pStyle w:val="112"/>
              <w:rPr>
                <w:sz w:val="18"/>
                <w:szCs w:val="18"/>
              </w:rPr>
            </w:pPr>
            <w:r>
              <w:rPr>
                <w:sz w:val="18"/>
                <w:szCs w:val="18"/>
              </w:rPr>
              <w:t>20</w:t>
            </w:r>
          </w:p>
        </w:tc>
        <w:tc>
          <w:tcPr>
            <w:tcW w:w="2550" w:type="dxa"/>
            <w:vAlign w:val="center"/>
          </w:tcPr>
          <w:p>
            <w:pPr>
              <w:pStyle w:val="112"/>
              <w:rPr>
                <w:sz w:val="18"/>
                <w:szCs w:val="18"/>
              </w:rPr>
            </w:pPr>
            <w:r>
              <w:rPr>
                <w:rFonts w:hint="eastAsia"/>
                <w:sz w:val="18"/>
                <w:szCs w:val="18"/>
              </w:rPr>
              <w:t>按每年</w:t>
            </w:r>
            <w:r>
              <w:rPr>
                <w:sz w:val="18"/>
                <w:szCs w:val="18"/>
              </w:rPr>
              <w:t>10</w:t>
            </w:r>
            <w:r>
              <w:rPr>
                <w:rFonts w:hint="eastAsia"/>
                <w:sz w:val="18"/>
                <w:szCs w:val="18"/>
              </w:rPr>
              <w:t>万元计</w:t>
            </w:r>
          </w:p>
        </w:tc>
        <w:tc>
          <w:tcPr>
            <w:tcW w:w="1523" w:type="dxa"/>
            <w:vAlign w:val="center"/>
          </w:tcPr>
          <w:p>
            <w:pPr>
              <w:pStyle w:val="112"/>
              <w:rPr>
                <w:sz w:val="18"/>
                <w:szCs w:val="18"/>
              </w:rPr>
            </w:pPr>
            <w:r>
              <w:rPr>
                <w:rFonts w:hint="eastAsia"/>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Merge w:val="restart"/>
            <w:vAlign w:val="center"/>
          </w:tcPr>
          <w:p>
            <w:pPr>
              <w:pStyle w:val="112"/>
              <w:rPr>
                <w:sz w:val="18"/>
                <w:szCs w:val="18"/>
              </w:rPr>
            </w:pPr>
            <w:r>
              <w:rPr>
                <w:rFonts w:hint="eastAsia"/>
                <w:sz w:val="18"/>
                <w:szCs w:val="18"/>
              </w:rPr>
              <w:t>环境监测费</w:t>
            </w:r>
          </w:p>
        </w:tc>
        <w:tc>
          <w:tcPr>
            <w:tcW w:w="2509" w:type="dxa"/>
            <w:vAlign w:val="center"/>
          </w:tcPr>
          <w:p>
            <w:pPr>
              <w:pStyle w:val="112"/>
              <w:rPr>
                <w:sz w:val="18"/>
                <w:szCs w:val="18"/>
              </w:rPr>
            </w:pPr>
            <w:r>
              <w:rPr>
                <w:rFonts w:hint="eastAsia"/>
                <w:sz w:val="18"/>
                <w:szCs w:val="18"/>
              </w:rPr>
              <w:t>施工期监测实施</w:t>
            </w:r>
          </w:p>
        </w:tc>
        <w:tc>
          <w:tcPr>
            <w:tcW w:w="836" w:type="dxa"/>
            <w:vAlign w:val="center"/>
          </w:tcPr>
          <w:p>
            <w:pPr>
              <w:pStyle w:val="112"/>
              <w:rPr>
                <w:sz w:val="18"/>
                <w:szCs w:val="18"/>
              </w:rPr>
            </w:pPr>
            <w:r>
              <w:rPr>
                <w:sz w:val="18"/>
                <w:szCs w:val="18"/>
              </w:rPr>
              <w:t>2</w:t>
            </w:r>
            <w:r>
              <w:rPr>
                <w:rFonts w:hint="eastAsia"/>
                <w:sz w:val="18"/>
                <w:szCs w:val="18"/>
              </w:rPr>
              <w:t>年</w:t>
            </w:r>
          </w:p>
        </w:tc>
        <w:tc>
          <w:tcPr>
            <w:tcW w:w="1029" w:type="dxa"/>
            <w:vAlign w:val="center"/>
          </w:tcPr>
          <w:p>
            <w:pPr>
              <w:pStyle w:val="112"/>
              <w:rPr>
                <w:sz w:val="18"/>
                <w:szCs w:val="18"/>
              </w:rPr>
            </w:pPr>
            <w:r>
              <w:rPr>
                <w:sz w:val="18"/>
                <w:szCs w:val="18"/>
              </w:rPr>
              <w:t>20</w:t>
            </w:r>
          </w:p>
        </w:tc>
        <w:tc>
          <w:tcPr>
            <w:tcW w:w="2550" w:type="dxa"/>
            <w:vAlign w:val="center"/>
          </w:tcPr>
          <w:p>
            <w:pPr>
              <w:pStyle w:val="112"/>
              <w:rPr>
                <w:sz w:val="18"/>
                <w:szCs w:val="18"/>
              </w:rPr>
            </w:pPr>
            <w:r>
              <w:rPr>
                <w:rFonts w:hint="eastAsia"/>
                <w:sz w:val="18"/>
                <w:szCs w:val="18"/>
              </w:rPr>
              <w:t>按每年</w:t>
            </w:r>
            <w:r>
              <w:rPr>
                <w:sz w:val="18"/>
                <w:szCs w:val="18"/>
              </w:rPr>
              <w:t>10</w:t>
            </w:r>
            <w:r>
              <w:rPr>
                <w:rFonts w:hint="eastAsia"/>
                <w:sz w:val="18"/>
                <w:szCs w:val="18"/>
              </w:rPr>
              <w:t>万元计</w:t>
            </w:r>
          </w:p>
        </w:tc>
        <w:tc>
          <w:tcPr>
            <w:tcW w:w="1523" w:type="dxa"/>
            <w:vAlign w:val="center"/>
          </w:tcPr>
          <w:p>
            <w:pPr>
              <w:pStyle w:val="112"/>
              <w:rPr>
                <w:sz w:val="18"/>
                <w:szCs w:val="18"/>
              </w:rPr>
            </w:pPr>
            <w:r>
              <w:rPr>
                <w:rFonts w:hint="eastAsia"/>
                <w:sz w:val="18"/>
                <w:szCs w:val="18"/>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840" w:type="dxa"/>
            <w:vMerge w:val="continue"/>
            <w:tcBorders>
              <w:bottom w:val="single" w:color="000000" w:sz="4" w:space="0"/>
            </w:tcBorders>
            <w:vAlign w:val="center"/>
          </w:tcPr>
          <w:p>
            <w:pPr>
              <w:pStyle w:val="112"/>
              <w:rPr>
                <w:sz w:val="18"/>
                <w:szCs w:val="18"/>
              </w:rPr>
            </w:pPr>
          </w:p>
        </w:tc>
        <w:tc>
          <w:tcPr>
            <w:tcW w:w="2509" w:type="dxa"/>
            <w:vAlign w:val="center"/>
          </w:tcPr>
          <w:p>
            <w:pPr>
              <w:pStyle w:val="112"/>
              <w:rPr>
                <w:sz w:val="18"/>
                <w:szCs w:val="18"/>
              </w:rPr>
            </w:pPr>
            <w:r>
              <w:rPr>
                <w:rFonts w:hint="eastAsia"/>
                <w:sz w:val="18"/>
                <w:szCs w:val="18"/>
              </w:rPr>
              <w:t>营运期监测实施</w:t>
            </w:r>
          </w:p>
        </w:tc>
        <w:tc>
          <w:tcPr>
            <w:tcW w:w="836" w:type="dxa"/>
            <w:vAlign w:val="center"/>
          </w:tcPr>
          <w:p>
            <w:pPr>
              <w:pStyle w:val="112"/>
              <w:rPr>
                <w:sz w:val="18"/>
                <w:szCs w:val="18"/>
              </w:rPr>
            </w:pPr>
            <w:r>
              <w:rPr>
                <w:sz w:val="18"/>
                <w:szCs w:val="18"/>
              </w:rPr>
              <w:t>15</w:t>
            </w:r>
            <w:r>
              <w:rPr>
                <w:rFonts w:hint="eastAsia"/>
                <w:sz w:val="18"/>
                <w:szCs w:val="18"/>
              </w:rPr>
              <w:t>年</w:t>
            </w:r>
          </w:p>
        </w:tc>
        <w:tc>
          <w:tcPr>
            <w:tcW w:w="1029" w:type="dxa"/>
            <w:vAlign w:val="center"/>
          </w:tcPr>
          <w:p>
            <w:pPr>
              <w:pStyle w:val="112"/>
              <w:rPr>
                <w:sz w:val="18"/>
                <w:szCs w:val="18"/>
              </w:rPr>
            </w:pPr>
            <w:r>
              <w:rPr>
                <w:sz w:val="18"/>
                <w:szCs w:val="18"/>
              </w:rPr>
              <w:t>150</w:t>
            </w:r>
          </w:p>
        </w:tc>
        <w:tc>
          <w:tcPr>
            <w:tcW w:w="2550" w:type="dxa"/>
            <w:vAlign w:val="center"/>
          </w:tcPr>
          <w:p>
            <w:pPr>
              <w:pStyle w:val="112"/>
              <w:rPr>
                <w:sz w:val="18"/>
                <w:szCs w:val="18"/>
              </w:rPr>
            </w:pPr>
            <w:r>
              <w:rPr>
                <w:rFonts w:hint="eastAsia"/>
                <w:sz w:val="18"/>
                <w:szCs w:val="18"/>
              </w:rPr>
              <w:t>按每年</w:t>
            </w:r>
            <w:r>
              <w:rPr>
                <w:sz w:val="18"/>
                <w:szCs w:val="18"/>
              </w:rPr>
              <w:t>10</w:t>
            </w:r>
            <w:r>
              <w:rPr>
                <w:rFonts w:hint="eastAsia"/>
                <w:sz w:val="18"/>
                <w:szCs w:val="18"/>
              </w:rPr>
              <w:t>万元计</w:t>
            </w:r>
          </w:p>
        </w:tc>
        <w:tc>
          <w:tcPr>
            <w:tcW w:w="1523" w:type="dxa"/>
            <w:vAlign w:val="center"/>
          </w:tcPr>
          <w:p>
            <w:pPr>
              <w:pStyle w:val="112"/>
              <w:rPr>
                <w:sz w:val="18"/>
                <w:szCs w:val="18"/>
              </w:rPr>
            </w:pPr>
            <w:r>
              <w:rPr>
                <w:rFonts w:hint="eastAsia"/>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4185" w:type="dxa"/>
            <w:gridSpan w:val="3"/>
            <w:vAlign w:val="center"/>
          </w:tcPr>
          <w:p>
            <w:pPr>
              <w:pStyle w:val="112"/>
              <w:rPr>
                <w:sz w:val="18"/>
                <w:szCs w:val="18"/>
              </w:rPr>
            </w:pPr>
            <w:r>
              <w:rPr>
                <w:rFonts w:hint="eastAsia"/>
                <w:sz w:val="18"/>
                <w:szCs w:val="18"/>
              </w:rPr>
              <w:t>总计（万元）</w:t>
            </w:r>
          </w:p>
        </w:tc>
        <w:tc>
          <w:tcPr>
            <w:tcW w:w="3579" w:type="dxa"/>
            <w:gridSpan w:val="2"/>
            <w:vAlign w:val="center"/>
          </w:tcPr>
          <w:p>
            <w:pPr>
              <w:pStyle w:val="112"/>
              <w:rPr>
                <w:sz w:val="18"/>
                <w:szCs w:val="18"/>
                <w:highlight w:val="yellow"/>
              </w:rPr>
            </w:pPr>
            <w:r>
              <w:rPr>
                <w:sz w:val="18"/>
                <w:szCs w:val="18"/>
              </w:rPr>
              <w:t>603</w:t>
            </w:r>
          </w:p>
        </w:tc>
        <w:tc>
          <w:tcPr>
            <w:tcW w:w="1523" w:type="dxa"/>
            <w:vAlign w:val="center"/>
          </w:tcPr>
          <w:p>
            <w:pPr>
              <w:pStyle w:val="112"/>
              <w:rPr>
                <w:sz w:val="18"/>
                <w:szCs w:val="18"/>
              </w:rPr>
            </w:pPr>
            <w:r>
              <w:rPr>
                <w:sz w:val="18"/>
                <w:szCs w:val="18"/>
              </w:rPr>
              <w:t>/</w:t>
            </w:r>
          </w:p>
        </w:tc>
      </w:tr>
    </w:tbl>
    <w:p>
      <w:pPr>
        <w:pStyle w:val="5"/>
        <w:widowControl/>
        <w:ind w:left="567" w:hanging="567"/>
      </w:pPr>
      <w:r>
        <w:rPr>
          <w:rFonts w:hint="eastAsia"/>
        </w:rPr>
        <w:t>环保投资的效益分析</w:t>
      </w:r>
    </w:p>
    <w:p>
      <w:pPr>
        <w:pStyle w:val="3"/>
        <w:ind w:firstLine="31680"/>
      </w:pPr>
      <w:r>
        <w:t>a</w:t>
      </w:r>
      <w:r>
        <w:rPr>
          <w:rFonts w:hint="eastAsia"/>
        </w:rPr>
        <w:t>）直接效益</w:t>
      </w:r>
    </w:p>
    <w:p>
      <w:pPr>
        <w:pStyle w:val="3"/>
        <w:ind w:firstLine="31680"/>
      </w:pPr>
      <w:r>
        <w:rPr>
          <w:rFonts w:hint="eastAsia"/>
        </w:rPr>
        <w:t>本项目在施工和营运期间对项目沿线区域所引起的环境问题是多方面的。因此，采取操作性强、切实可行的环保措施后，每年所挽回的经济损失，亦即环保投资的直接效益是显而易见的，但目前很难用具体货币形式来衡量。只能对若不采取措施时，因工程建设而导致的生态环境、水环境、声环境和环境空气质量的变化所引起的对沿线人体健康、生活质量以及农业生产等方面的经济损失作粗略计算或定性分析用以反馈环保投资的直接经济效益。</w:t>
      </w:r>
    </w:p>
    <w:p>
      <w:pPr>
        <w:pStyle w:val="3"/>
        <w:ind w:firstLine="31680"/>
      </w:pPr>
      <w:r>
        <w:t>b</w:t>
      </w:r>
      <w:r>
        <w:rPr>
          <w:rFonts w:hint="eastAsia"/>
        </w:rPr>
        <w:t>）间接效益</w:t>
      </w:r>
    </w:p>
    <w:p>
      <w:pPr>
        <w:pStyle w:val="3"/>
        <w:ind w:firstLine="31680"/>
      </w:pPr>
      <w:r>
        <w:rPr>
          <w:rFonts w:hint="eastAsia"/>
        </w:rPr>
        <w:t>在实施有效的环保措施后，会产生以下间接效益：保证沿线居民的生活质量和正常生活秩序，维持居民的环境心理健康和减轻居民的烦躁情绪，减少社会不稳定的诱发因素等。所有这些间接效益在目前很难用货币形式来度量，但可以肯定的是，它是环保投资所获取的社会效益的主要组成部分。</w:t>
      </w:r>
    </w:p>
    <w:p>
      <w:pPr>
        <w:pStyle w:val="3"/>
        <w:ind w:firstLine="31680"/>
      </w:pPr>
      <w:r>
        <w:rPr>
          <w:rFonts w:hint="eastAsia"/>
        </w:rPr>
        <w:t>鉴于环保投资的直接效益和间接效益均难以量化，在此仅对本项目环保投资所带来的环境、社会经济及综合效益作简要定性分析，见表</w:t>
      </w:r>
      <w:r>
        <w:t>14.5-2</w:t>
      </w:r>
      <w:r>
        <w:rPr>
          <w:rFonts w:hint="eastAsia"/>
        </w:rPr>
        <w:t>。</w:t>
      </w:r>
      <w:bookmarkStart w:id="365" w:name="_Ref401501093"/>
      <w:r>
        <w:br w:type="textWrapping"/>
      </w:r>
    </w:p>
    <w:p>
      <w:pPr>
        <w:pStyle w:val="3"/>
        <w:ind w:firstLine="31680"/>
        <w:jc w:val="center"/>
        <w:rPr>
          <w:rFonts w:eastAsia="黑体"/>
        </w:rPr>
      </w:pPr>
      <w:r>
        <w:rPr>
          <w:rFonts w:hint="eastAsia" w:hAnsi="黑体" w:eastAsia="黑体"/>
        </w:rPr>
        <w:t>表</w:t>
      </w:r>
      <w:bookmarkEnd w:id="365"/>
      <w:r>
        <w:rPr>
          <w:rFonts w:eastAsia="黑体"/>
        </w:rPr>
        <w:t xml:space="preserve">14.5-2  </w:t>
      </w:r>
      <w:r>
        <w:rPr>
          <w:rFonts w:hint="eastAsia" w:hAnsi="黑体" w:eastAsia="黑体"/>
        </w:rPr>
        <w:t>环保投资的环境、经济效益分析表</w:t>
      </w:r>
    </w:p>
    <w:tbl>
      <w:tblPr>
        <w:tblStyle w:val="65"/>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2763"/>
        <w:gridCol w:w="2693"/>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blHeader/>
        </w:trPr>
        <w:tc>
          <w:tcPr>
            <w:tcW w:w="1458" w:type="dxa"/>
            <w:vAlign w:val="center"/>
          </w:tcPr>
          <w:p>
            <w:pPr>
              <w:pStyle w:val="112"/>
              <w:rPr>
                <w:kern w:val="2"/>
              </w:rPr>
            </w:pPr>
            <w:r>
              <w:rPr>
                <w:rFonts w:hint="eastAsia"/>
                <w:kern w:val="2"/>
              </w:rPr>
              <w:t>环保投资</w:t>
            </w:r>
          </w:p>
          <w:p>
            <w:pPr>
              <w:pStyle w:val="112"/>
              <w:rPr>
                <w:kern w:val="2"/>
              </w:rPr>
            </w:pPr>
            <w:r>
              <w:rPr>
                <w:rFonts w:hint="eastAsia"/>
                <w:kern w:val="2"/>
              </w:rPr>
              <w:t>分类</w:t>
            </w:r>
          </w:p>
        </w:tc>
        <w:tc>
          <w:tcPr>
            <w:tcW w:w="2763" w:type="dxa"/>
            <w:vAlign w:val="center"/>
          </w:tcPr>
          <w:p>
            <w:pPr>
              <w:pStyle w:val="112"/>
              <w:rPr>
                <w:kern w:val="2"/>
              </w:rPr>
            </w:pPr>
            <w:r>
              <w:rPr>
                <w:rFonts w:hint="eastAsia"/>
                <w:kern w:val="2"/>
              </w:rPr>
              <w:t>环境效益</w:t>
            </w:r>
          </w:p>
        </w:tc>
        <w:tc>
          <w:tcPr>
            <w:tcW w:w="2693" w:type="dxa"/>
            <w:vAlign w:val="center"/>
          </w:tcPr>
          <w:p>
            <w:pPr>
              <w:pStyle w:val="112"/>
              <w:rPr>
                <w:kern w:val="2"/>
              </w:rPr>
            </w:pPr>
            <w:r>
              <w:rPr>
                <w:rFonts w:hint="eastAsia"/>
                <w:kern w:val="2"/>
              </w:rPr>
              <w:t>社会经济效益</w:t>
            </w:r>
          </w:p>
        </w:tc>
        <w:tc>
          <w:tcPr>
            <w:tcW w:w="2260" w:type="dxa"/>
            <w:vAlign w:val="center"/>
          </w:tcPr>
          <w:p>
            <w:pPr>
              <w:pStyle w:val="112"/>
              <w:rPr>
                <w:kern w:val="2"/>
              </w:rPr>
            </w:pPr>
            <w:r>
              <w:rPr>
                <w:rFonts w:hint="eastAsia"/>
                <w:kern w:val="2"/>
              </w:rPr>
              <w:t>综合效益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458" w:type="dxa"/>
            <w:vAlign w:val="center"/>
          </w:tcPr>
          <w:p>
            <w:pPr>
              <w:pStyle w:val="112"/>
              <w:rPr>
                <w:kern w:val="2"/>
              </w:rPr>
            </w:pPr>
            <w:r>
              <w:rPr>
                <w:rFonts w:hint="eastAsia"/>
                <w:kern w:val="2"/>
              </w:rPr>
              <w:t>施工期</w:t>
            </w:r>
          </w:p>
          <w:p>
            <w:pPr>
              <w:pStyle w:val="112"/>
              <w:rPr>
                <w:kern w:val="2"/>
              </w:rPr>
            </w:pPr>
            <w:r>
              <w:rPr>
                <w:rFonts w:hint="eastAsia"/>
                <w:kern w:val="2"/>
              </w:rPr>
              <w:t>环保措施</w:t>
            </w:r>
          </w:p>
        </w:tc>
        <w:tc>
          <w:tcPr>
            <w:tcW w:w="2763" w:type="dxa"/>
            <w:vAlign w:val="center"/>
          </w:tcPr>
          <w:p>
            <w:pPr>
              <w:pStyle w:val="112"/>
              <w:jc w:val="left"/>
              <w:rPr>
                <w:kern w:val="2"/>
              </w:rPr>
            </w:pPr>
            <w:r>
              <w:rPr>
                <w:kern w:val="2"/>
              </w:rPr>
              <w:t>1</w:t>
            </w:r>
            <w:r>
              <w:rPr>
                <w:rFonts w:hint="eastAsia"/>
                <w:kern w:val="2"/>
              </w:rPr>
              <w:t>．防止噪声扰民</w:t>
            </w:r>
          </w:p>
          <w:p>
            <w:pPr>
              <w:pStyle w:val="112"/>
              <w:jc w:val="left"/>
              <w:rPr>
                <w:kern w:val="2"/>
              </w:rPr>
            </w:pPr>
            <w:r>
              <w:rPr>
                <w:kern w:val="2"/>
              </w:rPr>
              <w:t>2</w:t>
            </w:r>
            <w:r>
              <w:rPr>
                <w:rFonts w:hint="eastAsia"/>
                <w:kern w:val="2"/>
              </w:rPr>
              <w:t>．防止水环境污染</w:t>
            </w:r>
          </w:p>
          <w:p>
            <w:pPr>
              <w:pStyle w:val="112"/>
              <w:jc w:val="left"/>
              <w:rPr>
                <w:kern w:val="2"/>
              </w:rPr>
            </w:pPr>
            <w:r>
              <w:rPr>
                <w:kern w:val="2"/>
              </w:rPr>
              <w:t>3</w:t>
            </w:r>
            <w:r>
              <w:rPr>
                <w:rFonts w:hint="eastAsia"/>
                <w:kern w:val="2"/>
              </w:rPr>
              <w:t>．防止空气污染</w:t>
            </w:r>
          </w:p>
          <w:p>
            <w:pPr>
              <w:pStyle w:val="112"/>
              <w:jc w:val="left"/>
              <w:rPr>
                <w:kern w:val="2"/>
              </w:rPr>
            </w:pPr>
            <w:r>
              <w:rPr>
                <w:kern w:val="2"/>
              </w:rPr>
              <w:t>4</w:t>
            </w:r>
            <w:r>
              <w:rPr>
                <w:rFonts w:hint="eastAsia"/>
                <w:kern w:val="2"/>
              </w:rPr>
              <w:t>．保护耕地</w:t>
            </w:r>
          </w:p>
          <w:p>
            <w:pPr>
              <w:pStyle w:val="112"/>
              <w:jc w:val="left"/>
              <w:rPr>
                <w:kern w:val="2"/>
              </w:rPr>
            </w:pPr>
            <w:r>
              <w:rPr>
                <w:kern w:val="2"/>
              </w:rPr>
              <w:t>5</w:t>
            </w:r>
            <w:r>
              <w:rPr>
                <w:rFonts w:hint="eastAsia"/>
                <w:kern w:val="2"/>
              </w:rPr>
              <w:t>．保护动、植物</w:t>
            </w:r>
          </w:p>
          <w:p>
            <w:pPr>
              <w:pStyle w:val="112"/>
              <w:jc w:val="left"/>
              <w:rPr>
                <w:kern w:val="2"/>
              </w:rPr>
            </w:pPr>
            <w:r>
              <w:rPr>
                <w:kern w:val="2"/>
              </w:rPr>
              <w:t>6</w:t>
            </w:r>
            <w:r>
              <w:rPr>
                <w:rFonts w:hint="eastAsia"/>
                <w:kern w:val="2"/>
              </w:rPr>
              <w:t>．荒地改造</w:t>
            </w:r>
          </w:p>
          <w:p>
            <w:pPr>
              <w:pStyle w:val="112"/>
              <w:jc w:val="left"/>
              <w:rPr>
                <w:kern w:val="2"/>
              </w:rPr>
            </w:pPr>
            <w:r>
              <w:rPr>
                <w:kern w:val="2"/>
              </w:rPr>
              <w:t>7</w:t>
            </w:r>
            <w:r>
              <w:rPr>
                <w:rFonts w:hint="eastAsia"/>
                <w:kern w:val="2"/>
              </w:rPr>
              <w:t>．保护公众安全、出入方便</w:t>
            </w:r>
          </w:p>
          <w:p>
            <w:pPr>
              <w:pStyle w:val="112"/>
              <w:jc w:val="left"/>
              <w:rPr>
                <w:kern w:val="2"/>
              </w:rPr>
            </w:pPr>
            <w:r>
              <w:rPr>
                <w:kern w:val="2"/>
              </w:rPr>
              <w:t>8</w:t>
            </w:r>
            <w:r>
              <w:rPr>
                <w:rFonts w:hint="eastAsia"/>
                <w:kern w:val="2"/>
              </w:rPr>
              <w:t>．地方道路修复改造</w:t>
            </w:r>
          </w:p>
        </w:tc>
        <w:tc>
          <w:tcPr>
            <w:tcW w:w="2693" w:type="dxa"/>
            <w:vAlign w:val="center"/>
          </w:tcPr>
          <w:p>
            <w:pPr>
              <w:pStyle w:val="112"/>
              <w:jc w:val="left"/>
              <w:rPr>
                <w:kern w:val="2"/>
              </w:rPr>
            </w:pPr>
            <w:r>
              <w:rPr>
                <w:kern w:val="2"/>
              </w:rPr>
              <w:t>1</w:t>
            </w:r>
            <w:r>
              <w:rPr>
                <w:rFonts w:hint="eastAsia"/>
                <w:kern w:val="2"/>
              </w:rPr>
              <w:t>．保护人们生活、生产环境；</w:t>
            </w:r>
          </w:p>
          <w:p>
            <w:pPr>
              <w:pStyle w:val="112"/>
              <w:jc w:val="left"/>
              <w:rPr>
                <w:kern w:val="2"/>
              </w:rPr>
            </w:pPr>
            <w:r>
              <w:rPr>
                <w:kern w:val="2"/>
              </w:rPr>
              <w:t>2</w:t>
            </w:r>
            <w:r>
              <w:rPr>
                <w:rFonts w:hint="eastAsia"/>
                <w:kern w:val="2"/>
              </w:rPr>
              <w:t>．保护土地、农业、林业及植被等；</w:t>
            </w:r>
          </w:p>
          <w:p>
            <w:pPr>
              <w:pStyle w:val="112"/>
              <w:jc w:val="left"/>
              <w:rPr>
                <w:kern w:val="2"/>
              </w:rPr>
            </w:pPr>
            <w:r>
              <w:rPr>
                <w:kern w:val="2"/>
              </w:rPr>
              <w:t>3</w:t>
            </w:r>
            <w:r>
              <w:rPr>
                <w:rFonts w:hint="eastAsia"/>
                <w:kern w:val="2"/>
              </w:rPr>
              <w:t>．保护国家财产安全、公众人身安全。</w:t>
            </w:r>
          </w:p>
        </w:tc>
        <w:tc>
          <w:tcPr>
            <w:tcW w:w="2260" w:type="dxa"/>
            <w:vAlign w:val="center"/>
          </w:tcPr>
          <w:p>
            <w:pPr>
              <w:pStyle w:val="112"/>
              <w:jc w:val="left"/>
              <w:rPr>
                <w:kern w:val="2"/>
              </w:rPr>
            </w:pPr>
            <w:r>
              <w:rPr>
                <w:kern w:val="2"/>
              </w:rPr>
              <w:t>1</w:t>
            </w:r>
            <w:r>
              <w:rPr>
                <w:rFonts w:hint="eastAsia"/>
                <w:kern w:val="2"/>
              </w:rPr>
              <w:t>．使施工期对环境的不利影响降低到最小程度</w:t>
            </w:r>
          </w:p>
          <w:p>
            <w:pPr>
              <w:pStyle w:val="112"/>
              <w:jc w:val="left"/>
              <w:rPr>
                <w:kern w:val="2"/>
              </w:rPr>
            </w:pPr>
            <w:r>
              <w:rPr>
                <w:kern w:val="2"/>
              </w:rPr>
              <w:t>2</w:t>
            </w:r>
            <w:r>
              <w:rPr>
                <w:rFonts w:hint="eastAsia"/>
                <w:kern w:val="2"/>
              </w:rPr>
              <w:t>．公路建设得到社会公众的支持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458" w:type="dxa"/>
            <w:vAlign w:val="center"/>
          </w:tcPr>
          <w:p>
            <w:pPr>
              <w:pStyle w:val="112"/>
              <w:rPr>
                <w:kern w:val="2"/>
              </w:rPr>
            </w:pPr>
            <w:r>
              <w:rPr>
                <w:rFonts w:hint="eastAsia"/>
                <w:kern w:val="2"/>
              </w:rPr>
              <w:t>公路用地、绿化及荒地整治与复垦</w:t>
            </w:r>
          </w:p>
        </w:tc>
        <w:tc>
          <w:tcPr>
            <w:tcW w:w="2763" w:type="dxa"/>
            <w:vAlign w:val="center"/>
          </w:tcPr>
          <w:p>
            <w:pPr>
              <w:pStyle w:val="112"/>
              <w:jc w:val="left"/>
              <w:rPr>
                <w:kern w:val="2"/>
              </w:rPr>
            </w:pPr>
            <w:r>
              <w:rPr>
                <w:kern w:val="2"/>
              </w:rPr>
              <w:t>1</w:t>
            </w:r>
            <w:r>
              <w:rPr>
                <w:rFonts w:hint="eastAsia"/>
                <w:kern w:val="2"/>
              </w:rPr>
              <w:t>．公路景观</w:t>
            </w:r>
          </w:p>
          <w:p>
            <w:pPr>
              <w:pStyle w:val="112"/>
              <w:jc w:val="left"/>
              <w:rPr>
                <w:kern w:val="2"/>
              </w:rPr>
            </w:pPr>
            <w:r>
              <w:rPr>
                <w:kern w:val="2"/>
              </w:rPr>
              <w:t>2</w:t>
            </w:r>
            <w:r>
              <w:rPr>
                <w:rFonts w:hint="eastAsia"/>
                <w:kern w:val="2"/>
              </w:rPr>
              <w:t>．水土保持</w:t>
            </w:r>
          </w:p>
          <w:p>
            <w:pPr>
              <w:pStyle w:val="112"/>
              <w:jc w:val="left"/>
              <w:rPr>
                <w:kern w:val="2"/>
              </w:rPr>
            </w:pPr>
            <w:r>
              <w:rPr>
                <w:kern w:val="2"/>
              </w:rPr>
              <w:t>3</w:t>
            </w:r>
            <w:r>
              <w:rPr>
                <w:rFonts w:hint="eastAsia"/>
                <w:kern w:val="2"/>
              </w:rPr>
              <w:t>．恢复或补偿植被</w:t>
            </w:r>
          </w:p>
          <w:p>
            <w:pPr>
              <w:pStyle w:val="112"/>
              <w:jc w:val="left"/>
              <w:rPr>
                <w:kern w:val="2"/>
              </w:rPr>
            </w:pPr>
            <w:r>
              <w:rPr>
                <w:kern w:val="2"/>
              </w:rPr>
              <w:t>4</w:t>
            </w:r>
            <w:r>
              <w:rPr>
                <w:rFonts w:hint="eastAsia"/>
                <w:kern w:val="2"/>
              </w:rPr>
              <w:t>．荒地改造、改善生态环境</w:t>
            </w:r>
          </w:p>
          <w:p>
            <w:pPr>
              <w:pStyle w:val="112"/>
              <w:jc w:val="left"/>
              <w:rPr>
                <w:kern w:val="2"/>
              </w:rPr>
            </w:pPr>
            <w:r>
              <w:rPr>
                <w:kern w:val="2"/>
              </w:rPr>
              <w:t>5</w:t>
            </w:r>
            <w:r>
              <w:rPr>
                <w:rFonts w:hint="eastAsia"/>
                <w:kern w:val="2"/>
              </w:rPr>
              <w:t>．农田补偿</w:t>
            </w:r>
          </w:p>
        </w:tc>
        <w:tc>
          <w:tcPr>
            <w:tcW w:w="2693" w:type="dxa"/>
            <w:vAlign w:val="center"/>
          </w:tcPr>
          <w:p>
            <w:pPr>
              <w:pStyle w:val="112"/>
              <w:jc w:val="left"/>
              <w:rPr>
                <w:kern w:val="2"/>
              </w:rPr>
            </w:pPr>
            <w:r>
              <w:rPr>
                <w:kern w:val="2"/>
              </w:rPr>
              <w:t>1</w:t>
            </w:r>
            <w:r>
              <w:rPr>
                <w:rFonts w:hint="eastAsia"/>
                <w:kern w:val="2"/>
              </w:rPr>
              <w:t>．改造整体环境；</w:t>
            </w:r>
          </w:p>
          <w:p>
            <w:pPr>
              <w:pStyle w:val="112"/>
              <w:jc w:val="left"/>
              <w:rPr>
                <w:kern w:val="2"/>
              </w:rPr>
            </w:pPr>
            <w:r>
              <w:rPr>
                <w:kern w:val="2"/>
              </w:rPr>
              <w:t>2</w:t>
            </w:r>
            <w:r>
              <w:rPr>
                <w:rFonts w:hint="eastAsia"/>
                <w:kern w:val="2"/>
              </w:rPr>
              <w:t>．防止土壤侵蚀加剧；</w:t>
            </w:r>
          </w:p>
          <w:p>
            <w:pPr>
              <w:pStyle w:val="112"/>
              <w:jc w:val="left"/>
              <w:rPr>
                <w:kern w:val="2"/>
              </w:rPr>
            </w:pPr>
            <w:r>
              <w:rPr>
                <w:kern w:val="2"/>
              </w:rPr>
              <w:t>3</w:t>
            </w:r>
            <w:r>
              <w:rPr>
                <w:rFonts w:hint="eastAsia"/>
                <w:kern w:val="2"/>
              </w:rPr>
              <w:t>．路基稳定性；</w:t>
            </w:r>
          </w:p>
          <w:p>
            <w:pPr>
              <w:pStyle w:val="112"/>
              <w:jc w:val="left"/>
              <w:rPr>
                <w:kern w:val="2"/>
              </w:rPr>
            </w:pPr>
            <w:r>
              <w:rPr>
                <w:kern w:val="2"/>
              </w:rPr>
              <w:t>4</w:t>
            </w:r>
            <w:r>
              <w:rPr>
                <w:rFonts w:hint="eastAsia"/>
                <w:kern w:val="2"/>
              </w:rPr>
              <w:t>．保护土地资源和耕地动态平衡；</w:t>
            </w:r>
          </w:p>
          <w:p>
            <w:pPr>
              <w:pStyle w:val="112"/>
              <w:jc w:val="left"/>
              <w:rPr>
                <w:kern w:val="2"/>
              </w:rPr>
            </w:pPr>
            <w:r>
              <w:rPr>
                <w:kern w:val="2"/>
              </w:rPr>
              <w:t>5</w:t>
            </w:r>
            <w:r>
              <w:rPr>
                <w:rFonts w:hint="eastAsia"/>
                <w:kern w:val="2"/>
              </w:rPr>
              <w:t>．提高土地使用价值。</w:t>
            </w:r>
          </w:p>
        </w:tc>
        <w:tc>
          <w:tcPr>
            <w:tcW w:w="2260" w:type="dxa"/>
            <w:vAlign w:val="center"/>
          </w:tcPr>
          <w:p>
            <w:pPr>
              <w:pStyle w:val="112"/>
              <w:jc w:val="left"/>
              <w:rPr>
                <w:kern w:val="2"/>
              </w:rPr>
            </w:pPr>
            <w:r>
              <w:rPr>
                <w:kern w:val="2"/>
              </w:rPr>
              <w:t>l</w:t>
            </w:r>
            <w:r>
              <w:rPr>
                <w:rFonts w:hint="eastAsia"/>
                <w:kern w:val="2"/>
              </w:rPr>
              <w:t>．改善地区的生态环境</w:t>
            </w:r>
          </w:p>
          <w:p>
            <w:pPr>
              <w:pStyle w:val="112"/>
              <w:jc w:val="left"/>
              <w:rPr>
                <w:kern w:val="2"/>
              </w:rPr>
            </w:pPr>
            <w:r>
              <w:rPr>
                <w:kern w:val="2"/>
              </w:rPr>
              <w:t>2</w:t>
            </w:r>
            <w:r>
              <w:rPr>
                <w:rFonts w:hint="eastAsia"/>
                <w:kern w:val="2"/>
              </w:rPr>
              <w:t>．保障公路运输安全</w:t>
            </w:r>
          </w:p>
          <w:p>
            <w:pPr>
              <w:pStyle w:val="112"/>
              <w:jc w:val="left"/>
              <w:rPr>
                <w:kern w:val="2"/>
              </w:rPr>
            </w:pPr>
            <w:r>
              <w:rPr>
                <w:kern w:val="2"/>
              </w:rPr>
              <w:t>3</w:t>
            </w:r>
            <w:r>
              <w:rPr>
                <w:rFonts w:hint="eastAsia"/>
                <w:kern w:val="2"/>
              </w:rPr>
              <w:t>．增加旅行安全和舒适感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458" w:type="dxa"/>
            <w:vAlign w:val="center"/>
          </w:tcPr>
          <w:p>
            <w:pPr>
              <w:pStyle w:val="112"/>
              <w:rPr>
                <w:kern w:val="2"/>
              </w:rPr>
            </w:pPr>
            <w:r>
              <w:rPr>
                <w:rFonts w:hint="eastAsia"/>
                <w:kern w:val="2"/>
              </w:rPr>
              <w:t>噪声防治工程</w:t>
            </w:r>
          </w:p>
        </w:tc>
        <w:tc>
          <w:tcPr>
            <w:tcW w:w="2763" w:type="dxa"/>
            <w:vAlign w:val="center"/>
          </w:tcPr>
          <w:p>
            <w:pPr>
              <w:pStyle w:val="112"/>
              <w:jc w:val="left"/>
              <w:rPr>
                <w:kern w:val="2"/>
              </w:rPr>
            </w:pPr>
            <w:r>
              <w:rPr>
                <w:rFonts w:hint="eastAsia"/>
                <w:kern w:val="2"/>
              </w:rPr>
              <w:t>防止交通噪声对沿线地区环境的污染</w:t>
            </w:r>
          </w:p>
        </w:tc>
        <w:tc>
          <w:tcPr>
            <w:tcW w:w="2693" w:type="dxa"/>
            <w:vAlign w:val="center"/>
          </w:tcPr>
          <w:p>
            <w:pPr>
              <w:pStyle w:val="112"/>
              <w:jc w:val="left"/>
              <w:rPr>
                <w:kern w:val="2"/>
              </w:rPr>
            </w:pPr>
            <w:r>
              <w:rPr>
                <w:kern w:val="2"/>
              </w:rPr>
              <w:t>1</w:t>
            </w:r>
            <w:r>
              <w:rPr>
                <w:rFonts w:hint="eastAsia"/>
                <w:kern w:val="2"/>
              </w:rPr>
              <w:t>．保护村镇居民生活环境；</w:t>
            </w:r>
          </w:p>
          <w:p>
            <w:pPr>
              <w:pStyle w:val="112"/>
              <w:jc w:val="left"/>
              <w:rPr>
                <w:kern w:val="2"/>
              </w:rPr>
            </w:pPr>
            <w:r>
              <w:rPr>
                <w:kern w:val="2"/>
              </w:rPr>
              <w:t>2</w:t>
            </w:r>
            <w:r>
              <w:rPr>
                <w:rFonts w:hint="eastAsia"/>
                <w:kern w:val="2"/>
              </w:rPr>
              <w:t>．土地保值。</w:t>
            </w:r>
          </w:p>
        </w:tc>
        <w:tc>
          <w:tcPr>
            <w:tcW w:w="2260" w:type="dxa"/>
            <w:vAlign w:val="center"/>
          </w:tcPr>
          <w:p>
            <w:pPr>
              <w:pStyle w:val="112"/>
              <w:jc w:val="left"/>
              <w:rPr>
                <w:kern w:val="2"/>
              </w:rPr>
            </w:pPr>
            <w:r>
              <w:rPr>
                <w:rFonts w:hint="eastAsia"/>
                <w:kern w:val="2"/>
              </w:rPr>
              <w:t>保护人们生产、生活环境质量及人们的身体健康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1458" w:type="dxa"/>
            <w:vAlign w:val="center"/>
          </w:tcPr>
          <w:p>
            <w:pPr>
              <w:pStyle w:val="112"/>
              <w:rPr>
                <w:kern w:val="2"/>
              </w:rPr>
            </w:pPr>
            <w:r>
              <w:rPr>
                <w:rFonts w:hint="eastAsia"/>
                <w:kern w:val="2"/>
              </w:rPr>
              <w:t>污水处理工程、排水、防护工程</w:t>
            </w:r>
          </w:p>
        </w:tc>
        <w:tc>
          <w:tcPr>
            <w:tcW w:w="2763" w:type="dxa"/>
            <w:vAlign w:val="center"/>
          </w:tcPr>
          <w:p>
            <w:pPr>
              <w:pStyle w:val="112"/>
              <w:jc w:val="left"/>
              <w:rPr>
                <w:kern w:val="2"/>
              </w:rPr>
            </w:pPr>
            <w:r>
              <w:rPr>
                <w:rFonts w:hint="eastAsia"/>
                <w:kern w:val="2"/>
              </w:rPr>
              <w:t>保护公路沿线地区河流、灌渠的水质</w:t>
            </w:r>
          </w:p>
        </w:tc>
        <w:tc>
          <w:tcPr>
            <w:tcW w:w="2693" w:type="dxa"/>
            <w:vAlign w:val="center"/>
          </w:tcPr>
          <w:p>
            <w:pPr>
              <w:pStyle w:val="112"/>
              <w:jc w:val="left"/>
              <w:rPr>
                <w:kern w:val="2"/>
              </w:rPr>
            </w:pPr>
            <w:r>
              <w:rPr>
                <w:kern w:val="2"/>
              </w:rPr>
              <w:t>1</w:t>
            </w:r>
            <w:r>
              <w:rPr>
                <w:rFonts w:hint="eastAsia"/>
                <w:kern w:val="2"/>
              </w:rPr>
              <w:t>．保护河渠的水质；</w:t>
            </w:r>
          </w:p>
          <w:p>
            <w:pPr>
              <w:pStyle w:val="112"/>
              <w:jc w:val="left"/>
              <w:rPr>
                <w:kern w:val="2"/>
              </w:rPr>
            </w:pPr>
            <w:r>
              <w:rPr>
                <w:kern w:val="2"/>
              </w:rPr>
              <w:t>2</w:t>
            </w:r>
            <w:r>
              <w:rPr>
                <w:rFonts w:hint="eastAsia"/>
                <w:kern w:val="2"/>
              </w:rPr>
              <w:t>．水资源的保护；</w:t>
            </w:r>
          </w:p>
          <w:p>
            <w:pPr>
              <w:pStyle w:val="112"/>
              <w:jc w:val="left"/>
              <w:rPr>
                <w:kern w:val="2"/>
              </w:rPr>
            </w:pPr>
            <w:r>
              <w:rPr>
                <w:kern w:val="2"/>
              </w:rPr>
              <w:t>3</w:t>
            </w:r>
            <w:r>
              <w:rPr>
                <w:rFonts w:hint="eastAsia"/>
                <w:kern w:val="2"/>
              </w:rPr>
              <w:t>．水土保持。</w:t>
            </w:r>
          </w:p>
        </w:tc>
        <w:tc>
          <w:tcPr>
            <w:tcW w:w="2260" w:type="dxa"/>
            <w:vAlign w:val="center"/>
          </w:tcPr>
          <w:p>
            <w:pPr>
              <w:pStyle w:val="112"/>
              <w:jc w:val="left"/>
              <w:rPr>
                <w:kern w:val="2"/>
              </w:rPr>
            </w:pPr>
            <w:r>
              <w:rPr>
                <w:rFonts w:hint="eastAsia"/>
                <w:kern w:val="2"/>
              </w:rPr>
              <w:t>保护水资源</w:t>
            </w:r>
          </w:p>
        </w:tc>
      </w:tr>
    </w:tbl>
    <w:p>
      <w:pPr>
        <w:spacing w:line="360" w:lineRule="auto"/>
        <w:ind w:firstLine="31680" w:firstLineChars="200"/>
        <w:jc w:val="center"/>
        <w:rPr>
          <w:rFonts w:eastAsia="黑体"/>
          <w:color w:val="FF0000"/>
          <w:sz w:val="24"/>
          <w:szCs w:val="24"/>
        </w:rPr>
      </w:pPr>
    </w:p>
    <w:p>
      <w:pPr>
        <w:ind w:firstLine="480"/>
        <w:rPr>
          <w:color w:val="FF0000"/>
        </w:rPr>
        <w:sectPr>
          <w:pgSz w:w="11907" w:h="16840"/>
          <w:pgMar w:top="1474" w:right="1361" w:bottom="1474" w:left="1588" w:header="1020" w:footer="851" w:gutter="0"/>
          <w:pgBorders>
            <w:top w:val="none" w:sz="0" w:space="0"/>
            <w:left w:val="none" w:sz="0" w:space="0"/>
            <w:bottom w:val="none" w:sz="0" w:space="0"/>
            <w:right w:val="none" w:sz="0" w:space="0"/>
          </w:pgBorders>
          <w:cols w:space="425" w:num="1"/>
          <w:docGrid w:linePitch="286" w:charSpace="0"/>
        </w:sectPr>
      </w:pPr>
    </w:p>
    <w:p>
      <w:pPr>
        <w:pStyle w:val="2"/>
        <w:ind w:left="567" w:hanging="567"/>
      </w:pPr>
      <w:bookmarkStart w:id="366" w:name="_Toc354581753"/>
      <w:bookmarkStart w:id="367" w:name="_Toc354581933"/>
      <w:bookmarkStart w:id="368" w:name="_Toc354558951"/>
      <w:bookmarkStart w:id="369" w:name="_Toc21303"/>
      <w:r>
        <w:rPr>
          <w:rFonts w:hint="eastAsia"/>
        </w:rPr>
        <w:t>评价结论</w:t>
      </w:r>
      <w:bookmarkEnd w:id="366"/>
      <w:bookmarkEnd w:id="367"/>
      <w:bookmarkEnd w:id="368"/>
      <w:r>
        <w:rPr>
          <w:rFonts w:hint="eastAsia"/>
        </w:rPr>
        <w:t>与建议</w:t>
      </w:r>
      <w:bookmarkEnd w:id="369"/>
    </w:p>
    <w:p>
      <w:pPr>
        <w:pStyle w:val="4"/>
        <w:ind w:left="567" w:hanging="567"/>
      </w:pPr>
      <w:bookmarkStart w:id="370" w:name="_Toc6569"/>
      <w:bookmarkStart w:id="371" w:name="_Toc354581934"/>
      <w:bookmarkStart w:id="372" w:name="_Toc354558952"/>
      <w:bookmarkStart w:id="373" w:name="_Toc354581754"/>
      <w:r>
        <w:rPr>
          <w:rFonts w:hint="eastAsia"/>
        </w:rPr>
        <w:t>工程概况</w:t>
      </w:r>
      <w:bookmarkEnd w:id="370"/>
      <w:bookmarkEnd w:id="371"/>
      <w:bookmarkEnd w:id="372"/>
      <w:bookmarkEnd w:id="373"/>
    </w:p>
    <w:p>
      <w:pPr>
        <w:pStyle w:val="3"/>
        <w:spacing w:line="336" w:lineRule="auto"/>
        <w:ind w:left="31680" w:leftChars="200" w:firstLine="0" w:firstLineChars="0"/>
      </w:pPr>
      <w:r>
        <w:t xml:space="preserve"> a)</w:t>
      </w:r>
      <w:r>
        <w:rPr>
          <w:rFonts w:hint="eastAsia"/>
        </w:rPr>
        <w:t>项目名称：</w:t>
      </w:r>
      <w:r>
        <w:rPr>
          <w:rFonts w:hint="eastAsia"/>
          <w:lang w:eastAsia="zh-CN"/>
        </w:rPr>
        <w:t>弼时镇铜盆至青山铺公路（飞地工业园区主干道桃花路）工程建设项目</w:t>
      </w:r>
      <w:r>
        <w:rPr>
          <w:rFonts w:hint="eastAsia"/>
        </w:rPr>
        <w:t>；</w:t>
      </w:r>
    </w:p>
    <w:p>
      <w:pPr>
        <w:pStyle w:val="3"/>
        <w:spacing w:line="336" w:lineRule="auto"/>
        <w:ind w:firstLine="31680"/>
      </w:pPr>
      <w:r>
        <w:t>b</w:t>
      </w:r>
      <w:r>
        <w:rPr>
          <w:rFonts w:hint="eastAsia"/>
        </w:rPr>
        <w:t>）建设性质：新建；</w:t>
      </w:r>
    </w:p>
    <w:p>
      <w:pPr>
        <w:pStyle w:val="3"/>
        <w:spacing w:line="336" w:lineRule="auto"/>
        <w:ind w:firstLine="31680"/>
      </w:pPr>
      <w:r>
        <w:t>c</w:t>
      </w:r>
      <w:r>
        <w:rPr>
          <w:rFonts w:hint="eastAsia"/>
        </w:rPr>
        <w:t>）建设单位</w:t>
      </w:r>
      <w:r>
        <w:rPr>
          <w:rFonts w:hint="eastAsia"/>
          <w:snapToGrid w:val="0"/>
          <w:kern w:val="13"/>
        </w:rPr>
        <w:t>：</w:t>
      </w:r>
      <w:r>
        <w:rPr>
          <w:rFonts w:hint="eastAsia"/>
        </w:rPr>
        <w:t>汨罗市交通建设投资有限公司</w:t>
      </w:r>
      <w:r>
        <w:rPr>
          <w:rFonts w:hint="eastAsia"/>
          <w:snapToGrid w:val="0"/>
          <w:kern w:val="13"/>
        </w:rPr>
        <w:t>；</w:t>
      </w:r>
    </w:p>
    <w:p>
      <w:pPr>
        <w:pStyle w:val="3"/>
        <w:spacing w:line="336" w:lineRule="auto"/>
        <w:ind w:firstLine="31680"/>
        <w:rPr>
          <w:snapToGrid w:val="0"/>
          <w:kern w:val="13"/>
        </w:rPr>
      </w:pPr>
      <w:r>
        <w:t>d</w:t>
      </w:r>
      <w:r>
        <w:rPr>
          <w:rFonts w:hint="eastAsia"/>
        </w:rPr>
        <w:t>）总投资：</w:t>
      </w:r>
      <w:r>
        <w:rPr>
          <w:rFonts w:hint="eastAsia"/>
          <w:snapToGrid w:val="0"/>
          <w:kern w:val="13"/>
        </w:rPr>
        <w:t>项目总投资为</w:t>
      </w:r>
      <w:r>
        <w:rPr>
          <w:rFonts w:cs="宋体"/>
        </w:rPr>
        <w:t>24018.59</w:t>
      </w:r>
      <w:r>
        <w:rPr>
          <w:rFonts w:hint="eastAsia"/>
        </w:rPr>
        <w:t>万元</w:t>
      </w:r>
      <w:r>
        <w:rPr>
          <w:rFonts w:hint="eastAsia"/>
          <w:snapToGrid w:val="0"/>
          <w:kern w:val="13"/>
        </w:rPr>
        <w:t>，</w:t>
      </w:r>
      <w:r>
        <w:rPr>
          <w:rFonts w:hint="eastAsia" w:hAnsi="Century Gothic"/>
        </w:rPr>
        <w:t>平均</w:t>
      </w:r>
      <w:r>
        <w:rPr>
          <w:rFonts w:hint="eastAsia" w:hAnsi="Century Gothic"/>
          <w:spacing w:val="2"/>
        </w:rPr>
        <w:t>每</w:t>
      </w:r>
      <w:r>
        <w:rPr>
          <w:rFonts w:hint="eastAsia" w:hAnsi="Century Gothic"/>
        </w:rPr>
        <w:t>公里造价</w:t>
      </w:r>
      <w:r>
        <w:rPr>
          <w:rFonts w:cs="宋体"/>
        </w:rPr>
        <w:t>2869.95</w:t>
      </w:r>
      <w:r>
        <w:rPr>
          <w:rFonts w:hint="eastAsia" w:cs="宋体"/>
        </w:rPr>
        <w:t>万元</w:t>
      </w:r>
      <w:r>
        <w:rPr>
          <w:rFonts w:hint="eastAsia"/>
          <w:snapToGrid w:val="0"/>
          <w:kern w:val="13"/>
        </w:rPr>
        <w:t>；</w:t>
      </w:r>
    </w:p>
    <w:p>
      <w:pPr>
        <w:adjustRightInd w:val="0"/>
        <w:snapToGrid w:val="0"/>
        <w:spacing w:line="336" w:lineRule="auto"/>
        <w:ind w:firstLine="31680" w:firstLineChars="200"/>
        <w:rPr>
          <w:rFonts w:hAnsi="宋体"/>
          <w:sz w:val="24"/>
          <w:szCs w:val="24"/>
        </w:rPr>
      </w:pPr>
      <w:r>
        <w:rPr>
          <w:rFonts w:hAnsi="宋体"/>
          <w:sz w:val="24"/>
          <w:szCs w:val="24"/>
        </w:rPr>
        <w:t>e</w:t>
      </w:r>
      <w:r>
        <w:rPr>
          <w:rFonts w:hint="eastAsia" w:hAnsi="宋体"/>
          <w:sz w:val="24"/>
          <w:szCs w:val="24"/>
        </w:rPr>
        <w:t>）资金筹措：项目建设资金来源为地方自筹；</w:t>
      </w:r>
    </w:p>
    <w:p>
      <w:pPr>
        <w:pStyle w:val="3"/>
        <w:spacing w:line="336" w:lineRule="auto"/>
        <w:ind w:firstLine="31680"/>
        <w:rPr>
          <w:rFonts w:hAnsi="宋体"/>
          <w:kern w:val="2"/>
          <w:szCs w:val="24"/>
        </w:rPr>
      </w:pPr>
      <w:r>
        <w:rPr>
          <w:rFonts w:hAnsi="宋体"/>
          <w:kern w:val="2"/>
          <w:szCs w:val="24"/>
        </w:rPr>
        <w:t>f</w:t>
      </w:r>
      <w:r>
        <w:rPr>
          <w:rFonts w:hint="eastAsia" w:hAnsi="宋体"/>
          <w:kern w:val="2"/>
          <w:szCs w:val="24"/>
        </w:rPr>
        <w:t>）建设工期：</w:t>
      </w:r>
      <w:r>
        <w:rPr>
          <w:color w:val="auto"/>
          <w:sz w:val="24"/>
        </w:rPr>
        <w:t>2017</w:t>
      </w:r>
      <w:r>
        <w:rPr>
          <w:rFonts w:hint="eastAsia"/>
          <w:color w:val="auto"/>
          <w:sz w:val="24"/>
        </w:rPr>
        <w:t>年</w:t>
      </w:r>
      <w:r>
        <w:rPr>
          <w:rFonts w:hint="eastAsia"/>
          <w:color w:val="auto"/>
          <w:sz w:val="24"/>
          <w:lang w:val="en-US" w:eastAsia="zh-CN"/>
        </w:rPr>
        <w:t>5</w:t>
      </w:r>
      <w:r>
        <w:rPr>
          <w:rFonts w:hint="eastAsia"/>
          <w:color w:val="auto"/>
          <w:sz w:val="24"/>
        </w:rPr>
        <w:t>月</w:t>
      </w:r>
      <w:r>
        <w:rPr>
          <w:rFonts w:hint="eastAsia" w:ascii="宋体" w:hAnsi="宋体" w:cs="Arial"/>
          <w:color w:val="auto"/>
          <w:sz w:val="24"/>
          <w:lang w:val="sq-AL"/>
        </w:rPr>
        <w:t>开工，</w:t>
      </w:r>
      <w:r>
        <w:rPr>
          <w:rFonts w:ascii="宋体" w:hAnsi="宋体" w:cs="Arial"/>
          <w:color w:val="auto"/>
          <w:sz w:val="24"/>
          <w:lang w:val="sq-AL"/>
        </w:rPr>
        <w:t>20</w:t>
      </w:r>
      <w:r>
        <w:rPr>
          <w:rFonts w:ascii="宋体" w:hAnsi="宋体" w:cs="Arial"/>
          <w:color w:val="auto"/>
          <w:sz w:val="24"/>
        </w:rPr>
        <w:t>18</w:t>
      </w:r>
      <w:r>
        <w:rPr>
          <w:rFonts w:hint="eastAsia" w:ascii="宋体" w:hAnsi="宋体" w:cs="Arial"/>
          <w:color w:val="auto"/>
          <w:sz w:val="24"/>
          <w:lang w:val="sq-AL"/>
        </w:rPr>
        <w:t>年</w:t>
      </w:r>
      <w:r>
        <w:rPr>
          <w:rFonts w:hint="eastAsia" w:ascii="宋体" w:hAnsi="宋体" w:cs="Arial"/>
          <w:color w:val="auto"/>
          <w:sz w:val="24"/>
          <w:lang w:val="en-US" w:eastAsia="zh-CN"/>
        </w:rPr>
        <w:t>10</w:t>
      </w:r>
      <w:r>
        <w:rPr>
          <w:rFonts w:hint="eastAsia" w:ascii="宋体" w:hAnsi="宋体" w:cs="Arial"/>
          <w:color w:val="auto"/>
          <w:sz w:val="24"/>
          <w:lang w:val="sq-AL"/>
        </w:rPr>
        <w:t>月</w:t>
      </w:r>
      <w:r>
        <w:rPr>
          <w:rFonts w:hint="eastAsia" w:hAnsi="宋体"/>
          <w:kern w:val="2"/>
          <w:szCs w:val="24"/>
        </w:rPr>
        <w:t>竣工，建设期</w:t>
      </w:r>
      <w:r>
        <w:rPr>
          <w:rFonts w:hAnsi="宋体"/>
          <w:kern w:val="2"/>
          <w:szCs w:val="24"/>
        </w:rPr>
        <w:t>18</w:t>
      </w:r>
      <w:r>
        <w:rPr>
          <w:rFonts w:hint="eastAsia" w:hAnsi="宋体"/>
          <w:kern w:val="2"/>
          <w:szCs w:val="24"/>
        </w:rPr>
        <w:t>月。</w:t>
      </w:r>
    </w:p>
    <w:p>
      <w:pPr>
        <w:pStyle w:val="3"/>
        <w:ind w:firstLine="31680"/>
        <w:rPr>
          <w:rFonts w:cs="宋体"/>
        </w:rPr>
      </w:pPr>
      <w:r>
        <w:rPr>
          <w:szCs w:val="24"/>
        </w:rPr>
        <w:t>g</w:t>
      </w:r>
      <w:r>
        <w:rPr>
          <w:rFonts w:hint="eastAsia"/>
          <w:szCs w:val="24"/>
        </w:rPr>
        <w:t>）</w:t>
      </w:r>
      <w:r>
        <w:rPr>
          <w:rFonts w:hint="eastAsia"/>
        </w:rPr>
        <w:t>路线方案：位于湖南省汨罗市弼时镇，位于铜盆至青山铺中间，设计起点位于汨罗市弼</w:t>
      </w:r>
      <w:r>
        <w:rPr>
          <w:rFonts w:hint="eastAsia" w:cs="宋体"/>
        </w:rPr>
        <w:t>时镇铜盆村，经樟树塘、范家屋场、石塘湾，然后基本沿规划的桃花路线位进行展线，并根据地形对其进行优化，经旧屋场，终点位于汨罗市弼时镇大里塘水库东南角胡家垄（汨罗市与长沙县交界处），与长沙县</w:t>
      </w:r>
      <w:r>
        <w:rPr>
          <w:rFonts w:cs="宋体"/>
        </w:rPr>
        <w:t>G107</w:t>
      </w:r>
      <w:r>
        <w:rPr>
          <w:rFonts w:hint="eastAsia" w:cs="宋体"/>
        </w:rPr>
        <w:t>调规公路工程起点对接，里程长度</w:t>
      </w:r>
      <w:r>
        <w:rPr>
          <w:rFonts w:cs="宋体"/>
        </w:rPr>
        <w:t>8.369Km</w:t>
      </w:r>
      <w:r>
        <w:rPr>
          <w:rFonts w:hint="eastAsia" w:cs="宋体"/>
        </w:rPr>
        <w:t>。公路路基宽度为</w:t>
      </w:r>
      <w:r>
        <w:rPr>
          <w:rFonts w:cs="宋体"/>
        </w:rPr>
        <w:t>25.5m</w:t>
      </w:r>
      <w:r>
        <w:rPr>
          <w:rFonts w:hint="eastAsia" w:cs="宋体"/>
        </w:rPr>
        <w:t>，设计速度</w:t>
      </w:r>
      <w:r>
        <w:rPr>
          <w:rFonts w:cs="宋体"/>
        </w:rPr>
        <w:t>80km/h</w:t>
      </w:r>
      <w:r>
        <w:rPr>
          <w:rFonts w:hint="eastAsia" w:cs="宋体"/>
        </w:rPr>
        <w:t>。</w:t>
      </w:r>
    </w:p>
    <w:p>
      <w:pPr>
        <w:pStyle w:val="3"/>
        <w:ind w:firstLine="31680"/>
        <w:rPr>
          <w:szCs w:val="24"/>
        </w:rPr>
      </w:pPr>
      <w:r>
        <w:t>h</w:t>
      </w:r>
      <w:r>
        <w:rPr>
          <w:rFonts w:hint="eastAsia"/>
        </w:rPr>
        <w:t>）建设标准：本工程采用一级公路标准建设，设计速度为</w:t>
      </w:r>
      <w:r>
        <w:t>80km/h</w:t>
      </w:r>
      <w:r>
        <w:rPr>
          <w:rFonts w:hint="eastAsia"/>
        </w:rPr>
        <w:t>；采用双向四车道；</w:t>
      </w:r>
      <w:r>
        <w:rPr>
          <w:rFonts w:hint="eastAsia"/>
          <w:szCs w:val="24"/>
        </w:rPr>
        <w:t>沥青砼路面；最小平曲线半径</w:t>
      </w:r>
      <w:r>
        <w:rPr>
          <w:szCs w:val="24"/>
        </w:rPr>
        <w:t>125m</w:t>
      </w:r>
      <w:r>
        <w:rPr>
          <w:rFonts w:hint="eastAsia"/>
          <w:szCs w:val="24"/>
        </w:rPr>
        <w:t>；最大纵坡</w:t>
      </w:r>
      <w:r>
        <w:rPr>
          <w:szCs w:val="24"/>
        </w:rPr>
        <w:t>6%</w:t>
      </w:r>
      <w:r>
        <w:rPr>
          <w:rFonts w:hint="eastAsia"/>
          <w:szCs w:val="24"/>
        </w:rPr>
        <w:t>；桥涵设计荷载等级为公路</w:t>
      </w:r>
      <w:r>
        <w:rPr>
          <w:szCs w:val="24"/>
        </w:rPr>
        <w:t>-I</w:t>
      </w:r>
      <w:r>
        <w:rPr>
          <w:rFonts w:hint="eastAsia"/>
          <w:szCs w:val="24"/>
        </w:rPr>
        <w:t>级；路面设计标准轴载为双轮组单轴</w:t>
      </w:r>
      <w:r>
        <w:rPr>
          <w:szCs w:val="24"/>
        </w:rPr>
        <w:t>100kN</w:t>
      </w:r>
      <w:r>
        <w:rPr>
          <w:rFonts w:hint="eastAsia"/>
          <w:szCs w:val="24"/>
        </w:rPr>
        <w:t>；设计洪水频率：特大桥</w:t>
      </w:r>
      <w:r>
        <w:rPr>
          <w:szCs w:val="24"/>
        </w:rPr>
        <w:t>1/300</w:t>
      </w:r>
      <w:r>
        <w:rPr>
          <w:rFonts w:hint="eastAsia"/>
          <w:szCs w:val="24"/>
        </w:rPr>
        <w:t>，大、中桥</w:t>
      </w:r>
      <w:r>
        <w:rPr>
          <w:szCs w:val="24"/>
        </w:rPr>
        <w:t>1/100</w:t>
      </w:r>
      <w:r>
        <w:rPr>
          <w:rFonts w:hint="eastAsia"/>
          <w:szCs w:val="24"/>
        </w:rPr>
        <w:t>，小桥涵、路基</w:t>
      </w:r>
      <w:r>
        <w:rPr>
          <w:szCs w:val="24"/>
        </w:rPr>
        <w:t>1/100</w:t>
      </w:r>
      <w:r>
        <w:rPr>
          <w:rFonts w:hint="eastAsia"/>
          <w:szCs w:val="24"/>
        </w:rPr>
        <w:t>；设震设防标准为简易设防；安全设施防护等级为</w:t>
      </w:r>
      <w:r>
        <w:rPr>
          <w:szCs w:val="24"/>
        </w:rPr>
        <w:t>SB</w:t>
      </w:r>
      <w:r>
        <w:rPr>
          <w:rFonts w:hint="eastAsia"/>
          <w:szCs w:val="24"/>
        </w:rPr>
        <w:t>级。</w:t>
      </w:r>
    </w:p>
    <w:p>
      <w:pPr>
        <w:spacing w:line="360" w:lineRule="auto"/>
        <w:ind w:firstLine="31680" w:firstLineChars="200"/>
        <w:rPr>
          <w:rFonts w:hAnsi="宋体"/>
          <w:sz w:val="24"/>
          <w:szCs w:val="24"/>
        </w:rPr>
      </w:pPr>
      <w:r>
        <w:rPr>
          <w:sz w:val="24"/>
          <w:szCs w:val="24"/>
        </w:rPr>
        <w:t>i</w:t>
      </w:r>
      <w:r>
        <w:rPr>
          <w:rFonts w:hint="eastAsia"/>
          <w:sz w:val="24"/>
          <w:szCs w:val="24"/>
        </w:rPr>
        <w:t>）工程量：</w:t>
      </w:r>
      <w:r>
        <w:rPr>
          <w:rFonts w:hint="eastAsia" w:hAnsi="宋体"/>
          <w:sz w:val="24"/>
          <w:szCs w:val="24"/>
        </w:rPr>
        <w:t>本工程推荐方案路线长</w:t>
      </w:r>
      <w:r>
        <w:rPr>
          <w:sz w:val="24"/>
          <w:szCs w:val="24"/>
        </w:rPr>
        <w:t>8.369km</w:t>
      </w:r>
      <w:r>
        <w:rPr>
          <w:rFonts w:hint="eastAsia" w:hAnsi="宋体"/>
          <w:sz w:val="24"/>
          <w:szCs w:val="24"/>
        </w:rPr>
        <w:t>，占用土地</w:t>
      </w:r>
      <w:r>
        <w:rPr>
          <w:sz w:val="24"/>
          <w:szCs w:val="24"/>
        </w:rPr>
        <w:t>501.16</w:t>
      </w:r>
      <w:r>
        <w:rPr>
          <w:rFonts w:hint="eastAsia"/>
          <w:sz w:val="24"/>
          <w:szCs w:val="24"/>
        </w:rPr>
        <w:t>亩</w:t>
      </w:r>
      <w:r>
        <w:rPr>
          <w:rFonts w:hint="eastAsia" w:hAnsi="宋体"/>
          <w:sz w:val="24"/>
          <w:szCs w:val="24"/>
        </w:rPr>
        <w:t>，新增用地</w:t>
      </w:r>
      <w:r>
        <w:rPr>
          <w:rFonts w:hAnsi="宋体"/>
          <w:sz w:val="24"/>
          <w:szCs w:val="24"/>
        </w:rPr>
        <w:t>486.09</w:t>
      </w:r>
      <w:r>
        <w:rPr>
          <w:rFonts w:hint="eastAsia" w:hAnsi="宋体"/>
          <w:sz w:val="24"/>
          <w:szCs w:val="24"/>
        </w:rPr>
        <w:t>亩，土石方</w:t>
      </w:r>
      <w:r>
        <w:rPr>
          <w:rFonts w:hAnsi="宋体"/>
          <w:sz w:val="24"/>
          <w:szCs w:val="24"/>
        </w:rPr>
        <w:t>851903m</w:t>
      </w:r>
      <w:r>
        <w:rPr>
          <w:sz w:val="24"/>
          <w:szCs w:val="24"/>
          <w:vertAlign w:val="superscript"/>
        </w:rPr>
        <w:t>3</w:t>
      </w:r>
      <w:r>
        <w:rPr>
          <w:rFonts w:hint="eastAsia" w:hAnsi="宋体"/>
          <w:sz w:val="24"/>
          <w:szCs w:val="24"/>
        </w:rPr>
        <w:t>，防护及排水圬工</w:t>
      </w:r>
      <w:r>
        <w:rPr>
          <w:sz w:val="24"/>
          <w:szCs w:val="24"/>
        </w:rPr>
        <w:t>44143m</w:t>
      </w:r>
      <w:r>
        <w:rPr>
          <w:sz w:val="24"/>
          <w:szCs w:val="24"/>
          <w:vertAlign w:val="superscript"/>
        </w:rPr>
        <w:t>3</w:t>
      </w:r>
      <w:r>
        <w:rPr>
          <w:rFonts w:hint="eastAsia" w:hAnsi="宋体"/>
          <w:sz w:val="24"/>
          <w:szCs w:val="24"/>
        </w:rPr>
        <w:t>，沥青路面</w:t>
      </w:r>
      <w:r>
        <w:rPr>
          <w:sz w:val="24"/>
          <w:szCs w:val="24"/>
        </w:rPr>
        <w:t>18.9602</w:t>
      </w:r>
      <w:r>
        <w:rPr>
          <w:rFonts w:hint="eastAsia" w:hAnsi="宋体"/>
          <w:sz w:val="24"/>
          <w:szCs w:val="24"/>
        </w:rPr>
        <w:t>万</w:t>
      </w:r>
      <w:r>
        <w:rPr>
          <w:sz w:val="24"/>
          <w:szCs w:val="24"/>
        </w:rPr>
        <w:t>m</w:t>
      </w:r>
      <w:r>
        <w:rPr>
          <w:sz w:val="24"/>
          <w:szCs w:val="24"/>
          <w:vertAlign w:val="superscript"/>
        </w:rPr>
        <w:t>2</w:t>
      </w:r>
      <w:r>
        <w:rPr>
          <w:rFonts w:hint="eastAsia" w:hAnsi="宋体"/>
          <w:sz w:val="24"/>
          <w:szCs w:val="24"/>
        </w:rPr>
        <w:t>，中桥</w:t>
      </w:r>
      <w:r>
        <w:rPr>
          <w:rFonts w:hAnsi="宋体"/>
          <w:sz w:val="24"/>
          <w:szCs w:val="24"/>
        </w:rPr>
        <w:t>52m/2</w:t>
      </w:r>
      <w:r>
        <w:rPr>
          <w:rFonts w:hint="eastAsia" w:hAnsi="宋体"/>
          <w:sz w:val="24"/>
          <w:szCs w:val="24"/>
        </w:rPr>
        <w:t>座（新建），涵洞</w:t>
      </w:r>
      <w:r>
        <w:rPr>
          <w:rFonts w:hAnsi="宋体"/>
          <w:sz w:val="24"/>
          <w:szCs w:val="24"/>
        </w:rPr>
        <w:t>30</w:t>
      </w:r>
      <w:r>
        <w:rPr>
          <w:rFonts w:hint="eastAsia" w:hAnsi="宋体"/>
          <w:sz w:val="24"/>
          <w:szCs w:val="24"/>
        </w:rPr>
        <w:t>道，平面交叉</w:t>
      </w:r>
      <w:r>
        <w:rPr>
          <w:sz w:val="24"/>
          <w:szCs w:val="24"/>
        </w:rPr>
        <w:t>6</w:t>
      </w:r>
      <w:r>
        <w:rPr>
          <w:rFonts w:hint="eastAsia" w:hAnsi="宋体"/>
          <w:sz w:val="24"/>
          <w:szCs w:val="24"/>
        </w:rPr>
        <w:t>处，安全设施、环境保护、照明路灯</w:t>
      </w:r>
      <w:r>
        <w:rPr>
          <w:rFonts w:hint="eastAsia" w:ascii="Arial" w:hAnsi="Arial" w:cs="Arial"/>
          <w:sz w:val="24"/>
          <w:lang w:val="sq-AL"/>
        </w:rPr>
        <w:t>按照《道路交通标志和标线》（</w:t>
      </w:r>
      <w:r>
        <w:rPr>
          <w:rFonts w:ascii="Arial" w:hAnsi="Arial" w:cs="Arial"/>
          <w:sz w:val="24"/>
          <w:lang w:val="sq-AL"/>
        </w:rPr>
        <w:t>GB5768-2009</w:t>
      </w:r>
      <w:r>
        <w:rPr>
          <w:rFonts w:hint="eastAsia" w:ascii="Arial" w:hAnsi="Arial" w:cs="Arial"/>
          <w:sz w:val="24"/>
          <w:lang w:val="sq-AL"/>
        </w:rPr>
        <w:t>）和《公路交通标志和标线设置规范》（</w:t>
      </w:r>
      <w:r>
        <w:rPr>
          <w:rFonts w:ascii="Arial" w:hAnsi="Arial" w:cs="Arial"/>
          <w:sz w:val="24"/>
          <w:lang w:val="sq-AL"/>
        </w:rPr>
        <w:t>JTG D82-2009</w:t>
      </w:r>
      <w:r>
        <w:rPr>
          <w:rFonts w:hint="eastAsia" w:ascii="Arial" w:hAnsi="Arial" w:cs="Arial"/>
          <w:sz w:val="24"/>
          <w:lang w:val="sq-AL"/>
        </w:rPr>
        <w:t>）的要求设置</w:t>
      </w:r>
      <w:r>
        <w:rPr>
          <w:rFonts w:hint="eastAsia" w:hAnsi="宋体"/>
          <w:sz w:val="24"/>
          <w:szCs w:val="24"/>
        </w:rPr>
        <w:t>，拆迁建筑物</w:t>
      </w:r>
      <w:r>
        <w:rPr>
          <w:sz w:val="24"/>
          <w:szCs w:val="24"/>
        </w:rPr>
        <w:t>6124m</w:t>
      </w:r>
      <w:r>
        <w:rPr>
          <w:sz w:val="24"/>
          <w:szCs w:val="24"/>
          <w:vertAlign w:val="superscript"/>
        </w:rPr>
        <w:t>2</w:t>
      </w:r>
      <w:r>
        <w:rPr>
          <w:rFonts w:hint="eastAsia" w:hAnsi="宋体"/>
          <w:sz w:val="24"/>
          <w:szCs w:val="24"/>
        </w:rPr>
        <w:t>。</w:t>
      </w:r>
    </w:p>
    <w:p>
      <w:pPr>
        <w:pStyle w:val="4"/>
        <w:ind w:left="567" w:hanging="567"/>
      </w:pPr>
      <w:bookmarkStart w:id="374" w:name="_Toc25078"/>
      <w:r>
        <w:rPr>
          <w:rFonts w:hint="eastAsia"/>
        </w:rPr>
        <w:t>环境保护目标</w:t>
      </w:r>
      <w:bookmarkEnd w:id="374"/>
    </w:p>
    <w:p>
      <w:pPr>
        <w:pStyle w:val="3"/>
        <w:ind w:firstLine="31680"/>
      </w:pPr>
      <w:r>
        <w:t>a</w:t>
      </w:r>
      <w:r>
        <w:rPr>
          <w:rFonts w:hint="eastAsia"/>
        </w:rPr>
        <w:t>）大气与声环境保护目标</w:t>
      </w:r>
    </w:p>
    <w:p>
      <w:pPr>
        <w:pStyle w:val="3"/>
        <w:ind w:firstLine="31680"/>
      </w:pPr>
      <w:r>
        <w:rPr>
          <w:rFonts w:hint="eastAsia"/>
        </w:rPr>
        <w:t>本工程主要环境保护敏感点共</w:t>
      </w:r>
      <w:r>
        <w:t>5</w:t>
      </w:r>
      <w:r>
        <w:rPr>
          <w:rFonts w:hint="eastAsia"/>
        </w:rPr>
        <w:t>处居民点。</w:t>
      </w:r>
    </w:p>
    <w:p>
      <w:pPr>
        <w:pStyle w:val="3"/>
        <w:ind w:firstLine="31680"/>
      </w:pPr>
      <w:r>
        <w:t>b</w:t>
      </w:r>
      <w:r>
        <w:rPr>
          <w:rFonts w:hint="eastAsia"/>
        </w:rPr>
        <w:t>）水环境保护目标</w:t>
      </w:r>
    </w:p>
    <w:p>
      <w:pPr>
        <w:pStyle w:val="3"/>
        <w:ind w:firstLine="31680"/>
      </w:pPr>
      <w:r>
        <w:rPr>
          <w:rFonts w:hint="eastAsia"/>
        </w:rPr>
        <w:t>拟建工程沿线涉及的水体主要有：两条无名小溪及沿线的水库、鱼塘、沟渠，项目沿线终点西侧</w:t>
      </w:r>
      <w:r>
        <w:t>93m</w:t>
      </w:r>
      <w:r>
        <w:rPr>
          <w:rFonts w:hint="eastAsia"/>
        </w:rPr>
        <w:t>处大里塘水库为长沙经开区汨罗产业园区水源调蓄水库，属于饮用水源一级保护区，执行《地表水环境质量标准》（</w:t>
      </w:r>
      <w:r>
        <w:t>GB3838-2002</w:t>
      </w:r>
      <w:r>
        <w:rPr>
          <w:rFonts w:hint="eastAsia"/>
        </w:rPr>
        <w:t>）Ⅱ类标准，</w:t>
      </w:r>
      <w:r>
        <w:rPr>
          <w:rFonts w:hint="eastAsia"/>
          <w:snapToGrid w:val="0"/>
        </w:rPr>
        <w:t>按照《饮用水源保护区划分技术规范》</w:t>
      </w:r>
      <w:r>
        <w:rPr>
          <w:snapToGrid w:val="0"/>
        </w:rPr>
        <w:t>(HJ/T338-2007)</w:t>
      </w:r>
      <w:r>
        <w:rPr>
          <w:rFonts w:hint="eastAsia"/>
          <w:snapToGrid w:val="0"/>
        </w:rPr>
        <w:t>划分大里塘水库饮用水源保护各分区”可知，大里塘水库饮用水源一级保护区范围为正常水位线以下的全部水域面积</w:t>
      </w:r>
      <w:r>
        <w:rPr>
          <w:rFonts w:hint="eastAsia"/>
          <w:snapToGrid w:val="0"/>
          <w:color w:val="auto"/>
          <w:lang w:eastAsia="zh-CN"/>
        </w:rPr>
        <w:t>（</w:t>
      </w:r>
      <w:r>
        <w:rPr>
          <w:rFonts w:hint="eastAsia"/>
          <w:snapToGrid w:val="0"/>
          <w:color w:val="auto"/>
          <w:lang w:val="en-US" w:eastAsia="zh-CN"/>
        </w:rPr>
        <w:t>小型湖泊、中型水库水域范围为取水口半径300米范围内的区域</w:t>
      </w:r>
      <w:r>
        <w:rPr>
          <w:rFonts w:hint="eastAsia"/>
          <w:snapToGrid w:val="0"/>
          <w:color w:val="auto"/>
          <w:lang w:eastAsia="zh-CN"/>
        </w:rPr>
        <w:t>），</w:t>
      </w:r>
      <w:r>
        <w:rPr>
          <w:rFonts w:hint="eastAsia"/>
          <w:snapToGrid w:val="0"/>
          <w:color w:val="auto"/>
          <w:lang w:val="en-US" w:eastAsia="zh-CN"/>
        </w:rPr>
        <w:t>湖泊、水库沿岸陆域一级保护区范围</w:t>
      </w:r>
      <w:r>
        <w:rPr>
          <w:rFonts w:hint="eastAsia"/>
          <w:snapToGrid w:val="0"/>
          <w:color w:val="auto"/>
          <w:lang w:eastAsia="zh-CN"/>
        </w:rPr>
        <w:t>（</w:t>
      </w:r>
      <w:r>
        <w:rPr>
          <w:rFonts w:hint="eastAsia"/>
          <w:snapToGrid w:val="0"/>
          <w:color w:val="auto"/>
          <w:lang w:val="en-US" w:eastAsia="zh-CN"/>
        </w:rPr>
        <w:t>小型湖泊、中型水库为取水口侧正常水位线以上200米范围内的陆域</w:t>
      </w:r>
      <w:r>
        <w:rPr>
          <w:rFonts w:hint="eastAsia"/>
          <w:snapToGrid w:val="0"/>
          <w:color w:val="auto"/>
          <w:lang w:eastAsia="zh-CN"/>
        </w:rPr>
        <w:t>）</w:t>
      </w:r>
      <w:r>
        <w:rPr>
          <w:rFonts w:hint="eastAsia"/>
          <w:snapToGrid w:val="0"/>
          <w:color w:val="auto"/>
        </w:rPr>
        <w:t>。</w:t>
      </w:r>
      <w:r>
        <w:rPr>
          <w:rFonts w:hint="eastAsia"/>
          <w:snapToGrid w:val="0"/>
          <w:color w:val="auto"/>
          <w:lang w:val="en-US" w:eastAsia="zh-CN"/>
        </w:rPr>
        <w:t>本项目大里塘水库暂未定取水口的具体方位，本环评建议取水口定为本项目公路的相反一侧。</w:t>
      </w:r>
      <w:r>
        <w:rPr>
          <w:rFonts w:hint="eastAsia"/>
          <w:snapToGrid w:val="0"/>
        </w:rPr>
        <w:t>因此，本项目不在大里塘水库饮用水源一级保护区范围内，但与大里塘水库饮用水源保护范围较近，需采取相应防范措施，详见第</w:t>
      </w:r>
      <w:r>
        <w:rPr>
          <w:snapToGrid w:val="0"/>
        </w:rPr>
        <w:t>10</w:t>
      </w:r>
      <w:r>
        <w:rPr>
          <w:rFonts w:hint="eastAsia"/>
          <w:snapToGrid w:val="0"/>
        </w:rPr>
        <w:t>章。</w:t>
      </w:r>
      <w:r>
        <w:rPr>
          <w:rFonts w:hint="eastAsia"/>
        </w:rPr>
        <w:t>拟建工程所涉桥梁桥址下游</w:t>
      </w:r>
      <w:r>
        <w:t>10km</w:t>
      </w:r>
      <w:r>
        <w:rPr>
          <w:rFonts w:hint="eastAsia"/>
        </w:rPr>
        <w:t>内均不涉及敏感水体、饮用水水源保护区以及取水口分布。</w:t>
      </w:r>
    </w:p>
    <w:p>
      <w:pPr>
        <w:pStyle w:val="3"/>
        <w:ind w:firstLine="31680"/>
      </w:pPr>
      <w:r>
        <w:t>c</w:t>
      </w:r>
      <w:r>
        <w:rPr>
          <w:rFonts w:hint="eastAsia"/>
        </w:rPr>
        <w:t>）生态环境保护目标</w:t>
      </w:r>
    </w:p>
    <w:p>
      <w:pPr>
        <w:pStyle w:val="3"/>
        <w:ind w:firstLine="31680"/>
      </w:pPr>
      <w:r>
        <w:rPr>
          <w:rFonts w:hint="eastAsia"/>
        </w:rPr>
        <w:t>拟建工程生态环境保护目标涉及沿线植被、野生动植物资源，工程动土范围内（路基、取弃土场、施工营地、施工便道等区域）的水土保持设施以及工程用地沿线涉及范围内的</w:t>
      </w:r>
      <w:r>
        <w:rPr>
          <w:rFonts w:hint="eastAsia" w:hAnsi="宋体"/>
          <w:szCs w:val="24"/>
        </w:rPr>
        <w:t>基本农田</w:t>
      </w:r>
      <w:r>
        <w:rPr>
          <w:rFonts w:hint="eastAsia"/>
        </w:rPr>
        <w:t>等。</w:t>
      </w:r>
    </w:p>
    <w:p>
      <w:pPr>
        <w:pStyle w:val="3"/>
        <w:ind w:firstLine="31680"/>
      </w:pPr>
      <w:r>
        <w:t>d</w:t>
      </w:r>
      <w:r>
        <w:rPr>
          <w:rFonts w:hint="eastAsia"/>
        </w:rPr>
        <w:t>）社会环境保护敏感点</w:t>
      </w:r>
    </w:p>
    <w:p>
      <w:pPr>
        <w:pStyle w:val="3"/>
        <w:ind w:firstLine="31680"/>
      </w:pPr>
      <w:bookmarkStart w:id="375" w:name="_Toc354581757"/>
      <w:bookmarkStart w:id="376" w:name="_Toc354581937"/>
      <w:bookmarkStart w:id="377" w:name="_Toc354558955"/>
      <w:r>
        <w:rPr>
          <w:rFonts w:hint="eastAsia"/>
        </w:rPr>
        <w:t>拟建公路沿线的学校、村庄、社区，公路，公路沿线灌溉沟渠、电力设施、通讯设施等基础设施，征地拆迁户等。</w:t>
      </w:r>
    </w:p>
    <w:p>
      <w:pPr>
        <w:pStyle w:val="4"/>
        <w:ind w:left="567" w:hanging="567"/>
      </w:pPr>
      <w:bookmarkStart w:id="378" w:name="_Toc14610"/>
      <w:r>
        <w:rPr>
          <w:rFonts w:hint="eastAsia"/>
        </w:rPr>
        <w:t>环境现状评价结论</w:t>
      </w:r>
      <w:bookmarkEnd w:id="375"/>
      <w:bookmarkEnd w:id="376"/>
      <w:bookmarkEnd w:id="377"/>
      <w:bookmarkEnd w:id="378"/>
    </w:p>
    <w:p>
      <w:pPr>
        <w:pStyle w:val="3"/>
        <w:ind w:firstLine="31680"/>
      </w:pPr>
      <w:r>
        <w:t>a</w:t>
      </w:r>
      <w:r>
        <w:rPr>
          <w:rFonts w:hint="eastAsia"/>
        </w:rPr>
        <w:t>）大气环境质量现状</w:t>
      </w:r>
    </w:p>
    <w:p>
      <w:pPr>
        <w:pStyle w:val="3"/>
        <w:ind w:firstLine="31680"/>
        <w:rPr>
          <w:kern w:val="2"/>
        </w:rPr>
      </w:pPr>
      <w:r>
        <w:rPr>
          <w:rFonts w:hint="eastAsia"/>
          <w:szCs w:val="24"/>
        </w:rPr>
        <w:t>根据现状大气环境监测点的监测结果，</w:t>
      </w:r>
      <w:r>
        <w:rPr>
          <w:rFonts w:hint="eastAsia"/>
        </w:rPr>
        <w:t>工程沿线各环境空气质量现状监测点</w:t>
      </w:r>
      <w:r>
        <w:t>NO</w:t>
      </w:r>
      <w:r>
        <w:rPr>
          <w:vertAlign w:val="subscript"/>
        </w:rPr>
        <w:t>2</w:t>
      </w:r>
      <w:r>
        <w:rPr>
          <w:rFonts w:hint="eastAsia"/>
        </w:rPr>
        <w:t>、</w:t>
      </w:r>
      <w:r>
        <w:rPr>
          <w:szCs w:val="24"/>
        </w:rPr>
        <w:t>PM</w:t>
      </w:r>
      <w:r>
        <w:rPr>
          <w:szCs w:val="24"/>
          <w:vertAlign w:val="subscript"/>
        </w:rPr>
        <w:t>10</w:t>
      </w:r>
      <w:r>
        <w:rPr>
          <w:rFonts w:hint="eastAsia"/>
          <w:sz w:val="21"/>
          <w:szCs w:val="21"/>
        </w:rPr>
        <w:t>、</w:t>
      </w:r>
      <w:r>
        <w:rPr>
          <w:szCs w:val="24"/>
        </w:rPr>
        <w:t>SO</w:t>
      </w:r>
      <w:r>
        <w:rPr>
          <w:szCs w:val="24"/>
          <w:vertAlign w:val="subscript"/>
        </w:rPr>
        <w:t>2</w:t>
      </w:r>
      <w:r>
        <w:rPr>
          <w:rFonts w:hint="eastAsia"/>
        </w:rPr>
        <w:t>因子都达到《环境空气质量标准》（</w:t>
      </w:r>
      <w:r>
        <w:t>GB3095-2012</w:t>
      </w:r>
      <w:r>
        <w:rPr>
          <w:rFonts w:hint="eastAsia"/>
        </w:rPr>
        <w:t>）中的二级标准。</w:t>
      </w:r>
    </w:p>
    <w:p>
      <w:pPr>
        <w:pStyle w:val="3"/>
        <w:ind w:firstLine="31680"/>
      </w:pPr>
      <w:r>
        <w:t>b</w:t>
      </w:r>
      <w:r>
        <w:rPr>
          <w:rFonts w:hint="eastAsia"/>
        </w:rPr>
        <w:t>）水环境质量现状</w:t>
      </w:r>
    </w:p>
    <w:p>
      <w:pPr>
        <w:pStyle w:val="3"/>
        <w:ind w:firstLine="31680"/>
        <w:rPr>
          <w:color w:val="auto"/>
        </w:rPr>
      </w:pPr>
      <w:r>
        <w:rPr>
          <w:rFonts w:hint="eastAsia"/>
          <w:szCs w:val="24"/>
        </w:rPr>
        <w:t>由现状监测结果表明：</w:t>
      </w:r>
      <w:r>
        <w:rPr>
          <w:rFonts w:hint="eastAsia"/>
          <w:color w:val="auto"/>
        </w:rPr>
        <w:t>两条无名小溪</w:t>
      </w:r>
      <w:r>
        <w:rPr>
          <w:rFonts w:hint="eastAsia"/>
          <w:color w:val="auto"/>
          <w:lang w:val="en-US" w:eastAsia="zh-CN"/>
        </w:rPr>
        <w:t>除CODcr略有超标外，其余</w:t>
      </w:r>
      <w:r>
        <w:rPr>
          <w:rFonts w:hint="eastAsia"/>
          <w:color w:val="auto"/>
        </w:rPr>
        <w:t>的各项污染物指标均达到《地表水环境质量标准》（</w:t>
      </w:r>
      <w:r>
        <w:rPr>
          <w:color w:val="auto"/>
        </w:rPr>
        <w:t>GB3838-2002</w:t>
      </w:r>
      <w:r>
        <w:rPr>
          <w:rFonts w:hint="eastAsia"/>
          <w:color w:val="auto"/>
        </w:rPr>
        <w:t>）的</w:t>
      </w:r>
      <w:r>
        <w:rPr>
          <w:color w:val="auto"/>
        </w:rPr>
        <w:t>III</w:t>
      </w:r>
      <w:r>
        <w:rPr>
          <w:rFonts w:hint="eastAsia"/>
          <w:color w:val="auto"/>
        </w:rPr>
        <w:t>类标准，大里塘水库监测点</w:t>
      </w:r>
      <w:r>
        <w:rPr>
          <w:rFonts w:hint="eastAsia"/>
          <w:color w:val="auto"/>
          <w:lang w:val="en-US" w:eastAsia="zh-CN"/>
        </w:rPr>
        <w:t>除CODcr、总磷超标外，其余</w:t>
      </w:r>
      <w:r>
        <w:rPr>
          <w:rFonts w:hint="eastAsia"/>
          <w:color w:val="auto"/>
        </w:rPr>
        <w:t>各项污染物指标均达到《地表水环境质量标准》（</w:t>
      </w:r>
      <w:r>
        <w:rPr>
          <w:color w:val="auto"/>
        </w:rPr>
        <w:t>GB3838-2002</w:t>
      </w:r>
      <w:r>
        <w:rPr>
          <w:rFonts w:hint="eastAsia"/>
          <w:color w:val="auto"/>
        </w:rPr>
        <w:t>）的</w:t>
      </w:r>
      <w:r>
        <w:rPr>
          <w:rFonts w:hint="eastAsia" w:ascii="宋体" w:hAnsi="宋体" w:cs="宋体"/>
          <w:color w:val="auto"/>
        </w:rPr>
        <w:t>Ⅱ</w:t>
      </w:r>
      <w:r>
        <w:rPr>
          <w:rFonts w:hint="eastAsia"/>
          <w:color w:val="auto"/>
        </w:rPr>
        <w:t>类标准。</w:t>
      </w:r>
      <w:r>
        <w:rPr>
          <w:rFonts w:hint="eastAsia"/>
          <w:color w:val="auto"/>
          <w:lang w:val="en-US" w:eastAsia="zh-CN"/>
        </w:rPr>
        <w:t>超标原因可能是溪流及水库周围居民像水体排放污染物所致。</w:t>
      </w:r>
    </w:p>
    <w:p>
      <w:pPr>
        <w:pStyle w:val="3"/>
        <w:ind w:firstLine="31680"/>
      </w:pPr>
      <w:r>
        <w:t>c</w:t>
      </w:r>
      <w:r>
        <w:rPr>
          <w:rFonts w:hint="eastAsia"/>
        </w:rPr>
        <w:t>）声环境质量现状</w:t>
      </w:r>
    </w:p>
    <w:p>
      <w:pPr>
        <w:pStyle w:val="3"/>
        <w:ind w:firstLine="31680"/>
      </w:pPr>
      <w:r>
        <w:rPr>
          <w:rFonts w:hint="eastAsia"/>
          <w:szCs w:val="24"/>
        </w:rPr>
        <w:t>由现状监测结果表明：拟建公路沿</w:t>
      </w:r>
      <w:r>
        <w:rPr>
          <w:rFonts w:hint="eastAsia"/>
        </w:rPr>
        <w:t>线所布设的各处声环境质量现状监测点均达到《声环境质量标准》（</w:t>
      </w:r>
      <w:r>
        <w:t>GB3096-2008</w:t>
      </w:r>
      <w:r>
        <w:rPr>
          <w:rFonts w:hint="eastAsia"/>
        </w:rPr>
        <w:t>）中的</w:t>
      </w:r>
      <w:r>
        <w:t>2</w:t>
      </w:r>
      <w:r>
        <w:rPr>
          <w:rFonts w:hint="eastAsia"/>
        </w:rPr>
        <w:t>类及</w:t>
      </w:r>
      <w:r>
        <w:t>4a</w:t>
      </w:r>
      <w:r>
        <w:rPr>
          <w:rFonts w:hint="eastAsia"/>
        </w:rPr>
        <w:t>类标准要求，区域环境现状良好。</w:t>
      </w:r>
    </w:p>
    <w:p>
      <w:pPr>
        <w:pStyle w:val="3"/>
        <w:ind w:firstLine="31680"/>
      </w:pPr>
      <w:r>
        <w:t>e</w:t>
      </w:r>
      <w:r>
        <w:rPr>
          <w:rFonts w:hint="eastAsia"/>
        </w:rPr>
        <w:t>）生态环境质量现状</w:t>
      </w:r>
    </w:p>
    <w:p>
      <w:pPr>
        <w:pStyle w:val="3"/>
        <w:ind w:firstLine="31680"/>
      </w:pPr>
      <w:r>
        <w:rPr>
          <w:rFonts w:hint="eastAsia"/>
        </w:rPr>
        <w:t>根据现场调查，工程沿线主要植被为人工用材林、经济林、灌木林及农田作物等。项目沿线均为农村地区，所在地属于人类活动频繁区，受人类活动的影响较大，野生动物资源的数量与种类较少。</w:t>
      </w:r>
    </w:p>
    <w:p>
      <w:pPr>
        <w:pStyle w:val="4"/>
        <w:ind w:left="567" w:hanging="567"/>
      </w:pPr>
      <w:bookmarkStart w:id="379" w:name="_Toc354581938"/>
      <w:bookmarkStart w:id="380" w:name="_Toc354558956"/>
      <w:bookmarkStart w:id="381" w:name="_Toc354581758"/>
      <w:bookmarkStart w:id="382" w:name="_Toc23265"/>
      <w:r>
        <w:rPr>
          <w:rFonts w:hint="eastAsia"/>
        </w:rPr>
        <w:t>环境影响评价结论</w:t>
      </w:r>
      <w:bookmarkEnd w:id="379"/>
      <w:bookmarkEnd w:id="380"/>
      <w:bookmarkEnd w:id="381"/>
      <w:bookmarkEnd w:id="382"/>
    </w:p>
    <w:p>
      <w:pPr>
        <w:pStyle w:val="5"/>
        <w:widowControl/>
        <w:ind w:left="567" w:hanging="567"/>
      </w:pPr>
      <w:r>
        <w:rPr>
          <w:rFonts w:hint="eastAsia"/>
        </w:rPr>
        <w:t>声环境影响评价</w:t>
      </w:r>
    </w:p>
    <w:p>
      <w:pPr>
        <w:pStyle w:val="3"/>
        <w:ind w:firstLine="31680"/>
      </w:pPr>
      <w:r>
        <w:t>a</w:t>
      </w:r>
      <w:r>
        <w:rPr>
          <w:rFonts w:hint="eastAsia"/>
        </w:rPr>
        <w:t>）施工期声环境影响评价</w:t>
      </w:r>
    </w:p>
    <w:p>
      <w:pPr>
        <w:pStyle w:val="3"/>
        <w:ind w:firstLine="31680"/>
      </w:pPr>
      <w:r>
        <w:t>1</w:t>
      </w:r>
      <w:r>
        <w:rPr>
          <w:rFonts w:hint="eastAsia"/>
        </w:rPr>
        <w:t>）施工噪声将对沿线声环境质量产生一定的影响，</w:t>
      </w:r>
      <w:r>
        <w:rPr>
          <w:rFonts w:hint="eastAsia"/>
          <w:szCs w:val="24"/>
        </w:rPr>
        <w:t>白天将主要出现在距施工场地</w:t>
      </w:r>
      <w:r>
        <w:rPr>
          <w:szCs w:val="24"/>
        </w:rPr>
        <w:t>160m</w:t>
      </w:r>
      <w:r>
        <w:rPr>
          <w:rFonts w:hint="eastAsia"/>
          <w:szCs w:val="24"/>
        </w:rPr>
        <w:t>范围内，夜间将主要出现在距施工场地</w:t>
      </w:r>
      <w:r>
        <w:rPr>
          <w:szCs w:val="24"/>
        </w:rPr>
        <w:t>360m</w:t>
      </w:r>
      <w:r>
        <w:rPr>
          <w:rFonts w:hint="eastAsia"/>
          <w:szCs w:val="24"/>
        </w:rPr>
        <w:t>范围内</w:t>
      </w:r>
      <w:r>
        <w:rPr>
          <w:rFonts w:hint="eastAsia"/>
        </w:rPr>
        <w:t>。施工单位应根据场界外敏感点的具体情况，合理规划施工过程与高噪声设备和工艺的使用时间，避开居民休息时间，在夜间（</w:t>
      </w:r>
      <w:r>
        <w:t>22:00~06:00</w:t>
      </w:r>
      <w:r>
        <w:rPr>
          <w:rFonts w:hint="eastAsia"/>
        </w:rPr>
        <w:t>）应停止施工，同时高强度施工尽可能避开；并在受施工噪声影响严重敏感点路段（铜盆村、大陆村、桃花村、莲花村、大里塘村）设置临时的隔声屏障，以减小施工对这些声环境保护目标的影响；施工场地的布设应尽量避开居民区等。</w:t>
      </w:r>
    </w:p>
    <w:p>
      <w:pPr>
        <w:pStyle w:val="3"/>
        <w:ind w:firstLine="31680"/>
      </w:pPr>
      <w:r>
        <w:t>b</w:t>
      </w:r>
      <w:r>
        <w:rPr>
          <w:rFonts w:hint="eastAsia"/>
        </w:rPr>
        <w:t>）营运期声环境影响评价</w:t>
      </w:r>
    </w:p>
    <w:p>
      <w:pPr>
        <w:pStyle w:val="3"/>
        <w:ind w:firstLine="31680"/>
      </w:pPr>
      <w:r>
        <w:t>1</w:t>
      </w:r>
      <w:r>
        <w:rPr>
          <w:rFonts w:hint="eastAsia"/>
        </w:rPr>
        <w:t>）交通噪声预测与评价</w:t>
      </w:r>
    </w:p>
    <w:p>
      <w:pPr>
        <w:pStyle w:val="3"/>
        <w:ind w:firstLine="31680"/>
        <w:rPr>
          <w:kern w:val="2"/>
        </w:rPr>
      </w:pPr>
      <w:r>
        <w:rPr>
          <w:rFonts w:hint="eastAsia"/>
          <w:kern w:val="2"/>
        </w:rPr>
        <w:t>按</w:t>
      </w:r>
      <w:r>
        <w:rPr>
          <w:kern w:val="2"/>
        </w:rPr>
        <w:t>4a</w:t>
      </w:r>
      <w:r>
        <w:rPr>
          <w:rFonts w:hint="eastAsia"/>
          <w:kern w:val="2"/>
        </w:rPr>
        <w:t>类标准，营运近期、中期、远期交通噪声昼间达标距离分别为距路</w:t>
      </w:r>
      <w:r>
        <w:rPr>
          <w:rFonts w:hint="eastAsia"/>
          <w:kern w:val="2"/>
          <w:lang w:val="en-US" w:eastAsia="zh-CN"/>
        </w:rPr>
        <w:t>中心</w:t>
      </w:r>
      <w:r>
        <w:rPr>
          <w:rFonts w:hint="eastAsia"/>
          <w:kern w:val="2"/>
        </w:rPr>
        <w:t>线</w:t>
      </w:r>
      <w:r>
        <w:rPr>
          <w:rFonts w:hint="eastAsia"/>
          <w:kern w:val="2"/>
          <w:lang w:val="en-US" w:eastAsia="zh-CN"/>
        </w:rPr>
        <w:t>15</w:t>
      </w:r>
      <w:r>
        <w:rPr>
          <w:kern w:val="2"/>
        </w:rPr>
        <w:t>m</w:t>
      </w:r>
      <w:r>
        <w:rPr>
          <w:rFonts w:hint="eastAsia"/>
          <w:kern w:val="2"/>
        </w:rPr>
        <w:t>、</w:t>
      </w:r>
      <w:r>
        <w:rPr>
          <w:rFonts w:hint="eastAsia"/>
          <w:kern w:val="2"/>
          <w:lang w:val="en-US" w:eastAsia="zh-CN"/>
        </w:rPr>
        <w:t>15</w:t>
      </w:r>
      <w:r>
        <w:rPr>
          <w:kern w:val="2"/>
        </w:rPr>
        <w:t>m</w:t>
      </w:r>
      <w:r>
        <w:rPr>
          <w:rFonts w:hint="eastAsia"/>
          <w:kern w:val="2"/>
        </w:rPr>
        <w:t>和</w:t>
      </w:r>
      <w:r>
        <w:rPr>
          <w:rFonts w:hint="eastAsia"/>
          <w:kern w:val="2"/>
          <w:lang w:val="en-US" w:eastAsia="zh-CN"/>
        </w:rPr>
        <w:t>15</w:t>
      </w:r>
      <w:r>
        <w:rPr>
          <w:kern w:val="2"/>
        </w:rPr>
        <w:t>m</w:t>
      </w:r>
      <w:r>
        <w:rPr>
          <w:rFonts w:hint="eastAsia"/>
          <w:kern w:val="2"/>
        </w:rPr>
        <w:t>，夜间近、中、远期达标距离为距路中心线</w:t>
      </w:r>
      <w:r>
        <w:rPr>
          <w:rFonts w:hint="eastAsia"/>
          <w:kern w:val="2"/>
          <w:lang w:val="en-US" w:eastAsia="zh-CN"/>
        </w:rPr>
        <w:t>15</w:t>
      </w:r>
      <w:r>
        <w:rPr>
          <w:kern w:val="2"/>
        </w:rPr>
        <w:t>m</w:t>
      </w:r>
      <w:r>
        <w:rPr>
          <w:rFonts w:hint="eastAsia"/>
          <w:kern w:val="2"/>
        </w:rPr>
        <w:t>、</w:t>
      </w:r>
      <w:r>
        <w:rPr>
          <w:rFonts w:hint="eastAsia"/>
          <w:kern w:val="2"/>
          <w:lang w:val="en-US" w:eastAsia="zh-CN"/>
        </w:rPr>
        <w:t>20</w:t>
      </w:r>
      <w:r>
        <w:rPr>
          <w:kern w:val="2"/>
        </w:rPr>
        <w:t>m</w:t>
      </w:r>
      <w:r>
        <w:rPr>
          <w:rFonts w:hint="eastAsia"/>
          <w:kern w:val="2"/>
        </w:rPr>
        <w:t>和</w:t>
      </w:r>
      <w:r>
        <w:rPr>
          <w:rFonts w:hint="eastAsia"/>
          <w:kern w:val="2"/>
          <w:lang w:val="en-US" w:eastAsia="zh-CN"/>
        </w:rPr>
        <w:t>30</w:t>
      </w:r>
      <w:r>
        <w:rPr>
          <w:kern w:val="2"/>
        </w:rPr>
        <w:t>m</w:t>
      </w:r>
      <w:r>
        <w:rPr>
          <w:rFonts w:hint="eastAsia"/>
          <w:kern w:val="2"/>
        </w:rPr>
        <w:t>。</w:t>
      </w:r>
    </w:p>
    <w:p>
      <w:pPr>
        <w:pStyle w:val="3"/>
        <w:ind w:firstLine="31680"/>
        <w:rPr>
          <w:kern w:val="2"/>
        </w:rPr>
      </w:pPr>
      <w:r>
        <w:rPr>
          <w:rFonts w:hint="eastAsia"/>
          <w:kern w:val="2"/>
        </w:rPr>
        <w:t>按</w:t>
      </w:r>
      <w:r>
        <w:rPr>
          <w:kern w:val="2"/>
        </w:rPr>
        <w:t>2</w:t>
      </w:r>
      <w:r>
        <w:rPr>
          <w:rFonts w:hint="eastAsia"/>
          <w:kern w:val="2"/>
        </w:rPr>
        <w:t>类标准，营运近期、中期、远期交通噪声昼间达标距离为距路中心线</w:t>
      </w:r>
      <w:r>
        <w:rPr>
          <w:rFonts w:hint="eastAsia"/>
          <w:kern w:val="2"/>
          <w:szCs w:val="18"/>
          <w:lang w:val="en-US" w:eastAsia="zh-CN"/>
        </w:rPr>
        <w:t>30</w:t>
      </w:r>
      <w:r>
        <w:rPr>
          <w:kern w:val="2"/>
        </w:rPr>
        <w:t>m</w:t>
      </w:r>
      <w:r>
        <w:rPr>
          <w:rFonts w:hint="eastAsia"/>
          <w:kern w:val="2"/>
        </w:rPr>
        <w:t>、</w:t>
      </w:r>
      <w:r>
        <w:rPr>
          <w:rFonts w:hint="eastAsia"/>
          <w:kern w:val="2"/>
          <w:lang w:val="en-US" w:eastAsia="zh-CN"/>
        </w:rPr>
        <w:t>40</w:t>
      </w:r>
      <w:r>
        <w:rPr>
          <w:kern w:val="2"/>
        </w:rPr>
        <w:t>m</w:t>
      </w:r>
      <w:r>
        <w:rPr>
          <w:rFonts w:hint="eastAsia"/>
          <w:kern w:val="2"/>
        </w:rPr>
        <w:t>和</w:t>
      </w:r>
      <w:r>
        <w:rPr>
          <w:rFonts w:hint="eastAsia"/>
          <w:kern w:val="2"/>
          <w:lang w:val="en-US" w:eastAsia="zh-CN"/>
        </w:rPr>
        <w:t>60</w:t>
      </w:r>
      <w:r>
        <w:rPr>
          <w:kern w:val="2"/>
        </w:rPr>
        <w:t>m</w:t>
      </w:r>
      <w:r>
        <w:rPr>
          <w:rFonts w:hint="eastAsia"/>
          <w:kern w:val="2"/>
        </w:rPr>
        <w:t>，夜间近、中、远期达标距离为距路中心线</w:t>
      </w:r>
      <w:r>
        <w:rPr>
          <w:rFonts w:hint="eastAsia"/>
          <w:kern w:val="2"/>
          <w:lang w:val="en-US" w:eastAsia="zh-CN"/>
        </w:rPr>
        <w:t>30</w:t>
      </w:r>
      <w:r>
        <w:rPr>
          <w:kern w:val="2"/>
        </w:rPr>
        <w:t>m</w:t>
      </w:r>
      <w:r>
        <w:rPr>
          <w:rFonts w:hint="eastAsia"/>
          <w:kern w:val="2"/>
        </w:rPr>
        <w:t>、</w:t>
      </w:r>
      <w:r>
        <w:rPr>
          <w:rFonts w:hint="eastAsia"/>
          <w:kern w:val="2"/>
          <w:lang w:val="en-US" w:eastAsia="zh-CN"/>
        </w:rPr>
        <w:t>40</w:t>
      </w:r>
      <w:r>
        <w:rPr>
          <w:kern w:val="2"/>
        </w:rPr>
        <w:t>m</w:t>
      </w:r>
      <w:r>
        <w:rPr>
          <w:rFonts w:hint="eastAsia"/>
          <w:kern w:val="2"/>
        </w:rPr>
        <w:t>和</w:t>
      </w:r>
      <w:r>
        <w:rPr>
          <w:rFonts w:hint="eastAsia"/>
          <w:kern w:val="2"/>
          <w:lang w:val="en-US" w:eastAsia="zh-CN"/>
        </w:rPr>
        <w:t>60</w:t>
      </w:r>
      <w:r>
        <w:rPr>
          <w:kern w:val="2"/>
        </w:rPr>
        <w:t>m</w:t>
      </w:r>
      <w:r>
        <w:rPr>
          <w:rFonts w:hint="eastAsia"/>
          <w:kern w:val="2"/>
        </w:rPr>
        <w:t>。</w:t>
      </w:r>
    </w:p>
    <w:p>
      <w:pPr>
        <w:spacing w:line="360" w:lineRule="auto"/>
        <w:ind w:firstLine="31680" w:firstLineChars="200"/>
        <w:rPr>
          <w:sz w:val="24"/>
        </w:rPr>
      </w:pPr>
      <w:r>
        <w:rPr>
          <w:sz w:val="24"/>
        </w:rPr>
        <w:t>2</w:t>
      </w:r>
      <w:r>
        <w:rPr>
          <w:rFonts w:hint="eastAsia"/>
          <w:sz w:val="24"/>
        </w:rPr>
        <w:t>）主要敏感点环境噪声预测与评价</w:t>
      </w:r>
    </w:p>
    <w:p>
      <w:pPr>
        <w:pStyle w:val="3"/>
        <w:ind w:firstLine="31680"/>
      </w:pPr>
      <w:r>
        <w:rPr>
          <w:rFonts w:hint="eastAsia"/>
          <w:kern w:val="2"/>
        </w:rPr>
        <w:t>①</w:t>
      </w:r>
      <w:r>
        <w:rPr>
          <w:rFonts w:hint="eastAsia"/>
        </w:rPr>
        <w:t>本公路建成通车后，随着交通量的增加，交通噪声增大，随着距离公路中心线距离的增远，交通噪声逐渐减小，对环境的影响减小。</w:t>
      </w:r>
    </w:p>
    <w:p>
      <w:pPr>
        <w:pStyle w:val="3"/>
        <w:numPr>
          <w:ilvl w:val="0"/>
          <w:numId w:val="0"/>
        </w:numPr>
        <w:rPr>
          <w:rFonts w:hint="eastAsia"/>
          <w:u w:val="single"/>
          <w:lang w:val="en-US" w:eastAsia="zh-CN"/>
        </w:rPr>
      </w:pPr>
      <w:r>
        <w:rPr>
          <w:rFonts w:hint="eastAsia"/>
          <w:kern w:val="2"/>
          <w:lang w:val="en-US" w:eastAsia="zh-CN"/>
        </w:rPr>
        <w:t xml:space="preserve">    </w:t>
      </w:r>
      <w:r>
        <w:rPr>
          <w:rFonts w:hint="eastAsia"/>
          <w:kern w:val="2"/>
        </w:rPr>
        <w:t>②</w:t>
      </w:r>
      <w:r>
        <w:rPr>
          <w:rFonts w:hint="eastAsia"/>
        </w:rPr>
        <w:t>营运期叠加背景值后，</w:t>
      </w:r>
      <w:r>
        <w:rPr>
          <w:rFonts w:hint="eastAsia"/>
          <w:u w:val="none"/>
          <w:lang w:val="en-US" w:eastAsia="zh-CN"/>
        </w:rPr>
        <w:t>根据运营期噪声预测结果，受交通噪声的影响，铜盆村居民点中期夜间超标0.87dB（A），远期夜间超标2.72dB（A），桃花村中期夜间超标0.55dB（A），远期夜间超标2.52dB（A），大陆村居民点中期夜间超标0.4dB（A），远期夜间超标2.25dB（A），莲花村中期夜间超标0.2dB（A），远期夜间超标1.11dB（A），大里塘村远期夜间超标0.94dB（A）。建议对沿线噪声超标的路段采取禁鸣、限速，加密种植行道树，远期敏感点跟踪监测措施，并预留降噪经费，根据因交通量增大引起的声环境污染程度，及时采取相应的减缓措施，确保其声环境质量全面达到GB3096-2008中2类、4a类标准限值要求。</w:t>
      </w:r>
    </w:p>
    <w:p>
      <w:pPr>
        <w:pStyle w:val="5"/>
        <w:widowControl/>
        <w:ind w:left="567" w:hanging="567"/>
      </w:pPr>
      <w:r>
        <w:rPr>
          <w:rFonts w:hint="eastAsia"/>
        </w:rPr>
        <w:t>大气环境影响评价</w:t>
      </w:r>
    </w:p>
    <w:p>
      <w:pPr>
        <w:pStyle w:val="3"/>
        <w:ind w:firstLine="31680"/>
      </w:pPr>
      <w:r>
        <w:t>a</w:t>
      </w:r>
      <w:r>
        <w:rPr>
          <w:rFonts w:hint="eastAsia"/>
        </w:rPr>
        <w:t>）施工期</w:t>
      </w:r>
    </w:p>
    <w:p>
      <w:pPr>
        <w:pStyle w:val="3"/>
        <w:ind w:firstLine="31680"/>
      </w:pPr>
      <w:r>
        <w:rPr>
          <w:rFonts w:hint="eastAsia"/>
        </w:rPr>
        <w:t>施工期的主要污染物为粉尘、扬尘、燃油废气和沥青摊铺烟气。本项目施工期不设置混凝土搅拌站及沥青拌合站；合理布置施工场地、材料堆场、弃渣场等，并远离居住区、学校等，定期洒水，设置施工围挡，做好严密遮盖措施，最大限度减少起尘量，缩短扬尘污染的时段和污染范围；运输车辆必须采用封闭车辆运输，防止撒漏，运输车辆必须进行喷淋、冲洗，不得带泥土上路；施工单位选用符合国家卫生防护标准的施工机械设备和运输工具；房屋拆迁时，采用湿润拆除法等，这种短期影响能够得到有效控制。</w:t>
      </w:r>
    </w:p>
    <w:p>
      <w:pPr>
        <w:pStyle w:val="3"/>
        <w:ind w:firstLine="31680"/>
      </w:pPr>
      <w:r>
        <w:t>b</w:t>
      </w:r>
      <w:r>
        <w:rPr>
          <w:rFonts w:hint="eastAsia"/>
        </w:rPr>
        <w:t>）营运期</w:t>
      </w:r>
    </w:p>
    <w:p>
      <w:pPr>
        <w:pStyle w:val="3"/>
        <w:ind w:firstLine="31680"/>
      </w:pPr>
      <w:r>
        <w:rPr>
          <w:rFonts w:hint="eastAsia"/>
        </w:rPr>
        <w:t>本公路建成投运后，主要的大气污染源是汽车尾气污染物的排放及道路扬尘对周边环境保护目标的影响。营运期汽车尾气为无组织排放源，且属于流动污染源，对环境空气影响仅局限于道路沿线</w:t>
      </w:r>
      <w:r>
        <w:t>20m</w:t>
      </w:r>
      <w:r>
        <w:rPr>
          <w:rFonts w:hint="eastAsia"/>
        </w:rPr>
        <w:t>范围内，对道路两侧的环境空气保护目标污染影响较小。</w:t>
      </w:r>
    </w:p>
    <w:p>
      <w:pPr>
        <w:pStyle w:val="5"/>
        <w:widowControl/>
        <w:ind w:left="567" w:hanging="567"/>
      </w:pPr>
      <w:r>
        <w:rPr>
          <w:rFonts w:hint="eastAsia"/>
        </w:rPr>
        <w:t>水环境影响评价</w:t>
      </w:r>
    </w:p>
    <w:p>
      <w:pPr>
        <w:pStyle w:val="3"/>
        <w:ind w:firstLine="31680"/>
      </w:pPr>
      <w:r>
        <w:rPr>
          <w:rFonts w:hint="eastAsia"/>
        </w:rPr>
        <w:t>施工期废水污染源主要有：施工机械冲洗废水、水泥养护废水、施工机械设备及运输车辆维修保养过程中产生废水；材料堆场雨季产生的含悬浮物污水；项目施工人员生活污水等。施工废水由沉淀池收集处理后回用，不得随意排放；规范材料堆放场所，防止散体物料随径流冲刷至水体；禁止将施工区域清洗、维修产生的含油废水排入沿线地表水体；桥墩施工桩基础钻孔产生的钻渣抽排至两岸进行处理；施工生产生活区不得设置在河路段；施工人员生活污水经处理后综合利用，禁止随意向沿线地表水体倾倒、排放各种生活污水。</w:t>
      </w:r>
    </w:p>
    <w:p>
      <w:pPr>
        <w:pStyle w:val="3"/>
        <w:ind w:firstLine="31680"/>
        <w:rPr>
          <w:rFonts w:hint="eastAsia"/>
          <w:snapToGrid w:val="0"/>
        </w:rPr>
      </w:pPr>
      <w:r>
        <w:rPr>
          <w:rFonts w:hint="eastAsia"/>
        </w:rPr>
        <w:t>营运期对水环境的影响主要是暴雨时路面径流对水体污染影响，其主要水污染因子有：</w:t>
      </w:r>
      <w:r>
        <w:t>COD</w:t>
      </w:r>
      <w:r>
        <w:rPr>
          <w:rFonts w:hint="eastAsia"/>
        </w:rPr>
        <w:t>、</w:t>
      </w:r>
      <w:r>
        <w:t>SS</w:t>
      </w:r>
      <w:r>
        <w:rPr>
          <w:rFonts w:hint="eastAsia"/>
        </w:rPr>
        <w:t>、石油类等污染物，除了项目终点西边</w:t>
      </w:r>
      <w:r>
        <w:t>93m</w:t>
      </w:r>
      <w:r>
        <w:rPr>
          <w:rFonts w:hint="eastAsia"/>
        </w:rPr>
        <w:t>处的大里塘水库为饮用水源一级保护区外，项目途径的两条无名小溪及水库等都无饮用水功能，路面径流携带的污染物在汇入河流后经过一段时间的稀释、自净作用，其污染物的浓度已降低到非常低的程度，对下游水质影响很小。完善项目路面排水设施，加强公路排水设施的管理，维持经常性的巡查</w:t>
      </w:r>
      <w:r>
        <w:rPr>
          <w:rFonts w:hint="eastAsia"/>
          <w:snapToGrid w:val="0"/>
        </w:rPr>
        <w:t>和养护。</w:t>
      </w:r>
    </w:p>
    <w:p>
      <w:pPr>
        <w:pStyle w:val="3"/>
        <w:ind w:firstLine="31680"/>
        <w:rPr>
          <w:snapToGrid w:val="0"/>
        </w:rPr>
      </w:pPr>
      <w:r>
        <w:rPr>
          <w:rFonts w:hint="eastAsia"/>
          <w:snapToGrid w:val="0"/>
          <w:lang w:val="en-US" w:eastAsia="zh-CN"/>
        </w:rPr>
        <w:t>根据《饮用水源保护区划分技术规范》(HJ/T338-2007)</w:t>
      </w:r>
      <w:r>
        <w:rPr>
          <w:rFonts w:hint="eastAsia"/>
          <w:snapToGrid w:val="0"/>
        </w:rPr>
        <w:t>大里塘水库饮用水源一级保护区范围为正常水位线以下的全部水域面积</w:t>
      </w:r>
      <w:r>
        <w:rPr>
          <w:rFonts w:hint="eastAsia"/>
          <w:snapToGrid w:val="0"/>
          <w:color w:val="auto"/>
          <w:lang w:eastAsia="zh-CN"/>
        </w:rPr>
        <w:t>（</w:t>
      </w:r>
      <w:r>
        <w:rPr>
          <w:rFonts w:hint="eastAsia"/>
          <w:snapToGrid w:val="0"/>
          <w:color w:val="auto"/>
          <w:lang w:val="en-US" w:eastAsia="zh-CN"/>
        </w:rPr>
        <w:t>小型湖泊、中型水库水域范围为取水口半径300米范围内的区域</w:t>
      </w:r>
      <w:r>
        <w:rPr>
          <w:rFonts w:hint="eastAsia"/>
          <w:snapToGrid w:val="0"/>
          <w:color w:val="auto"/>
          <w:lang w:eastAsia="zh-CN"/>
        </w:rPr>
        <w:t>），</w:t>
      </w:r>
      <w:r>
        <w:rPr>
          <w:rFonts w:hint="eastAsia"/>
          <w:snapToGrid w:val="0"/>
          <w:color w:val="auto"/>
          <w:lang w:val="en-US" w:eastAsia="zh-CN"/>
        </w:rPr>
        <w:t>湖泊、水库沿岸陆域一级保护区范围</w:t>
      </w:r>
      <w:r>
        <w:rPr>
          <w:rFonts w:hint="eastAsia"/>
          <w:snapToGrid w:val="0"/>
          <w:color w:val="auto"/>
          <w:lang w:eastAsia="zh-CN"/>
        </w:rPr>
        <w:t>（</w:t>
      </w:r>
      <w:r>
        <w:rPr>
          <w:rFonts w:hint="eastAsia"/>
          <w:snapToGrid w:val="0"/>
          <w:color w:val="auto"/>
          <w:lang w:val="en-US" w:eastAsia="zh-CN"/>
        </w:rPr>
        <w:t>小型湖泊、中型水库为取水口侧正常水位线以上200米范围内的陆域</w:t>
      </w:r>
      <w:r>
        <w:rPr>
          <w:rFonts w:hint="eastAsia"/>
          <w:snapToGrid w:val="0"/>
          <w:color w:val="auto"/>
          <w:lang w:eastAsia="zh-CN"/>
        </w:rPr>
        <w:t>）</w:t>
      </w:r>
      <w:r>
        <w:rPr>
          <w:rFonts w:hint="eastAsia"/>
          <w:snapToGrid w:val="0"/>
          <w:color w:val="auto"/>
        </w:rPr>
        <w:t>。</w:t>
      </w:r>
      <w:r>
        <w:rPr>
          <w:rFonts w:hint="eastAsia"/>
          <w:snapToGrid w:val="0"/>
          <w:color w:val="auto"/>
          <w:lang w:val="en-US" w:eastAsia="zh-CN"/>
        </w:rPr>
        <w:t>本项目大里塘水库暂未定取水口的具体方位，本环评建议取水口定为本项目公路的相反一侧。</w:t>
      </w:r>
      <w:r>
        <w:rPr>
          <w:rFonts w:hint="eastAsia"/>
          <w:snapToGrid w:val="0"/>
        </w:rPr>
        <w:t>本项目不在大里塘水库饮用水源一级保护区范围内，但与大里塘水库饮用水源保护范围较近，饮用水水源一级保护区施工路段严禁设置施工营地、生活营地，严禁生活污水、施工废水直接排入大里塘水库。施工期产生的废水主要为路面施工产生的施工废水，该部分污水主要来自砂石材料的冲洗废水，以及受暴雨冲刷产生的污水；该废水量小、且污染物简单，对水质影响相对较小，施工废水需经施工现场的明沟、沉砂池初步处理，上清夜重复利用，避免产生污水流入大里塘水库，底泥联系地方环卫部门定期清运处理。施工期间弃渣应及时运离施工区域，不得丢弃在水库中。大里塘水库附近不得设置施工营地等临时工程，施工期间应加强管理，建筑材料不得随意堆放在水体边。经采取相应污染防治措施后，道路沿线施工对饮用水水源一级保护区水质影响较小。</w:t>
      </w:r>
    </w:p>
    <w:p>
      <w:pPr>
        <w:pStyle w:val="5"/>
        <w:widowControl/>
        <w:ind w:left="567" w:hanging="567"/>
      </w:pPr>
      <w:r>
        <w:rPr>
          <w:rFonts w:hint="eastAsia"/>
        </w:rPr>
        <w:t>固体废物环境影响分析</w:t>
      </w:r>
    </w:p>
    <w:p>
      <w:pPr>
        <w:pStyle w:val="3"/>
        <w:ind w:firstLine="31680"/>
      </w:pPr>
      <w:r>
        <w:t>a</w:t>
      </w:r>
      <w:r>
        <w:rPr>
          <w:rFonts w:hint="eastAsia"/>
        </w:rPr>
        <w:t>）施工期</w:t>
      </w:r>
    </w:p>
    <w:p>
      <w:pPr>
        <w:pStyle w:val="3"/>
        <w:ind w:firstLine="31680"/>
      </w:pPr>
      <w:r>
        <w:rPr>
          <w:rFonts w:hint="eastAsia"/>
        </w:rPr>
        <w:t>施工期固体废物主要来源于施工过程中产生的弃土弃渣、建筑垃圾及施工人员生活垃圾。弃土运至弃渣场，建筑垃圾尽量回收利用，剩余建筑垃圾与弃土一起运至弃渣场填埋，生活垃圾收集后运至附近乡镇的垃圾处理场集中处理，桥墩钻渣的固废属性，如属于危险废物，则需交由有资质单位集中收集处理；如属于一般固废，则及时运送至河堤外临时处置场，干化后及时清运至弃渣场，并注意不要沿途洒落。在采取上述处理处置措施后本项目固体废物对环境的影响较小。</w:t>
      </w:r>
    </w:p>
    <w:p>
      <w:pPr>
        <w:pStyle w:val="3"/>
        <w:ind w:firstLine="31680"/>
      </w:pPr>
      <w:r>
        <w:t>b</w:t>
      </w:r>
      <w:r>
        <w:rPr>
          <w:rFonts w:hint="eastAsia"/>
        </w:rPr>
        <w:t>）营运期</w:t>
      </w:r>
    </w:p>
    <w:p>
      <w:pPr>
        <w:pStyle w:val="3"/>
        <w:ind w:firstLine="31680"/>
      </w:pPr>
      <w:r>
        <w:rPr>
          <w:rFonts w:hint="eastAsia"/>
        </w:rPr>
        <w:t>营运期分路段到责任人负责工程沿线的垃圾清扫工作，清扫的垃圾可集中收集到</w:t>
      </w:r>
      <w:r>
        <w:rPr>
          <w:rFonts w:hint="eastAsia"/>
          <w:lang w:val="en-US" w:eastAsia="zh-CN"/>
        </w:rPr>
        <w:t>汨罗</w:t>
      </w:r>
      <w:r>
        <w:rPr>
          <w:rFonts w:hint="eastAsia"/>
        </w:rPr>
        <w:t>市垃圾填埋场进行处理。</w:t>
      </w:r>
    </w:p>
    <w:p>
      <w:pPr>
        <w:pStyle w:val="5"/>
        <w:widowControl/>
        <w:ind w:left="567" w:hanging="567"/>
      </w:pPr>
      <w:r>
        <w:rPr>
          <w:rFonts w:hint="eastAsia"/>
        </w:rPr>
        <w:t>生态环境影响评价</w:t>
      </w:r>
    </w:p>
    <w:p>
      <w:pPr>
        <w:pStyle w:val="3"/>
        <w:ind w:firstLine="31680"/>
      </w:pPr>
      <w:r>
        <w:t>a</w:t>
      </w:r>
      <w:r>
        <w:rPr>
          <w:rFonts w:hint="eastAsia"/>
        </w:rPr>
        <w:t>）施工将破坏沿线植被，影响农业生产，但这种影响是短暂的。总体而言，拟建项目对评价区域内生物量和生产力将造成一定的不利影响，但这种影响是短暂的，通过采取对扰动区域树木进行移植，及时恢复生态，建设好行道绿化带等保护措施后，总体而言，拟建项目实施对评价区内植被影响较小，是生态环境可接受的。</w:t>
      </w:r>
    </w:p>
    <w:p>
      <w:pPr>
        <w:pStyle w:val="3"/>
        <w:ind w:firstLine="31680"/>
      </w:pPr>
      <w:r>
        <w:t>b</w:t>
      </w:r>
      <w:r>
        <w:rPr>
          <w:rFonts w:hint="eastAsia"/>
        </w:rPr>
        <w:t>）拟建公路评价范围内没有国家和湖南省重点保护野生动物及其栖息地分布，营运期项目沿线的自然生境将恢复到建设前的自然状态，基本上不会改变区域原来的自然体系，工程完工后仍可维持其生态稳定性及多样性。</w:t>
      </w:r>
    </w:p>
    <w:p>
      <w:pPr>
        <w:pStyle w:val="5"/>
        <w:widowControl/>
        <w:ind w:left="567" w:hanging="567"/>
      </w:pPr>
      <w:r>
        <w:rPr>
          <w:rFonts w:hint="eastAsia"/>
        </w:rPr>
        <w:t>社会环境影响评价</w:t>
      </w:r>
    </w:p>
    <w:p>
      <w:pPr>
        <w:pStyle w:val="3"/>
        <w:ind w:firstLine="31680"/>
      </w:pPr>
      <w:r>
        <w:t>a</w:t>
      </w:r>
      <w:r>
        <w:rPr>
          <w:rFonts w:hint="eastAsia"/>
        </w:rPr>
        <w:t>）本工程征地拆迁，将会对被征地拆迁户的生活带来一定影响，但只要建设单位认真做好征地工作，做到补偿合理及时到位，积极带动和引导农民科学利用土地资源，实施多种经营，主动的为当地村民提供就业岗位培训，积极的为失地村民在公路养护班内谋取合适的工作，在条件成熟的区域积极推动第三产业的发展等一系列措施，将保障被征地拆迁户的生活质量不下降，保障沿线居民工农业生产、生活水平的不降低。</w:t>
      </w:r>
    </w:p>
    <w:p>
      <w:pPr>
        <w:pStyle w:val="3"/>
        <w:ind w:firstLine="31680"/>
      </w:pPr>
      <w:r>
        <w:t>b</w:t>
      </w:r>
      <w:r>
        <w:rPr>
          <w:rFonts w:hint="eastAsia"/>
        </w:rPr>
        <w:t>）本工程除永久占地外，弃渣场、施工临建区、施工便道、表土临时堆放点等临时工程会占用部分土地。在施工结束后，通过及时对临时占地进行土地复垦，恢复土地使用功能。临时占地视具体情况可改造为农业或林业用地，通过施工迹地恢复措施后，临时占地对占地区土地利用的不影响可得到有效改善。</w:t>
      </w:r>
    </w:p>
    <w:p>
      <w:pPr>
        <w:pStyle w:val="3"/>
        <w:ind w:firstLine="31680"/>
      </w:pPr>
      <w:r>
        <w:t>c</w:t>
      </w:r>
      <w:r>
        <w:rPr>
          <w:rFonts w:hint="eastAsia"/>
        </w:rPr>
        <w:t>）本工程已完成沿线压覆矿查询工作，该工程建设用地影响范围内没有已探明的具有工业价值的重要矿产资源，也没有设置探矿权和采矿权。因此，该建设项目未压覆具有工业价值的重要矿产资源。</w:t>
      </w:r>
    </w:p>
    <w:p>
      <w:pPr>
        <w:pStyle w:val="3"/>
        <w:ind w:firstLine="31680"/>
      </w:pPr>
      <w:r>
        <w:t>d</w:t>
      </w:r>
      <w:r>
        <w:rPr>
          <w:rFonts w:hint="eastAsia"/>
        </w:rPr>
        <w:t>）本项目符合公路总体用地指标，永久占地对区域内的土地利用结构会有一定的影响。</w:t>
      </w:r>
    </w:p>
    <w:p>
      <w:pPr>
        <w:pStyle w:val="4"/>
        <w:ind w:left="567" w:hanging="567"/>
      </w:pPr>
      <w:bookmarkStart w:id="383" w:name="_Toc6777"/>
      <w:bookmarkStart w:id="384" w:name="_Toc381693598"/>
      <w:bookmarkStart w:id="385" w:name="_Toc366092209"/>
      <w:bookmarkStart w:id="386" w:name="_Toc317762532"/>
      <w:r>
        <w:rPr>
          <w:rFonts w:hint="eastAsia"/>
        </w:rPr>
        <w:t>工程选线的环境可行性</w:t>
      </w:r>
      <w:bookmarkEnd w:id="383"/>
      <w:bookmarkEnd w:id="384"/>
      <w:bookmarkEnd w:id="385"/>
      <w:bookmarkEnd w:id="386"/>
    </w:p>
    <w:p>
      <w:pPr>
        <w:pStyle w:val="3"/>
        <w:ind w:firstLine="31680"/>
      </w:pPr>
      <w:r>
        <w:rPr>
          <w:rFonts w:hint="eastAsia"/>
          <w:szCs w:val="24"/>
        </w:rPr>
        <w:t>本项目的建设符合相关产业政策，</w:t>
      </w:r>
      <w:r>
        <w:rPr>
          <w:rFonts w:hint="eastAsia"/>
        </w:rPr>
        <w:t>评价范围内无风景名胜区、自然保护区、森林公园、鱼类三场、距离大里塘饮用水源保护区有</w:t>
      </w:r>
      <w:r>
        <w:t>93m</w:t>
      </w:r>
      <w:r>
        <w:rPr>
          <w:rFonts w:hint="eastAsia"/>
        </w:rPr>
        <w:t>（不在大里塘水库饮用水源一级保护区范围内）等环境敏感区，不违反《风景名胜区条例》、《自然保护区条例》、《中华人民共和国森林公园管理办法》、《国家级森林公园管理办法》等相关规定；公路沿线除有水杉、银杏、杜仲外无其他珍稀保护植物存在以及古大树分布，项目区无珍稀濒危国家保护动物种类分布；项目选线符合湖南省交通运输交通规划和《汨罗市综合交通体系规划（</w:t>
      </w:r>
      <w:r>
        <w:t>2014-2030</w:t>
      </w:r>
      <w:r>
        <w:rPr>
          <w:rFonts w:hint="eastAsia"/>
        </w:rPr>
        <w:t>）》；根据建设用地项目压覆矿产资源调查报告和建设场地地质灾害危险性评估报告，项目建设用地未压覆已探明的具有工业价值的重要矿床，也没有设置探矿权和采矿权，工程建设加剧滑坡、崩塌、泥石流、岩溶地面塌陷、采空区地面塌陷等地质灾害危险性小，因此，本工程的线位布设合理。</w:t>
      </w:r>
    </w:p>
    <w:p>
      <w:pPr>
        <w:pStyle w:val="4"/>
      </w:pPr>
      <w:bookmarkStart w:id="387" w:name="_Toc23892"/>
      <w:r>
        <w:rPr>
          <w:rFonts w:hint="eastAsia"/>
        </w:rPr>
        <w:t>环境制约因素</w:t>
      </w:r>
      <w:bookmarkEnd w:id="387"/>
    </w:p>
    <w:p>
      <w:pPr>
        <w:pStyle w:val="3"/>
        <w:ind w:firstLine="31680"/>
      </w:pPr>
      <w:r>
        <w:rPr>
          <w:rFonts w:hint="eastAsia"/>
        </w:rPr>
        <w:t>本项目无明显的环境制约因素。</w:t>
      </w:r>
    </w:p>
    <w:p>
      <w:pPr>
        <w:pStyle w:val="4"/>
      </w:pPr>
      <w:bookmarkStart w:id="388" w:name="_Toc32205"/>
      <w:r>
        <w:rPr>
          <w:rFonts w:hint="eastAsia"/>
        </w:rPr>
        <w:t>综合结论</w:t>
      </w:r>
      <w:bookmarkEnd w:id="388"/>
    </w:p>
    <w:p>
      <w:pPr>
        <w:pStyle w:val="3"/>
        <w:ind w:firstLine="31680"/>
        <w:rPr>
          <w:szCs w:val="24"/>
        </w:rPr>
      </w:pPr>
      <w:r>
        <w:rPr>
          <w:rFonts w:hint="eastAsia"/>
        </w:rPr>
        <w:t>拟建工程建成后，能完善区域路网结构，提升道路通行能力，满足不断增长的公路交通需求，缓减城市交通量压力，改善沿线的交通条件，极大的促进沿线旅游业的发展，改善对外交通运输条件，从而促进人民生活水平的提高。</w:t>
      </w:r>
    </w:p>
    <w:p>
      <w:pPr>
        <w:pStyle w:val="3"/>
        <w:ind w:firstLine="31680"/>
        <w:rPr>
          <w:rFonts w:ascii="宋体"/>
          <w:snapToGrid w:val="0"/>
        </w:rPr>
      </w:pPr>
      <w:r>
        <w:rPr>
          <w:rFonts w:hint="eastAsia"/>
        </w:rPr>
        <w:t>本工程在施工期和营运期对沿线生态环境、景观环境、大气环境和居民生产生活带来一定的不利影响，但只要认真落实本环评报告提出的环境保护减缓措施及建设方案优化建议，所产生的不利影响可以得到有效控制。</w:t>
      </w:r>
      <w:r>
        <w:rPr>
          <w:rFonts w:hint="eastAsia" w:ascii="宋体" w:hAnsi="宋体"/>
          <w:snapToGrid w:val="0"/>
        </w:rPr>
        <w:t>从环境角度评价，本工程建设可行。</w:t>
      </w:r>
    </w:p>
    <w:p>
      <w:pPr>
        <w:pStyle w:val="4"/>
      </w:pPr>
      <w:bookmarkStart w:id="389" w:name="_Toc22394"/>
      <w:r>
        <w:rPr>
          <w:rFonts w:hint="eastAsia"/>
        </w:rPr>
        <w:t>建议</w:t>
      </w:r>
      <w:bookmarkEnd w:id="389"/>
    </w:p>
    <w:p>
      <w:pPr>
        <w:pStyle w:val="3"/>
        <w:ind w:firstLine="31680"/>
      </w:pPr>
      <w:r>
        <w:t>a</w:t>
      </w:r>
      <w:r>
        <w:rPr>
          <w:rFonts w:hint="eastAsia"/>
        </w:rPr>
        <w:t>）建议建设单位通过沿线各级政府，加强与被征地拆迁的村组、农户沟通，对被拆迁户给予妥善安置，合理补偿；加强对沿线拆迁户的安置工作，不仅要保证他们有房住，更要保证他们在失去土地后有稳定的经济收入，积极引导他们从事第三产业，努力保证征地拆迁户的生活质量不因公路的建设而降低。</w:t>
      </w:r>
    </w:p>
    <w:p>
      <w:pPr>
        <w:pStyle w:val="3"/>
        <w:ind w:firstLine="31680"/>
      </w:pPr>
      <w:r>
        <w:t>b</w:t>
      </w:r>
      <w:r>
        <w:rPr>
          <w:rFonts w:hint="eastAsia"/>
        </w:rPr>
        <w:t>）</w:t>
      </w:r>
      <w:r>
        <w:rPr>
          <w:rFonts w:hint="eastAsia" w:hAnsi="宋体"/>
          <w:bCs/>
          <w:kern w:val="10"/>
        </w:rPr>
        <w:t>施工期应严格按《中华人民共和国环境噪声污染防治法》安排施工方式和施工时间，防止施工噪声对沿线环境造成严重影响。</w:t>
      </w:r>
    </w:p>
    <w:p>
      <w:pPr>
        <w:pStyle w:val="3"/>
        <w:ind w:firstLine="31680"/>
      </w:pPr>
      <w:r>
        <w:t>c</w:t>
      </w:r>
      <w:r>
        <w:rPr>
          <w:rFonts w:hint="eastAsia"/>
        </w:rPr>
        <w:t>）公路两侧距路红线外</w:t>
      </w:r>
      <w:r>
        <w:t>50m</w:t>
      </w:r>
      <w:r>
        <w:rPr>
          <w:rFonts w:hint="eastAsia"/>
        </w:rPr>
        <w:t>范围以内禁止新建学校、医院等对声环境要求高的建筑。</w:t>
      </w:r>
    </w:p>
    <w:sectPr>
      <w:pgSz w:w="11906" w:h="16838"/>
      <w:pgMar w:top="1588" w:right="1361" w:bottom="1474" w:left="1588" w:header="851" w:footer="851" w:gutter="0"/>
      <w:pgBorders>
        <w:top w:val="none" w:sz="0" w:space="0"/>
        <w:left w:val="none" w:sz="0" w:space="0"/>
        <w:bottom w:val="none" w:sz="0" w:space="0"/>
        <w:right w:val="none" w:sz="0" w:space="0"/>
      </w:pgBorders>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decorative"/>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CG Times (WN)">
    <w:altName w:val="Times New Roman"/>
    <w:panose1 w:val="00000000000000000000"/>
    <w:charset w:val="00"/>
    <w:family w:val="auto"/>
    <w:pitch w:val="default"/>
    <w:sig w:usb0="00000000" w:usb1="00000000" w:usb2="00000000" w:usb3="00000000" w:csb0="00000001" w:csb1="00000000"/>
  </w:font>
  <w:font w:name="仿宋体">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Cambria Math">
    <w:panose1 w:val="02040503050406030204"/>
    <w:charset w:val="00"/>
    <w:family w:val="roman"/>
    <w:pitch w:val="default"/>
    <w:sig w:usb0="E00002FF" w:usb1="420024FF" w:usb2="00000000" w:usb3="00000000" w:csb0="2000019F" w:csb1="00000000"/>
  </w:font>
  <w:font w:name="UniversalMath1 BT">
    <w:panose1 w:val="05050102010205020602"/>
    <w:charset w:val="02"/>
    <w:family w:val="roman"/>
    <w:pitch w:val="default"/>
    <w:sig w:usb0="00000000" w:usb1="00000000" w:usb2="00000000" w:usb3="00000000" w:csb0="00000000" w:csb1="00000000"/>
  </w:font>
  <w:font w:name="微软雅黑">
    <w:panose1 w:val="020B0503020204020204"/>
    <w:charset w:val="86"/>
    <w:family w:val="auto"/>
    <w:pitch w:val="default"/>
    <w:sig w:usb0="A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font>
  <w:font w:name="瀹嬩綋">
    <w:altName w:val="宋体"/>
    <w:panose1 w:val="00000000000000000000"/>
    <w:charset w:val="86"/>
    <w:family w:val="roma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 w:name="汉鼎简书宋">
    <w:altName w:val="黑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Times">
    <w:altName w:val="Times New Roman"/>
    <w:panose1 w:val="02020603050405020304"/>
    <w:charset w:val="00"/>
    <w:family w:val="roman"/>
    <w:pitch w:val="default"/>
    <w:sig w:usb0="00000000" w:usb1="00000000" w:usb2="00000008" w:usb3="00000000" w:csb0="000001FF" w:csb1="00000000"/>
  </w:font>
  <w:font w:name="永中宋体">
    <w:altName w:val="宋体"/>
    <w:panose1 w:val="00000000000000000000"/>
    <w:charset w:val="86"/>
    <w:family w:val="auto"/>
    <w:pitch w:val="default"/>
    <w:sig w:usb0="00000000" w:usb1="00000000" w:usb2="00000010" w:usb3="00000000" w:csb0="00040001" w:csb1="00000000"/>
  </w:font>
  <w:font w:name="华文细黑">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Adobe Song Std">
    <w:altName w:val="宋体"/>
    <w:panose1 w:val="00000000000000000000"/>
    <w:charset w:val="86"/>
    <w:family w:val="roman"/>
    <w:pitch w:val="default"/>
    <w:sig w:usb0="00000000" w:usb1="00000000" w:usb2="00000010" w:usb3="00000000" w:csb0="00040000" w:csb1="00000000"/>
  </w:font>
  <w:font w:name="Tms Rmn">
    <w:altName w:val="Times New Roman"/>
    <w:panose1 w:val="02020603040505020304"/>
    <w:charset w:val="00"/>
    <w:family w:val="roman"/>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   \* MERGEFORMAT</w:instrText>
    </w:r>
    <w:r>
      <w:fldChar w:fldCharType="separate"/>
    </w:r>
    <w:r>
      <w:rPr>
        <w:lang w:val="zh-CN"/>
      </w:rPr>
      <w:t>19</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MERGEFORMAT </w:instrText>
    </w:r>
    <w:r>
      <w:fldChar w:fldCharType="separate"/>
    </w:r>
    <w:r>
      <w:rPr>
        <w:lang w:val="zh-CN"/>
      </w:rPr>
      <w:t>33</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MERGEFORMAT </w:instrText>
    </w:r>
    <w:r>
      <w:fldChar w:fldCharType="separate"/>
    </w:r>
    <w:r>
      <w:rPr>
        <w:lang w:val="zh-CN"/>
      </w:rPr>
      <w:t>38</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MERGEFORMAT </w:instrText>
    </w:r>
    <w:r>
      <w:fldChar w:fldCharType="separate"/>
    </w:r>
    <w:r>
      <w:rPr>
        <w:lang w:val="zh-CN"/>
      </w:rPr>
      <w:t>71</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pPr>
    <w:r>
      <w:fldChar w:fldCharType="begin"/>
    </w:r>
    <w:r>
      <w:instrText xml:space="preserve"> PAGE   \* MERGEFORMAT </w:instrText>
    </w:r>
    <w:r>
      <w:fldChar w:fldCharType="separate"/>
    </w:r>
    <w:r>
      <w:rPr>
        <w:lang w:val="zh-CN"/>
      </w:rPr>
      <w:t>84</w:t>
    </w:r>
    <w:r>
      <w:rPr>
        <w:lang w:val="zh-CN"/>
      </w:rPr>
      <w:fldChar w:fldCharType="end"/>
    </w:r>
  </w:p>
  <w:p>
    <w:pPr>
      <w:pStyle w:val="25"/>
      <w:kinsoku w:val="0"/>
      <w:overflowPunct w:val="0"/>
      <w:spacing w:line="14" w:lineRule="auto"/>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lang w:eastAsia="zh-CN"/>
      </w:rPr>
      <w:t>弼时镇铜盆至青山铺公路（飞地工业园区主干道桃花路）工程建设项目</w:t>
    </w:r>
    <w:r>
      <w:rPr>
        <w:rFonts w:hint="eastAsia"/>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lang w:val="en-US" w:eastAsia="zh-CN"/>
      </w:rPr>
      <w:t>弼时镇铜盆至青山铺公路（飞地工业园区主干道桃花路）工程建设项目</w:t>
    </w:r>
    <w:r>
      <w:rPr>
        <w:rFonts w:hint="eastAsia"/>
      </w:rPr>
      <w:t>环境影响报告书</w:t>
    </w:r>
  </w:p>
  <w:p>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lang w:eastAsia="zh-CN"/>
      </w:rPr>
      <w:t>弼时镇铜盆至青山铺公路（飞地工业园区主干道桃花路）工程建设项目</w:t>
    </w:r>
    <w:r>
      <w:rPr>
        <w:rFonts w:hint="eastAsia"/>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lang w:val="en-US" w:eastAsia="zh-CN"/>
      </w:rPr>
      <w:t>弼时镇铜盆至青山铺公路（飞地工业园区主干道桃花路）工程建设项目</w:t>
    </w:r>
    <w:r>
      <w:rPr>
        <w:rFonts w:hint="eastAsia"/>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lang w:eastAsia="zh-CN"/>
      </w:rPr>
      <w:t>弼时镇铜盆至青山铺公路（飞地工业园区主干道桃花路）工程建设项目</w:t>
    </w:r>
    <w:r>
      <w:rPr>
        <w:rFonts w:hint="eastAsia"/>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lang w:eastAsia="zh-CN"/>
      </w:rPr>
      <w:t>弼时镇铜盆至青山铺公路（飞地工业园区主干道桃花路）工程建设项目</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FFFFF88"/>
    <w:lvl w:ilvl="0" w:tentative="0">
      <w:start w:val="1"/>
      <w:numFmt w:val="lowerLetter"/>
      <w:pStyle w:val="17"/>
      <w:lvlText w:val="%1）"/>
      <w:lvlJc w:val="left"/>
      <w:pPr>
        <w:ind w:left="420" w:hanging="420"/>
      </w:pPr>
      <w:rPr>
        <w:rFonts w:hint="eastAsia" w:cs="Times New Roman"/>
      </w:rPr>
    </w:lvl>
  </w:abstractNum>
  <w:abstractNum w:abstractNumId="1">
    <w:nsid w:val="013905E7"/>
    <w:multiLevelType w:val="multilevel"/>
    <w:tmpl w:val="013905E7"/>
    <w:lvl w:ilvl="0" w:tentative="0">
      <w:start w:val="1"/>
      <w:numFmt w:val="decimal"/>
      <w:pStyle w:val="271"/>
      <w:lvlText w:val="第%1章"/>
      <w:lvlJc w:val="left"/>
      <w:pPr>
        <w:tabs>
          <w:tab w:val="left" w:pos="425"/>
        </w:tabs>
        <w:ind w:left="425" w:hanging="425"/>
      </w:pPr>
      <w:rPr>
        <w:rFonts w:hint="eastAsia" w:cs="Times New Roman"/>
      </w:rPr>
    </w:lvl>
    <w:lvl w:ilvl="1" w:tentative="0">
      <w:start w:val="1"/>
      <w:numFmt w:val="decimal"/>
      <w:pStyle w:val="269"/>
      <w:lvlText w:val="%1.%2"/>
      <w:lvlJc w:val="left"/>
      <w:pPr>
        <w:tabs>
          <w:tab w:val="left" w:pos="1276"/>
        </w:tabs>
        <w:ind w:left="1276" w:hanging="992"/>
      </w:pPr>
      <w:rPr>
        <w:rFonts w:hint="eastAsia" w:cs="Times New Roman"/>
      </w:rPr>
    </w:lvl>
    <w:lvl w:ilvl="2" w:tentative="0">
      <w:start w:val="1"/>
      <w:numFmt w:val="decimal"/>
      <w:pStyle w:val="270"/>
      <w:lvlText w:val="%1.%2.%3"/>
      <w:lvlJc w:val="left"/>
      <w:pPr>
        <w:tabs>
          <w:tab w:val="left" w:pos="1648"/>
        </w:tabs>
        <w:ind w:left="1135" w:hanging="567"/>
      </w:pPr>
      <w:rPr>
        <w:rFonts w:hint="eastAsia" w:cs="Times New Roman"/>
      </w:rPr>
    </w:lvl>
    <w:lvl w:ilvl="3" w:tentative="0">
      <w:start w:val="1"/>
      <w:numFmt w:val="decimal"/>
      <w:lvlText w:val="%1.%2.%3.%4"/>
      <w:lvlJc w:val="left"/>
      <w:pPr>
        <w:tabs>
          <w:tab w:val="left" w:pos="2716"/>
        </w:tabs>
        <w:ind w:left="1984" w:hanging="708"/>
      </w:pPr>
      <w:rPr>
        <w:rFonts w:hint="eastAsia" w:cs="Times New Roman"/>
      </w:rPr>
    </w:lvl>
    <w:lvl w:ilvl="4" w:tentative="0">
      <w:start w:val="1"/>
      <w:numFmt w:val="decimal"/>
      <w:lvlText w:val="%1.%2.%3.%4.%5"/>
      <w:lvlJc w:val="left"/>
      <w:pPr>
        <w:tabs>
          <w:tab w:val="left" w:pos="3501"/>
        </w:tabs>
        <w:ind w:left="2551" w:hanging="850"/>
      </w:pPr>
      <w:rPr>
        <w:rFonts w:hint="eastAsia" w:cs="Times New Roman"/>
      </w:rPr>
    </w:lvl>
    <w:lvl w:ilvl="5" w:tentative="0">
      <w:start w:val="1"/>
      <w:numFmt w:val="decimal"/>
      <w:lvlText w:val="%1.%2.%3.%4.%5.%6"/>
      <w:lvlJc w:val="left"/>
      <w:pPr>
        <w:tabs>
          <w:tab w:val="left" w:pos="3926"/>
        </w:tabs>
        <w:ind w:left="3260" w:hanging="1134"/>
      </w:pPr>
      <w:rPr>
        <w:rFonts w:hint="eastAsia" w:cs="Times New Roman"/>
      </w:rPr>
    </w:lvl>
    <w:lvl w:ilvl="6" w:tentative="0">
      <w:start w:val="1"/>
      <w:numFmt w:val="decimal"/>
      <w:lvlText w:val="%1.%2.%3.%4.%5.%6.%7"/>
      <w:lvlJc w:val="left"/>
      <w:pPr>
        <w:tabs>
          <w:tab w:val="left" w:pos="4711"/>
        </w:tabs>
        <w:ind w:left="3827" w:hanging="1276"/>
      </w:pPr>
      <w:rPr>
        <w:rFonts w:hint="eastAsia" w:cs="Times New Roman"/>
      </w:rPr>
    </w:lvl>
    <w:lvl w:ilvl="7" w:tentative="0">
      <w:start w:val="1"/>
      <w:numFmt w:val="decimal"/>
      <w:lvlText w:val="%1.%2.%3.%4.%5.%6.%7.%8"/>
      <w:lvlJc w:val="left"/>
      <w:pPr>
        <w:tabs>
          <w:tab w:val="left" w:pos="5496"/>
        </w:tabs>
        <w:ind w:left="4394" w:hanging="1418"/>
      </w:pPr>
      <w:rPr>
        <w:rFonts w:hint="eastAsia" w:cs="Times New Roman"/>
      </w:rPr>
    </w:lvl>
    <w:lvl w:ilvl="8" w:tentative="0">
      <w:start w:val="1"/>
      <w:numFmt w:val="decimal"/>
      <w:lvlText w:val="%1.%2.%3.%4.%5.%6.%7.%8.%9"/>
      <w:lvlJc w:val="left"/>
      <w:pPr>
        <w:tabs>
          <w:tab w:val="left" w:pos="6282"/>
        </w:tabs>
        <w:ind w:left="5102" w:hanging="1700"/>
      </w:pPr>
      <w:rPr>
        <w:rFonts w:hint="eastAsia" w:cs="Times New Roman"/>
      </w:rPr>
    </w:lvl>
  </w:abstractNum>
  <w:abstractNum w:abstractNumId="2">
    <w:nsid w:val="016B189A"/>
    <w:multiLevelType w:val="multilevel"/>
    <w:tmpl w:val="016B189A"/>
    <w:lvl w:ilvl="0" w:tentative="0">
      <w:start w:val="1"/>
      <w:numFmt w:val="lowerLetter"/>
      <w:lvlText w:val="%1)"/>
      <w:lvlJc w:val="left"/>
      <w:pPr>
        <w:ind w:left="900" w:hanging="420"/>
      </w:pPr>
      <w:rPr>
        <w:rFonts w:cs="Times New Roman"/>
      </w:rPr>
    </w:lvl>
    <w:lvl w:ilvl="1" w:tentative="0">
      <w:start w:val="1"/>
      <w:numFmt w:val="lowerLetter"/>
      <w:lvlText w:val="%2）"/>
      <w:lvlJc w:val="left"/>
      <w:pPr>
        <w:ind w:left="1725" w:hanging="825"/>
      </w:pPr>
      <w:rPr>
        <w:rFonts w:hint="default"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3">
    <w:nsid w:val="0B6F4B2A"/>
    <w:multiLevelType w:val="multilevel"/>
    <w:tmpl w:val="0B6F4B2A"/>
    <w:lvl w:ilvl="0" w:tentative="0">
      <w:start w:val="1"/>
      <w:numFmt w:val="decimal"/>
      <w:lvlText w:val="附件%1."/>
      <w:lvlJc w:val="left"/>
      <w:pPr>
        <w:ind w:left="900" w:hanging="420"/>
      </w:pPr>
      <w:rPr>
        <w:rFonts w:hint="eastAsia" w:cs="Times New Roman"/>
      </w:rPr>
    </w:lvl>
    <w:lvl w:ilvl="1" w:tentative="0">
      <w:start w:val="1"/>
      <w:numFmt w:val="lowerLetter"/>
      <w:lvlText w:val="%2)"/>
      <w:lvlJc w:val="left"/>
      <w:pPr>
        <w:ind w:left="1699" w:hanging="799"/>
      </w:pPr>
      <w:rPr>
        <w:rFonts w:hint="default"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4">
    <w:nsid w:val="0F7E050C"/>
    <w:multiLevelType w:val="multilevel"/>
    <w:tmpl w:val="0F7E050C"/>
    <w:lvl w:ilvl="0" w:tentative="0">
      <w:start w:val="1"/>
      <w:numFmt w:val="lowerLetter"/>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5">
    <w:nsid w:val="12452261"/>
    <w:multiLevelType w:val="multilevel"/>
    <w:tmpl w:val="12452261"/>
    <w:lvl w:ilvl="0" w:tentative="0">
      <w:start w:val="1"/>
      <w:numFmt w:val="lowerLetter"/>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6">
    <w:nsid w:val="1E277968"/>
    <w:multiLevelType w:val="multilevel"/>
    <w:tmpl w:val="1E277968"/>
    <w:lvl w:ilvl="0" w:tentative="0">
      <w:start w:val="1"/>
      <w:numFmt w:val="decimal"/>
      <w:pStyle w:val="2"/>
      <w:lvlText w:val="%1"/>
      <w:lvlJc w:val="left"/>
      <w:pPr>
        <w:ind w:left="432" w:hanging="432"/>
      </w:pPr>
      <w:rPr>
        <w:rFonts w:cs="Times New Roman"/>
      </w:rPr>
    </w:lvl>
    <w:lvl w:ilvl="1" w:tentative="0">
      <w:start w:val="1"/>
      <w:numFmt w:val="decimal"/>
      <w:pStyle w:val="4"/>
      <w:lvlText w:val="%1.%2"/>
      <w:lvlJc w:val="left"/>
      <w:pPr>
        <w:ind w:left="718" w:hanging="576"/>
      </w:pPr>
      <w:rPr>
        <w:rFonts w:cs="Times New Roman"/>
      </w:rPr>
    </w:lvl>
    <w:lvl w:ilvl="2" w:tentative="0">
      <w:start w:val="1"/>
      <w:numFmt w:val="decimal"/>
      <w:pStyle w:val="5"/>
      <w:lvlText w:val="%1.%2.%3"/>
      <w:lvlJc w:val="left"/>
      <w:pPr>
        <w:ind w:left="1287" w:hanging="720"/>
      </w:pPr>
      <w:rPr>
        <w:rFonts w:cs="Times New Roman"/>
      </w:rPr>
    </w:lvl>
    <w:lvl w:ilvl="3" w:tentative="0">
      <w:start w:val="1"/>
      <w:numFmt w:val="decimal"/>
      <w:pStyle w:val="6"/>
      <w:lvlText w:val="%1.%2.%3.%4"/>
      <w:lvlJc w:val="left"/>
      <w:pPr>
        <w:ind w:left="1716" w:hanging="864"/>
      </w:pPr>
      <w:rPr>
        <w:rFonts w:cs="Times New Roman"/>
      </w:rPr>
    </w:lvl>
    <w:lvl w:ilvl="4" w:tentative="0">
      <w:start w:val="1"/>
      <w:numFmt w:val="decimal"/>
      <w:pStyle w:val="7"/>
      <w:lvlText w:val="%1.%2.%3.%4.%5"/>
      <w:lvlJc w:val="left"/>
      <w:pPr>
        <w:ind w:left="1008" w:hanging="1008"/>
      </w:pPr>
      <w:rPr>
        <w:rFonts w:cs="Times New Roman"/>
      </w:rPr>
    </w:lvl>
    <w:lvl w:ilvl="5" w:tentative="0">
      <w:start w:val="1"/>
      <w:numFmt w:val="decimal"/>
      <w:pStyle w:val="8"/>
      <w:lvlText w:val="%1.%2.%3.%4.%5.%6"/>
      <w:lvlJc w:val="left"/>
      <w:pPr>
        <w:ind w:left="1152" w:hanging="1152"/>
      </w:pPr>
      <w:rPr>
        <w:rFonts w:cs="Times New Roman"/>
      </w:rPr>
    </w:lvl>
    <w:lvl w:ilvl="6" w:tentative="0">
      <w:start w:val="1"/>
      <w:numFmt w:val="decimal"/>
      <w:pStyle w:val="9"/>
      <w:lvlText w:val="%1.%2.%3.%4.%5.%6.%7"/>
      <w:lvlJc w:val="left"/>
      <w:pPr>
        <w:ind w:left="1296" w:hanging="1296"/>
      </w:pPr>
      <w:rPr>
        <w:rFonts w:cs="Times New Roman"/>
      </w:rPr>
    </w:lvl>
    <w:lvl w:ilvl="7" w:tentative="0">
      <w:start w:val="1"/>
      <w:numFmt w:val="decimal"/>
      <w:pStyle w:val="10"/>
      <w:lvlText w:val="%1.%2.%3.%4.%5.%6.%7.%8"/>
      <w:lvlJc w:val="left"/>
      <w:pPr>
        <w:ind w:left="1440" w:hanging="1440"/>
      </w:pPr>
      <w:rPr>
        <w:rFonts w:cs="Times New Roman"/>
      </w:rPr>
    </w:lvl>
    <w:lvl w:ilvl="8" w:tentative="0">
      <w:start w:val="1"/>
      <w:numFmt w:val="decimal"/>
      <w:pStyle w:val="11"/>
      <w:lvlText w:val="%1.%2.%3.%4.%5.%6.%7.%8.%9"/>
      <w:lvlJc w:val="left"/>
      <w:pPr>
        <w:ind w:left="1584" w:hanging="1584"/>
      </w:pPr>
      <w:rPr>
        <w:rFonts w:cs="Times New Roman"/>
      </w:rPr>
    </w:lvl>
  </w:abstractNum>
  <w:abstractNum w:abstractNumId="7">
    <w:nsid w:val="329D6182"/>
    <w:multiLevelType w:val="singleLevel"/>
    <w:tmpl w:val="329D6182"/>
    <w:lvl w:ilvl="0" w:tentative="0">
      <w:start w:val="1"/>
      <w:numFmt w:val="chineseCountingThousand"/>
      <w:pStyle w:val="317"/>
      <w:lvlText w:val="第%1章"/>
      <w:lvlJc w:val="left"/>
      <w:pPr>
        <w:tabs>
          <w:tab w:val="left" w:pos="720"/>
        </w:tabs>
        <w:ind w:left="425" w:hanging="425"/>
      </w:pPr>
      <w:rPr>
        <w:rFonts w:hint="eastAsia" w:cs="Times New Roman"/>
      </w:rPr>
    </w:lvl>
  </w:abstractNum>
  <w:abstractNum w:abstractNumId="8">
    <w:nsid w:val="37E16F82"/>
    <w:multiLevelType w:val="multilevel"/>
    <w:tmpl w:val="37E16F82"/>
    <w:lvl w:ilvl="0" w:tentative="0">
      <w:start w:val="1"/>
      <w:numFmt w:val="decimal"/>
      <w:pStyle w:val="362"/>
      <w:suff w:val="space"/>
      <w:lvlText w:val="第%1章  "/>
      <w:lvlJc w:val="left"/>
      <w:pPr>
        <w:ind w:left="170"/>
      </w:pPr>
      <w:rPr>
        <w:rFonts w:hint="default" w:ascii="Times New Roman" w:hAnsi="Times New Roman" w:eastAsia="黑体" w:cs="Times New Roman"/>
      </w:rPr>
    </w:lvl>
    <w:lvl w:ilvl="1" w:tentative="0">
      <w:start w:val="1"/>
      <w:numFmt w:val="decimal"/>
      <w:pStyle w:val="360"/>
      <w:suff w:val="space"/>
      <w:lvlText w:val="%1.%2  "/>
      <w:lvlJc w:val="left"/>
      <w:pPr>
        <w:ind w:left="170"/>
      </w:pPr>
      <w:rPr>
        <w:rFonts w:hint="default" w:ascii="Times New Roman" w:hAnsi="Times New Roman" w:eastAsia="黑体" w:cs="Times New Roman"/>
      </w:rPr>
    </w:lvl>
    <w:lvl w:ilvl="2" w:tentative="0">
      <w:start w:val="1"/>
      <w:numFmt w:val="decimal"/>
      <w:pStyle w:val="361"/>
      <w:suff w:val="space"/>
      <w:lvlText w:val="%1.%2.%3  "/>
      <w:lvlJc w:val="left"/>
      <w:pPr>
        <w:ind w:left="890" w:hanging="550"/>
      </w:pPr>
      <w:rPr>
        <w:rFonts w:hint="default" w:ascii="Times New Roman" w:hAnsi="Times New Roman" w:eastAsia="宋体" w:cs="Times New Roman"/>
        <w:b/>
        <w:i w:val="0"/>
        <w:sz w:val="21"/>
        <w:szCs w:val="21"/>
      </w:rPr>
    </w:lvl>
    <w:lvl w:ilvl="3" w:tentative="0">
      <w:start w:val="1"/>
      <w:numFmt w:val="decimal"/>
      <w:pStyle w:val="363"/>
      <w:suff w:val="space"/>
      <w:lvlText w:val="%4、"/>
      <w:lvlJc w:val="left"/>
      <w:pPr>
        <w:ind w:left="170" w:firstLine="340"/>
      </w:pPr>
      <w:rPr>
        <w:rFonts w:hint="default" w:ascii="Times New Roman" w:hAnsi="Times New Roman" w:eastAsia="宋体" w:cs="Times New Roman"/>
        <w:b/>
        <w:i w:val="0"/>
        <w:sz w:val="21"/>
        <w:szCs w:val="21"/>
      </w:rPr>
    </w:lvl>
    <w:lvl w:ilvl="4" w:tentative="0">
      <w:start w:val="1"/>
      <w:numFmt w:val="decimal"/>
      <w:suff w:val="space"/>
      <w:lvlText w:val="（%5）"/>
      <w:lvlJc w:val="left"/>
      <w:pPr>
        <w:ind w:left="1178" w:hanging="1008"/>
      </w:pPr>
      <w:rPr>
        <w:rFonts w:hint="default" w:ascii="Times New Roman" w:hAnsi="Times New Roman" w:eastAsia="黑体" w:cs="Times New Roman"/>
        <w:b w:val="0"/>
        <w:i w:val="0"/>
        <w:sz w:val="21"/>
        <w:szCs w:val="21"/>
      </w:rPr>
    </w:lvl>
    <w:lvl w:ilvl="5" w:tentative="0">
      <w:start w:val="1"/>
      <w:numFmt w:val="decimal"/>
      <w:lvlText w:val="%1.%2.%3.%4.%5.%6"/>
      <w:lvlJc w:val="left"/>
      <w:pPr>
        <w:tabs>
          <w:tab w:val="left" w:pos="1322"/>
        </w:tabs>
        <w:ind w:left="1322" w:hanging="1152"/>
      </w:pPr>
      <w:rPr>
        <w:rFonts w:hint="eastAsia" w:cs="Times New Roman"/>
      </w:rPr>
    </w:lvl>
    <w:lvl w:ilvl="6" w:tentative="0">
      <w:start w:val="1"/>
      <w:numFmt w:val="decimal"/>
      <w:lvlText w:val="%1.%2.%3.%4.%5.%6.%7"/>
      <w:lvlJc w:val="left"/>
      <w:pPr>
        <w:tabs>
          <w:tab w:val="left" w:pos="1466"/>
        </w:tabs>
        <w:ind w:left="1466" w:hanging="1296"/>
      </w:pPr>
      <w:rPr>
        <w:rFonts w:hint="eastAsia" w:cs="Times New Roman"/>
      </w:rPr>
    </w:lvl>
    <w:lvl w:ilvl="7" w:tentative="0">
      <w:start w:val="1"/>
      <w:numFmt w:val="decimal"/>
      <w:lvlText w:val="%1.%2.%3.%4.%5.%6.%7.%8"/>
      <w:lvlJc w:val="left"/>
      <w:pPr>
        <w:tabs>
          <w:tab w:val="left" w:pos="1610"/>
        </w:tabs>
        <w:ind w:left="1610" w:hanging="1440"/>
      </w:pPr>
      <w:rPr>
        <w:rFonts w:hint="eastAsia" w:cs="Times New Roman"/>
      </w:rPr>
    </w:lvl>
    <w:lvl w:ilvl="8" w:tentative="0">
      <w:start w:val="1"/>
      <w:numFmt w:val="decimal"/>
      <w:lvlText w:val="%1.%2.%3.%4.%5.%6.%7.%8.%9"/>
      <w:lvlJc w:val="left"/>
      <w:pPr>
        <w:tabs>
          <w:tab w:val="left" w:pos="1754"/>
        </w:tabs>
        <w:ind w:left="1754" w:hanging="1584"/>
      </w:pPr>
      <w:rPr>
        <w:rFonts w:hint="eastAsia" w:cs="Times New Roman"/>
      </w:rPr>
    </w:lvl>
  </w:abstractNum>
  <w:abstractNum w:abstractNumId="9">
    <w:nsid w:val="3C8D1FFB"/>
    <w:multiLevelType w:val="multilevel"/>
    <w:tmpl w:val="3C8D1FFB"/>
    <w:lvl w:ilvl="0" w:tentative="0">
      <w:start w:val="1"/>
      <w:numFmt w:val="decimal"/>
      <w:lvlText w:val="附图%1."/>
      <w:lvlJc w:val="left"/>
      <w:pPr>
        <w:ind w:left="900" w:hanging="420"/>
      </w:pPr>
      <w:rPr>
        <w:rFonts w:hint="eastAsia"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0">
    <w:nsid w:val="44CF0587"/>
    <w:multiLevelType w:val="multilevel"/>
    <w:tmpl w:val="44CF0587"/>
    <w:lvl w:ilvl="0" w:tentative="0">
      <w:start w:val="1"/>
      <w:numFmt w:val="decimal"/>
      <w:pStyle w:val="170"/>
      <w:lvlText w:val="(%1)"/>
      <w:lvlJc w:val="left"/>
      <w:pPr>
        <w:tabs>
          <w:tab w:val="left" w:pos="840"/>
        </w:tabs>
        <w:ind w:left="840" w:hanging="360"/>
      </w:pPr>
      <w:rPr>
        <w:rFonts w:hint="eastAsia" w:ascii="Times New Roman" w:hAnsi="Times New Roman" w:eastAsia="黑体" w:cs="Times New Roman"/>
        <w:b/>
      </w:rPr>
    </w:lvl>
    <w:lvl w:ilvl="1" w:tentative="0">
      <w:start w:val="1"/>
      <w:numFmt w:val="decimal"/>
      <w:lvlText w:val="%2)"/>
      <w:lvlJc w:val="left"/>
      <w:pPr>
        <w:tabs>
          <w:tab w:val="left" w:pos="1260"/>
        </w:tabs>
        <w:ind w:left="1260" w:hanging="360"/>
      </w:pPr>
      <w:rPr>
        <w:rFonts w:hint="eastAsia"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1">
    <w:nsid w:val="460C7195"/>
    <w:multiLevelType w:val="multilevel"/>
    <w:tmpl w:val="460C7195"/>
    <w:lvl w:ilvl="0" w:tentative="0">
      <w:start w:val="1"/>
      <w:numFmt w:val="decimal"/>
      <w:pStyle w:val="247"/>
      <w:lvlText w:val="%1."/>
      <w:lvlJc w:val="left"/>
      <w:pPr>
        <w:ind w:left="1130" w:hanging="420"/>
      </w:pPr>
      <w:rPr>
        <w:rFonts w:cs="Times New Roman"/>
        <w:color w:val="0070C0"/>
      </w:rPr>
    </w:lvl>
    <w:lvl w:ilvl="1" w:tentative="0">
      <w:start w:val="1"/>
      <w:numFmt w:val="decimal"/>
      <w:lvlText w:val="%2、"/>
      <w:lvlJc w:val="left"/>
      <w:pPr>
        <w:ind w:left="1424" w:hanging="720"/>
      </w:pPr>
      <w:rPr>
        <w:rFonts w:hint="default" w:cs="Times New Roman"/>
      </w:rPr>
    </w:lvl>
    <w:lvl w:ilvl="2" w:tentative="0">
      <w:start w:val="1"/>
      <w:numFmt w:val="lowerRoman"/>
      <w:lvlText w:val="%3."/>
      <w:lvlJc w:val="right"/>
      <w:pPr>
        <w:ind w:left="1544" w:hanging="420"/>
      </w:pPr>
      <w:rPr>
        <w:rFonts w:cs="Times New Roman"/>
      </w:rPr>
    </w:lvl>
    <w:lvl w:ilvl="3" w:tentative="0">
      <w:start w:val="1"/>
      <w:numFmt w:val="decimal"/>
      <w:lvlText w:val="%4."/>
      <w:lvlJc w:val="left"/>
      <w:pPr>
        <w:ind w:left="1964" w:hanging="420"/>
      </w:pPr>
      <w:rPr>
        <w:rFonts w:cs="Times New Roman"/>
      </w:rPr>
    </w:lvl>
    <w:lvl w:ilvl="4" w:tentative="0">
      <w:start w:val="1"/>
      <w:numFmt w:val="lowerLetter"/>
      <w:lvlText w:val="%5)"/>
      <w:lvlJc w:val="left"/>
      <w:pPr>
        <w:ind w:left="2384" w:hanging="420"/>
      </w:pPr>
      <w:rPr>
        <w:rFonts w:cs="Times New Roman"/>
      </w:rPr>
    </w:lvl>
    <w:lvl w:ilvl="5" w:tentative="0">
      <w:start w:val="1"/>
      <w:numFmt w:val="lowerRoman"/>
      <w:lvlText w:val="%6."/>
      <w:lvlJc w:val="right"/>
      <w:pPr>
        <w:ind w:left="2804" w:hanging="420"/>
      </w:pPr>
      <w:rPr>
        <w:rFonts w:cs="Times New Roman"/>
      </w:rPr>
    </w:lvl>
    <w:lvl w:ilvl="6" w:tentative="0">
      <w:start w:val="1"/>
      <w:numFmt w:val="decimal"/>
      <w:lvlText w:val="%7."/>
      <w:lvlJc w:val="left"/>
      <w:pPr>
        <w:ind w:left="3224" w:hanging="420"/>
      </w:pPr>
      <w:rPr>
        <w:rFonts w:cs="Times New Roman"/>
      </w:rPr>
    </w:lvl>
    <w:lvl w:ilvl="7" w:tentative="0">
      <w:start w:val="1"/>
      <w:numFmt w:val="lowerLetter"/>
      <w:lvlText w:val="%8)"/>
      <w:lvlJc w:val="left"/>
      <w:pPr>
        <w:ind w:left="3644" w:hanging="420"/>
      </w:pPr>
      <w:rPr>
        <w:rFonts w:cs="Times New Roman"/>
      </w:rPr>
    </w:lvl>
    <w:lvl w:ilvl="8" w:tentative="0">
      <w:start w:val="1"/>
      <w:numFmt w:val="lowerRoman"/>
      <w:lvlText w:val="%9."/>
      <w:lvlJc w:val="right"/>
      <w:pPr>
        <w:ind w:left="4064" w:hanging="420"/>
      </w:pPr>
      <w:rPr>
        <w:rFonts w:cs="Times New Roman"/>
      </w:rPr>
    </w:lvl>
  </w:abstractNum>
  <w:abstractNum w:abstractNumId="12">
    <w:nsid w:val="47565EDD"/>
    <w:multiLevelType w:val="multilevel"/>
    <w:tmpl w:val="47565EDD"/>
    <w:lvl w:ilvl="0" w:tentative="0">
      <w:start w:val="1"/>
      <w:numFmt w:val="lowerLetter"/>
      <w:lvlText w:val="%1)"/>
      <w:lvlJc w:val="left"/>
      <w:pPr>
        <w:ind w:left="900" w:hanging="420"/>
      </w:pPr>
      <w:rPr>
        <w:rFonts w:cs="Times New Roman"/>
      </w:rPr>
    </w:lvl>
    <w:lvl w:ilvl="1" w:tentative="0">
      <w:start w:val="1"/>
      <w:numFmt w:val="decimal"/>
      <w:lvlText w:val="（%2）"/>
      <w:lvlJc w:val="left"/>
      <w:pPr>
        <w:ind w:left="1620" w:hanging="720"/>
      </w:pPr>
      <w:rPr>
        <w:rFonts w:hint="default" w:cs="Times New Roman"/>
      </w:rPr>
    </w:lvl>
    <w:lvl w:ilvl="2" w:tentative="0">
      <w:start w:val="2"/>
      <w:numFmt w:val="decimalEnclosedCircle"/>
      <w:lvlText w:val="%3"/>
      <w:lvlJc w:val="left"/>
      <w:pPr>
        <w:ind w:left="1680" w:hanging="360"/>
      </w:pPr>
      <w:rPr>
        <w:rFonts w:hint="default" w:cs="Times New Roman"/>
      </w:rPr>
    </w:lvl>
    <w:lvl w:ilvl="3" w:tentative="0">
      <w:start w:val="2"/>
      <w:numFmt w:val="decimalEnclosedCircle"/>
      <w:lvlText w:val="%4"/>
      <w:lvlJc w:val="left"/>
      <w:pPr>
        <w:ind w:left="2100" w:hanging="360"/>
      </w:pPr>
      <w:rPr>
        <w:rFonts w:hint="default" w:ascii="宋体" w:eastAsia="宋体" w:cs="Times New Roman"/>
      </w:rPr>
    </w:lvl>
    <w:lvl w:ilvl="4" w:tentative="0">
      <w:start w:val="1"/>
      <w:numFmt w:val="decimalEnclosedCircle"/>
      <w:lvlText w:val="%5"/>
      <w:lvlJc w:val="left"/>
      <w:pPr>
        <w:ind w:left="2520" w:hanging="360"/>
      </w:pPr>
      <w:rPr>
        <w:rFonts w:hint="default" w:cs="Times New Roman"/>
        <w:b w:val="0"/>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3">
    <w:nsid w:val="58E7004B"/>
    <w:multiLevelType w:val="singleLevel"/>
    <w:tmpl w:val="58E7004B"/>
    <w:lvl w:ilvl="0" w:tentative="0">
      <w:start w:val="1"/>
      <w:numFmt w:val="decimal"/>
      <w:suff w:val="nothing"/>
      <w:lvlText w:val="（%1）"/>
      <w:lvlJc w:val="left"/>
    </w:lvl>
  </w:abstractNum>
  <w:abstractNum w:abstractNumId="14">
    <w:nsid w:val="7F9126D6"/>
    <w:multiLevelType w:val="multilevel"/>
    <w:tmpl w:val="7F9126D6"/>
    <w:lvl w:ilvl="0" w:tentative="0">
      <w:start w:val="1"/>
      <w:numFmt w:val="lowerLetter"/>
      <w:lvlText w:val="%1）"/>
      <w:lvlJc w:val="left"/>
      <w:pPr>
        <w:ind w:left="107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num w:numId="1">
    <w:abstractNumId w:val="6"/>
  </w:num>
  <w:num w:numId="2">
    <w:abstractNumId w:val="0"/>
  </w:num>
  <w:num w:numId="3">
    <w:abstractNumId w:val="10"/>
  </w:num>
  <w:num w:numId="4">
    <w:abstractNumId w:val="11"/>
  </w:num>
  <w:num w:numId="5">
    <w:abstractNumId w:val="1"/>
  </w:num>
  <w:num w:numId="6">
    <w:abstractNumId w:val="7"/>
  </w:num>
  <w:num w:numId="7">
    <w:abstractNumId w:val="8"/>
  </w:num>
  <w:num w:numId="8">
    <w:abstractNumId w:val="3"/>
  </w:num>
  <w:num w:numId="9">
    <w:abstractNumId w:val="9"/>
  </w:num>
  <w:num w:numId="10">
    <w:abstractNumId w:val="14"/>
  </w:num>
  <w:num w:numId="11">
    <w:abstractNumId w:val="13"/>
  </w:num>
  <w:num w:numId="12">
    <w:abstractNumId w:val="2"/>
  </w:num>
  <w:num w:numId="13">
    <w:abstractNumId w:val="5"/>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88E"/>
    <w:rsid w:val="0000086A"/>
    <w:rsid w:val="0000097E"/>
    <w:rsid w:val="00001D44"/>
    <w:rsid w:val="00001E03"/>
    <w:rsid w:val="00001F1F"/>
    <w:rsid w:val="00001F6F"/>
    <w:rsid w:val="000026FA"/>
    <w:rsid w:val="0000286E"/>
    <w:rsid w:val="0000380E"/>
    <w:rsid w:val="000038DA"/>
    <w:rsid w:val="00003C52"/>
    <w:rsid w:val="00004CE3"/>
    <w:rsid w:val="0000648F"/>
    <w:rsid w:val="00007369"/>
    <w:rsid w:val="00010275"/>
    <w:rsid w:val="000103C8"/>
    <w:rsid w:val="00010847"/>
    <w:rsid w:val="000108DC"/>
    <w:rsid w:val="000109CA"/>
    <w:rsid w:val="00010A6D"/>
    <w:rsid w:val="00010B52"/>
    <w:rsid w:val="000118A4"/>
    <w:rsid w:val="00011AC4"/>
    <w:rsid w:val="00014061"/>
    <w:rsid w:val="00015C49"/>
    <w:rsid w:val="00016FAF"/>
    <w:rsid w:val="00020836"/>
    <w:rsid w:val="00021F2D"/>
    <w:rsid w:val="00023C89"/>
    <w:rsid w:val="00025923"/>
    <w:rsid w:val="00025F68"/>
    <w:rsid w:val="0002624E"/>
    <w:rsid w:val="00026B82"/>
    <w:rsid w:val="00027052"/>
    <w:rsid w:val="000308FC"/>
    <w:rsid w:val="00030F10"/>
    <w:rsid w:val="0003174C"/>
    <w:rsid w:val="000331B5"/>
    <w:rsid w:val="00033A9A"/>
    <w:rsid w:val="000344F1"/>
    <w:rsid w:val="00034E14"/>
    <w:rsid w:val="000355E1"/>
    <w:rsid w:val="000401AE"/>
    <w:rsid w:val="0004039F"/>
    <w:rsid w:val="00040943"/>
    <w:rsid w:val="0004195F"/>
    <w:rsid w:val="0004251E"/>
    <w:rsid w:val="00043160"/>
    <w:rsid w:val="00044B54"/>
    <w:rsid w:val="00045707"/>
    <w:rsid w:val="0005015D"/>
    <w:rsid w:val="000504A5"/>
    <w:rsid w:val="000507E0"/>
    <w:rsid w:val="00050CFB"/>
    <w:rsid w:val="00050E5E"/>
    <w:rsid w:val="000521A1"/>
    <w:rsid w:val="0005230C"/>
    <w:rsid w:val="00052621"/>
    <w:rsid w:val="0005382E"/>
    <w:rsid w:val="00054843"/>
    <w:rsid w:val="000550D5"/>
    <w:rsid w:val="0005530E"/>
    <w:rsid w:val="0005628A"/>
    <w:rsid w:val="00062AF4"/>
    <w:rsid w:val="00063471"/>
    <w:rsid w:val="0006417E"/>
    <w:rsid w:val="00065642"/>
    <w:rsid w:val="00066381"/>
    <w:rsid w:val="0006786E"/>
    <w:rsid w:val="000703B0"/>
    <w:rsid w:val="000710DC"/>
    <w:rsid w:val="000713F9"/>
    <w:rsid w:val="00071474"/>
    <w:rsid w:val="00073D1D"/>
    <w:rsid w:val="0007420D"/>
    <w:rsid w:val="00075DE4"/>
    <w:rsid w:val="0007732F"/>
    <w:rsid w:val="00077715"/>
    <w:rsid w:val="00080587"/>
    <w:rsid w:val="000811ED"/>
    <w:rsid w:val="000826E2"/>
    <w:rsid w:val="00082724"/>
    <w:rsid w:val="000832E7"/>
    <w:rsid w:val="00084B09"/>
    <w:rsid w:val="00085388"/>
    <w:rsid w:val="000858F2"/>
    <w:rsid w:val="00090265"/>
    <w:rsid w:val="00090314"/>
    <w:rsid w:val="00090401"/>
    <w:rsid w:val="000946DD"/>
    <w:rsid w:val="000947BE"/>
    <w:rsid w:val="00094A3C"/>
    <w:rsid w:val="0009638C"/>
    <w:rsid w:val="000965E6"/>
    <w:rsid w:val="00096E5E"/>
    <w:rsid w:val="000973DA"/>
    <w:rsid w:val="00097815"/>
    <w:rsid w:val="0009799C"/>
    <w:rsid w:val="00097AFC"/>
    <w:rsid w:val="00097D05"/>
    <w:rsid w:val="000A063C"/>
    <w:rsid w:val="000A08FE"/>
    <w:rsid w:val="000A0AEA"/>
    <w:rsid w:val="000A0E03"/>
    <w:rsid w:val="000A1541"/>
    <w:rsid w:val="000A300B"/>
    <w:rsid w:val="000A31B8"/>
    <w:rsid w:val="000A3990"/>
    <w:rsid w:val="000A3F92"/>
    <w:rsid w:val="000A43E2"/>
    <w:rsid w:val="000A4662"/>
    <w:rsid w:val="000A5710"/>
    <w:rsid w:val="000A5CBF"/>
    <w:rsid w:val="000A6FAE"/>
    <w:rsid w:val="000A778A"/>
    <w:rsid w:val="000A778F"/>
    <w:rsid w:val="000A7BDE"/>
    <w:rsid w:val="000A7D2D"/>
    <w:rsid w:val="000A7E56"/>
    <w:rsid w:val="000B0777"/>
    <w:rsid w:val="000B1C6B"/>
    <w:rsid w:val="000B232A"/>
    <w:rsid w:val="000B26CC"/>
    <w:rsid w:val="000B3136"/>
    <w:rsid w:val="000B383D"/>
    <w:rsid w:val="000B5E7B"/>
    <w:rsid w:val="000B60A6"/>
    <w:rsid w:val="000B61F5"/>
    <w:rsid w:val="000B77AB"/>
    <w:rsid w:val="000B79D4"/>
    <w:rsid w:val="000C1642"/>
    <w:rsid w:val="000C2CC7"/>
    <w:rsid w:val="000C32AA"/>
    <w:rsid w:val="000C4B4F"/>
    <w:rsid w:val="000C6154"/>
    <w:rsid w:val="000C6641"/>
    <w:rsid w:val="000C6E7A"/>
    <w:rsid w:val="000D0A2F"/>
    <w:rsid w:val="000D0AEB"/>
    <w:rsid w:val="000D0E14"/>
    <w:rsid w:val="000D0E88"/>
    <w:rsid w:val="000D1E46"/>
    <w:rsid w:val="000D3743"/>
    <w:rsid w:val="000D451C"/>
    <w:rsid w:val="000D59EA"/>
    <w:rsid w:val="000D5FF6"/>
    <w:rsid w:val="000D6FD9"/>
    <w:rsid w:val="000D77CF"/>
    <w:rsid w:val="000E22E6"/>
    <w:rsid w:val="000E3326"/>
    <w:rsid w:val="000E34CA"/>
    <w:rsid w:val="000E38F2"/>
    <w:rsid w:val="000E406D"/>
    <w:rsid w:val="000E4493"/>
    <w:rsid w:val="000E48C0"/>
    <w:rsid w:val="000E54E8"/>
    <w:rsid w:val="000E573D"/>
    <w:rsid w:val="000E5941"/>
    <w:rsid w:val="000E5DAA"/>
    <w:rsid w:val="000E696A"/>
    <w:rsid w:val="000E6BF6"/>
    <w:rsid w:val="000E7EBE"/>
    <w:rsid w:val="000F0DFB"/>
    <w:rsid w:val="000F1A98"/>
    <w:rsid w:val="000F1C9C"/>
    <w:rsid w:val="000F4763"/>
    <w:rsid w:val="000F6401"/>
    <w:rsid w:val="000F67C4"/>
    <w:rsid w:val="001004CB"/>
    <w:rsid w:val="0010103E"/>
    <w:rsid w:val="0010154E"/>
    <w:rsid w:val="0010265B"/>
    <w:rsid w:val="00102B94"/>
    <w:rsid w:val="00103D9D"/>
    <w:rsid w:val="00104E63"/>
    <w:rsid w:val="00106BD4"/>
    <w:rsid w:val="00106C5D"/>
    <w:rsid w:val="001073A8"/>
    <w:rsid w:val="00107D2B"/>
    <w:rsid w:val="00110DCD"/>
    <w:rsid w:val="00111D67"/>
    <w:rsid w:val="00113134"/>
    <w:rsid w:val="001131A1"/>
    <w:rsid w:val="001132F6"/>
    <w:rsid w:val="001133E4"/>
    <w:rsid w:val="001150B7"/>
    <w:rsid w:val="00115323"/>
    <w:rsid w:val="001172F3"/>
    <w:rsid w:val="0011767C"/>
    <w:rsid w:val="001177D5"/>
    <w:rsid w:val="001234F2"/>
    <w:rsid w:val="0012481B"/>
    <w:rsid w:val="00124E26"/>
    <w:rsid w:val="00125049"/>
    <w:rsid w:val="00125171"/>
    <w:rsid w:val="0012646D"/>
    <w:rsid w:val="001274DC"/>
    <w:rsid w:val="00130D94"/>
    <w:rsid w:val="0013303C"/>
    <w:rsid w:val="00133410"/>
    <w:rsid w:val="00134110"/>
    <w:rsid w:val="00135020"/>
    <w:rsid w:val="00135E48"/>
    <w:rsid w:val="00136B36"/>
    <w:rsid w:val="00136DD8"/>
    <w:rsid w:val="00137AF8"/>
    <w:rsid w:val="00140028"/>
    <w:rsid w:val="00140448"/>
    <w:rsid w:val="001412A7"/>
    <w:rsid w:val="001414C6"/>
    <w:rsid w:val="00141F8F"/>
    <w:rsid w:val="00142469"/>
    <w:rsid w:val="0014378C"/>
    <w:rsid w:val="0014390C"/>
    <w:rsid w:val="00143BCD"/>
    <w:rsid w:val="00144D95"/>
    <w:rsid w:val="001460DC"/>
    <w:rsid w:val="001501E2"/>
    <w:rsid w:val="0015196D"/>
    <w:rsid w:val="0015214F"/>
    <w:rsid w:val="0015249E"/>
    <w:rsid w:val="001526AD"/>
    <w:rsid w:val="00153CAC"/>
    <w:rsid w:val="00154881"/>
    <w:rsid w:val="001554B8"/>
    <w:rsid w:val="00155C48"/>
    <w:rsid w:val="00155C7C"/>
    <w:rsid w:val="00156EA5"/>
    <w:rsid w:val="001618F1"/>
    <w:rsid w:val="00163653"/>
    <w:rsid w:val="00165F7F"/>
    <w:rsid w:val="00167041"/>
    <w:rsid w:val="00167787"/>
    <w:rsid w:val="001678F2"/>
    <w:rsid w:val="00167A75"/>
    <w:rsid w:val="00170215"/>
    <w:rsid w:val="00170E31"/>
    <w:rsid w:val="001713D4"/>
    <w:rsid w:val="00171679"/>
    <w:rsid w:val="00171987"/>
    <w:rsid w:val="001724D5"/>
    <w:rsid w:val="001726D7"/>
    <w:rsid w:val="00173E7A"/>
    <w:rsid w:val="00174905"/>
    <w:rsid w:val="00174BC4"/>
    <w:rsid w:val="00174CAA"/>
    <w:rsid w:val="00175CD5"/>
    <w:rsid w:val="00176D11"/>
    <w:rsid w:val="00176F11"/>
    <w:rsid w:val="00177782"/>
    <w:rsid w:val="00177EEC"/>
    <w:rsid w:val="00181832"/>
    <w:rsid w:val="00182CCE"/>
    <w:rsid w:val="00183172"/>
    <w:rsid w:val="00183B68"/>
    <w:rsid w:val="00183B9F"/>
    <w:rsid w:val="00183E43"/>
    <w:rsid w:val="00184E4B"/>
    <w:rsid w:val="0018524D"/>
    <w:rsid w:val="00185D81"/>
    <w:rsid w:val="00185FE0"/>
    <w:rsid w:val="001862FE"/>
    <w:rsid w:val="00186DB1"/>
    <w:rsid w:val="00186EC8"/>
    <w:rsid w:val="00191377"/>
    <w:rsid w:val="00191F26"/>
    <w:rsid w:val="0019239D"/>
    <w:rsid w:val="00192653"/>
    <w:rsid w:val="00192FB2"/>
    <w:rsid w:val="00193DAA"/>
    <w:rsid w:val="00196A1F"/>
    <w:rsid w:val="00197FF2"/>
    <w:rsid w:val="001A0082"/>
    <w:rsid w:val="001A0FB5"/>
    <w:rsid w:val="001A1124"/>
    <w:rsid w:val="001A1B02"/>
    <w:rsid w:val="001A301E"/>
    <w:rsid w:val="001A43D0"/>
    <w:rsid w:val="001A6ABC"/>
    <w:rsid w:val="001A6CE5"/>
    <w:rsid w:val="001A6EB1"/>
    <w:rsid w:val="001A7ABE"/>
    <w:rsid w:val="001A7F5A"/>
    <w:rsid w:val="001A7F7A"/>
    <w:rsid w:val="001B042C"/>
    <w:rsid w:val="001B0AC1"/>
    <w:rsid w:val="001B0D47"/>
    <w:rsid w:val="001B11D5"/>
    <w:rsid w:val="001B1594"/>
    <w:rsid w:val="001B1A78"/>
    <w:rsid w:val="001B1C03"/>
    <w:rsid w:val="001B2582"/>
    <w:rsid w:val="001B2BBF"/>
    <w:rsid w:val="001B34CD"/>
    <w:rsid w:val="001B3634"/>
    <w:rsid w:val="001B383F"/>
    <w:rsid w:val="001B3D42"/>
    <w:rsid w:val="001B3D8F"/>
    <w:rsid w:val="001B59EE"/>
    <w:rsid w:val="001B6AAC"/>
    <w:rsid w:val="001B6DB8"/>
    <w:rsid w:val="001B70A0"/>
    <w:rsid w:val="001B7379"/>
    <w:rsid w:val="001B75E3"/>
    <w:rsid w:val="001C0265"/>
    <w:rsid w:val="001C046F"/>
    <w:rsid w:val="001C1EA3"/>
    <w:rsid w:val="001C3CEE"/>
    <w:rsid w:val="001C4088"/>
    <w:rsid w:val="001C4481"/>
    <w:rsid w:val="001C4FB4"/>
    <w:rsid w:val="001C7106"/>
    <w:rsid w:val="001C742C"/>
    <w:rsid w:val="001C749B"/>
    <w:rsid w:val="001C7B55"/>
    <w:rsid w:val="001D1276"/>
    <w:rsid w:val="001D236A"/>
    <w:rsid w:val="001D2946"/>
    <w:rsid w:val="001D39AD"/>
    <w:rsid w:val="001D3DF4"/>
    <w:rsid w:val="001D5683"/>
    <w:rsid w:val="001D606C"/>
    <w:rsid w:val="001E1090"/>
    <w:rsid w:val="001E1430"/>
    <w:rsid w:val="001E30CD"/>
    <w:rsid w:val="001E371C"/>
    <w:rsid w:val="001E3747"/>
    <w:rsid w:val="001E454A"/>
    <w:rsid w:val="001E50A2"/>
    <w:rsid w:val="001E58EF"/>
    <w:rsid w:val="001E6724"/>
    <w:rsid w:val="001E752C"/>
    <w:rsid w:val="001F11D9"/>
    <w:rsid w:val="001F186E"/>
    <w:rsid w:val="001F187A"/>
    <w:rsid w:val="001F1B8E"/>
    <w:rsid w:val="001F23B9"/>
    <w:rsid w:val="001F2418"/>
    <w:rsid w:val="001F294C"/>
    <w:rsid w:val="001F2B63"/>
    <w:rsid w:val="001F2E23"/>
    <w:rsid w:val="001F3205"/>
    <w:rsid w:val="001F3EFE"/>
    <w:rsid w:val="001F472B"/>
    <w:rsid w:val="001F47AE"/>
    <w:rsid w:val="001F5997"/>
    <w:rsid w:val="001F5C8F"/>
    <w:rsid w:val="001F60AC"/>
    <w:rsid w:val="001F66A9"/>
    <w:rsid w:val="0020010A"/>
    <w:rsid w:val="0020070E"/>
    <w:rsid w:val="0020239F"/>
    <w:rsid w:val="002030C2"/>
    <w:rsid w:val="00203764"/>
    <w:rsid w:val="002039A0"/>
    <w:rsid w:val="002041DE"/>
    <w:rsid w:val="0020448C"/>
    <w:rsid w:val="00204C5D"/>
    <w:rsid w:val="00206177"/>
    <w:rsid w:val="00210049"/>
    <w:rsid w:val="002102F0"/>
    <w:rsid w:val="002105C5"/>
    <w:rsid w:val="00210D3D"/>
    <w:rsid w:val="0021135A"/>
    <w:rsid w:val="002121A7"/>
    <w:rsid w:val="00212682"/>
    <w:rsid w:val="00213648"/>
    <w:rsid w:val="00214D7E"/>
    <w:rsid w:val="0021564F"/>
    <w:rsid w:val="002157D2"/>
    <w:rsid w:val="002204A1"/>
    <w:rsid w:val="00220553"/>
    <w:rsid w:val="00220ADB"/>
    <w:rsid w:val="00223086"/>
    <w:rsid w:val="00223957"/>
    <w:rsid w:val="002249AB"/>
    <w:rsid w:val="00225555"/>
    <w:rsid w:val="00225A20"/>
    <w:rsid w:val="0022681F"/>
    <w:rsid w:val="002269BF"/>
    <w:rsid w:val="00226D6F"/>
    <w:rsid w:val="00230D06"/>
    <w:rsid w:val="0023472F"/>
    <w:rsid w:val="00234E7D"/>
    <w:rsid w:val="00236243"/>
    <w:rsid w:val="0024095F"/>
    <w:rsid w:val="00240BBD"/>
    <w:rsid w:val="002417BE"/>
    <w:rsid w:val="00242181"/>
    <w:rsid w:val="00242FA0"/>
    <w:rsid w:val="002432B5"/>
    <w:rsid w:val="00243FA0"/>
    <w:rsid w:val="002448EC"/>
    <w:rsid w:val="00244FB8"/>
    <w:rsid w:val="00245EEC"/>
    <w:rsid w:val="00245FF4"/>
    <w:rsid w:val="002462CD"/>
    <w:rsid w:val="0024634B"/>
    <w:rsid w:val="00246865"/>
    <w:rsid w:val="0024698C"/>
    <w:rsid w:val="00246C1F"/>
    <w:rsid w:val="00246D64"/>
    <w:rsid w:val="00246E87"/>
    <w:rsid w:val="002500CC"/>
    <w:rsid w:val="00253EBA"/>
    <w:rsid w:val="00254422"/>
    <w:rsid w:val="00254580"/>
    <w:rsid w:val="00254658"/>
    <w:rsid w:val="00256044"/>
    <w:rsid w:val="00257860"/>
    <w:rsid w:val="002602D3"/>
    <w:rsid w:val="00260666"/>
    <w:rsid w:val="00260AB4"/>
    <w:rsid w:val="00261D2D"/>
    <w:rsid w:val="00262B13"/>
    <w:rsid w:val="002635B7"/>
    <w:rsid w:val="00263CD1"/>
    <w:rsid w:val="002645D5"/>
    <w:rsid w:val="00266236"/>
    <w:rsid w:val="00267D42"/>
    <w:rsid w:val="00271011"/>
    <w:rsid w:val="002747D6"/>
    <w:rsid w:val="00274B92"/>
    <w:rsid w:val="00275E62"/>
    <w:rsid w:val="0027699A"/>
    <w:rsid w:val="00276E16"/>
    <w:rsid w:val="00277CCA"/>
    <w:rsid w:val="002801A0"/>
    <w:rsid w:val="002805A7"/>
    <w:rsid w:val="00280AB0"/>
    <w:rsid w:val="00280DEA"/>
    <w:rsid w:val="00281C53"/>
    <w:rsid w:val="0028278B"/>
    <w:rsid w:val="00283A2B"/>
    <w:rsid w:val="002841A3"/>
    <w:rsid w:val="0028448E"/>
    <w:rsid w:val="002849B9"/>
    <w:rsid w:val="00285581"/>
    <w:rsid w:val="00285CAA"/>
    <w:rsid w:val="00290277"/>
    <w:rsid w:val="002915EA"/>
    <w:rsid w:val="002933E0"/>
    <w:rsid w:val="0029381F"/>
    <w:rsid w:val="00293A27"/>
    <w:rsid w:val="00293C45"/>
    <w:rsid w:val="0029491E"/>
    <w:rsid w:val="00295D42"/>
    <w:rsid w:val="00295E9C"/>
    <w:rsid w:val="00297897"/>
    <w:rsid w:val="002978A1"/>
    <w:rsid w:val="00297EBC"/>
    <w:rsid w:val="002A088E"/>
    <w:rsid w:val="002A2FB5"/>
    <w:rsid w:val="002A3155"/>
    <w:rsid w:val="002A34C7"/>
    <w:rsid w:val="002A44C5"/>
    <w:rsid w:val="002A4CDF"/>
    <w:rsid w:val="002A5311"/>
    <w:rsid w:val="002A591A"/>
    <w:rsid w:val="002A5D96"/>
    <w:rsid w:val="002B095A"/>
    <w:rsid w:val="002B1165"/>
    <w:rsid w:val="002B27F0"/>
    <w:rsid w:val="002B303A"/>
    <w:rsid w:val="002B3625"/>
    <w:rsid w:val="002B3D4A"/>
    <w:rsid w:val="002B5152"/>
    <w:rsid w:val="002B5D96"/>
    <w:rsid w:val="002B6E32"/>
    <w:rsid w:val="002C0934"/>
    <w:rsid w:val="002C11BA"/>
    <w:rsid w:val="002C191E"/>
    <w:rsid w:val="002C2473"/>
    <w:rsid w:val="002C2A32"/>
    <w:rsid w:val="002C3640"/>
    <w:rsid w:val="002C385B"/>
    <w:rsid w:val="002C3861"/>
    <w:rsid w:val="002C3928"/>
    <w:rsid w:val="002C39E6"/>
    <w:rsid w:val="002C3B40"/>
    <w:rsid w:val="002C425F"/>
    <w:rsid w:val="002C4644"/>
    <w:rsid w:val="002C4726"/>
    <w:rsid w:val="002C49C9"/>
    <w:rsid w:val="002C58EA"/>
    <w:rsid w:val="002C5C22"/>
    <w:rsid w:val="002C65AF"/>
    <w:rsid w:val="002D0501"/>
    <w:rsid w:val="002D09C4"/>
    <w:rsid w:val="002D1290"/>
    <w:rsid w:val="002D1E99"/>
    <w:rsid w:val="002D2384"/>
    <w:rsid w:val="002D3994"/>
    <w:rsid w:val="002D414F"/>
    <w:rsid w:val="002D4200"/>
    <w:rsid w:val="002D42B8"/>
    <w:rsid w:val="002D47BE"/>
    <w:rsid w:val="002D4837"/>
    <w:rsid w:val="002D5491"/>
    <w:rsid w:val="002D6C71"/>
    <w:rsid w:val="002E0F48"/>
    <w:rsid w:val="002E1487"/>
    <w:rsid w:val="002E16CA"/>
    <w:rsid w:val="002E1DAF"/>
    <w:rsid w:val="002E1DC9"/>
    <w:rsid w:val="002E36D2"/>
    <w:rsid w:val="002E4156"/>
    <w:rsid w:val="002E4898"/>
    <w:rsid w:val="002E6BC1"/>
    <w:rsid w:val="002E7181"/>
    <w:rsid w:val="002E7EF4"/>
    <w:rsid w:val="002E7F60"/>
    <w:rsid w:val="002F0BA9"/>
    <w:rsid w:val="002F1451"/>
    <w:rsid w:val="002F1488"/>
    <w:rsid w:val="002F15FB"/>
    <w:rsid w:val="002F2265"/>
    <w:rsid w:val="002F23B9"/>
    <w:rsid w:val="002F2AEA"/>
    <w:rsid w:val="002F2F91"/>
    <w:rsid w:val="002F319C"/>
    <w:rsid w:val="002F4302"/>
    <w:rsid w:val="002F432B"/>
    <w:rsid w:val="002F49F9"/>
    <w:rsid w:val="002F4E1E"/>
    <w:rsid w:val="002F5313"/>
    <w:rsid w:val="002F59FE"/>
    <w:rsid w:val="002F692C"/>
    <w:rsid w:val="002F73AB"/>
    <w:rsid w:val="002F7B19"/>
    <w:rsid w:val="003002A1"/>
    <w:rsid w:val="00300663"/>
    <w:rsid w:val="00301BB2"/>
    <w:rsid w:val="003020BE"/>
    <w:rsid w:val="0030264D"/>
    <w:rsid w:val="003028C5"/>
    <w:rsid w:val="00302903"/>
    <w:rsid w:val="00303332"/>
    <w:rsid w:val="003038B6"/>
    <w:rsid w:val="003053CA"/>
    <w:rsid w:val="00305FF0"/>
    <w:rsid w:val="003064F7"/>
    <w:rsid w:val="0030679A"/>
    <w:rsid w:val="00307BE7"/>
    <w:rsid w:val="00307FE4"/>
    <w:rsid w:val="00310244"/>
    <w:rsid w:val="00311454"/>
    <w:rsid w:val="00311641"/>
    <w:rsid w:val="00311AC5"/>
    <w:rsid w:val="003120B3"/>
    <w:rsid w:val="003120EA"/>
    <w:rsid w:val="0031306A"/>
    <w:rsid w:val="00314210"/>
    <w:rsid w:val="003145E2"/>
    <w:rsid w:val="00314AD2"/>
    <w:rsid w:val="00314F03"/>
    <w:rsid w:val="003151E5"/>
    <w:rsid w:val="00315D00"/>
    <w:rsid w:val="00316700"/>
    <w:rsid w:val="00316842"/>
    <w:rsid w:val="0031721A"/>
    <w:rsid w:val="00317289"/>
    <w:rsid w:val="003173B9"/>
    <w:rsid w:val="00320481"/>
    <w:rsid w:val="003209A2"/>
    <w:rsid w:val="00321199"/>
    <w:rsid w:val="00321287"/>
    <w:rsid w:val="003218BC"/>
    <w:rsid w:val="00321E2D"/>
    <w:rsid w:val="00323576"/>
    <w:rsid w:val="00323915"/>
    <w:rsid w:val="00325584"/>
    <w:rsid w:val="00326062"/>
    <w:rsid w:val="0032614F"/>
    <w:rsid w:val="00327554"/>
    <w:rsid w:val="003275AB"/>
    <w:rsid w:val="00327C2E"/>
    <w:rsid w:val="00330226"/>
    <w:rsid w:val="003309D0"/>
    <w:rsid w:val="003343C5"/>
    <w:rsid w:val="00335321"/>
    <w:rsid w:val="003357E6"/>
    <w:rsid w:val="00335CF4"/>
    <w:rsid w:val="00335D4B"/>
    <w:rsid w:val="00336C29"/>
    <w:rsid w:val="003374BF"/>
    <w:rsid w:val="003378B7"/>
    <w:rsid w:val="00337DC4"/>
    <w:rsid w:val="00337E13"/>
    <w:rsid w:val="003409EE"/>
    <w:rsid w:val="00341082"/>
    <w:rsid w:val="0034131F"/>
    <w:rsid w:val="00342A0E"/>
    <w:rsid w:val="00343E42"/>
    <w:rsid w:val="003472DC"/>
    <w:rsid w:val="0034736D"/>
    <w:rsid w:val="003501A6"/>
    <w:rsid w:val="00352CA0"/>
    <w:rsid w:val="00352F66"/>
    <w:rsid w:val="00353309"/>
    <w:rsid w:val="00353468"/>
    <w:rsid w:val="00355B37"/>
    <w:rsid w:val="00355BF4"/>
    <w:rsid w:val="00355EB9"/>
    <w:rsid w:val="00356DCA"/>
    <w:rsid w:val="0036006F"/>
    <w:rsid w:val="003607AC"/>
    <w:rsid w:val="00361B11"/>
    <w:rsid w:val="00361FE4"/>
    <w:rsid w:val="00362A40"/>
    <w:rsid w:val="00362C63"/>
    <w:rsid w:val="00362E21"/>
    <w:rsid w:val="00363B05"/>
    <w:rsid w:val="00363B86"/>
    <w:rsid w:val="0036406F"/>
    <w:rsid w:val="00364D55"/>
    <w:rsid w:val="003656A1"/>
    <w:rsid w:val="0036579E"/>
    <w:rsid w:val="00365951"/>
    <w:rsid w:val="00365BAE"/>
    <w:rsid w:val="00365DBF"/>
    <w:rsid w:val="00366931"/>
    <w:rsid w:val="00367ABA"/>
    <w:rsid w:val="00367AFB"/>
    <w:rsid w:val="00367C8D"/>
    <w:rsid w:val="00367E94"/>
    <w:rsid w:val="0037061C"/>
    <w:rsid w:val="00370A0C"/>
    <w:rsid w:val="00370AFC"/>
    <w:rsid w:val="00370E52"/>
    <w:rsid w:val="00370E89"/>
    <w:rsid w:val="00372380"/>
    <w:rsid w:val="00373956"/>
    <w:rsid w:val="0037437A"/>
    <w:rsid w:val="003752CE"/>
    <w:rsid w:val="0037535D"/>
    <w:rsid w:val="00375B38"/>
    <w:rsid w:val="00376F62"/>
    <w:rsid w:val="003770D9"/>
    <w:rsid w:val="00377B07"/>
    <w:rsid w:val="00381CA2"/>
    <w:rsid w:val="0038208B"/>
    <w:rsid w:val="00382497"/>
    <w:rsid w:val="00384B0D"/>
    <w:rsid w:val="00384D65"/>
    <w:rsid w:val="0038550F"/>
    <w:rsid w:val="00385A10"/>
    <w:rsid w:val="003863E2"/>
    <w:rsid w:val="0038760F"/>
    <w:rsid w:val="003901B3"/>
    <w:rsid w:val="00391175"/>
    <w:rsid w:val="003917FD"/>
    <w:rsid w:val="00391BE5"/>
    <w:rsid w:val="00394857"/>
    <w:rsid w:val="00397D4E"/>
    <w:rsid w:val="003A03FE"/>
    <w:rsid w:val="003A17D3"/>
    <w:rsid w:val="003A2511"/>
    <w:rsid w:val="003A31C8"/>
    <w:rsid w:val="003A3D4C"/>
    <w:rsid w:val="003A4567"/>
    <w:rsid w:val="003A4B09"/>
    <w:rsid w:val="003A6758"/>
    <w:rsid w:val="003B048E"/>
    <w:rsid w:val="003B0D85"/>
    <w:rsid w:val="003B1DBD"/>
    <w:rsid w:val="003B1E13"/>
    <w:rsid w:val="003B25B5"/>
    <w:rsid w:val="003B270B"/>
    <w:rsid w:val="003B2AC3"/>
    <w:rsid w:val="003B377F"/>
    <w:rsid w:val="003B38AA"/>
    <w:rsid w:val="003B457F"/>
    <w:rsid w:val="003B510D"/>
    <w:rsid w:val="003B546D"/>
    <w:rsid w:val="003B5A3A"/>
    <w:rsid w:val="003B5DAB"/>
    <w:rsid w:val="003B6A08"/>
    <w:rsid w:val="003B6F55"/>
    <w:rsid w:val="003B7205"/>
    <w:rsid w:val="003C031C"/>
    <w:rsid w:val="003C0850"/>
    <w:rsid w:val="003C0C20"/>
    <w:rsid w:val="003C1C2C"/>
    <w:rsid w:val="003C257C"/>
    <w:rsid w:val="003C27E6"/>
    <w:rsid w:val="003C2C0D"/>
    <w:rsid w:val="003C380B"/>
    <w:rsid w:val="003C5672"/>
    <w:rsid w:val="003C5B63"/>
    <w:rsid w:val="003C672B"/>
    <w:rsid w:val="003C6E50"/>
    <w:rsid w:val="003C719D"/>
    <w:rsid w:val="003C7A5A"/>
    <w:rsid w:val="003C7D97"/>
    <w:rsid w:val="003D0D3C"/>
    <w:rsid w:val="003D1741"/>
    <w:rsid w:val="003D190C"/>
    <w:rsid w:val="003D1B20"/>
    <w:rsid w:val="003D2318"/>
    <w:rsid w:val="003D32D1"/>
    <w:rsid w:val="003D3C5C"/>
    <w:rsid w:val="003D3D26"/>
    <w:rsid w:val="003D5444"/>
    <w:rsid w:val="003D548E"/>
    <w:rsid w:val="003D66B6"/>
    <w:rsid w:val="003E0110"/>
    <w:rsid w:val="003E0366"/>
    <w:rsid w:val="003E142A"/>
    <w:rsid w:val="003E26FB"/>
    <w:rsid w:val="003E2946"/>
    <w:rsid w:val="003E362A"/>
    <w:rsid w:val="003E606F"/>
    <w:rsid w:val="003F15B3"/>
    <w:rsid w:val="003F26AF"/>
    <w:rsid w:val="003F2AF5"/>
    <w:rsid w:val="003F31B7"/>
    <w:rsid w:val="003F3D48"/>
    <w:rsid w:val="003F7563"/>
    <w:rsid w:val="004005F1"/>
    <w:rsid w:val="00400F9C"/>
    <w:rsid w:val="00401CCC"/>
    <w:rsid w:val="0040582A"/>
    <w:rsid w:val="004062B4"/>
    <w:rsid w:val="00406775"/>
    <w:rsid w:val="00406AFC"/>
    <w:rsid w:val="00406EB3"/>
    <w:rsid w:val="00410337"/>
    <w:rsid w:val="004108FC"/>
    <w:rsid w:val="0041258F"/>
    <w:rsid w:val="00413010"/>
    <w:rsid w:val="00414665"/>
    <w:rsid w:val="004151D1"/>
    <w:rsid w:val="004155D4"/>
    <w:rsid w:val="0041629B"/>
    <w:rsid w:val="0041648F"/>
    <w:rsid w:val="00416610"/>
    <w:rsid w:val="00416B3A"/>
    <w:rsid w:val="00416CBF"/>
    <w:rsid w:val="0041704A"/>
    <w:rsid w:val="0041732B"/>
    <w:rsid w:val="00417524"/>
    <w:rsid w:val="00417CAC"/>
    <w:rsid w:val="00420CD8"/>
    <w:rsid w:val="0042153B"/>
    <w:rsid w:val="004224F0"/>
    <w:rsid w:val="00423DC2"/>
    <w:rsid w:val="0042417D"/>
    <w:rsid w:val="00425E0E"/>
    <w:rsid w:val="004260E8"/>
    <w:rsid w:val="00426C1B"/>
    <w:rsid w:val="00426EBD"/>
    <w:rsid w:val="004308D2"/>
    <w:rsid w:val="00430D52"/>
    <w:rsid w:val="00431464"/>
    <w:rsid w:val="00432162"/>
    <w:rsid w:val="00432865"/>
    <w:rsid w:val="00434728"/>
    <w:rsid w:val="00436600"/>
    <w:rsid w:val="00437B0B"/>
    <w:rsid w:val="004401F5"/>
    <w:rsid w:val="00440486"/>
    <w:rsid w:val="00441768"/>
    <w:rsid w:val="00442B89"/>
    <w:rsid w:val="00442E7A"/>
    <w:rsid w:val="004458D1"/>
    <w:rsid w:val="00445AB5"/>
    <w:rsid w:val="00446D0E"/>
    <w:rsid w:val="004500A4"/>
    <w:rsid w:val="00450234"/>
    <w:rsid w:val="00450FAD"/>
    <w:rsid w:val="00451628"/>
    <w:rsid w:val="00451DCD"/>
    <w:rsid w:val="00451EF2"/>
    <w:rsid w:val="00452172"/>
    <w:rsid w:val="00452B98"/>
    <w:rsid w:val="00453DB1"/>
    <w:rsid w:val="00454368"/>
    <w:rsid w:val="00454686"/>
    <w:rsid w:val="00457CFF"/>
    <w:rsid w:val="004602A4"/>
    <w:rsid w:val="00460F37"/>
    <w:rsid w:val="00461D5C"/>
    <w:rsid w:val="0046240F"/>
    <w:rsid w:val="00463A5E"/>
    <w:rsid w:val="00464686"/>
    <w:rsid w:val="004650CC"/>
    <w:rsid w:val="00466260"/>
    <w:rsid w:val="004664C0"/>
    <w:rsid w:val="0046651A"/>
    <w:rsid w:val="004672CD"/>
    <w:rsid w:val="004701F2"/>
    <w:rsid w:val="00470EEE"/>
    <w:rsid w:val="00470EFA"/>
    <w:rsid w:val="00472C1D"/>
    <w:rsid w:val="00473411"/>
    <w:rsid w:val="004740B9"/>
    <w:rsid w:val="0047473B"/>
    <w:rsid w:val="004759FA"/>
    <w:rsid w:val="00475EF5"/>
    <w:rsid w:val="00476073"/>
    <w:rsid w:val="0047730E"/>
    <w:rsid w:val="004773F5"/>
    <w:rsid w:val="004777D4"/>
    <w:rsid w:val="0047784D"/>
    <w:rsid w:val="00477A2F"/>
    <w:rsid w:val="00477E61"/>
    <w:rsid w:val="00481281"/>
    <w:rsid w:val="00481629"/>
    <w:rsid w:val="00481873"/>
    <w:rsid w:val="00482E01"/>
    <w:rsid w:val="00483B99"/>
    <w:rsid w:val="00484E5A"/>
    <w:rsid w:val="00486D68"/>
    <w:rsid w:val="00487B35"/>
    <w:rsid w:val="00487F53"/>
    <w:rsid w:val="0049023D"/>
    <w:rsid w:val="00491E42"/>
    <w:rsid w:val="00492338"/>
    <w:rsid w:val="00492463"/>
    <w:rsid w:val="00492A9E"/>
    <w:rsid w:val="004930E2"/>
    <w:rsid w:val="004944F4"/>
    <w:rsid w:val="00494DA2"/>
    <w:rsid w:val="00495210"/>
    <w:rsid w:val="004952FA"/>
    <w:rsid w:val="00495976"/>
    <w:rsid w:val="00496163"/>
    <w:rsid w:val="004966B2"/>
    <w:rsid w:val="004A01CC"/>
    <w:rsid w:val="004A0BDA"/>
    <w:rsid w:val="004A13A8"/>
    <w:rsid w:val="004A17EA"/>
    <w:rsid w:val="004A29DE"/>
    <w:rsid w:val="004A44FC"/>
    <w:rsid w:val="004A495C"/>
    <w:rsid w:val="004A4C1C"/>
    <w:rsid w:val="004A508E"/>
    <w:rsid w:val="004A54C4"/>
    <w:rsid w:val="004A63C2"/>
    <w:rsid w:val="004A70AD"/>
    <w:rsid w:val="004A781F"/>
    <w:rsid w:val="004A7FA6"/>
    <w:rsid w:val="004B0150"/>
    <w:rsid w:val="004B043A"/>
    <w:rsid w:val="004B0EFE"/>
    <w:rsid w:val="004B2A08"/>
    <w:rsid w:val="004B3A5A"/>
    <w:rsid w:val="004B3F69"/>
    <w:rsid w:val="004B5822"/>
    <w:rsid w:val="004B5B61"/>
    <w:rsid w:val="004B693B"/>
    <w:rsid w:val="004B6BD0"/>
    <w:rsid w:val="004B713F"/>
    <w:rsid w:val="004B7B4E"/>
    <w:rsid w:val="004C02A8"/>
    <w:rsid w:val="004C0974"/>
    <w:rsid w:val="004C0D4A"/>
    <w:rsid w:val="004C2510"/>
    <w:rsid w:val="004C330F"/>
    <w:rsid w:val="004C5B76"/>
    <w:rsid w:val="004C5E89"/>
    <w:rsid w:val="004C608D"/>
    <w:rsid w:val="004C655F"/>
    <w:rsid w:val="004C73E7"/>
    <w:rsid w:val="004C7613"/>
    <w:rsid w:val="004C789D"/>
    <w:rsid w:val="004D0315"/>
    <w:rsid w:val="004D1BCB"/>
    <w:rsid w:val="004D21D4"/>
    <w:rsid w:val="004D2636"/>
    <w:rsid w:val="004D2710"/>
    <w:rsid w:val="004D2EC1"/>
    <w:rsid w:val="004D3C33"/>
    <w:rsid w:val="004D3D61"/>
    <w:rsid w:val="004D4252"/>
    <w:rsid w:val="004D55F7"/>
    <w:rsid w:val="004D588E"/>
    <w:rsid w:val="004D6774"/>
    <w:rsid w:val="004D6A3C"/>
    <w:rsid w:val="004D71B9"/>
    <w:rsid w:val="004D74D4"/>
    <w:rsid w:val="004D7E82"/>
    <w:rsid w:val="004E1D25"/>
    <w:rsid w:val="004E4FAF"/>
    <w:rsid w:val="004E7444"/>
    <w:rsid w:val="004F0CB6"/>
    <w:rsid w:val="004F0DEB"/>
    <w:rsid w:val="004F35A8"/>
    <w:rsid w:val="004F464A"/>
    <w:rsid w:val="004F48C8"/>
    <w:rsid w:val="004F4A65"/>
    <w:rsid w:val="004F50A3"/>
    <w:rsid w:val="004F54BD"/>
    <w:rsid w:val="004F56C8"/>
    <w:rsid w:val="004F70A5"/>
    <w:rsid w:val="004F7169"/>
    <w:rsid w:val="004F7A24"/>
    <w:rsid w:val="004F7B73"/>
    <w:rsid w:val="004F7FA0"/>
    <w:rsid w:val="00502581"/>
    <w:rsid w:val="00502678"/>
    <w:rsid w:val="005032AC"/>
    <w:rsid w:val="00503330"/>
    <w:rsid w:val="00503762"/>
    <w:rsid w:val="00503DA0"/>
    <w:rsid w:val="00504634"/>
    <w:rsid w:val="00505FAE"/>
    <w:rsid w:val="0050653F"/>
    <w:rsid w:val="005065CA"/>
    <w:rsid w:val="00506A21"/>
    <w:rsid w:val="00507F81"/>
    <w:rsid w:val="00510977"/>
    <w:rsid w:val="00510EE7"/>
    <w:rsid w:val="00511B5B"/>
    <w:rsid w:val="00511C09"/>
    <w:rsid w:val="00515348"/>
    <w:rsid w:val="0051534A"/>
    <w:rsid w:val="005158A6"/>
    <w:rsid w:val="00516DEC"/>
    <w:rsid w:val="00517C10"/>
    <w:rsid w:val="00522097"/>
    <w:rsid w:val="00522269"/>
    <w:rsid w:val="00525639"/>
    <w:rsid w:val="00525C4C"/>
    <w:rsid w:val="00526609"/>
    <w:rsid w:val="00526C97"/>
    <w:rsid w:val="00526FD4"/>
    <w:rsid w:val="005309E4"/>
    <w:rsid w:val="00530CB2"/>
    <w:rsid w:val="00531847"/>
    <w:rsid w:val="00531B5F"/>
    <w:rsid w:val="0053222A"/>
    <w:rsid w:val="00532BDA"/>
    <w:rsid w:val="00534A1C"/>
    <w:rsid w:val="00535DCB"/>
    <w:rsid w:val="005365E2"/>
    <w:rsid w:val="00537063"/>
    <w:rsid w:val="00537DE5"/>
    <w:rsid w:val="00537FCD"/>
    <w:rsid w:val="0054054A"/>
    <w:rsid w:val="005418C2"/>
    <w:rsid w:val="005422D9"/>
    <w:rsid w:val="005435E5"/>
    <w:rsid w:val="0054455C"/>
    <w:rsid w:val="005448C7"/>
    <w:rsid w:val="00546ACC"/>
    <w:rsid w:val="00546EED"/>
    <w:rsid w:val="00547045"/>
    <w:rsid w:val="005504E6"/>
    <w:rsid w:val="0055051F"/>
    <w:rsid w:val="00550CA6"/>
    <w:rsid w:val="00551060"/>
    <w:rsid w:val="00551314"/>
    <w:rsid w:val="005515A0"/>
    <w:rsid w:val="0055527A"/>
    <w:rsid w:val="0055585D"/>
    <w:rsid w:val="00555ABE"/>
    <w:rsid w:val="00556868"/>
    <w:rsid w:val="00557166"/>
    <w:rsid w:val="0056035C"/>
    <w:rsid w:val="005607C1"/>
    <w:rsid w:val="005669B0"/>
    <w:rsid w:val="00566B72"/>
    <w:rsid w:val="005678D4"/>
    <w:rsid w:val="00570131"/>
    <w:rsid w:val="00570936"/>
    <w:rsid w:val="00570A5E"/>
    <w:rsid w:val="0057195F"/>
    <w:rsid w:val="00571E56"/>
    <w:rsid w:val="0057262D"/>
    <w:rsid w:val="00572DE2"/>
    <w:rsid w:val="00573500"/>
    <w:rsid w:val="005740BD"/>
    <w:rsid w:val="005742CE"/>
    <w:rsid w:val="005746AB"/>
    <w:rsid w:val="0057477C"/>
    <w:rsid w:val="00575ECA"/>
    <w:rsid w:val="005763A0"/>
    <w:rsid w:val="005764B3"/>
    <w:rsid w:val="00576835"/>
    <w:rsid w:val="00576B4B"/>
    <w:rsid w:val="005772CF"/>
    <w:rsid w:val="005774BA"/>
    <w:rsid w:val="00577773"/>
    <w:rsid w:val="005806A8"/>
    <w:rsid w:val="00581232"/>
    <w:rsid w:val="005818C8"/>
    <w:rsid w:val="00584D28"/>
    <w:rsid w:val="0058521D"/>
    <w:rsid w:val="005852BB"/>
    <w:rsid w:val="005857CE"/>
    <w:rsid w:val="00585AF2"/>
    <w:rsid w:val="00586D4B"/>
    <w:rsid w:val="00586EEE"/>
    <w:rsid w:val="005872E2"/>
    <w:rsid w:val="0059166C"/>
    <w:rsid w:val="005916DB"/>
    <w:rsid w:val="00592D87"/>
    <w:rsid w:val="005933F8"/>
    <w:rsid w:val="005934A7"/>
    <w:rsid w:val="00593C85"/>
    <w:rsid w:val="00593FBA"/>
    <w:rsid w:val="0059598C"/>
    <w:rsid w:val="00595CAC"/>
    <w:rsid w:val="00596146"/>
    <w:rsid w:val="00596297"/>
    <w:rsid w:val="00596726"/>
    <w:rsid w:val="00596EEF"/>
    <w:rsid w:val="00597612"/>
    <w:rsid w:val="005A0C66"/>
    <w:rsid w:val="005A1D3B"/>
    <w:rsid w:val="005A2E74"/>
    <w:rsid w:val="005A4349"/>
    <w:rsid w:val="005A4421"/>
    <w:rsid w:val="005A6613"/>
    <w:rsid w:val="005A66D9"/>
    <w:rsid w:val="005A66FE"/>
    <w:rsid w:val="005B05B5"/>
    <w:rsid w:val="005B0CA0"/>
    <w:rsid w:val="005B1323"/>
    <w:rsid w:val="005B4F11"/>
    <w:rsid w:val="005B74BD"/>
    <w:rsid w:val="005B7B44"/>
    <w:rsid w:val="005C186A"/>
    <w:rsid w:val="005C2B19"/>
    <w:rsid w:val="005C2ECA"/>
    <w:rsid w:val="005C36F8"/>
    <w:rsid w:val="005C37F5"/>
    <w:rsid w:val="005C4C0D"/>
    <w:rsid w:val="005C6815"/>
    <w:rsid w:val="005C728C"/>
    <w:rsid w:val="005D080C"/>
    <w:rsid w:val="005D19C3"/>
    <w:rsid w:val="005D234C"/>
    <w:rsid w:val="005D2591"/>
    <w:rsid w:val="005D329B"/>
    <w:rsid w:val="005D35DD"/>
    <w:rsid w:val="005D40C1"/>
    <w:rsid w:val="005D549A"/>
    <w:rsid w:val="005D5F03"/>
    <w:rsid w:val="005D6368"/>
    <w:rsid w:val="005D66F6"/>
    <w:rsid w:val="005E426A"/>
    <w:rsid w:val="005E4755"/>
    <w:rsid w:val="005E4781"/>
    <w:rsid w:val="005E5B84"/>
    <w:rsid w:val="005E6816"/>
    <w:rsid w:val="005E6817"/>
    <w:rsid w:val="005E688E"/>
    <w:rsid w:val="005E720A"/>
    <w:rsid w:val="005E7476"/>
    <w:rsid w:val="005F19A2"/>
    <w:rsid w:val="005F20D2"/>
    <w:rsid w:val="005F3D63"/>
    <w:rsid w:val="005F3EA3"/>
    <w:rsid w:val="005F4D58"/>
    <w:rsid w:val="005F4E3A"/>
    <w:rsid w:val="005F554F"/>
    <w:rsid w:val="005F5CB8"/>
    <w:rsid w:val="005F5E28"/>
    <w:rsid w:val="005F5F65"/>
    <w:rsid w:val="005F6169"/>
    <w:rsid w:val="005F6AD7"/>
    <w:rsid w:val="005F72D4"/>
    <w:rsid w:val="005F7981"/>
    <w:rsid w:val="00601942"/>
    <w:rsid w:val="00601AA0"/>
    <w:rsid w:val="00601EF4"/>
    <w:rsid w:val="006024F4"/>
    <w:rsid w:val="00602885"/>
    <w:rsid w:val="00602FAA"/>
    <w:rsid w:val="00603264"/>
    <w:rsid w:val="00603EE7"/>
    <w:rsid w:val="006047FD"/>
    <w:rsid w:val="00605819"/>
    <w:rsid w:val="006059F4"/>
    <w:rsid w:val="0060632A"/>
    <w:rsid w:val="00606883"/>
    <w:rsid w:val="00607619"/>
    <w:rsid w:val="00607F25"/>
    <w:rsid w:val="00610690"/>
    <w:rsid w:val="006106DC"/>
    <w:rsid w:val="006109CE"/>
    <w:rsid w:val="00611AFB"/>
    <w:rsid w:val="006127F5"/>
    <w:rsid w:val="00612EA7"/>
    <w:rsid w:val="00613AF5"/>
    <w:rsid w:val="00613C6C"/>
    <w:rsid w:val="00613DA0"/>
    <w:rsid w:val="00615B81"/>
    <w:rsid w:val="006163CF"/>
    <w:rsid w:val="00616B58"/>
    <w:rsid w:val="00617404"/>
    <w:rsid w:val="00617420"/>
    <w:rsid w:val="00617BFE"/>
    <w:rsid w:val="00617DF6"/>
    <w:rsid w:val="00621EAC"/>
    <w:rsid w:val="00623B95"/>
    <w:rsid w:val="00624C9A"/>
    <w:rsid w:val="0062620B"/>
    <w:rsid w:val="006263B8"/>
    <w:rsid w:val="0062662A"/>
    <w:rsid w:val="00627872"/>
    <w:rsid w:val="00627A71"/>
    <w:rsid w:val="006301A6"/>
    <w:rsid w:val="0063065B"/>
    <w:rsid w:val="006316DD"/>
    <w:rsid w:val="00631B40"/>
    <w:rsid w:val="00632939"/>
    <w:rsid w:val="0063312A"/>
    <w:rsid w:val="006332BC"/>
    <w:rsid w:val="0063659C"/>
    <w:rsid w:val="00636BF8"/>
    <w:rsid w:val="00637105"/>
    <w:rsid w:val="00637C79"/>
    <w:rsid w:val="00640901"/>
    <w:rsid w:val="00640D10"/>
    <w:rsid w:val="00640FA4"/>
    <w:rsid w:val="00641022"/>
    <w:rsid w:val="0064215E"/>
    <w:rsid w:val="006426A8"/>
    <w:rsid w:val="00644B7B"/>
    <w:rsid w:val="006455FE"/>
    <w:rsid w:val="006456B4"/>
    <w:rsid w:val="006469C5"/>
    <w:rsid w:val="006472A2"/>
    <w:rsid w:val="00647CD0"/>
    <w:rsid w:val="00647E66"/>
    <w:rsid w:val="00647F98"/>
    <w:rsid w:val="00650EB4"/>
    <w:rsid w:val="00651AE7"/>
    <w:rsid w:val="00652210"/>
    <w:rsid w:val="00652535"/>
    <w:rsid w:val="00653070"/>
    <w:rsid w:val="00653589"/>
    <w:rsid w:val="00653B57"/>
    <w:rsid w:val="00654BDC"/>
    <w:rsid w:val="006559E4"/>
    <w:rsid w:val="00655E9C"/>
    <w:rsid w:val="00656130"/>
    <w:rsid w:val="00656F3B"/>
    <w:rsid w:val="006576F7"/>
    <w:rsid w:val="00657CD9"/>
    <w:rsid w:val="00657D91"/>
    <w:rsid w:val="0066055D"/>
    <w:rsid w:val="0066150A"/>
    <w:rsid w:val="006615CC"/>
    <w:rsid w:val="006615CD"/>
    <w:rsid w:val="00661C5A"/>
    <w:rsid w:val="006622DE"/>
    <w:rsid w:val="00663A19"/>
    <w:rsid w:val="00664D91"/>
    <w:rsid w:val="0066509F"/>
    <w:rsid w:val="006662A4"/>
    <w:rsid w:val="006668F4"/>
    <w:rsid w:val="00666C18"/>
    <w:rsid w:val="00666E65"/>
    <w:rsid w:val="00667AEE"/>
    <w:rsid w:val="00670EA0"/>
    <w:rsid w:val="00671C11"/>
    <w:rsid w:val="006737E8"/>
    <w:rsid w:val="006748E8"/>
    <w:rsid w:val="00675039"/>
    <w:rsid w:val="006751B1"/>
    <w:rsid w:val="00675E29"/>
    <w:rsid w:val="00675EF5"/>
    <w:rsid w:val="00676283"/>
    <w:rsid w:val="00677C8C"/>
    <w:rsid w:val="00677D78"/>
    <w:rsid w:val="00681512"/>
    <w:rsid w:val="00681887"/>
    <w:rsid w:val="00682796"/>
    <w:rsid w:val="00683347"/>
    <w:rsid w:val="00684D87"/>
    <w:rsid w:val="00684E55"/>
    <w:rsid w:val="00684E6C"/>
    <w:rsid w:val="006856D0"/>
    <w:rsid w:val="00685F76"/>
    <w:rsid w:val="006863C5"/>
    <w:rsid w:val="00686F3E"/>
    <w:rsid w:val="006902D2"/>
    <w:rsid w:val="00690859"/>
    <w:rsid w:val="00691B6B"/>
    <w:rsid w:val="00692F87"/>
    <w:rsid w:val="006952DE"/>
    <w:rsid w:val="00697D9E"/>
    <w:rsid w:val="006A07FE"/>
    <w:rsid w:val="006A16AF"/>
    <w:rsid w:val="006A1718"/>
    <w:rsid w:val="006A2578"/>
    <w:rsid w:val="006A6026"/>
    <w:rsid w:val="006A66C9"/>
    <w:rsid w:val="006A69C2"/>
    <w:rsid w:val="006A72CD"/>
    <w:rsid w:val="006A7CFC"/>
    <w:rsid w:val="006A7FBB"/>
    <w:rsid w:val="006B038C"/>
    <w:rsid w:val="006B1BD2"/>
    <w:rsid w:val="006B2BC8"/>
    <w:rsid w:val="006B3945"/>
    <w:rsid w:val="006B4CA8"/>
    <w:rsid w:val="006B4E30"/>
    <w:rsid w:val="006B521C"/>
    <w:rsid w:val="006B570A"/>
    <w:rsid w:val="006B62E6"/>
    <w:rsid w:val="006C0A9D"/>
    <w:rsid w:val="006C0C9F"/>
    <w:rsid w:val="006C0EE5"/>
    <w:rsid w:val="006C1939"/>
    <w:rsid w:val="006C2963"/>
    <w:rsid w:val="006C2ABA"/>
    <w:rsid w:val="006C2F3A"/>
    <w:rsid w:val="006C3C6D"/>
    <w:rsid w:val="006C3E50"/>
    <w:rsid w:val="006C571E"/>
    <w:rsid w:val="006C5916"/>
    <w:rsid w:val="006C6D78"/>
    <w:rsid w:val="006D00E1"/>
    <w:rsid w:val="006D165C"/>
    <w:rsid w:val="006D1B10"/>
    <w:rsid w:val="006D1BBE"/>
    <w:rsid w:val="006D20FB"/>
    <w:rsid w:val="006D36A5"/>
    <w:rsid w:val="006D4750"/>
    <w:rsid w:val="006D50FB"/>
    <w:rsid w:val="006D5D7E"/>
    <w:rsid w:val="006D7F0E"/>
    <w:rsid w:val="006E1CB9"/>
    <w:rsid w:val="006E299C"/>
    <w:rsid w:val="006E33E1"/>
    <w:rsid w:val="006E3BC6"/>
    <w:rsid w:val="006E441C"/>
    <w:rsid w:val="006E5576"/>
    <w:rsid w:val="006E55A6"/>
    <w:rsid w:val="006E5D9E"/>
    <w:rsid w:val="006E684A"/>
    <w:rsid w:val="006F08C6"/>
    <w:rsid w:val="006F120A"/>
    <w:rsid w:val="006F166F"/>
    <w:rsid w:val="006F2770"/>
    <w:rsid w:val="006F2E52"/>
    <w:rsid w:val="006F3183"/>
    <w:rsid w:val="006F3993"/>
    <w:rsid w:val="006F3FD6"/>
    <w:rsid w:val="006F401E"/>
    <w:rsid w:val="006F477E"/>
    <w:rsid w:val="006F51D9"/>
    <w:rsid w:val="006F5C61"/>
    <w:rsid w:val="006F5FD9"/>
    <w:rsid w:val="006F5FE3"/>
    <w:rsid w:val="006F6537"/>
    <w:rsid w:val="00700F3A"/>
    <w:rsid w:val="00701529"/>
    <w:rsid w:val="007017D6"/>
    <w:rsid w:val="00701BC6"/>
    <w:rsid w:val="007029EC"/>
    <w:rsid w:val="00703839"/>
    <w:rsid w:val="0070508B"/>
    <w:rsid w:val="007054F7"/>
    <w:rsid w:val="00705601"/>
    <w:rsid w:val="00711347"/>
    <w:rsid w:val="00712EED"/>
    <w:rsid w:val="00713088"/>
    <w:rsid w:val="007138AA"/>
    <w:rsid w:val="00713ECC"/>
    <w:rsid w:val="0071401C"/>
    <w:rsid w:val="007145D3"/>
    <w:rsid w:val="007146E2"/>
    <w:rsid w:val="007154F9"/>
    <w:rsid w:val="00715791"/>
    <w:rsid w:val="007162EB"/>
    <w:rsid w:val="00716AF7"/>
    <w:rsid w:val="00717104"/>
    <w:rsid w:val="00717E0A"/>
    <w:rsid w:val="00720F3E"/>
    <w:rsid w:val="00721110"/>
    <w:rsid w:val="00721D36"/>
    <w:rsid w:val="007227F8"/>
    <w:rsid w:val="00722BF8"/>
    <w:rsid w:val="00722FF8"/>
    <w:rsid w:val="00723172"/>
    <w:rsid w:val="007232B7"/>
    <w:rsid w:val="007233B3"/>
    <w:rsid w:val="00723B57"/>
    <w:rsid w:val="00723E65"/>
    <w:rsid w:val="00724F7B"/>
    <w:rsid w:val="00725696"/>
    <w:rsid w:val="0072680D"/>
    <w:rsid w:val="007300C4"/>
    <w:rsid w:val="00730FE0"/>
    <w:rsid w:val="007310C2"/>
    <w:rsid w:val="007317C6"/>
    <w:rsid w:val="00732380"/>
    <w:rsid w:val="00733054"/>
    <w:rsid w:val="00733896"/>
    <w:rsid w:val="00733DEE"/>
    <w:rsid w:val="00734446"/>
    <w:rsid w:val="00734875"/>
    <w:rsid w:val="007358DB"/>
    <w:rsid w:val="00735963"/>
    <w:rsid w:val="00735C86"/>
    <w:rsid w:val="00735E59"/>
    <w:rsid w:val="007360E0"/>
    <w:rsid w:val="0073778E"/>
    <w:rsid w:val="00737B4C"/>
    <w:rsid w:val="00737E86"/>
    <w:rsid w:val="007412EB"/>
    <w:rsid w:val="007419C5"/>
    <w:rsid w:val="00741DE5"/>
    <w:rsid w:val="0074244A"/>
    <w:rsid w:val="007428C8"/>
    <w:rsid w:val="0074480E"/>
    <w:rsid w:val="00745270"/>
    <w:rsid w:val="007454C4"/>
    <w:rsid w:val="00745EFA"/>
    <w:rsid w:val="007467EC"/>
    <w:rsid w:val="00746E32"/>
    <w:rsid w:val="00746F1D"/>
    <w:rsid w:val="00747014"/>
    <w:rsid w:val="007478EC"/>
    <w:rsid w:val="00747B8F"/>
    <w:rsid w:val="00747C72"/>
    <w:rsid w:val="007506CD"/>
    <w:rsid w:val="00750B6B"/>
    <w:rsid w:val="007518B1"/>
    <w:rsid w:val="007520E0"/>
    <w:rsid w:val="00754A19"/>
    <w:rsid w:val="007553DB"/>
    <w:rsid w:val="0075674C"/>
    <w:rsid w:val="007571C7"/>
    <w:rsid w:val="0076095D"/>
    <w:rsid w:val="007612FF"/>
    <w:rsid w:val="00761512"/>
    <w:rsid w:val="00762015"/>
    <w:rsid w:val="007639F5"/>
    <w:rsid w:val="00763DE4"/>
    <w:rsid w:val="00764181"/>
    <w:rsid w:val="00764DB9"/>
    <w:rsid w:val="00766F59"/>
    <w:rsid w:val="00767F89"/>
    <w:rsid w:val="007701D6"/>
    <w:rsid w:val="00770454"/>
    <w:rsid w:val="007708B6"/>
    <w:rsid w:val="00770AF7"/>
    <w:rsid w:val="00770D50"/>
    <w:rsid w:val="00771BC9"/>
    <w:rsid w:val="007721B1"/>
    <w:rsid w:val="00772A95"/>
    <w:rsid w:val="00773FCE"/>
    <w:rsid w:val="007755C2"/>
    <w:rsid w:val="007756FC"/>
    <w:rsid w:val="00775963"/>
    <w:rsid w:val="00775A9A"/>
    <w:rsid w:val="00775D16"/>
    <w:rsid w:val="00775DDA"/>
    <w:rsid w:val="0077651F"/>
    <w:rsid w:val="0077799C"/>
    <w:rsid w:val="00780587"/>
    <w:rsid w:val="00780E14"/>
    <w:rsid w:val="007812BA"/>
    <w:rsid w:val="00781434"/>
    <w:rsid w:val="00781BDE"/>
    <w:rsid w:val="007821BB"/>
    <w:rsid w:val="0078403A"/>
    <w:rsid w:val="00784CE9"/>
    <w:rsid w:val="00784F12"/>
    <w:rsid w:val="007874CA"/>
    <w:rsid w:val="00787A4B"/>
    <w:rsid w:val="00787BBC"/>
    <w:rsid w:val="00787CCD"/>
    <w:rsid w:val="00790630"/>
    <w:rsid w:val="00794CE2"/>
    <w:rsid w:val="0079511D"/>
    <w:rsid w:val="00795969"/>
    <w:rsid w:val="007962F6"/>
    <w:rsid w:val="00796CAB"/>
    <w:rsid w:val="00797511"/>
    <w:rsid w:val="007979BB"/>
    <w:rsid w:val="007A04A6"/>
    <w:rsid w:val="007A1C23"/>
    <w:rsid w:val="007A1FE8"/>
    <w:rsid w:val="007A3922"/>
    <w:rsid w:val="007A5022"/>
    <w:rsid w:val="007A51CB"/>
    <w:rsid w:val="007A5763"/>
    <w:rsid w:val="007A5AE0"/>
    <w:rsid w:val="007A72CF"/>
    <w:rsid w:val="007B0B75"/>
    <w:rsid w:val="007B1C86"/>
    <w:rsid w:val="007B3662"/>
    <w:rsid w:val="007B5923"/>
    <w:rsid w:val="007B65C3"/>
    <w:rsid w:val="007B7635"/>
    <w:rsid w:val="007B7973"/>
    <w:rsid w:val="007C0BB0"/>
    <w:rsid w:val="007C10E8"/>
    <w:rsid w:val="007C123F"/>
    <w:rsid w:val="007C1AA3"/>
    <w:rsid w:val="007C1F0D"/>
    <w:rsid w:val="007C280E"/>
    <w:rsid w:val="007C2953"/>
    <w:rsid w:val="007C39C6"/>
    <w:rsid w:val="007C4CC2"/>
    <w:rsid w:val="007C5695"/>
    <w:rsid w:val="007C5D3E"/>
    <w:rsid w:val="007C7461"/>
    <w:rsid w:val="007D0214"/>
    <w:rsid w:val="007D0B37"/>
    <w:rsid w:val="007D16D3"/>
    <w:rsid w:val="007D1C83"/>
    <w:rsid w:val="007D346A"/>
    <w:rsid w:val="007D39C0"/>
    <w:rsid w:val="007D4AEC"/>
    <w:rsid w:val="007D4FA0"/>
    <w:rsid w:val="007D7046"/>
    <w:rsid w:val="007D7FE4"/>
    <w:rsid w:val="007E081C"/>
    <w:rsid w:val="007E0F6A"/>
    <w:rsid w:val="007E1D75"/>
    <w:rsid w:val="007E685D"/>
    <w:rsid w:val="007F0EE8"/>
    <w:rsid w:val="007F3B47"/>
    <w:rsid w:val="007F401E"/>
    <w:rsid w:val="007F486B"/>
    <w:rsid w:val="007F4F41"/>
    <w:rsid w:val="007F5F20"/>
    <w:rsid w:val="007F62FC"/>
    <w:rsid w:val="007F6AD8"/>
    <w:rsid w:val="007F73F1"/>
    <w:rsid w:val="008003BE"/>
    <w:rsid w:val="008019BB"/>
    <w:rsid w:val="00802DAD"/>
    <w:rsid w:val="00802F38"/>
    <w:rsid w:val="00803B77"/>
    <w:rsid w:val="00804326"/>
    <w:rsid w:val="00805067"/>
    <w:rsid w:val="008050F5"/>
    <w:rsid w:val="00805C8C"/>
    <w:rsid w:val="00806AE3"/>
    <w:rsid w:val="00806E6D"/>
    <w:rsid w:val="0080799F"/>
    <w:rsid w:val="0081070A"/>
    <w:rsid w:val="00810896"/>
    <w:rsid w:val="00810911"/>
    <w:rsid w:val="00810A7F"/>
    <w:rsid w:val="0081127C"/>
    <w:rsid w:val="00811E02"/>
    <w:rsid w:val="008125BF"/>
    <w:rsid w:val="008137DF"/>
    <w:rsid w:val="00813AE0"/>
    <w:rsid w:val="008143B7"/>
    <w:rsid w:val="00815E2F"/>
    <w:rsid w:val="00815E34"/>
    <w:rsid w:val="008161BA"/>
    <w:rsid w:val="008162D4"/>
    <w:rsid w:val="00816803"/>
    <w:rsid w:val="008179D4"/>
    <w:rsid w:val="00820CA6"/>
    <w:rsid w:val="00822584"/>
    <w:rsid w:val="00822B52"/>
    <w:rsid w:val="00824293"/>
    <w:rsid w:val="0082471A"/>
    <w:rsid w:val="00825F93"/>
    <w:rsid w:val="00827EBF"/>
    <w:rsid w:val="008301AD"/>
    <w:rsid w:val="00830B38"/>
    <w:rsid w:val="00831050"/>
    <w:rsid w:val="00831666"/>
    <w:rsid w:val="00831CB5"/>
    <w:rsid w:val="00833062"/>
    <w:rsid w:val="008335C8"/>
    <w:rsid w:val="00834D7A"/>
    <w:rsid w:val="00835148"/>
    <w:rsid w:val="00835A0C"/>
    <w:rsid w:val="008361C4"/>
    <w:rsid w:val="008363A0"/>
    <w:rsid w:val="00837B0A"/>
    <w:rsid w:val="00837DB8"/>
    <w:rsid w:val="00843924"/>
    <w:rsid w:val="00843BCC"/>
    <w:rsid w:val="00843E4F"/>
    <w:rsid w:val="00843FE7"/>
    <w:rsid w:val="00844D10"/>
    <w:rsid w:val="00844FCC"/>
    <w:rsid w:val="00845114"/>
    <w:rsid w:val="00845B55"/>
    <w:rsid w:val="00845D4A"/>
    <w:rsid w:val="008463ED"/>
    <w:rsid w:val="008467D4"/>
    <w:rsid w:val="00846E59"/>
    <w:rsid w:val="00846F0B"/>
    <w:rsid w:val="00851057"/>
    <w:rsid w:val="00851857"/>
    <w:rsid w:val="00851C3B"/>
    <w:rsid w:val="008523AC"/>
    <w:rsid w:val="0085451C"/>
    <w:rsid w:val="0085565A"/>
    <w:rsid w:val="00855F96"/>
    <w:rsid w:val="00857085"/>
    <w:rsid w:val="008576C8"/>
    <w:rsid w:val="00860D84"/>
    <w:rsid w:val="00860F86"/>
    <w:rsid w:val="008615B6"/>
    <w:rsid w:val="008617A6"/>
    <w:rsid w:val="00861BB9"/>
    <w:rsid w:val="00861C8E"/>
    <w:rsid w:val="00862CB0"/>
    <w:rsid w:val="00862CD1"/>
    <w:rsid w:val="00865966"/>
    <w:rsid w:val="00866408"/>
    <w:rsid w:val="00866C91"/>
    <w:rsid w:val="00867B12"/>
    <w:rsid w:val="00870398"/>
    <w:rsid w:val="0087080B"/>
    <w:rsid w:val="00872D08"/>
    <w:rsid w:val="008732E9"/>
    <w:rsid w:val="00873CF9"/>
    <w:rsid w:val="0087469C"/>
    <w:rsid w:val="008752C1"/>
    <w:rsid w:val="0087536E"/>
    <w:rsid w:val="00875982"/>
    <w:rsid w:val="008763C3"/>
    <w:rsid w:val="008775FC"/>
    <w:rsid w:val="00877864"/>
    <w:rsid w:val="00881D88"/>
    <w:rsid w:val="00883071"/>
    <w:rsid w:val="0088362E"/>
    <w:rsid w:val="00884459"/>
    <w:rsid w:val="00884831"/>
    <w:rsid w:val="00884FB2"/>
    <w:rsid w:val="00885344"/>
    <w:rsid w:val="0088650F"/>
    <w:rsid w:val="008866A7"/>
    <w:rsid w:val="00886C9B"/>
    <w:rsid w:val="00886CB6"/>
    <w:rsid w:val="008872B1"/>
    <w:rsid w:val="0088732C"/>
    <w:rsid w:val="00890474"/>
    <w:rsid w:val="00890659"/>
    <w:rsid w:val="00890C6C"/>
    <w:rsid w:val="00890E55"/>
    <w:rsid w:val="00892248"/>
    <w:rsid w:val="0089281E"/>
    <w:rsid w:val="00894575"/>
    <w:rsid w:val="00895F28"/>
    <w:rsid w:val="00897959"/>
    <w:rsid w:val="00897993"/>
    <w:rsid w:val="00897A9A"/>
    <w:rsid w:val="008A11B0"/>
    <w:rsid w:val="008A2AA2"/>
    <w:rsid w:val="008A36BE"/>
    <w:rsid w:val="008A4155"/>
    <w:rsid w:val="008A41DA"/>
    <w:rsid w:val="008A64BC"/>
    <w:rsid w:val="008A6FCA"/>
    <w:rsid w:val="008B08B3"/>
    <w:rsid w:val="008B0D0D"/>
    <w:rsid w:val="008B15AE"/>
    <w:rsid w:val="008B1F4F"/>
    <w:rsid w:val="008B3AFA"/>
    <w:rsid w:val="008B4131"/>
    <w:rsid w:val="008B444A"/>
    <w:rsid w:val="008B4F82"/>
    <w:rsid w:val="008B5A34"/>
    <w:rsid w:val="008B627E"/>
    <w:rsid w:val="008B79B8"/>
    <w:rsid w:val="008B7E7C"/>
    <w:rsid w:val="008C1396"/>
    <w:rsid w:val="008C34CE"/>
    <w:rsid w:val="008C3819"/>
    <w:rsid w:val="008C4524"/>
    <w:rsid w:val="008C462B"/>
    <w:rsid w:val="008C4DF9"/>
    <w:rsid w:val="008C5BDB"/>
    <w:rsid w:val="008C7412"/>
    <w:rsid w:val="008D031F"/>
    <w:rsid w:val="008D1CBE"/>
    <w:rsid w:val="008D1D7C"/>
    <w:rsid w:val="008D2157"/>
    <w:rsid w:val="008D22BF"/>
    <w:rsid w:val="008D2436"/>
    <w:rsid w:val="008D2ACA"/>
    <w:rsid w:val="008D30AA"/>
    <w:rsid w:val="008D52A2"/>
    <w:rsid w:val="008D70EF"/>
    <w:rsid w:val="008D7AE7"/>
    <w:rsid w:val="008E0081"/>
    <w:rsid w:val="008E0E91"/>
    <w:rsid w:val="008E3047"/>
    <w:rsid w:val="008E5120"/>
    <w:rsid w:val="008E5446"/>
    <w:rsid w:val="008E54D2"/>
    <w:rsid w:val="008E5A65"/>
    <w:rsid w:val="008E5A90"/>
    <w:rsid w:val="008E5C87"/>
    <w:rsid w:val="008E5E9F"/>
    <w:rsid w:val="008E66CA"/>
    <w:rsid w:val="008E778E"/>
    <w:rsid w:val="008E7FA2"/>
    <w:rsid w:val="008F0680"/>
    <w:rsid w:val="008F0C44"/>
    <w:rsid w:val="008F1645"/>
    <w:rsid w:val="008F1A72"/>
    <w:rsid w:val="008F2461"/>
    <w:rsid w:val="008F4223"/>
    <w:rsid w:val="008F4481"/>
    <w:rsid w:val="008F53C3"/>
    <w:rsid w:val="008F58E0"/>
    <w:rsid w:val="008F6145"/>
    <w:rsid w:val="008F621A"/>
    <w:rsid w:val="008F66C0"/>
    <w:rsid w:val="009002DB"/>
    <w:rsid w:val="00900426"/>
    <w:rsid w:val="00900F75"/>
    <w:rsid w:val="0090397F"/>
    <w:rsid w:val="009040C3"/>
    <w:rsid w:val="009043D0"/>
    <w:rsid w:val="009043E9"/>
    <w:rsid w:val="00904619"/>
    <w:rsid w:val="00904C47"/>
    <w:rsid w:val="0090594D"/>
    <w:rsid w:val="00905EC0"/>
    <w:rsid w:val="009061E8"/>
    <w:rsid w:val="00907439"/>
    <w:rsid w:val="00907CE4"/>
    <w:rsid w:val="00911486"/>
    <w:rsid w:val="009117D6"/>
    <w:rsid w:val="00912584"/>
    <w:rsid w:val="00912958"/>
    <w:rsid w:val="009132B1"/>
    <w:rsid w:val="009149E8"/>
    <w:rsid w:val="00914E6B"/>
    <w:rsid w:val="009152A5"/>
    <w:rsid w:val="00915B88"/>
    <w:rsid w:val="00920292"/>
    <w:rsid w:val="0092044E"/>
    <w:rsid w:val="009216ED"/>
    <w:rsid w:val="00921808"/>
    <w:rsid w:val="009219C7"/>
    <w:rsid w:val="00922280"/>
    <w:rsid w:val="00922F83"/>
    <w:rsid w:val="00923F8C"/>
    <w:rsid w:val="0092415A"/>
    <w:rsid w:val="00924935"/>
    <w:rsid w:val="00925531"/>
    <w:rsid w:val="009257BF"/>
    <w:rsid w:val="00926372"/>
    <w:rsid w:val="00926B2B"/>
    <w:rsid w:val="00926DB0"/>
    <w:rsid w:val="009303BB"/>
    <w:rsid w:val="00930E1D"/>
    <w:rsid w:val="0093149B"/>
    <w:rsid w:val="009331B0"/>
    <w:rsid w:val="00933E23"/>
    <w:rsid w:val="00933ECF"/>
    <w:rsid w:val="009343D9"/>
    <w:rsid w:val="00934558"/>
    <w:rsid w:val="009346CF"/>
    <w:rsid w:val="009349D6"/>
    <w:rsid w:val="0093540C"/>
    <w:rsid w:val="009359D2"/>
    <w:rsid w:val="009361B0"/>
    <w:rsid w:val="009362ED"/>
    <w:rsid w:val="0093698B"/>
    <w:rsid w:val="00936CEF"/>
    <w:rsid w:val="009400BB"/>
    <w:rsid w:val="00940BE5"/>
    <w:rsid w:val="00941777"/>
    <w:rsid w:val="00943D09"/>
    <w:rsid w:val="00944DF6"/>
    <w:rsid w:val="00944F29"/>
    <w:rsid w:val="0094642E"/>
    <w:rsid w:val="00947637"/>
    <w:rsid w:val="009510C0"/>
    <w:rsid w:val="00952207"/>
    <w:rsid w:val="009526A4"/>
    <w:rsid w:val="00952C8B"/>
    <w:rsid w:val="00952D23"/>
    <w:rsid w:val="009535D0"/>
    <w:rsid w:val="00953878"/>
    <w:rsid w:val="0095547E"/>
    <w:rsid w:val="00955587"/>
    <w:rsid w:val="009571E0"/>
    <w:rsid w:val="00957429"/>
    <w:rsid w:val="009607C0"/>
    <w:rsid w:val="00960B43"/>
    <w:rsid w:val="00961BD9"/>
    <w:rsid w:val="00961C69"/>
    <w:rsid w:val="00962A7E"/>
    <w:rsid w:val="00962BDF"/>
    <w:rsid w:val="00964E08"/>
    <w:rsid w:val="00965999"/>
    <w:rsid w:val="00967B7D"/>
    <w:rsid w:val="00970082"/>
    <w:rsid w:val="009706BB"/>
    <w:rsid w:val="00970A72"/>
    <w:rsid w:val="009718AA"/>
    <w:rsid w:val="00971ADE"/>
    <w:rsid w:val="0097351D"/>
    <w:rsid w:val="009737C5"/>
    <w:rsid w:val="009764AA"/>
    <w:rsid w:val="00976ABA"/>
    <w:rsid w:val="00977349"/>
    <w:rsid w:val="00977735"/>
    <w:rsid w:val="009815E7"/>
    <w:rsid w:val="00981696"/>
    <w:rsid w:val="00981D31"/>
    <w:rsid w:val="00981D8D"/>
    <w:rsid w:val="00982684"/>
    <w:rsid w:val="0098342E"/>
    <w:rsid w:val="0098466B"/>
    <w:rsid w:val="00984743"/>
    <w:rsid w:val="00984D36"/>
    <w:rsid w:val="009858DC"/>
    <w:rsid w:val="0098610B"/>
    <w:rsid w:val="00986585"/>
    <w:rsid w:val="00987324"/>
    <w:rsid w:val="00990900"/>
    <w:rsid w:val="00990D40"/>
    <w:rsid w:val="009924FD"/>
    <w:rsid w:val="00992CF8"/>
    <w:rsid w:val="00993745"/>
    <w:rsid w:val="00993831"/>
    <w:rsid w:val="00994B47"/>
    <w:rsid w:val="009957DA"/>
    <w:rsid w:val="00996567"/>
    <w:rsid w:val="00996A02"/>
    <w:rsid w:val="0099754F"/>
    <w:rsid w:val="009A12D2"/>
    <w:rsid w:val="009A2580"/>
    <w:rsid w:val="009A3C0F"/>
    <w:rsid w:val="009A3C4A"/>
    <w:rsid w:val="009A4947"/>
    <w:rsid w:val="009A54D6"/>
    <w:rsid w:val="009A716C"/>
    <w:rsid w:val="009A7CAB"/>
    <w:rsid w:val="009B003E"/>
    <w:rsid w:val="009B10F6"/>
    <w:rsid w:val="009B2C26"/>
    <w:rsid w:val="009B2FDA"/>
    <w:rsid w:val="009B378F"/>
    <w:rsid w:val="009B4D67"/>
    <w:rsid w:val="009B6C42"/>
    <w:rsid w:val="009B79AD"/>
    <w:rsid w:val="009B7FF8"/>
    <w:rsid w:val="009C0A59"/>
    <w:rsid w:val="009C10D7"/>
    <w:rsid w:val="009C15CE"/>
    <w:rsid w:val="009C3B36"/>
    <w:rsid w:val="009C4142"/>
    <w:rsid w:val="009C422E"/>
    <w:rsid w:val="009C4D39"/>
    <w:rsid w:val="009C5921"/>
    <w:rsid w:val="009D1A4C"/>
    <w:rsid w:val="009D215A"/>
    <w:rsid w:val="009D3D7A"/>
    <w:rsid w:val="009D48EC"/>
    <w:rsid w:val="009D4B0F"/>
    <w:rsid w:val="009D5D5A"/>
    <w:rsid w:val="009E0011"/>
    <w:rsid w:val="009E05DD"/>
    <w:rsid w:val="009E1017"/>
    <w:rsid w:val="009E1584"/>
    <w:rsid w:val="009E2CD2"/>
    <w:rsid w:val="009E3367"/>
    <w:rsid w:val="009E3894"/>
    <w:rsid w:val="009E4B1D"/>
    <w:rsid w:val="009E77B3"/>
    <w:rsid w:val="009F0233"/>
    <w:rsid w:val="009F0417"/>
    <w:rsid w:val="009F1471"/>
    <w:rsid w:val="009F154F"/>
    <w:rsid w:val="009F3198"/>
    <w:rsid w:val="009F31C8"/>
    <w:rsid w:val="009F3ACA"/>
    <w:rsid w:val="009F3DFD"/>
    <w:rsid w:val="009F456F"/>
    <w:rsid w:val="009F4FD4"/>
    <w:rsid w:val="009F7698"/>
    <w:rsid w:val="00A03021"/>
    <w:rsid w:val="00A0386B"/>
    <w:rsid w:val="00A06875"/>
    <w:rsid w:val="00A06E31"/>
    <w:rsid w:val="00A07B97"/>
    <w:rsid w:val="00A1275E"/>
    <w:rsid w:val="00A13B48"/>
    <w:rsid w:val="00A153F1"/>
    <w:rsid w:val="00A15C9A"/>
    <w:rsid w:val="00A15D8C"/>
    <w:rsid w:val="00A15F2A"/>
    <w:rsid w:val="00A15FDD"/>
    <w:rsid w:val="00A16DBC"/>
    <w:rsid w:val="00A20381"/>
    <w:rsid w:val="00A21660"/>
    <w:rsid w:val="00A2166A"/>
    <w:rsid w:val="00A2171A"/>
    <w:rsid w:val="00A21918"/>
    <w:rsid w:val="00A21F7C"/>
    <w:rsid w:val="00A22100"/>
    <w:rsid w:val="00A23B4A"/>
    <w:rsid w:val="00A25E0F"/>
    <w:rsid w:val="00A2726C"/>
    <w:rsid w:val="00A30BF2"/>
    <w:rsid w:val="00A31532"/>
    <w:rsid w:val="00A31FD4"/>
    <w:rsid w:val="00A32739"/>
    <w:rsid w:val="00A32D9F"/>
    <w:rsid w:val="00A333CB"/>
    <w:rsid w:val="00A333D3"/>
    <w:rsid w:val="00A34923"/>
    <w:rsid w:val="00A34CFE"/>
    <w:rsid w:val="00A4068D"/>
    <w:rsid w:val="00A407D7"/>
    <w:rsid w:val="00A40877"/>
    <w:rsid w:val="00A4098F"/>
    <w:rsid w:val="00A411BC"/>
    <w:rsid w:val="00A415FE"/>
    <w:rsid w:val="00A41B47"/>
    <w:rsid w:val="00A42570"/>
    <w:rsid w:val="00A425B7"/>
    <w:rsid w:val="00A43126"/>
    <w:rsid w:val="00A44BBD"/>
    <w:rsid w:val="00A455A1"/>
    <w:rsid w:val="00A45930"/>
    <w:rsid w:val="00A46B6C"/>
    <w:rsid w:val="00A47814"/>
    <w:rsid w:val="00A47DA7"/>
    <w:rsid w:val="00A47F3D"/>
    <w:rsid w:val="00A50129"/>
    <w:rsid w:val="00A50A3D"/>
    <w:rsid w:val="00A50E19"/>
    <w:rsid w:val="00A5193D"/>
    <w:rsid w:val="00A51D80"/>
    <w:rsid w:val="00A52355"/>
    <w:rsid w:val="00A525EB"/>
    <w:rsid w:val="00A526BE"/>
    <w:rsid w:val="00A526EC"/>
    <w:rsid w:val="00A52A4E"/>
    <w:rsid w:val="00A52A58"/>
    <w:rsid w:val="00A5302D"/>
    <w:rsid w:val="00A535D1"/>
    <w:rsid w:val="00A5377A"/>
    <w:rsid w:val="00A53FC6"/>
    <w:rsid w:val="00A546A8"/>
    <w:rsid w:val="00A5521C"/>
    <w:rsid w:val="00A55837"/>
    <w:rsid w:val="00A56196"/>
    <w:rsid w:val="00A564A6"/>
    <w:rsid w:val="00A56D0F"/>
    <w:rsid w:val="00A5735A"/>
    <w:rsid w:val="00A578D9"/>
    <w:rsid w:val="00A57935"/>
    <w:rsid w:val="00A60B2D"/>
    <w:rsid w:val="00A62ED6"/>
    <w:rsid w:val="00A63783"/>
    <w:rsid w:val="00A644BB"/>
    <w:rsid w:val="00A649DD"/>
    <w:rsid w:val="00A64B85"/>
    <w:rsid w:val="00A64EA2"/>
    <w:rsid w:val="00A65524"/>
    <w:rsid w:val="00A655B5"/>
    <w:rsid w:val="00A66586"/>
    <w:rsid w:val="00A66B47"/>
    <w:rsid w:val="00A7172C"/>
    <w:rsid w:val="00A7306A"/>
    <w:rsid w:val="00A73238"/>
    <w:rsid w:val="00A74B22"/>
    <w:rsid w:val="00A75F2C"/>
    <w:rsid w:val="00A7670B"/>
    <w:rsid w:val="00A76CB5"/>
    <w:rsid w:val="00A77549"/>
    <w:rsid w:val="00A7766F"/>
    <w:rsid w:val="00A8177A"/>
    <w:rsid w:val="00A81937"/>
    <w:rsid w:val="00A82CB4"/>
    <w:rsid w:val="00A84325"/>
    <w:rsid w:val="00A852F8"/>
    <w:rsid w:val="00A86F4A"/>
    <w:rsid w:val="00A87A71"/>
    <w:rsid w:val="00A87EBA"/>
    <w:rsid w:val="00A90E96"/>
    <w:rsid w:val="00A915D3"/>
    <w:rsid w:val="00A91B7A"/>
    <w:rsid w:val="00A91EDA"/>
    <w:rsid w:val="00A924C3"/>
    <w:rsid w:val="00A92A34"/>
    <w:rsid w:val="00A94585"/>
    <w:rsid w:val="00A9487C"/>
    <w:rsid w:val="00A94B9C"/>
    <w:rsid w:val="00A95C11"/>
    <w:rsid w:val="00A95CC5"/>
    <w:rsid w:val="00A96F32"/>
    <w:rsid w:val="00A9718D"/>
    <w:rsid w:val="00A97206"/>
    <w:rsid w:val="00A97365"/>
    <w:rsid w:val="00A97F8C"/>
    <w:rsid w:val="00A97FDD"/>
    <w:rsid w:val="00AA035A"/>
    <w:rsid w:val="00AA29E8"/>
    <w:rsid w:val="00AA386B"/>
    <w:rsid w:val="00AA4746"/>
    <w:rsid w:val="00AA4795"/>
    <w:rsid w:val="00AA69CA"/>
    <w:rsid w:val="00AB0A56"/>
    <w:rsid w:val="00AB1360"/>
    <w:rsid w:val="00AB1721"/>
    <w:rsid w:val="00AB1AED"/>
    <w:rsid w:val="00AB1CF5"/>
    <w:rsid w:val="00AB1E2D"/>
    <w:rsid w:val="00AB28BB"/>
    <w:rsid w:val="00AB342A"/>
    <w:rsid w:val="00AB3B61"/>
    <w:rsid w:val="00AB47A5"/>
    <w:rsid w:val="00AB55D6"/>
    <w:rsid w:val="00AB6D4E"/>
    <w:rsid w:val="00AB6F87"/>
    <w:rsid w:val="00AC273A"/>
    <w:rsid w:val="00AC30EA"/>
    <w:rsid w:val="00AC3FA4"/>
    <w:rsid w:val="00AC4CE7"/>
    <w:rsid w:val="00AC51A1"/>
    <w:rsid w:val="00AC612B"/>
    <w:rsid w:val="00AC641A"/>
    <w:rsid w:val="00AC73DA"/>
    <w:rsid w:val="00AC75EA"/>
    <w:rsid w:val="00AC7817"/>
    <w:rsid w:val="00AD13B3"/>
    <w:rsid w:val="00AD1C18"/>
    <w:rsid w:val="00AD2EE3"/>
    <w:rsid w:val="00AD3A64"/>
    <w:rsid w:val="00AD506C"/>
    <w:rsid w:val="00AD5075"/>
    <w:rsid w:val="00AD5806"/>
    <w:rsid w:val="00AD5E07"/>
    <w:rsid w:val="00AD7ECA"/>
    <w:rsid w:val="00AE095F"/>
    <w:rsid w:val="00AE168B"/>
    <w:rsid w:val="00AE17C0"/>
    <w:rsid w:val="00AE2844"/>
    <w:rsid w:val="00AE48B5"/>
    <w:rsid w:val="00AE5499"/>
    <w:rsid w:val="00AE565A"/>
    <w:rsid w:val="00AE5FE2"/>
    <w:rsid w:val="00AE65DF"/>
    <w:rsid w:val="00AE70F9"/>
    <w:rsid w:val="00AE7E45"/>
    <w:rsid w:val="00AF0490"/>
    <w:rsid w:val="00AF0558"/>
    <w:rsid w:val="00AF0C07"/>
    <w:rsid w:val="00AF157F"/>
    <w:rsid w:val="00AF335F"/>
    <w:rsid w:val="00AF35B8"/>
    <w:rsid w:val="00AF3A08"/>
    <w:rsid w:val="00AF4997"/>
    <w:rsid w:val="00AF73CA"/>
    <w:rsid w:val="00B0049A"/>
    <w:rsid w:val="00B00F4B"/>
    <w:rsid w:val="00B011AF"/>
    <w:rsid w:val="00B01973"/>
    <w:rsid w:val="00B02286"/>
    <w:rsid w:val="00B02287"/>
    <w:rsid w:val="00B0420A"/>
    <w:rsid w:val="00B06A4C"/>
    <w:rsid w:val="00B07AE2"/>
    <w:rsid w:val="00B10DCC"/>
    <w:rsid w:val="00B1223D"/>
    <w:rsid w:val="00B12DAF"/>
    <w:rsid w:val="00B12E98"/>
    <w:rsid w:val="00B12F80"/>
    <w:rsid w:val="00B131FB"/>
    <w:rsid w:val="00B1335A"/>
    <w:rsid w:val="00B13AA1"/>
    <w:rsid w:val="00B13F55"/>
    <w:rsid w:val="00B1412E"/>
    <w:rsid w:val="00B14E72"/>
    <w:rsid w:val="00B15408"/>
    <w:rsid w:val="00B177DE"/>
    <w:rsid w:val="00B2041E"/>
    <w:rsid w:val="00B20F76"/>
    <w:rsid w:val="00B2111C"/>
    <w:rsid w:val="00B21C1C"/>
    <w:rsid w:val="00B22003"/>
    <w:rsid w:val="00B22330"/>
    <w:rsid w:val="00B225F1"/>
    <w:rsid w:val="00B22DA8"/>
    <w:rsid w:val="00B22F7C"/>
    <w:rsid w:val="00B2391E"/>
    <w:rsid w:val="00B2414A"/>
    <w:rsid w:val="00B247A3"/>
    <w:rsid w:val="00B25364"/>
    <w:rsid w:val="00B25C1C"/>
    <w:rsid w:val="00B265CA"/>
    <w:rsid w:val="00B26F41"/>
    <w:rsid w:val="00B30A4C"/>
    <w:rsid w:val="00B30C41"/>
    <w:rsid w:val="00B30E65"/>
    <w:rsid w:val="00B3149C"/>
    <w:rsid w:val="00B31E61"/>
    <w:rsid w:val="00B3256C"/>
    <w:rsid w:val="00B3367E"/>
    <w:rsid w:val="00B33840"/>
    <w:rsid w:val="00B34372"/>
    <w:rsid w:val="00B347F5"/>
    <w:rsid w:val="00B35287"/>
    <w:rsid w:val="00B367F5"/>
    <w:rsid w:val="00B3797D"/>
    <w:rsid w:val="00B4049B"/>
    <w:rsid w:val="00B422CF"/>
    <w:rsid w:val="00B42733"/>
    <w:rsid w:val="00B431B8"/>
    <w:rsid w:val="00B43659"/>
    <w:rsid w:val="00B44705"/>
    <w:rsid w:val="00B449D0"/>
    <w:rsid w:val="00B45468"/>
    <w:rsid w:val="00B4547F"/>
    <w:rsid w:val="00B4582D"/>
    <w:rsid w:val="00B45853"/>
    <w:rsid w:val="00B47A4C"/>
    <w:rsid w:val="00B5074F"/>
    <w:rsid w:val="00B507A2"/>
    <w:rsid w:val="00B5164C"/>
    <w:rsid w:val="00B51786"/>
    <w:rsid w:val="00B527BA"/>
    <w:rsid w:val="00B53205"/>
    <w:rsid w:val="00B53BA8"/>
    <w:rsid w:val="00B54AAA"/>
    <w:rsid w:val="00B56EA6"/>
    <w:rsid w:val="00B57013"/>
    <w:rsid w:val="00B577EC"/>
    <w:rsid w:val="00B600CB"/>
    <w:rsid w:val="00B60B98"/>
    <w:rsid w:val="00B62088"/>
    <w:rsid w:val="00B62CE4"/>
    <w:rsid w:val="00B6386E"/>
    <w:rsid w:val="00B63980"/>
    <w:rsid w:val="00B63B9C"/>
    <w:rsid w:val="00B63C09"/>
    <w:rsid w:val="00B64794"/>
    <w:rsid w:val="00B649D5"/>
    <w:rsid w:val="00B66099"/>
    <w:rsid w:val="00B660FD"/>
    <w:rsid w:val="00B66364"/>
    <w:rsid w:val="00B6664A"/>
    <w:rsid w:val="00B70745"/>
    <w:rsid w:val="00B71684"/>
    <w:rsid w:val="00B72E3D"/>
    <w:rsid w:val="00B72E8C"/>
    <w:rsid w:val="00B73E86"/>
    <w:rsid w:val="00B74D67"/>
    <w:rsid w:val="00B7576A"/>
    <w:rsid w:val="00B76117"/>
    <w:rsid w:val="00B762F7"/>
    <w:rsid w:val="00B76845"/>
    <w:rsid w:val="00B81002"/>
    <w:rsid w:val="00B81AFD"/>
    <w:rsid w:val="00B84DB7"/>
    <w:rsid w:val="00B874BD"/>
    <w:rsid w:val="00B915C4"/>
    <w:rsid w:val="00B91C7C"/>
    <w:rsid w:val="00B92077"/>
    <w:rsid w:val="00B928F5"/>
    <w:rsid w:val="00B92E10"/>
    <w:rsid w:val="00B92FD2"/>
    <w:rsid w:val="00B935EF"/>
    <w:rsid w:val="00B93751"/>
    <w:rsid w:val="00B937A6"/>
    <w:rsid w:val="00B93F40"/>
    <w:rsid w:val="00B94B70"/>
    <w:rsid w:val="00B94DD8"/>
    <w:rsid w:val="00B96E5A"/>
    <w:rsid w:val="00B97117"/>
    <w:rsid w:val="00B97144"/>
    <w:rsid w:val="00BA070C"/>
    <w:rsid w:val="00BA0D27"/>
    <w:rsid w:val="00BA1B1E"/>
    <w:rsid w:val="00BA2D50"/>
    <w:rsid w:val="00BA416C"/>
    <w:rsid w:val="00BA52DC"/>
    <w:rsid w:val="00BA59C2"/>
    <w:rsid w:val="00BA664C"/>
    <w:rsid w:val="00BA6752"/>
    <w:rsid w:val="00BA6CDE"/>
    <w:rsid w:val="00BA6F9C"/>
    <w:rsid w:val="00BA7558"/>
    <w:rsid w:val="00BA7787"/>
    <w:rsid w:val="00BA7910"/>
    <w:rsid w:val="00BB0F16"/>
    <w:rsid w:val="00BB118A"/>
    <w:rsid w:val="00BB220E"/>
    <w:rsid w:val="00BB247D"/>
    <w:rsid w:val="00BB26DB"/>
    <w:rsid w:val="00BB2C40"/>
    <w:rsid w:val="00BB2E5E"/>
    <w:rsid w:val="00BB36F3"/>
    <w:rsid w:val="00BB40AF"/>
    <w:rsid w:val="00BB4669"/>
    <w:rsid w:val="00BB65F9"/>
    <w:rsid w:val="00BB67A4"/>
    <w:rsid w:val="00BB73E1"/>
    <w:rsid w:val="00BB7A4E"/>
    <w:rsid w:val="00BC0BF3"/>
    <w:rsid w:val="00BC3A6D"/>
    <w:rsid w:val="00BC4167"/>
    <w:rsid w:val="00BC62D5"/>
    <w:rsid w:val="00BC6E3B"/>
    <w:rsid w:val="00BD0D2D"/>
    <w:rsid w:val="00BD0ECA"/>
    <w:rsid w:val="00BD124B"/>
    <w:rsid w:val="00BD2D6B"/>
    <w:rsid w:val="00BD30FB"/>
    <w:rsid w:val="00BD35BF"/>
    <w:rsid w:val="00BD35E1"/>
    <w:rsid w:val="00BD384C"/>
    <w:rsid w:val="00BD3907"/>
    <w:rsid w:val="00BD3DC0"/>
    <w:rsid w:val="00BD47B4"/>
    <w:rsid w:val="00BD4E1A"/>
    <w:rsid w:val="00BD5CF3"/>
    <w:rsid w:val="00BD7C23"/>
    <w:rsid w:val="00BD7D5D"/>
    <w:rsid w:val="00BE1D72"/>
    <w:rsid w:val="00BE241A"/>
    <w:rsid w:val="00BE2634"/>
    <w:rsid w:val="00BE2A79"/>
    <w:rsid w:val="00BE2A9B"/>
    <w:rsid w:val="00BE2FEB"/>
    <w:rsid w:val="00BE3086"/>
    <w:rsid w:val="00BE31F4"/>
    <w:rsid w:val="00BE521C"/>
    <w:rsid w:val="00BE5CBE"/>
    <w:rsid w:val="00BE654C"/>
    <w:rsid w:val="00BE6634"/>
    <w:rsid w:val="00BE73A3"/>
    <w:rsid w:val="00BE7DE3"/>
    <w:rsid w:val="00BF04F7"/>
    <w:rsid w:val="00BF172D"/>
    <w:rsid w:val="00BF1AD7"/>
    <w:rsid w:val="00BF31BA"/>
    <w:rsid w:val="00BF50A8"/>
    <w:rsid w:val="00BF5E83"/>
    <w:rsid w:val="00BF6BDD"/>
    <w:rsid w:val="00BF6F70"/>
    <w:rsid w:val="00C0092B"/>
    <w:rsid w:val="00C00A47"/>
    <w:rsid w:val="00C01F10"/>
    <w:rsid w:val="00C0279A"/>
    <w:rsid w:val="00C04CC2"/>
    <w:rsid w:val="00C05A13"/>
    <w:rsid w:val="00C05BBC"/>
    <w:rsid w:val="00C067D2"/>
    <w:rsid w:val="00C07319"/>
    <w:rsid w:val="00C103CB"/>
    <w:rsid w:val="00C10597"/>
    <w:rsid w:val="00C11B54"/>
    <w:rsid w:val="00C11BB7"/>
    <w:rsid w:val="00C11C05"/>
    <w:rsid w:val="00C12F0A"/>
    <w:rsid w:val="00C13267"/>
    <w:rsid w:val="00C1357D"/>
    <w:rsid w:val="00C1537C"/>
    <w:rsid w:val="00C172CC"/>
    <w:rsid w:val="00C173ED"/>
    <w:rsid w:val="00C17602"/>
    <w:rsid w:val="00C20212"/>
    <w:rsid w:val="00C2081E"/>
    <w:rsid w:val="00C208C3"/>
    <w:rsid w:val="00C22088"/>
    <w:rsid w:val="00C2250B"/>
    <w:rsid w:val="00C22C83"/>
    <w:rsid w:val="00C22D85"/>
    <w:rsid w:val="00C22F6B"/>
    <w:rsid w:val="00C23A67"/>
    <w:rsid w:val="00C243B5"/>
    <w:rsid w:val="00C25A88"/>
    <w:rsid w:val="00C25CD4"/>
    <w:rsid w:val="00C25DE7"/>
    <w:rsid w:val="00C26235"/>
    <w:rsid w:val="00C2700D"/>
    <w:rsid w:val="00C2777A"/>
    <w:rsid w:val="00C27DCE"/>
    <w:rsid w:val="00C31F7E"/>
    <w:rsid w:val="00C32294"/>
    <w:rsid w:val="00C32305"/>
    <w:rsid w:val="00C32350"/>
    <w:rsid w:val="00C32899"/>
    <w:rsid w:val="00C32A80"/>
    <w:rsid w:val="00C3405F"/>
    <w:rsid w:val="00C343E7"/>
    <w:rsid w:val="00C346D4"/>
    <w:rsid w:val="00C406FA"/>
    <w:rsid w:val="00C40920"/>
    <w:rsid w:val="00C41543"/>
    <w:rsid w:val="00C41865"/>
    <w:rsid w:val="00C41907"/>
    <w:rsid w:val="00C41BEA"/>
    <w:rsid w:val="00C44538"/>
    <w:rsid w:val="00C4664A"/>
    <w:rsid w:val="00C47F16"/>
    <w:rsid w:val="00C50464"/>
    <w:rsid w:val="00C514F9"/>
    <w:rsid w:val="00C522A8"/>
    <w:rsid w:val="00C529C7"/>
    <w:rsid w:val="00C5329D"/>
    <w:rsid w:val="00C53C2A"/>
    <w:rsid w:val="00C5483E"/>
    <w:rsid w:val="00C54B7E"/>
    <w:rsid w:val="00C555FB"/>
    <w:rsid w:val="00C5560A"/>
    <w:rsid w:val="00C56385"/>
    <w:rsid w:val="00C56C46"/>
    <w:rsid w:val="00C61510"/>
    <w:rsid w:val="00C61762"/>
    <w:rsid w:val="00C62727"/>
    <w:rsid w:val="00C6410D"/>
    <w:rsid w:val="00C662AB"/>
    <w:rsid w:val="00C662FF"/>
    <w:rsid w:val="00C6644A"/>
    <w:rsid w:val="00C66863"/>
    <w:rsid w:val="00C66AD4"/>
    <w:rsid w:val="00C66B52"/>
    <w:rsid w:val="00C66E8A"/>
    <w:rsid w:val="00C67379"/>
    <w:rsid w:val="00C677BF"/>
    <w:rsid w:val="00C67FF0"/>
    <w:rsid w:val="00C70BD9"/>
    <w:rsid w:val="00C70F0A"/>
    <w:rsid w:val="00C720B7"/>
    <w:rsid w:val="00C72855"/>
    <w:rsid w:val="00C738A5"/>
    <w:rsid w:val="00C7470D"/>
    <w:rsid w:val="00C74B4F"/>
    <w:rsid w:val="00C74E04"/>
    <w:rsid w:val="00C76F86"/>
    <w:rsid w:val="00C77681"/>
    <w:rsid w:val="00C807AA"/>
    <w:rsid w:val="00C80E88"/>
    <w:rsid w:val="00C81C90"/>
    <w:rsid w:val="00C83443"/>
    <w:rsid w:val="00C8536E"/>
    <w:rsid w:val="00C858D7"/>
    <w:rsid w:val="00C85EBB"/>
    <w:rsid w:val="00C86B7D"/>
    <w:rsid w:val="00C87EEF"/>
    <w:rsid w:val="00C902FE"/>
    <w:rsid w:val="00C9064B"/>
    <w:rsid w:val="00C91315"/>
    <w:rsid w:val="00C91E2C"/>
    <w:rsid w:val="00C92290"/>
    <w:rsid w:val="00C92521"/>
    <w:rsid w:val="00C92FAC"/>
    <w:rsid w:val="00C93A16"/>
    <w:rsid w:val="00C93C31"/>
    <w:rsid w:val="00C94ACE"/>
    <w:rsid w:val="00C94FE1"/>
    <w:rsid w:val="00C95722"/>
    <w:rsid w:val="00C969A3"/>
    <w:rsid w:val="00C969E5"/>
    <w:rsid w:val="00C96DE3"/>
    <w:rsid w:val="00C97FBE"/>
    <w:rsid w:val="00CA0785"/>
    <w:rsid w:val="00CA098C"/>
    <w:rsid w:val="00CA13D8"/>
    <w:rsid w:val="00CA14B9"/>
    <w:rsid w:val="00CA21DD"/>
    <w:rsid w:val="00CA24C0"/>
    <w:rsid w:val="00CA26E3"/>
    <w:rsid w:val="00CA2D1F"/>
    <w:rsid w:val="00CA4295"/>
    <w:rsid w:val="00CA59AB"/>
    <w:rsid w:val="00CA5C8A"/>
    <w:rsid w:val="00CA7E5F"/>
    <w:rsid w:val="00CB1022"/>
    <w:rsid w:val="00CB14DD"/>
    <w:rsid w:val="00CB16F2"/>
    <w:rsid w:val="00CB20B0"/>
    <w:rsid w:val="00CB2420"/>
    <w:rsid w:val="00CB3B7B"/>
    <w:rsid w:val="00CB4BC4"/>
    <w:rsid w:val="00CB519B"/>
    <w:rsid w:val="00CB5D7F"/>
    <w:rsid w:val="00CC0F89"/>
    <w:rsid w:val="00CC1BDC"/>
    <w:rsid w:val="00CC1D66"/>
    <w:rsid w:val="00CC1FF3"/>
    <w:rsid w:val="00CC2858"/>
    <w:rsid w:val="00CC4CB6"/>
    <w:rsid w:val="00CC4E7A"/>
    <w:rsid w:val="00CC525D"/>
    <w:rsid w:val="00CC58E5"/>
    <w:rsid w:val="00CC60B7"/>
    <w:rsid w:val="00CC63E0"/>
    <w:rsid w:val="00CC67C8"/>
    <w:rsid w:val="00CC6C7D"/>
    <w:rsid w:val="00CC7664"/>
    <w:rsid w:val="00CD03C7"/>
    <w:rsid w:val="00CD0462"/>
    <w:rsid w:val="00CD20BA"/>
    <w:rsid w:val="00CD2AB5"/>
    <w:rsid w:val="00CD4055"/>
    <w:rsid w:val="00CD452E"/>
    <w:rsid w:val="00CD4E76"/>
    <w:rsid w:val="00CD5CBF"/>
    <w:rsid w:val="00CD65F0"/>
    <w:rsid w:val="00CE1A8F"/>
    <w:rsid w:val="00CE1ED9"/>
    <w:rsid w:val="00CE3018"/>
    <w:rsid w:val="00CE34B7"/>
    <w:rsid w:val="00CE354F"/>
    <w:rsid w:val="00CE3C12"/>
    <w:rsid w:val="00CE3CEA"/>
    <w:rsid w:val="00CE4DE4"/>
    <w:rsid w:val="00CE5317"/>
    <w:rsid w:val="00CE5583"/>
    <w:rsid w:val="00CE5B4D"/>
    <w:rsid w:val="00CE605C"/>
    <w:rsid w:val="00CE6E1A"/>
    <w:rsid w:val="00CF0CF8"/>
    <w:rsid w:val="00CF1313"/>
    <w:rsid w:val="00CF132F"/>
    <w:rsid w:val="00CF2E47"/>
    <w:rsid w:val="00CF3342"/>
    <w:rsid w:val="00CF339E"/>
    <w:rsid w:val="00CF4722"/>
    <w:rsid w:val="00CF4C41"/>
    <w:rsid w:val="00CF5832"/>
    <w:rsid w:val="00CF5AF2"/>
    <w:rsid w:val="00CF5D7F"/>
    <w:rsid w:val="00CF612C"/>
    <w:rsid w:val="00CF76ED"/>
    <w:rsid w:val="00D00F51"/>
    <w:rsid w:val="00D018B2"/>
    <w:rsid w:val="00D01E48"/>
    <w:rsid w:val="00D0293A"/>
    <w:rsid w:val="00D034E0"/>
    <w:rsid w:val="00D0511E"/>
    <w:rsid w:val="00D05885"/>
    <w:rsid w:val="00D05B24"/>
    <w:rsid w:val="00D10070"/>
    <w:rsid w:val="00D101B0"/>
    <w:rsid w:val="00D1061A"/>
    <w:rsid w:val="00D1157F"/>
    <w:rsid w:val="00D1236C"/>
    <w:rsid w:val="00D125C1"/>
    <w:rsid w:val="00D12AC7"/>
    <w:rsid w:val="00D12C35"/>
    <w:rsid w:val="00D139A2"/>
    <w:rsid w:val="00D14D20"/>
    <w:rsid w:val="00D1508A"/>
    <w:rsid w:val="00D151D0"/>
    <w:rsid w:val="00D151F4"/>
    <w:rsid w:val="00D16228"/>
    <w:rsid w:val="00D17A5F"/>
    <w:rsid w:val="00D17AC4"/>
    <w:rsid w:val="00D17B52"/>
    <w:rsid w:val="00D20016"/>
    <w:rsid w:val="00D20AC1"/>
    <w:rsid w:val="00D20C96"/>
    <w:rsid w:val="00D212FC"/>
    <w:rsid w:val="00D216A5"/>
    <w:rsid w:val="00D220FE"/>
    <w:rsid w:val="00D223AB"/>
    <w:rsid w:val="00D22A9B"/>
    <w:rsid w:val="00D23237"/>
    <w:rsid w:val="00D23A2E"/>
    <w:rsid w:val="00D258C0"/>
    <w:rsid w:val="00D26316"/>
    <w:rsid w:val="00D27FB3"/>
    <w:rsid w:val="00D30B87"/>
    <w:rsid w:val="00D30DA8"/>
    <w:rsid w:val="00D3167A"/>
    <w:rsid w:val="00D322CA"/>
    <w:rsid w:val="00D32EB2"/>
    <w:rsid w:val="00D330BE"/>
    <w:rsid w:val="00D33ADF"/>
    <w:rsid w:val="00D33E50"/>
    <w:rsid w:val="00D33F21"/>
    <w:rsid w:val="00D34921"/>
    <w:rsid w:val="00D3495E"/>
    <w:rsid w:val="00D34BFE"/>
    <w:rsid w:val="00D35816"/>
    <w:rsid w:val="00D358C0"/>
    <w:rsid w:val="00D35F0C"/>
    <w:rsid w:val="00D37137"/>
    <w:rsid w:val="00D40358"/>
    <w:rsid w:val="00D40DB4"/>
    <w:rsid w:val="00D41753"/>
    <w:rsid w:val="00D420DE"/>
    <w:rsid w:val="00D423F5"/>
    <w:rsid w:val="00D43C0E"/>
    <w:rsid w:val="00D44847"/>
    <w:rsid w:val="00D4521B"/>
    <w:rsid w:val="00D4602F"/>
    <w:rsid w:val="00D462BA"/>
    <w:rsid w:val="00D470E7"/>
    <w:rsid w:val="00D471FD"/>
    <w:rsid w:val="00D47432"/>
    <w:rsid w:val="00D5002A"/>
    <w:rsid w:val="00D51B23"/>
    <w:rsid w:val="00D522C9"/>
    <w:rsid w:val="00D55A56"/>
    <w:rsid w:val="00D563F4"/>
    <w:rsid w:val="00D57E2E"/>
    <w:rsid w:val="00D57F8C"/>
    <w:rsid w:val="00D60A78"/>
    <w:rsid w:val="00D60E6D"/>
    <w:rsid w:val="00D61146"/>
    <w:rsid w:val="00D62994"/>
    <w:rsid w:val="00D63681"/>
    <w:rsid w:val="00D6432E"/>
    <w:rsid w:val="00D64D85"/>
    <w:rsid w:val="00D65262"/>
    <w:rsid w:val="00D6599C"/>
    <w:rsid w:val="00D65B93"/>
    <w:rsid w:val="00D670D6"/>
    <w:rsid w:val="00D7033A"/>
    <w:rsid w:val="00D70D74"/>
    <w:rsid w:val="00D717A8"/>
    <w:rsid w:val="00D73B2D"/>
    <w:rsid w:val="00D73B33"/>
    <w:rsid w:val="00D73B58"/>
    <w:rsid w:val="00D742C9"/>
    <w:rsid w:val="00D747D4"/>
    <w:rsid w:val="00D74D42"/>
    <w:rsid w:val="00D759E7"/>
    <w:rsid w:val="00D75BA6"/>
    <w:rsid w:val="00D76343"/>
    <w:rsid w:val="00D76551"/>
    <w:rsid w:val="00D76CD9"/>
    <w:rsid w:val="00D77123"/>
    <w:rsid w:val="00D77E8E"/>
    <w:rsid w:val="00D77F4C"/>
    <w:rsid w:val="00D80169"/>
    <w:rsid w:val="00D80D2F"/>
    <w:rsid w:val="00D8102D"/>
    <w:rsid w:val="00D819E6"/>
    <w:rsid w:val="00D81AC5"/>
    <w:rsid w:val="00D820D6"/>
    <w:rsid w:val="00D832E0"/>
    <w:rsid w:val="00D83923"/>
    <w:rsid w:val="00D83E92"/>
    <w:rsid w:val="00D841F7"/>
    <w:rsid w:val="00D85AE5"/>
    <w:rsid w:val="00D85F5F"/>
    <w:rsid w:val="00D86523"/>
    <w:rsid w:val="00D865A9"/>
    <w:rsid w:val="00D87B81"/>
    <w:rsid w:val="00D90C79"/>
    <w:rsid w:val="00D90D97"/>
    <w:rsid w:val="00D90F0D"/>
    <w:rsid w:val="00D9143A"/>
    <w:rsid w:val="00D923D2"/>
    <w:rsid w:val="00D92D98"/>
    <w:rsid w:val="00D9315A"/>
    <w:rsid w:val="00D952AD"/>
    <w:rsid w:val="00D97D8C"/>
    <w:rsid w:val="00DA0EC9"/>
    <w:rsid w:val="00DA0F4A"/>
    <w:rsid w:val="00DA20CC"/>
    <w:rsid w:val="00DA328D"/>
    <w:rsid w:val="00DA6AF0"/>
    <w:rsid w:val="00DA7083"/>
    <w:rsid w:val="00DA72BD"/>
    <w:rsid w:val="00DA7BDB"/>
    <w:rsid w:val="00DB252F"/>
    <w:rsid w:val="00DB40EC"/>
    <w:rsid w:val="00DB4143"/>
    <w:rsid w:val="00DB448A"/>
    <w:rsid w:val="00DB46D1"/>
    <w:rsid w:val="00DB5044"/>
    <w:rsid w:val="00DB5DE8"/>
    <w:rsid w:val="00DB5FFE"/>
    <w:rsid w:val="00DB7046"/>
    <w:rsid w:val="00DB796E"/>
    <w:rsid w:val="00DC00A3"/>
    <w:rsid w:val="00DC12CA"/>
    <w:rsid w:val="00DC2889"/>
    <w:rsid w:val="00DC2B53"/>
    <w:rsid w:val="00DC2D26"/>
    <w:rsid w:val="00DC3AF0"/>
    <w:rsid w:val="00DC4646"/>
    <w:rsid w:val="00DC492F"/>
    <w:rsid w:val="00DC546A"/>
    <w:rsid w:val="00DC54FD"/>
    <w:rsid w:val="00DC663A"/>
    <w:rsid w:val="00DC7294"/>
    <w:rsid w:val="00DC75FE"/>
    <w:rsid w:val="00DC7859"/>
    <w:rsid w:val="00DC79B1"/>
    <w:rsid w:val="00DD01D5"/>
    <w:rsid w:val="00DD06A1"/>
    <w:rsid w:val="00DD0B42"/>
    <w:rsid w:val="00DD135C"/>
    <w:rsid w:val="00DD143A"/>
    <w:rsid w:val="00DD1BA3"/>
    <w:rsid w:val="00DD271F"/>
    <w:rsid w:val="00DD2A33"/>
    <w:rsid w:val="00DD335E"/>
    <w:rsid w:val="00DD3BBE"/>
    <w:rsid w:val="00DD3DF0"/>
    <w:rsid w:val="00DD4FA6"/>
    <w:rsid w:val="00DD5647"/>
    <w:rsid w:val="00DD56BB"/>
    <w:rsid w:val="00DD5DAE"/>
    <w:rsid w:val="00DD6073"/>
    <w:rsid w:val="00DD655B"/>
    <w:rsid w:val="00DD6F9E"/>
    <w:rsid w:val="00DD77DB"/>
    <w:rsid w:val="00DE0AF3"/>
    <w:rsid w:val="00DE0DF5"/>
    <w:rsid w:val="00DE10FA"/>
    <w:rsid w:val="00DE1574"/>
    <w:rsid w:val="00DE16CE"/>
    <w:rsid w:val="00DE1918"/>
    <w:rsid w:val="00DE27AA"/>
    <w:rsid w:val="00DE2B5D"/>
    <w:rsid w:val="00DE3162"/>
    <w:rsid w:val="00DE31B6"/>
    <w:rsid w:val="00DE3735"/>
    <w:rsid w:val="00DE4C3B"/>
    <w:rsid w:val="00DE4F88"/>
    <w:rsid w:val="00DE6663"/>
    <w:rsid w:val="00DE686E"/>
    <w:rsid w:val="00DE7740"/>
    <w:rsid w:val="00DF0A6A"/>
    <w:rsid w:val="00DF0E7E"/>
    <w:rsid w:val="00DF1C64"/>
    <w:rsid w:val="00DF1D54"/>
    <w:rsid w:val="00DF267A"/>
    <w:rsid w:val="00DF3FF9"/>
    <w:rsid w:val="00DF4A2C"/>
    <w:rsid w:val="00DF4C91"/>
    <w:rsid w:val="00DF55A6"/>
    <w:rsid w:val="00DF6357"/>
    <w:rsid w:val="00DF6D5E"/>
    <w:rsid w:val="00DF6E68"/>
    <w:rsid w:val="00DF777C"/>
    <w:rsid w:val="00E0045E"/>
    <w:rsid w:val="00E018CB"/>
    <w:rsid w:val="00E01AA4"/>
    <w:rsid w:val="00E046FD"/>
    <w:rsid w:val="00E068D5"/>
    <w:rsid w:val="00E06E9F"/>
    <w:rsid w:val="00E06EB0"/>
    <w:rsid w:val="00E077F2"/>
    <w:rsid w:val="00E129D1"/>
    <w:rsid w:val="00E136D7"/>
    <w:rsid w:val="00E14215"/>
    <w:rsid w:val="00E14AC3"/>
    <w:rsid w:val="00E152EA"/>
    <w:rsid w:val="00E15F3A"/>
    <w:rsid w:val="00E1610C"/>
    <w:rsid w:val="00E164DA"/>
    <w:rsid w:val="00E16E31"/>
    <w:rsid w:val="00E2077C"/>
    <w:rsid w:val="00E218B8"/>
    <w:rsid w:val="00E21C5F"/>
    <w:rsid w:val="00E231CF"/>
    <w:rsid w:val="00E23309"/>
    <w:rsid w:val="00E25506"/>
    <w:rsid w:val="00E26193"/>
    <w:rsid w:val="00E27C1B"/>
    <w:rsid w:val="00E27E47"/>
    <w:rsid w:val="00E27E7A"/>
    <w:rsid w:val="00E30BE4"/>
    <w:rsid w:val="00E30E59"/>
    <w:rsid w:val="00E316C6"/>
    <w:rsid w:val="00E3361E"/>
    <w:rsid w:val="00E3413B"/>
    <w:rsid w:val="00E3435E"/>
    <w:rsid w:val="00E34374"/>
    <w:rsid w:val="00E3641B"/>
    <w:rsid w:val="00E36A06"/>
    <w:rsid w:val="00E374CC"/>
    <w:rsid w:val="00E3797F"/>
    <w:rsid w:val="00E37C91"/>
    <w:rsid w:val="00E40526"/>
    <w:rsid w:val="00E405FB"/>
    <w:rsid w:val="00E40AAD"/>
    <w:rsid w:val="00E441D1"/>
    <w:rsid w:val="00E443DD"/>
    <w:rsid w:val="00E44AA3"/>
    <w:rsid w:val="00E44E3F"/>
    <w:rsid w:val="00E45AA1"/>
    <w:rsid w:val="00E45BD7"/>
    <w:rsid w:val="00E46256"/>
    <w:rsid w:val="00E4644F"/>
    <w:rsid w:val="00E5017C"/>
    <w:rsid w:val="00E50B2A"/>
    <w:rsid w:val="00E51F2D"/>
    <w:rsid w:val="00E51FDE"/>
    <w:rsid w:val="00E52176"/>
    <w:rsid w:val="00E52C74"/>
    <w:rsid w:val="00E52D5F"/>
    <w:rsid w:val="00E531B2"/>
    <w:rsid w:val="00E536FC"/>
    <w:rsid w:val="00E53863"/>
    <w:rsid w:val="00E53AD9"/>
    <w:rsid w:val="00E53EF2"/>
    <w:rsid w:val="00E54467"/>
    <w:rsid w:val="00E5446D"/>
    <w:rsid w:val="00E54972"/>
    <w:rsid w:val="00E54C3F"/>
    <w:rsid w:val="00E55709"/>
    <w:rsid w:val="00E55BB6"/>
    <w:rsid w:val="00E55E6C"/>
    <w:rsid w:val="00E561CA"/>
    <w:rsid w:val="00E56C2B"/>
    <w:rsid w:val="00E575B5"/>
    <w:rsid w:val="00E57EF4"/>
    <w:rsid w:val="00E61505"/>
    <w:rsid w:val="00E624BF"/>
    <w:rsid w:val="00E632A4"/>
    <w:rsid w:val="00E63538"/>
    <w:rsid w:val="00E63E6A"/>
    <w:rsid w:val="00E64DC4"/>
    <w:rsid w:val="00E64E8B"/>
    <w:rsid w:val="00E6565C"/>
    <w:rsid w:val="00E65C52"/>
    <w:rsid w:val="00E66CA3"/>
    <w:rsid w:val="00E679E0"/>
    <w:rsid w:val="00E704EA"/>
    <w:rsid w:val="00E70730"/>
    <w:rsid w:val="00E70F32"/>
    <w:rsid w:val="00E7262A"/>
    <w:rsid w:val="00E72F94"/>
    <w:rsid w:val="00E72FC8"/>
    <w:rsid w:val="00E730E9"/>
    <w:rsid w:val="00E74453"/>
    <w:rsid w:val="00E753F2"/>
    <w:rsid w:val="00E764D5"/>
    <w:rsid w:val="00E7739C"/>
    <w:rsid w:val="00E77497"/>
    <w:rsid w:val="00E77AFD"/>
    <w:rsid w:val="00E821D3"/>
    <w:rsid w:val="00E822E4"/>
    <w:rsid w:val="00E82586"/>
    <w:rsid w:val="00E8350D"/>
    <w:rsid w:val="00E8353A"/>
    <w:rsid w:val="00E83C08"/>
    <w:rsid w:val="00E841A8"/>
    <w:rsid w:val="00E84717"/>
    <w:rsid w:val="00E85258"/>
    <w:rsid w:val="00E8592B"/>
    <w:rsid w:val="00E859F6"/>
    <w:rsid w:val="00E85FE7"/>
    <w:rsid w:val="00E86807"/>
    <w:rsid w:val="00E87B9B"/>
    <w:rsid w:val="00E90F74"/>
    <w:rsid w:val="00E911BF"/>
    <w:rsid w:val="00E91856"/>
    <w:rsid w:val="00E921D5"/>
    <w:rsid w:val="00E92640"/>
    <w:rsid w:val="00E935E1"/>
    <w:rsid w:val="00E943A2"/>
    <w:rsid w:val="00E943EF"/>
    <w:rsid w:val="00E95F15"/>
    <w:rsid w:val="00E95FE0"/>
    <w:rsid w:val="00E97394"/>
    <w:rsid w:val="00E973BE"/>
    <w:rsid w:val="00E974B9"/>
    <w:rsid w:val="00EA0A7F"/>
    <w:rsid w:val="00EA15A1"/>
    <w:rsid w:val="00EA1BF1"/>
    <w:rsid w:val="00EA2030"/>
    <w:rsid w:val="00EA21CF"/>
    <w:rsid w:val="00EA2A2E"/>
    <w:rsid w:val="00EA2A42"/>
    <w:rsid w:val="00EA2C7D"/>
    <w:rsid w:val="00EA3333"/>
    <w:rsid w:val="00EA3822"/>
    <w:rsid w:val="00EA413E"/>
    <w:rsid w:val="00EA4CF0"/>
    <w:rsid w:val="00EA4E2C"/>
    <w:rsid w:val="00EA4E46"/>
    <w:rsid w:val="00EA5857"/>
    <w:rsid w:val="00EA6853"/>
    <w:rsid w:val="00EA6BC1"/>
    <w:rsid w:val="00EA6E96"/>
    <w:rsid w:val="00EB0472"/>
    <w:rsid w:val="00EB05A6"/>
    <w:rsid w:val="00EB0649"/>
    <w:rsid w:val="00EB064E"/>
    <w:rsid w:val="00EB0660"/>
    <w:rsid w:val="00EB0C99"/>
    <w:rsid w:val="00EB0E6E"/>
    <w:rsid w:val="00EB0F91"/>
    <w:rsid w:val="00EB1FF0"/>
    <w:rsid w:val="00EB35B0"/>
    <w:rsid w:val="00EB462E"/>
    <w:rsid w:val="00EB4883"/>
    <w:rsid w:val="00EB4EFD"/>
    <w:rsid w:val="00EB5A7C"/>
    <w:rsid w:val="00EB7530"/>
    <w:rsid w:val="00EC1D4A"/>
    <w:rsid w:val="00EC3222"/>
    <w:rsid w:val="00EC574E"/>
    <w:rsid w:val="00EC6320"/>
    <w:rsid w:val="00EC6BC3"/>
    <w:rsid w:val="00ED242B"/>
    <w:rsid w:val="00ED329F"/>
    <w:rsid w:val="00ED5181"/>
    <w:rsid w:val="00ED6297"/>
    <w:rsid w:val="00ED630F"/>
    <w:rsid w:val="00ED6565"/>
    <w:rsid w:val="00ED759E"/>
    <w:rsid w:val="00ED7822"/>
    <w:rsid w:val="00ED7FCA"/>
    <w:rsid w:val="00EE26E8"/>
    <w:rsid w:val="00EE272F"/>
    <w:rsid w:val="00EE28F6"/>
    <w:rsid w:val="00EE2F77"/>
    <w:rsid w:val="00EE3057"/>
    <w:rsid w:val="00EE45C3"/>
    <w:rsid w:val="00EE58F1"/>
    <w:rsid w:val="00EE6749"/>
    <w:rsid w:val="00EE6932"/>
    <w:rsid w:val="00EE6BFC"/>
    <w:rsid w:val="00EE6C20"/>
    <w:rsid w:val="00EE71F5"/>
    <w:rsid w:val="00EE79F3"/>
    <w:rsid w:val="00EE7A1E"/>
    <w:rsid w:val="00EE7B74"/>
    <w:rsid w:val="00EE7BA9"/>
    <w:rsid w:val="00EF0398"/>
    <w:rsid w:val="00EF03C7"/>
    <w:rsid w:val="00EF06FE"/>
    <w:rsid w:val="00EF0892"/>
    <w:rsid w:val="00EF1D44"/>
    <w:rsid w:val="00EF24B9"/>
    <w:rsid w:val="00EF297D"/>
    <w:rsid w:val="00EF3D47"/>
    <w:rsid w:val="00EF3DB7"/>
    <w:rsid w:val="00EF47A3"/>
    <w:rsid w:val="00EF70ED"/>
    <w:rsid w:val="00EF7180"/>
    <w:rsid w:val="00F007A7"/>
    <w:rsid w:val="00F014CC"/>
    <w:rsid w:val="00F0180C"/>
    <w:rsid w:val="00F01C31"/>
    <w:rsid w:val="00F01E41"/>
    <w:rsid w:val="00F029A8"/>
    <w:rsid w:val="00F037DE"/>
    <w:rsid w:val="00F045C1"/>
    <w:rsid w:val="00F04DDF"/>
    <w:rsid w:val="00F0587A"/>
    <w:rsid w:val="00F05A5D"/>
    <w:rsid w:val="00F05F26"/>
    <w:rsid w:val="00F0629D"/>
    <w:rsid w:val="00F1077F"/>
    <w:rsid w:val="00F11C56"/>
    <w:rsid w:val="00F12253"/>
    <w:rsid w:val="00F12E47"/>
    <w:rsid w:val="00F132D9"/>
    <w:rsid w:val="00F14EDF"/>
    <w:rsid w:val="00F1504A"/>
    <w:rsid w:val="00F162F4"/>
    <w:rsid w:val="00F1631A"/>
    <w:rsid w:val="00F16A43"/>
    <w:rsid w:val="00F17B7E"/>
    <w:rsid w:val="00F201F6"/>
    <w:rsid w:val="00F202CE"/>
    <w:rsid w:val="00F2129E"/>
    <w:rsid w:val="00F2185F"/>
    <w:rsid w:val="00F22FB2"/>
    <w:rsid w:val="00F22FF3"/>
    <w:rsid w:val="00F24082"/>
    <w:rsid w:val="00F24E73"/>
    <w:rsid w:val="00F254C3"/>
    <w:rsid w:val="00F25764"/>
    <w:rsid w:val="00F25D66"/>
    <w:rsid w:val="00F26FDF"/>
    <w:rsid w:val="00F27859"/>
    <w:rsid w:val="00F27A56"/>
    <w:rsid w:val="00F27E63"/>
    <w:rsid w:val="00F30EC9"/>
    <w:rsid w:val="00F31856"/>
    <w:rsid w:val="00F31C2E"/>
    <w:rsid w:val="00F31FB0"/>
    <w:rsid w:val="00F320AC"/>
    <w:rsid w:val="00F32514"/>
    <w:rsid w:val="00F32584"/>
    <w:rsid w:val="00F339E4"/>
    <w:rsid w:val="00F345B1"/>
    <w:rsid w:val="00F34CA8"/>
    <w:rsid w:val="00F35047"/>
    <w:rsid w:val="00F35211"/>
    <w:rsid w:val="00F35E64"/>
    <w:rsid w:val="00F36603"/>
    <w:rsid w:val="00F36B05"/>
    <w:rsid w:val="00F36D15"/>
    <w:rsid w:val="00F37E22"/>
    <w:rsid w:val="00F40221"/>
    <w:rsid w:val="00F4142A"/>
    <w:rsid w:val="00F4146E"/>
    <w:rsid w:val="00F41BA7"/>
    <w:rsid w:val="00F425F5"/>
    <w:rsid w:val="00F42EF6"/>
    <w:rsid w:val="00F432E0"/>
    <w:rsid w:val="00F4333A"/>
    <w:rsid w:val="00F43447"/>
    <w:rsid w:val="00F43F12"/>
    <w:rsid w:val="00F44285"/>
    <w:rsid w:val="00F45DE7"/>
    <w:rsid w:val="00F46618"/>
    <w:rsid w:val="00F47ED0"/>
    <w:rsid w:val="00F47F50"/>
    <w:rsid w:val="00F51DA1"/>
    <w:rsid w:val="00F5284A"/>
    <w:rsid w:val="00F545FB"/>
    <w:rsid w:val="00F54A28"/>
    <w:rsid w:val="00F55F4B"/>
    <w:rsid w:val="00F561BE"/>
    <w:rsid w:val="00F568C6"/>
    <w:rsid w:val="00F5714F"/>
    <w:rsid w:val="00F60173"/>
    <w:rsid w:val="00F61072"/>
    <w:rsid w:val="00F62528"/>
    <w:rsid w:val="00F639A2"/>
    <w:rsid w:val="00F6513F"/>
    <w:rsid w:val="00F666F9"/>
    <w:rsid w:val="00F66A30"/>
    <w:rsid w:val="00F670AF"/>
    <w:rsid w:val="00F674ED"/>
    <w:rsid w:val="00F706C6"/>
    <w:rsid w:val="00F7087F"/>
    <w:rsid w:val="00F71C4B"/>
    <w:rsid w:val="00F72216"/>
    <w:rsid w:val="00F72CCE"/>
    <w:rsid w:val="00F7508B"/>
    <w:rsid w:val="00F75630"/>
    <w:rsid w:val="00F77E7F"/>
    <w:rsid w:val="00F8167B"/>
    <w:rsid w:val="00F8281D"/>
    <w:rsid w:val="00F842C0"/>
    <w:rsid w:val="00F847FD"/>
    <w:rsid w:val="00F849A8"/>
    <w:rsid w:val="00F851EB"/>
    <w:rsid w:val="00F862A1"/>
    <w:rsid w:val="00F8674A"/>
    <w:rsid w:val="00F87203"/>
    <w:rsid w:val="00F903F2"/>
    <w:rsid w:val="00F9048C"/>
    <w:rsid w:val="00F90FF1"/>
    <w:rsid w:val="00F9232E"/>
    <w:rsid w:val="00F92567"/>
    <w:rsid w:val="00F92DD0"/>
    <w:rsid w:val="00F931E9"/>
    <w:rsid w:val="00F952FF"/>
    <w:rsid w:val="00F95705"/>
    <w:rsid w:val="00F9575A"/>
    <w:rsid w:val="00F9595D"/>
    <w:rsid w:val="00F95CA0"/>
    <w:rsid w:val="00F961FC"/>
    <w:rsid w:val="00F96878"/>
    <w:rsid w:val="00F97548"/>
    <w:rsid w:val="00FA0039"/>
    <w:rsid w:val="00FA0299"/>
    <w:rsid w:val="00FA0381"/>
    <w:rsid w:val="00FA0E14"/>
    <w:rsid w:val="00FA1181"/>
    <w:rsid w:val="00FA14AD"/>
    <w:rsid w:val="00FA15D6"/>
    <w:rsid w:val="00FA1647"/>
    <w:rsid w:val="00FA259E"/>
    <w:rsid w:val="00FA2AEC"/>
    <w:rsid w:val="00FA2B11"/>
    <w:rsid w:val="00FA2F0D"/>
    <w:rsid w:val="00FA3037"/>
    <w:rsid w:val="00FA3110"/>
    <w:rsid w:val="00FA40C9"/>
    <w:rsid w:val="00FA4F31"/>
    <w:rsid w:val="00FA5A24"/>
    <w:rsid w:val="00FA5A3C"/>
    <w:rsid w:val="00FA664C"/>
    <w:rsid w:val="00FA6C81"/>
    <w:rsid w:val="00FB16DB"/>
    <w:rsid w:val="00FB26CB"/>
    <w:rsid w:val="00FB2805"/>
    <w:rsid w:val="00FB3727"/>
    <w:rsid w:val="00FB3A09"/>
    <w:rsid w:val="00FB4406"/>
    <w:rsid w:val="00FB54DF"/>
    <w:rsid w:val="00FB6CB0"/>
    <w:rsid w:val="00FB6CB9"/>
    <w:rsid w:val="00FC1C00"/>
    <w:rsid w:val="00FC511E"/>
    <w:rsid w:val="00FC57B0"/>
    <w:rsid w:val="00FC623E"/>
    <w:rsid w:val="00FC658A"/>
    <w:rsid w:val="00FC6DD3"/>
    <w:rsid w:val="00FC71F3"/>
    <w:rsid w:val="00FC7D29"/>
    <w:rsid w:val="00FC7FF6"/>
    <w:rsid w:val="00FD07A5"/>
    <w:rsid w:val="00FD29CC"/>
    <w:rsid w:val="00FD3FA3"/>
    <w:rsid w:val="00FD4314"/>
    <w:rsid w:val="00FD5A03"/>
    <w:rsid w:val="00FD60BC"/>
    <w:rsid w:val="00FD69C8"/>
    <w:rsid w:val="00FD7525"/>
    <w:rsid w:val="00FE031C"/>
    <w:rsid w:val="00FE0A5B"/>
    <w:rsid w:val="00FE2BF0"/>
    <w:rsid w:val="00FE5E9F"/>
    <w:rsid w:val="00FE6115"/>
    <w:rsid w:val="00FE6259"/>
    <w:rsid w:val="00FE6D8C"/>
    <w:rsid w:val="00FE6E59"/>
    <w:rsid w:val="00FE7EBC"/>
    <w:rsid w:val="00FF0386"/>
    <w:rsid w:val="00FF06D5"/>
    <w:rsid w:val="00FF0FCC"/>
    <w:rsid w:val="00FF2090"/>
    <w:rsid w:val="00FF2942"/>
    <w:rsid w:val="00FF34B2"/>
    <w:rsid w:val="00FF37DD"/>
    <w:rsid w:val="00FF460E"/>
    <w:rsid w:val="00FF4968"/>
    <w:rsid w:val="00FF4D7A"/>
    <w:rsid w:val="00FF4FCB"/>
    <w:rsid w:val="00FF5768"/>
    <w:rsid w:val="00FF64C4"/>
    <w:rsid w:val="00FF66F1"/>
    <w:rsid w:val="00FF6C61"/>
    <w:rsid w:val="010019D7"/>
    <w:rsid w:val="010074F8"/>
    <w:rsid w:val="010721AC"/>
    <w:rsid w:val="011263BF"/>
    <w:rsid w:val="011556FF"/>
    <w:rsid w:val="011A0BC6"/>
    <w:rsid w:val="011A3E10"/>
    <w:rsid w:val="012227BA"/>
    <w:rsid w:val="012611AB"/>
    <w:rsid w:val="012B4531"/>
    <w:rsid w:val="012E0161"/>
    <w:rsid w:val="013844D0"/>
    <w:rsid w:val="0145781D"/>
    <w:rsid w:val="014822EA"/>
    <w:rsid w:val="014F0F05"/>
    <w:rsid w:val="0151036B"/>
    <w:rsid w:val="015C0DAF"/>
    <w:rsid w:val="01797795"/>
    <w:rsid w:val="018605B1"/>
    <w:rsid w:val="01877432"/>
    <w:rsid w:val="01897E3E"/>
    <w:rsid w:val="018B71B8"/>
    <w:rsid w:val="01963969"/>
    <w:rsid w:val="01983A10"/>
    <w:rsid w:val="01A333BD"/>
    <w:rsid w:val="01A40161"/>
    <w:rsid w:val="01A912C2"/>
    <w:rsid w:val="01B839DB"/>
    <w:rsid w:val="01BB4592"/>
    <w:rsid w:val="01C312AB"/>
    <w:rsid w:val="01C81E90"/>
    <w:rsid w:val="01CC7B18"/>
    <w:rsid w:val="01CD501B"/>
    <w:rsid w:val="01D124E6"/>
    <w:rsid w:val="01D46BCD"/>
    <w:rsid w:val="01ED061B"/>
    <w:rsid w:val="01F12A12"/>
    <w:rsid w:val="01F35FAA"/>
    <w:rsid w:val="01FE66E7"/>
    <w:rsid w:val="02032E95"/>
    <w:rsid w:val="020F7742"/>
    <w:rsid w:val="02241859"/>
    <w:rsid w:val="022D36C9"/>
    <w:rsid w:val="023A5D4F"/>
    <w:rsid w:val="023B7D87"/>
    <w:rsid w:val="023D7AAC"/>
    <w:rsid w:val="023F4CC3"/>
    <w:rsid w:val="024579B6"/>
    <w:rsid w:val="024E2549"/>
    <w:rsid w:val="024E2FFE"/>
    <w:rsid w:val="02531471"/>
    <w:rsid w:val="025A2D37"/>
    <w:rsid w:val="02716E0C"/>
    <w:rsid w:val="02724F18"/>
    <w:rsid w:val="02725219"/>
    <w:rsid w:val="02832A26"/>
    <w:rsid w:val="028554E2"/>
    <w:rsid w:val="02866995"/>
    <w:rsid w:val="0288197B"/>
    <w:rsid w:val="02886352"/>
    <w:rsid w:val="029033BE"/>
    <w:rsid w:val="02A60388"/>
    <w:rsid w:val="02AB74C0"/>
    <w:rsid w:val="02AC62EB"/>
    <w:rsid w:val="02AD230E"/>
    <w:rsid w:val="02C04C91"/>
    <w:rsid w:val="02C44BAF"/>
    <w:rsid w:val="02C507ED"/>
    <w:rsid w:val="02C960DF"/>
    <w:rsid w:val="02D106AA"/>
    <w:rsid w:val="02D50CFE"/>
    <w:rsid w:val="02EF6148"/>
    <w:rsid w:val="02FA3FC0"/>
    <w:rsid w:val="030D40BE"/>
    <w:rsid w:val="03104139"/>
    <w:rsid w:val="031A2CE2"/>
    <w:rsid w:val="03220FFD"/>
    <w:rsid w:val="03583053"/>
    <w:rsid w:val="035B1A8B"/>
    <w:rsid w:val="036945F0"/>
    <w:rsid w:val="036A6467"/>
    <w:rsid w:val="036F0CC5"/>
    <w:rsid w:val="03735D0A"/>
    <w:rsid w:val="03803434"/>
    <w:rsid w:val="03806EE2"/>
    <w:rsid w:val="0382700C"/>
    <w:rsid w:val="03891246"/>
    <w:rsid w:val="038C38B6"/>
    <w:rsid w:val="039616F8"/>
    <w:rsid w:val="03974DC9"/>
    <w:rsid w:val="03A174F5"/>
    <w:rsid w:val="03A20BA0"/>
    <w:rsid w:val="03A71ADE"/>
    <w:rsid w:val="03B36507"/>
    <w:rsid w:val="03B90F33"/>
    <w:rsid w:val="03C324E9"/>
    <w:rsid w:val="03C52BEB"/>
    <w:rsid w:val="03CD6517"/>
    <w:rsid w:val="03CE1853"/>
    <w:rsid w:val="03D160BC"/>
    <w:rsid w:val="03D25B48"/>
    <w:rsid w:val="03DA775E"/>
    <w:rsid w:val="03DB0D71"/>
    <w:rsid w:val="03E3291B"/>
    <w:rsid w:val="03E467F6"/>
    <w:rsid w:val="03E72A11"/>
    <w:rsid w:val="03E742FD"/>
    <w:rsid w:val="03E80826"/>
    <w:rsid w:val="03E91E41"/>
    <w:rsid w:val="03EA2BF0"/>
    <w:rsid w:val="03F2563E"/>
    <w:rsid w:val="03F922CB"/>
    <w:rsid w:val="03F94BF4"/>
    <w:rsid w:val="040B375F"/>
    <w:rsid w:val="040D560D"/>
    <w:rsid w:val="04114AE1"/>
    <w:rsid w:val="041E6DDC"/>
    <w:rsid w:val="04216C26"/>
    <w:rsid w:val="04280353"/>
    <w:rsid w:val="04321D5E"/>
    <w:rsid w:val="044828B3"/>
    <w:rsid w:val="044C5C69"/>
    <w:rsid w:val="04530BA4"/>
    <w:rsid w:val="04573BC9"/>
    <w:rsid w:val="0458704B"/>
    <w:rsid w:val="045D16CE"/>
    <w:rsid w:val="046508FA"/>
    <w:rsid w:val="046E30D4"/>
    <w:rsid w:val="046E5C6C"/>
    <w:rsid w:val="04831C30"/>
    <w:rsid w:val="048B2851"/>
    <w:rsid w:val="048F3A6A"/>
    <w:rsid w:val="04924B76"/>
    <w:rsid w:val="04954D7F"/>
    <w:rsid w:val="04960AAC"/>
    <w:rsid w:val="049D4D18"/>
    <w:rsid w:val="04A225C8"/>
    <w:rsid w:val="04A3430C"/>
    <w:rsid w:val="04BA19AA"/>
    <w:rsid w:val="04BF19F8"/>
    <w:rsid w:val="04C705C4"/>
    <w:rsid w:val="04CA6279"/>
    <w:rsid w:val="04CB0A39"/>
    <w:rsid w:val="04CB2212"/>
    <w:rsid w:val="04CC7C6B"/>
    <w:rsid w:val="04DA102B"/>
    <w:rsid w:val="04E71B3E"/>
    <w:rsid w:val="04E91A97"/>
    <w:rsid w:val="04EC4177"/>
    <w:rsid w:val="04EE7F00"/>
    <w:rsid w:val="04EF072D"/>
    <w:rsid w:val="04F15A56"/>
    <w:rsid w:val="050261FD"/>
    <w:rsid w:val="050701C0"/>
    <w:rsid w:val="05090CA0"/>
    <w:rsid w:val="050B05A0"/>
    <w:rsid w:val="05125F56"/>
    <w:rsid w:val="05132E32"/>
    <w:rsid w:val="051C7D71"/>
    <w:rsid w:val="051D6599"/>
    <w:rsid w:val="051E3247"/>
    <w:rsid w:val="053D27C6"/>
    <w:rsid w:val="054720EF"/>
    <w:rsid w:val="054C0A6E"/>
    <w:rsid w:val="0559243F"/>
    <w:rsid w:val="05692BD9"/>
    <w:rsid w:val="056B28D7"/>
    <w:rsid w:val="0576745F"/>
    <w:rsid w:val="057D0AFC"/>
    <w:rsid w:val="057E01B7"/>
    <w:rsid w:val="05810CB6"/>
    <w:rsid w:val="058266B5"/>
    <w:rsid w:val="0585270A"/>
    <w:rsid w:val="058E7B7D"/>
    <w:rsid w:val="05924497"/>
    <w:rsid w:val="059613D9"/>
    <w:rsid w:val="05973541"/>
    <w:rsid w:val="059A6ED1"/>
    <w:rsid w:val="05A50375"/>
    <w:rsid w:val="05A678D2"/>
    <w:rsid w:val="05B508F6"/>
    <w:rsid w:val="05B5478D"/>
    <w:rsid w:val="05B620AA"/>
    <w:rsid w:val="05BD45F1"/>
    <w:rsid w:val="05BF6313"/>
    <w:rsid w:val="05C564F6"/>
    <w:rsid w:val="05C678A7"/>
    <w:rsid w:val="05CA05A4"/>
    <w:rsid w:val="05CB2469"/>
    <w:rsid w:val="05D340A0"/>
    <w:rsid w:val="05D4315C"/>
    <w:rsid w:val="05D76BAC"/>
    <w:rsid w:val="05DE3534"/>
    <w:rsid w:val="05EB6F59"/>
    <w:rsid w:val="05ED16C2"/>
    <w:rsid w:val="05F528D0"/>
    <w:rsid w:val="06005EA2"/>
    <w:rsid w:val="0606322F"/>
    <w:rsid w:val="060D4FC0"/>
    <w:rsid w:val="06107ECD"/>
    <w:rsid w:val="06336EAE"/>
    <w:rsid w:val="063638FB"/>
    <w:rsid w:val="06384BC9"/>
    <w:rsid w:val="06470625"/>
    <w:rsid w:val="064C04F5"/>
    <w:rsid w:val="06546520"/>
    <w:rsid w:val="06551793"/>
    <w:rsid w:val="065C33F9"/>
    <w:rsid w:val="06614BD4"/>
    <w:rsid w:val="06622A35"/>
    <w:rsid w:val="06632860"/>
    <w:rsid w:val="066545BE"/>
    <w:rsid w:val="06682B53"/>
    <w:rsid w:val="06694374"/>
    <w:rsid w:val="066B53CC"/>
    <w:rsid w:val="066D3940"/>
    <w:rsid w:val="06756C46"/>
    <w:rsid w:val="067A7820"/>
    <w:rsid w:val="06876385"/>
    <w:rsid w:val="069D56FA"/>
    <w:rsid w:val="069D7A87"/>
    <w:rsid w:val="06AA2120"/>
    <w:rsid w:val="06AD6040"/>
    <w:rsid w:val="06B1018C"/>
    <w:rsid w:val="06B229D1"/>
    <w:rsid w:val="06B45BCD"/>
    <w:rsid w:val="06BE54EC"/>
    <w:rsid w:val="06C0179F"/>
    <w:rsid w:val="06C702DA"/>
    <w:rsid w:val="06C8607A"/>
    <w:rsid w:val="06D728C7"/>
    <w:rsid w:val="06D85DBA"/>
    <w:rsid w:val="06EA226D"/>
    <w:rsid w:val="06ED39AC"/>
    <w:rsid w:val="06ED500B"/>
    <w:rsid w:val="06FC3326"/>
    <w:rsid w:val="06FC4B75"/>
    <w:rsid w:val="0729117E"/>
    <w:rsid w:val="072E19BA"/>
    <w:rsid w:val="07323E2F"/>
    <w:rsid w:val="0734590C"/>
    <w:rsid w:val="07390F37"/>
    <w:rsid w:val="073E76C4"/>
    <w:rsid w:val="07502024"/>
    <w:rsid w:val="0753015A"/>
    <w:rsid w:val="075407D1"/>
    <w:rsid w:val="07545A04"/>
    <w:rsid w:val="07587B6F"/>
    <w:rsid w:val="07591987"/>
    <w:rsid w:val="07611875"/>
    <w:rsid w:val="07742B80"/>
    <w:rsid w:val="07776E22"/>
    <w:rsid w:val="077B3C89"/>
    <w:rsid w:val="077F060E"/>
    <w:rsid w:val="078476BE"/>
    <w:rsid w:val="0785029D"/>
    <w:rsid w:val="07882C8A"/>
    <w:rsid w:val="07883AF0"/>
    <w:rsid w:val="078B48BE"/>
    <w:rsid w:val="078D496D"/>
    <w:rsid w:val="078F2F20"/>
    <w:rsid w:val="07901C52"/>
    <w:rsid w:val="079204A1"/>
    <w:rsid w:val="079502AC"/>
    <w:rsid w:val="07B74284"/>
    <w:rsid w:val="07CF0184"/>
    <w:rsid w:val="07D852BE"/>
    <w:rsid w:val="07E27552"/>
    <w:rsid w:val="07EA332A"/>
    <w:rsid w:val="07EB0D0A"/>
    <w:rsid w:val="07EF2936"/>
    <w:rsid w:val="07F213C2"/>
    <w:rsid w:val="07F51F68"/>
    <w:rsid w:val="07FD7DB3"/>
    <w:rsid w:val="08007143"/>
    <w:rsid w:val="080456F9"/>
    <w:rsid w:val="08062F8E"/>
    <w:rsid w:val="08064F8C"/>
    <w:rsid w:val="08095184"/>
    <w:rsid w:val="081423F8"/>
    <w:rsid w:val="081D415B"/>
    <w:rsid w:val="08327D27"/>
    <w:rsid w:val="084762E3"/>
    <w:rsid w:val="085027D9"/>
    <w:rsid w:val="085320BF"/>
    <w:rsid w:val="08644470"/>
    <w:rsid w:val="086C2DEB"/>
    <w:rsid w:val="0870482C"/>
    <w:rsid w:val="08705F5F"/>
    <w:rsid w:val="087160CD"/>
    <w:rsid w:val="08745CCF"/>
    <w:rsid w:val="08751DF1"/>
    <w:rsid w:val="087B74DD"/>
    <w:rsid w:val="08824903"/>
    <w:rsid w:val="08873829"/>
    <w:rsid w:val="088D51E7"/>
    <w:rsid w:val="08931A49"/>
    <w:rsid w:val="089C3FF7"/>
    <w:rsid w:val="08A67131"/>
    <w:rsid w:val="08B11028"/>
    <w:rsid w:val="08B548B5"/>
    <w:rsid w:val="08B574BF"/>
    <w:rsid w:val="08BB5A03"/>
    <w:rsid w:val="08C3357A"/>
    <w:rsid w:val="08DA0311"/>
    <w:rsid w:val="08DA67B3"/>
    <w:rsid w:val="08E57D3A"/>
    <w:rsid w:val="08F06E83"/>
    <w:rsid w:val="08F666F5"/>
    <w:rsid w:val="08FF4F6A"/>
    <w:rsid w:val="09025825"/>
    <w:rsid w:val="09162C8F"/>
    <w:rsid w:val="091830B4"/>
    <w:rsid w:val="0924235D"/>
    <w:rsid w:val="092D7B70"/>
    <w:rsid w:val="09442C2E"/>
    <w:rsid w:val="09456E8D"/>
    <w:rsid w:val="09481774"/>
    <w:rsid w:val="095A4B3F"/>
    <w:rsid w:val="095B381B"/>
    <w:rsid w:val="096B19AD"/>
    <w:rsid w:val="09742426"/>
    <w:rsid w:val="09793B16"/>
    <w:rsid w:val="098806A8"/>
    <w:rsid w:val="09A87246"/>
    <w:rsid w:val="09BC61D6"/>
    <w:rsid w:val="09C6733A"/>
    <w:rsid w:val="09CD0A4B"/>
    <w:rsid w:val="09D82A5A"/>
    <w:rsid w:val="09E07E28"/>
    <w:rsid w:val="09FB5829"/>
    <w:rsid w:val="09FC6097"/>
    <w:rsid w:val="0A0B40E4"/>
    <w:rsid w:val="0A144ECA"/>
    <w:rsid w:val="0A24346B"/>
    <w:rsid w:val="0A2F34A0"/>
    <w:rsid w:val="0A31378A"/>
    <w:rsid w:val="0A370F0C"/>
    <w:rsid w:val="0A3E54F7"/>
    <w:rsid w:val="0A3F61FB"/>
    <w:rsid w:val="0A417150"/>
    <w:rsid w:val="0A4B6539"/>
    <w:rsid w:val="0A4C2396"/>
    <w:rsid w:val="0A4E17C5"/>
    <w:rsid w:val="0A4E7967"/>
    <w:rsid w:val="0A54120A"/>
    <w:rsid w:val="0A5B460B"/>
    <w:rsid w:val="0A68687A"/>
    <w:rsid w:val="0A89328E"/>
    <w:rsid w:val="0A926632"/>
    <w:rsid w:val="0A9D269B"/>
    <w:rsid w:val="0AA85DC0"/>
    <w:rsid w:val="0AA90AAB"/>
    <w:rsid w:val="0AAB7CFA"/>
    <w:rsid w:val="0AB7165E"/>
    <w:rsid w:val="0AB872D7"/>
    <w:rsid w:val="0AC34ECE"/>
    <w:rsid w:val="0ACB63D8"/>
    <w:rsid w:val="0ACC431D"/>
    <w:rsid w:val="0AEA7E87"/>
    <w:rsid w:val="0AEC2A92"/>
    <w:rsid w:val="0AEE323F"/>
    <w:rsid w:val="0AF82F6D"/>
    <w:rsid w:val="0B0167F7"/>
    <w:rsid w:val="0B0315A9"/>
    <w:rsid w:val="0B045297"/>
    <w:rsid w:val="0B0C5AD9"/>
    <w:rsid w:val="0B161F9E"/>
    <w:rsid w:val="0B1F4FE1"/>
    <w:rsid w:val="0B256222"/>
    <w:rsid w:val="0B2D4BBA"/>
    <w:rsid w:val="0B38445B"/>
    <w:rsid w:val="0B496CB2"/>
    <w:rsid w:val="0B4E666E"/>
    <w:rsid w:val="0B5436A6"/>
    <w:rsid w:val="0B646265"/>
    <w:rsid w:val="0B681C7F"/>
    <w:rsid w:val="0B6E404B"/>
    <w:rsid w:val="0B7C7FF9"/>
    <w:rsid w:val="0B7D3C6F"/>
    <w:rsid w:val="0B7F490E"/>
    <w:rsid w:val="0B7F4DBB"/>
    <w:rsid w:val="0B802D7C"/>
    <w:rsid w:val="0B837F6A"/>
    <w:rsid w:val="0B846D0C"/>
    <w:rsid w:val="0B9138A9"/>
    <w:rsid w:val="0B960EF3"/>
    <w:rsid w:val="0B9657B0"/>
    <w:rsid w:val="0BB571F7"/>
    <w:rsid w:val="0BC21D8B"/>
    <w:rsid w:val="0BC95A49"/>
    <w:rsid w:val="0BCE502E"/>
    <w:rsid w:val="0BD62D5D"/>
    <w:rsid w:val="0BE206E8"/>
    <w:rsid w:val="0C060E17"/>
    <w:rsid w:val="0C0B3D36"/>
    <w:rsid w:val="0C177AA0"/>
    <w:rsid w:val="0C185DAD"/>
    <w:rsid w:val="0C1B672A"/>
    <w:rsid w:val="0C2103DA"/>
    <w:rsid w:val="0C2E5FCA"/>
    <w:rsid w:val="0C3B14A6"/>
    <w:rsid w:val="0C3D076C"/>
    <w:rsid w:val="0C3E1BCD"/>
    <w:rsid w:val="0C432C95"/>
    <w:rsid w:val="0C4E58F7"/>
    <w:rsid w:val="0C540D46"/>
    <w:rsid w:val="0C543E61"/>
    <w:rsid w:val="0C5968C5"/>
    <w:rsid w:val="0C5E711B"/>
    <w:rsid w:val="0C6055D9"/>
    <w:rsid w:val="0C664A0B"/>
    <w:rsid w:val="0C695EAF"/>
    <w:rsid w:val="0C6C017F"/>
    <w:rsid w:val="0C745BBE"/>
    <w:rsid w:val="0C821D09"/>
    <w:rsid w:val="0C832572"/>
    <w:rsid w:val="0C8A7D83"/>
    <w:rsid w:val="0C8C6E47"/>
    <w:rsid w:val="0C8E1C16"/>
    <w:rsid w:val="0C907674"/>
    <w:rsid w:val="0C9148C2"/>
    <w:rsid w:val="0C9553D6"/>
    <w:rsid w:val="0C957BEC"/>
    <w:rsid w:val="0C9D7EF8"/>
    <w:rsid w:val="0C9F0426"/>
    <w:rsid w:val="0CA57EF6"/>
    <w:rsid w:val="0CA66851"/>
    <w:rsid w:val="0CAC476D"/>
    <w:rsid w:val="0CAF195E"/>
    <w:rsid w:val="0CB304D1"/>
    <w:rsid w:val="0CCD652A"/>
    <w:rsid w:val="0CDD7D11"/>
    <w:rsid w:val="0CE27641"/>
    <w:rsid w:val="0CE45629"/>
    <w:rsid w:val="0CE7084E"/>
    <w:rsid w:val="0CE74A74"/>
    <w:rsid w:val="0CEA4373"/>
    <w:rsid w:val="0CED1EFA"/>
    <w:rsid w:val="0CF02FE6"/>
    <w:rsid w:val="0CFD0298"/>
    <w:rsid w:val="0D035D09"/>
    <w:rsid w:val="0D0A0916"/>
    <w:rsid w:val="0D151DC6"/>
    <w:rsid w:val="0D170F80"/>
    <w:rsid w:val="0D1F4A44"/>
    <w:rsid w:val="0D26362A"/>
    <w:rsid w:val="0D28793F"/>
    <w:rsid w:val="0D291C5B"/>
    <w:rsid w:val="0D2B157A"/>
    <w:rsid w:val="0D2C679F"/>
    <w:rsid w:val="0D315584"/>
    <w:rsid w:val="0D350A8E"/>
    <w:rsid w:val="0D382400"/>
    <w:rsid w:val="0D4058B7"/>
    <w:rsid w:val="0D514426"/>
    <w:rsid w:val="0D5A223B"/>
    <w:rsid w:val="0D6C3A18"/>
    <w:rsid w:val="0D6F1144"/>
    <w:rsid w:val="0D717641"/>
    <w:rsid w:val="0D7562B0"/>
    <w:rsid w:val="0D7B5F90"/>
    <w:rsid w:val="0D841ED1"/>
    <w:rsid w:val="0D8862A3"/>
    <w:rsid w:val="0D8A5569"/>
    <w:rsid w:val="0D907884"/>
    <w:rsid w:val="0D9A29E4"/>
    <w:rsid w:val="0D9F10FD"/>
    <w:rsid w:val="0DA37CF8"/>
    <w:rsid w:val="0DA8156F"/>
    <w:rsid w:val="0DA878AD"/>
    <w:rsid w:val="0DB71E29"/>
    <w:rsid w:val="0DC94853"/>
    <w:rsid w:val="0DC960C2"/>
    <w:rsid w:val="0DCB65D7"/>
    <w:rsid w:val="0DDD5BAB"/>
    <w:rsid w:val="0DDF79AE"/>
    <w:rsid w:val="0DE9046F"/>
    <w:rsid w:val="0DEB3685"/>
    <w:rsid w:val="0E004F4A"/>
    <w:rsid w:val="0E1D67FF"/>
    <w:rsid w:val="0E303377"/>
    <w:rsid w:val="0E336CF7"/>
    <w:rsid w:val="0E380C6F"/>
    <w:rsid w:val="0E43208F"/>
    <w:rsid w:val="0E46051D"/>
    <w:rsid w:val="0E4709F5"/>
    <w:rsid w:val="0E4A08B6"/>
    <w:rsid w:val="0E4E3850"/>
    <w:rsid w:val="0E505217"/>
    <w:rsid w:val="0E515660"/>
    <w:rsid w:val="0E533563"/>
    <w:rsid w:val="0E753AA0"/>
    <w:rsid w:val="0E7E2089"/>
    <w:rsid w:val="0E8B6EB5"/>
    <w:rsid w:val="0E8C4E80"/>
    <w:rsid w:val="0E9130A9"/>
    <w:rsid w:val="0E9B2940"/>
    <w:rsid w:val="0EA014F6"/>
    <w:rsid w:val="0EA51435"/>
    <w:rsid w:val="0EA74F92"/>
    <w:rsid w:val="0EAD1069"/>
    <w:rsid w:val="0EC60757"/>
    <w:rsid w:val="0ED239C7"/>
    <w:rsid w:val="0ED80077"/>
    <w:rsid w:val="0ED843BB"/>
    <w:rsid w:val="0EDB1F50"/>
    <w:rsid w:val="0EE823AC"/>
    <w:rsid w:val="0EEB5CEE"/>
    <w:rsid w:val="0EF91BC2"/>
    <w:rsid w:val="0F01706B"/>
    <w:rsid w:val="0F0376B4"/>
    <w:rsid w:val="0F094ED5"/>
    <w:rsid w:val="0F0D0FC8"/>
    <w:rsid w:val="0F0D1E30"/>
    <w:rsid w:val="0F1D2ADC"/>
    <w:rsid w:val="0F227768"/>
    <w:rsid w:val="0F245519"/>
    <w:rsid w:val="0F2B230D"/>
    <w:rsid w:val="0F3A16F0"/>
    <w:rsid w:val="0F45404F"/>
    <w:rsid w:val="0F466C05"/>
    <w:rsid w:val="0F4B1261"/>
    <w:rsid w:val="0F55307A"/>
    <w:rsid w:val="0F5675B1"/>
    <w:rsid w:val="0F5B54B0"/>
    <w:rsid w:val="0F5B5D71"/>
    <w:rsid w:val="0F6411B7"/>
    <w:rsid w:val="0F652CAE"/>
    <w:rsid w:val="0F693B1B"/>
    <w:rsid w:val="0F6D3A18"/>
    <w:rsid w:val="0F8A0692"/>
    <w:rsid w:val="0F8D4AA2"/>
    <w:rsid w:val="0F916C2D"/>
    <w:rsid w:val="0F991535"/>
    <w:rsid w:val="0FA37402"/>
    <w:rsid w:val="0FA91BCF"/>
    <w:rsid w:val="0FAA062A"/>
    <w:rsid w:val="0FB70231"/>
    <w:rsid w:val="0FC4235F"/>
    <w:rsid w:val="0FC43889"/>
    <w:rsid w:val="0FC84A03"/>
    <w:rsid w:val="0FC87248"/>
    <w:rsid w:val="0FCC3D02"/>
    <w:rsid w:val="0FCD4102"/>
    <w:rsid w:val="0FCE6F0F"/>
    <w:rsid w:val="0FCF5930"/>
    <w:rsid w:val="0FD21973"/>
    <w:rsid w:val="0FD9551B"/>
    <w:rsid w:val="0FDC0173"/>
    <w:rsid w:val="0FE53478"/>
    <w:rsid w:val="0FE710C0"/>
    <w:rsid w:val="0FE8462F"/>
    <w:rsid w:val="0FF04A95"/>
    <w:rsid w:val="0FF63C95"/>
    <w:rsid w:val="0FF8274F"/>
    <w:rsid w:val="10031B5F"/>
    <w:rsid w:val="10042F0E"/>
    <w:rsid w:val="100E3CC4"/>
    <w:rsid w:val="101934E2"/>
    <w:rsid w:val="103574EF"/>
    <w:rsid w:val="103E6CC5"/>
    <w:rsid w:val="1041204E"/>
    <w:rsid w:val="10430F24"/>
    <w:rsid w:val="10456D01"/>
    <w:rsid w:val="105175AC"/>
    <w:rsid w:val="10517D96"/>
    <w:rsid w:val="10535841"/>
    <w:rsid w:val="10631D8F"/>
    <w:rsid w:val="10667614"/>
    <w:rsid w:val="1069624D"/>
    <w:rsid w:val="106B6CE4"/>
    <w:rsid w:val="106C6E03"/>
    <w:rsid w:val="107462E2"/>
    <w:rsid w:val="10877E81"/>
    <w:rsid w:val="108E427E"/>
    <w:rsid w:val="10921175"/>
    <w:rsid w:val="10930CD0"/>
    <w:rsid w:val="10946408"/>
    <w:rsid w:val="109B67A5"/>
    <w:rsid w:val="10A16C5E"/>
    <w:rsid w:val="10AA5021"/>
    <w:rsid w:val="10B30CC1"/>
    <w:rsid w:val="10B9436C"/>
    <w:rsid w:val="10BA3176"/>
    <w:rsid w:val="10BB0596"/>
    <w:rsid w:val="10BC6125"/>
    <w:rsid w:val="10C1317D"/>
    <w:rsid w:val="10C74A67"/>
    <w:rsid w:val="10D270EF"/>
    <w:rsid w:val="10D46D9C"/>
    <w:rsid w:val="10D52C2D"/>
    <w:rsid w:val="10E130AB"/>
    <w:rsid w:val="10EA4268"/>
    <w:rsid w:val="10F10C00"/>
    <w:rsid w:val="10F772EC"/>
    <w:rsid w:val="110005C5"/>
    <w:rsid w:val="1104196C"/>
    <w:rsid w:val="11057C36"/>
    <w:rsid w:val="110B261D"/>
    <w:rsid w:val="11172859"/>
    <w:rsid w:val="111B2521"/>
    <w:rsid w:val="111B7785"/>
    <w:rsid w:val="111D3570"/>
    <w:rsid w:val="11204184"/>
    <w:rsid w:val="11206718"/>
    <w:rsid w:val="11211CC3"/>
    <w:rsid w:val="1126729F"/>
    <w:rsid w:val="112B30FE"/>
    <w:rsid w:val="112F54BD"/>
    <w:rsid w:val="113440C6"/>
    <w:rsid w:val="11384E5E"/>
    <w:rsid w:val="113D0C36"/>
    <w:rsid w:val="11452DC5"/>
    <w:rsid w:val="11511CCA"/>
    <w:rsid w:val="115174B9"/>
    <w:rsid w:val="11627DA4"/>
    <w:rsid w:val="116C5CB9"/>
    <w:rsid w:val="116E35AC"/>
    <w:rsid w:val="1173578E"/>
    <w:rsid w:val="117443B3"/>
    <w:rsid w:val="11831C8E"/>
    <w:rsid w:val="118B590C"/>
    <w:rsid w:val="119338E1"/>
    <w:rsid w:val="119A425E"/>
    <w:rsid w:val="11A86071"/>
    <w:rsid w:val="11B9045E"/>
    <w:rsid w:val="11C40045"/>
    <w:rsid w:val="11D34905"/>
    <w:rsid w:val="11D618CA"/>
    <w:rsid w:val="11D77B2E"/>
    <w:rsid w:val="11EC13E8"/>
    <w:rsid w:val="11F16D61"/>
    <w:rsid w:val="120477F2"/>
    <w:rsid w:val="12055DDB"/>
    <w:rsid w:val="12067970"/>
    <w:rsid w:val="120F3BEE"/>
    <w:rsid w:val="121C2E95"/>
    <w:rsid w:val="121C6C05"/>
    <w:rsid w:val="122D67D5"/>
    <w:rsid w:val="12437452"/>
    <w:rsid w:val="12462BDF"/>
    <w:rsid w:val="124737D6"/>
    <w:rsid w:val="124829E7"/>
    <w:rsid w:val="12501D46"/>
    <w:rsid w:val="12525F05"/>
    <w:rsid w:val="125B2E4C"/>
    <w:rsid w:val="126228CD"/>
    <w:rsid w:val="126547B2"/>
    <w:rsid w:val="126A1240"/>
    <w:rsid w:val="126C0249"/>
    <w:rsid w:val="127F7591"/>
    <w:rsid w:val="1286584D"/>
    <w:rsid w:val="128F2AD4"/>
    <w:rsid w:val="12974BD2"/>
    <w:rsid w:val="12984A99"/>
    <w:rsid w:val="12A01154"/>
    <w:rsid w:val="12A626F9"/>
    <w:rsid w:val="12A97096"/>
    <w:rsid w:val="12B17E02"/>
    <w:rsid w:val="12B5176E"/>
    <w:rsid w:val="12B75A8F"/>
    <w:rsid w:val="12BB2C1E"/>
    <w:rsid w:val="12BC4762"/>
    <w:rsid w:val="12C1126F"/>
    <w:rsid w:val="12C218FA"/>
    <w:rsid w:val="12C6679C"/>
    <w:rsid w:val="12C729C8"/>
    <w:rsid w:val="12CF3270"/>
    <w:rsid w:val="12D07CA5"/>
    <w:rsid w:val="12D16638"/>
    <w:rsid w:val="12D718B1"/>
    <w:rsid w:val="12D9291D"/>
    <w:rsid w:val="12E93F38"/>
    <w:rsid w:val="12EC6D72"/>
    <w:rsid w:val="12F050F8"/>
    <w:rsid w:val="12F427F6"/>
    <w:rsid w:val="12FF49FE"/>
    <w:rsid w:val="130019F9"/>
    <w:rsid w:val="13021297"/>
    <w:rsid w:val="1332122A"/>
    <w:rsid w:val="13391E64"/>
    <w:rsid w:val="1339367F"/>
    <w:rsid w:val="13470206"/>
    <w:rsid w:val="134C5304"/>
    <w:rsid w:val="1356223B"/>
    <w:rsid w:val="135C0A8C"/>
    <w:rsid w:val="135F1E9A"/>
    <w:rsid w:val="136B6BFF"/>
    <w:rsid w:val="13716990"/>
    <w:rsid w:val="13800F55"/>
    <w:rsid w:val="138A7931"/>
    <w:rsid w:val="138B36A0"/>
    <w:rsid w:val="1397618A"/>
    <w:rsid w:val="139F4354"/>
    <w:rsid w:val="13A3549F"/>
    <w:rsid w:val="13A4022C"/>
    <w:rsid w:val="13A5310A"/>
    <w:rsid w:val="13A96E41"/>
    <w:rsid w:val="13AE4C18"/>
    <w:rsid w:val="13B66D14"/>
    <w:rsid w:val="13B830A6"/>
    <w:rsid w:val="13C674A6"/>
    <w:rsid w:val="13D619B7"/>
    <w:rsid w:val="13D87CAF"/>
    <w:rsid w:val="13DD6BF3"/>
    <w:rsid w:val="13DE3CB0"/>
    <w:rsid w:val="13E222A2"/>
    <w:rsid w:val="13E516E7"/>
    <w:rsid w:val="13EE6572"/>
    <w:rsid w:val="13F06831"/>
    <w:rsid w:val="14082FF1"/>
    <w:rsid w:val="14091DCD"/>
    <w:rsid w:val="14136B9F"/>
    <w:rsid w:val="14147A2B"/>
    <w:rsid w:val="1416253B"/>
    <w:rsid w:val="141D0A6F"/>
    <w:rsid w:val="14261232"/>
    <w:rsid w:val="14300E7E"/>
    <w:rsid w:val="14304423"/>
    <w:rsid w:val="14351C0A"/>
    <w:rsid w:val="1439155F"/>
    <w:rsid w:val="143F0797"/>
    <w:rsid w:val="144A2B7A"/>
    <w:rsid w:val="14510345"/>
    <w:rsid w:val="145D60D0"/>
    <w:rsid w:val="1466505D"/>
    <w:rsid w:val="147912FD"/>
    <w:rsid w:val="14792AE3"/>
    <w:rsid w:val="14806F5B"/>
    <w:rsid w:val="14973067"/>
    <w:rsid w:val="14985834"/>
    <w:rsid w:val="149E1A09"/>
    <w:rsid w:val="14AA1F0B"/>
    <w:rsid w:val="14B87500"/>
    <w:rsid w:val="14B907FA"/>
    <w:rsid w:val="14BA3F98"/>
    <w:rsid w:val="14BD5D5F"/>
    <w:rsid w:val="14BD6E02"/>
    <w:rsid w:val="14CB583E"/>
    <w:rsid w:val="14CC664F"/>
    <w:rsid w:val="14D70A43"/>
    <w:rsid w:val="14D9013A"/>
    <w:rsid w:val="14F453D6"/>
    <w:rsid w:val="14F833B3"/>
    <w:rsid w:val="14FA3D6C"/>
    <w:rsid w:val="15010B3E"/>
    <w:rsid w:val="1510260D"/>
    <w:rsid w:val="15117F3B"/>
    <w:rsid w:val="15161381"/>
    <w:rsid w:val="15193D59"/>
    <w:rsid w:val="151A0F34"/>
    <w:rsid w:val="153F0CE9"/>
    <w:rsid w:val="154205CE"/>
    <w:rsid w:val="15456020"/>
    <w:rsid w:val="155502F7"/>
    <w:rsid w:val="155538D5"/>
    <w:rsid w:val="156B1673"/>
    <w:rsid w:val="156B4E9C"/>
    <w:rsid w:val="15723224"/>
    <w:rsid w:val="15731803"/>
    <w:rsid w:val="157F7E44"/>
    <w:rsid w:val="159A3FEC"/>
    <w:rsid w:val="159D75F4"/>
    <w:rsid w:val="15A2333E"/>
    <w:rsid w:val="15A44D56"/>
    <w:rsid w:val="15A45988"/>
    <w:rsid w:val="15AB2599"/>
    <w:rsid w:val="15B677F3"/>
    <w:rsid w:val="15B93AB3"/>
    <w:rsid w:val="15C451C4"/>
    <w:rsid w:val="15CD09A6"/>
    <w:rsid w:val="15CF384F"/>
    <w:rsid w:val="15D56B90"/>
    <w:rsid w:val="15E40B25"/>
    <w:rsid w:val="15EF3AD4"/>
    <w:rsid w:val="15F146D2"/>
    <w:rsid w:val="15F17533"/>
    <w:rsid w:val="15F829E5"/>
    <w:rsid w:val="15FA4856"/>
    <w:rsid w:val="16051A51"/>
    <w:rsid w:val="160D4BA8"/>
    <w:rsid w:val="160F3836"/>
    <w:rsid w:val="161246E0"/>
    <w:rsid w:val="162702BC"/>
    <w:rsid w:val="162D4F23"/>
    <w:rsid w:val="163812E8"/>
    <w:rsid w:val="16513DDF"/>
    <w:rsid w:val="165A2F5F"/>
    <w:rsid w:val="165B03AC"/>
    <w:rsid w:val="165D73FA"/>
    <w:rsid w:val="166336AD"/>
    <w:rsid w:val="16651431"/>
    <w:rsid w:val="16720A00"/>
    <w:rsid w:val="168543EB"/>
    <w:rsid w:val="168A509D"/>
    <w:rsid w:val="168D5E4C"/>
    <w:rsid w:val="16995B04"/>
    <w:rsid w:val="169B10F2"/>
    <w:rsid w:val="169C2F7C"/>
    <w:rsid w:val="16B0238E"/>
    <w:rsid w:val="16BE72DC"/>
    <w:rsid w:val="16E26E25"/>
    <w:rsid w:val="16E6060D"/>
    <w:rsid w:val="16EA0045"/>
    <w:rsid w:val="16EB2973"/>
    <w:rsid w:val="16FD30C9"/>
    <w:rsid w:val="170042E6"/>
    <w:rsid w:val="17016923"/>
    <w:rsid w:val="1707422C"/>
    <w:rsid w:val="171223F7"/>
    <w:rsid w:val="17192FFB"/>
    <w:rsid w:val="171A711B"/>
    <w:rsid w:val="172D47F2"/>
    <w:rsid w:val="17362BA7"/>
    <w:rsid w:val="173B1465"/>
    <w:rsid w:val="17416F2E"/>
    <w:rsid w:val="174E2053"/>
    <w:rsid w:val="174E7C26"/>
    <w:rsid w:val="174F47A6"/>
    <w:rsid w:val="175B3E2C"/>
    <w:rsid w:val="175F3F83"/>
    <w:rsid w:val="176B47AA"/>
    <w:rsid w:val="176D6525"/>
    <w:rsid w:val="176E7DE4"/>
    <w:rsid w:val="177445EE"/>
    <w:rsid w:val="17751C4A"/>
    <w:rsid w:val="17755E85"/>
    <w:rsid w:val="17760C9C"/>
    <w:rsid w:val="177A383E"/>
    <w:rsid w:val="177E2DFD"/>
    <w:rsid w:val="17862CC6"/>
    <w:rsid w:val="17972A8C"/>
    <w:rsid w:val="179F2AFD"/>
    <w:rsid w:val="17A60643"/>
    <w:rsid w:val="17A66447"/>
    <w:rsid w:val="17A66CD3"/>
    <w:rsid w:val="17A74E70"/>
    <w:rsid w:val="17AD3410"/>
    <w:rsid w:val="17AF56CE"/>
    <w:rsid w:val="17B370DA"/>
    <w:rsid w:val="17B6461D"/>
    <w:rsid w:val="17BD4729"/>
    <w:rsid w:val="17C13CCD"/>
    <w:rsid w:val="17C565D5"/>
    <w:rsid w:val="17CA2F29"/>
    <w:rsid w:val="17CC3724"/>
    <w:rsid w:val="17DB4DDE"/>
    <w:rsid w:val="17EA7F27"/>
    <w:rsid w:val="18040A9A"/>
    <w:rsid w:val="180D2441"/>
    <w:rsid w:val="182409EB"/>
    <w:rsid w:val="18342038"/>
    <w:rsid w:val="183F7E30"/>
    <w:rsid w:val="18454AD9"/>
    <w:rsid w:val="184A1359"/>
    <w:rsid w:val="184A7300"/>
    <w:rsid w:val="18532D12"/>
    <w:rsid w:val="18545350"/>
    <w:rsid w:val="185849E8"/>
    <w:rsid w:val="185C7883"/>
    <w:rsid w:val="185E6C51"/>
    <w:rsid w:val="18717F9D"/>
    <w:rsid w:val="18766EB1"/>
    <w:rsid w:val="1883128F"/>
    <w:rsid w:val="188374EF"/>
    <w:rsid w:val="188E6915"/>
    <w:rsid w:val="18993A9D"/>
    <w:rsid w:val="18AA5BD5"/>
    <w:rsid w:val="18AD0A3F"/>
    <w:rsid w:val="18B535C3"/>
    <w:rsid w:val="18B727F9"/>
    <w:rsid w:val="18BB036A"/>
    <w:rsid w:val="18C77241"/>
    <w:rsid w:val="18D11681"/>
    <w:rsid w:val="18D47CA0"/>
    <w:rsid w:val="18D93DC3"/>
    <w:rsid w:val="18ED0003"/>
    <w:rsid w:val="18EE0A12"/>
    <w:rsid w:val="18F1309D"/>
    <w:rsid w:val="18FE702D"/>
    <w:rsid w:val="18FF52E0"/>
    <w:rsid w:val="190111C4"/>
    <w:rsid w:val="1905222D"/>
    <w:rsid w:val="191A20D9"/>
    <w:rsid w:val="191A78DE"/>
    <w:rsid w:val="191F6883"/>
    <w:rsid w:val="192508CF"/>
    <w:rsid w:val="192B7B50"/>
    <w:rsid w:val="1934724B"/>
    <w:rsid w:val="19381304"/>
    <w:rsid w:val="193C3417"/>
    <w:rsid w:val="19423074"/>
    <w:rsid w:val="19550F4F"/>
    <w:rsid w:val="195F1BD3"/>
    <w:rsid w:val="19640774"/>
    <w:rsid w:val="19686068"/>
    <w:rsid w:val="19750D01"/>
    <w:rsid w:val="19770633"/>
    <w:rsid w:val="197B5FAB"/>
    <w:rsid w:val="197D7F20"/>
    <w:rsid w:val="198609F7"/>
    <w:rsid w:val="198C3167"/>
    <w:rsid w:val="198D0EA2"/>
    <w:rsid w:val="198D2C2E"/>
    <w:rsid w:val="1991001D"/>
    <w:rsid w:val="19977415"/>
    <w:rsid w:val="199778B3"/>
    <w:rsid w:val="19990B38"/>
    <w:rsid w:val="199E0E55"/>
    <w:rsid w:val="19A00E3E"/>
    <w:rsid w:val="19AD1668"/>
    <w:rsid w:val="19B17589"/>
    <w:rsid w:val="19C35DF6"/>
    <w:rsid w:val="19C440C4"/>
    <w:rsid w:val="19DC75E9"/>
    <w:rsid w:val="19DD6247"/>
    <w:rsid w:val="19E75F33"/>
    <w:rsid w:val="19EA6F91"/>
    <w:rsid w:val="19EB4605"/>
    <w:rsid w:val="19EC4B60"/>
    <w:rsid w:val="19EC51FF"/>
    <w:rsid w:val="19F75A15"/>
    <w:rsid w:val="19FD2452"/>
    <w:rsid w:val="19FF2BB6"/>
    <w:rsid w:val="1A022204"/>
    <w:rsid w:val="1A026397"/>
    <w:rsid w:val="1A1B6A47"/>
    <w:rsid w:val="1A245957"/>
    <w:rsid w:val="1A254320"/>
    <w:rsid w:val="1A2577C8"/>
    <w:rsid w:val="1A2F4287"/>
    <w:rsid w:val="1A327780"/>
    <w:rsid w:val="1A3A3375"/>
    <w:rsid w:val="1A3D3F04"/>
    <w:rsid w:val="1A3D7F2E"/>
    <w:rsid w:val="1A405BD0"/>
    <w:rsid w:val="1A480068"/>
    <w:rsid w:val="1A4C7356"/>
    <w:rsid w:val="1A5A21B2"/>
    <w:rsid w:val="1A610149"/>
    <w:rsid w:val="1A6447AA"/>
    <w:rsid w:val="1A6A1D9C"/>
    <w:rsid w:val="1A7623EF"/>
    <w:rsid w:val="1A8B59A4"/>
    <w:rsid w:val="1A905750"/>
    <w:rsid w:val="1A9A0A84"/>
    <w:rsid w:val="1AA551C5"/>
    <w:rsid w:val="1AAE1A55"/>
    <w:rsid w:val="1AB860E7"/>
    <w:rsid w:val="1ABB40F3"/>
    <w:rsid w:val="1AC92A1D"/>
    <w:rsid w:val="1AC97444"/>
    <w:rsid w:val="1ACB0009"/>
    <w:rsid w:val="1AD34898"/>
    <w:rsid w:val="1ADB30E4"/>
    <w:rsid w:val="1AE16428"/>
    <w:rsid w:val="1AE34681"/>
    <w:rsid w:val="1AE565E5"/>
    <w:rsid w:val="1AEE3F22"/>
    <w:rsid w:val="1AF11DA3"/>
    <w:rsid w:val="1AF210E2"/>
    <w:rsid w:val="1B053748"/>
    <w:rsid w:val="1B0C39F0"/>
    <w:rsid w:val="1B0D7F3D"/>
    <w:rsid w:val="1B1601A1"/>
    <w:rsid w:val="1B1C6C2B"/>
    <w:rsid w:val="1B2B3F4C"/>
    <w:rsid w:val="1B2C27B9"/>
    <w:rsid w:val="1B354C36"/>
    <w:rsid w:val="1B436E61"/>
    <w:rsid w:val="1B455E25"/>
    <w:rsid w:val="1B46061D"/>
    <w:rsid w:val="1B480D37"/>
    <w:rsid w:val="1B543071"/>
    <w:rsid w:val="1B611DAE"/>
    <w:rsid w:val="1B660FB7"/>
    <w:rsid w:val="1B68610C"/>
    <w:rsid w:val="1B782B80"/>
    <w:rsid w:val="1B824D99"/>
    <w:rsid w:val="1B8518CA"/>
    <w:rsid w:val="1B860950"/>
    <w:rsid w:val="1B8645F8"/>
    <w:rsid w:val="1B8A778D"/>
    <w:rsid w:val="1B8C0101"/>
    <w:rsid w:val="1B8E654F"/>
    <w:rsid w:val="1B9121C0"/>
    <w:rsid w:val="1B937734"/>
    <w:rsid w:val="1B9C3C0E"/>
    <w:rsid w:val="1B9C5CAC"/>
    <w:rsid w:val="1B9E3BA1"/>
    <w:rsid w:val="1B9F232C"/>
    <w:rsid w:val="1BA15407"/>
    <w:rsid w:val="1BB30E36"/>
    <w:rsid w:val="1BCE3CBA"/>
    <w:rsid w:val="1BD233C7"/>
    <w:rsid w:val="1BE13244"/>
    <w:rsid w:val="1C022D82"/>
    <w:rsid w:val="1C1115CA"/>
    <w:rsid w:val="1C135793"/>
    <w:rsid w:val="1C1456AA"/>
    <w:rsid w:val="1C1B6805"/>
    <w:rsid w:val="1C1B6AEC"/>
    <w:rsid w:val="1C1D733F"/>
    <w:rsid w:val="1C1E3973"/>
    <w:rsid w:val="1C210839"/>
    <w:rsid w:val="1C260ED1"/>
    <w:rsid w:val="1C2769C2"/>
    <w:rsid w:val="1C2B081F"/>
    <w:rsid w:val="1C360B86"/>
    <w:rsid w:val="1C48627F"/>
    <w:rsid w:val="1C4D4E80"/>
    <w:rsid w:val="1C5614D7"/>
    <w:rsid w:val="1C6E69E3"/>
    <w:rsid w:val="1C6F6673"/>
    <w:rsid w:val="1C7A7934"/>
    <w:rsid w:val="1C7C6610"/>
    <w:rsid w:val="1C7C6FB9"/>
    <w:rsid w:val="1C7E7F21"/>
    <w:rsid w:val="1C8409FB"/>
    <w:rsid w:val="1C840C48"/>
    <w:rsid w:val="1C986A96"/>
    <w:rsid w:val="1CA22E0B"/>
    <w:rsid w:val="1CA97BB1"/>
    <w:rsid w:val="1CB00114"/>
    <w:rsid w:val="1CB302BC"/>
    <w:rsid w:val="1CB84DCE"/>
    <w:rsid w:val="1CBE0061"/>
    <w:rsid w:val="1CC756CB"/>
    <w:rsid w:val="1CC94D30"/>
    <w:rsid w:val="1CD55B6B"/>
    <w:rsid w:val="1CDB55B7"/>
    <w:rsid w:val="1CF802D6"/>
    <w:rsid w:val="1CFA78C5"/>
    <w:rsid w:val="1CFC4323"/>
    <w:rsid w:val="1CFF03DB"/>
    <w:rsid w:val="1D050B71"/>
    <w:rsid w:val="1D091155"/>
    <w:rsid w:val="1D197FAF"/>
    <w:rsid w:val="1D1A5E6A"/>
    <w:rsid w:val="1D1A7D1C"/>
    <w:rsid w:val="1D1C771E"/>
    <w:rsid w:val="1D1F458C"/>
    <w:rsid w:val="1D203D04"/>
    <w:rsid w:val="1D28007D"/>
    <w:rsid w:val="1D3B1391"/>
    <w:rsid w:val="1D3E2731"/>
    <w:rsid w:val="1D4554BE"/>
    <w:rsid w:val="1D475DF2"/>
    <w:rsid w:val="1D48649D"/>
    <w:rsid w:val="1D494926"/>
    <w:rsid w:val="1D530FCF"/>
    <w:rsid w:val="1D571058"/>
    <w:rsid w:val="1D577338"/>
    <w:rsid w:val="1D5A64E4"/>
    <w:rsid w:val="1D643A99"/>
    <w:rsid w:val="1D6C56DF"/>
    <w:rsid w:val="1D737896"/>
    <w:rsid w:val="1D7A2FF0"/>
    <w:rsid w:val="1D8C41E4"/>
    <w:rsid w:val="1D942987"/>
    <w:rsid w:val="1D983E08"/>
    <w:rsid w:val="1D9B49A5"/>
    <w:rsid w:val="1D9E6D02"/>
    <w:rsid w:val="1DA74F04"/>
    <w:rsid w:val="1DAB1C48"/>
    <w:rsid w:val="1DB21FF1"/>
    <w:rsid w:val="1DB37BDD"/>
    <w:rsid w:val="1DB65F7E"/>
    <w:rsid w:val="1DB83F44"/>
    <w:rsid w:val="1DBC53D6"/>
    <w:rsid w:val="1DC73ACE"/>
    <w:rsid w:val="1DE278D0"/>
    <w:rsid w:val="1DE351E0"/>
    <w:rsid w:val="1DE714D8"/>
    <w:rsid w:val="1DF95BD9"/>
    <w:rsid w:val="1DFE1C35"/>
    <w:rsid w:val="1DFF4EBB"/>
    <w:rsid w:val="1E0347A9"/>
    <w:rsid w:val="1E034C1C"/>
    <w:rsid w:val="1E0943B8"/>
    <w:rsid w:val="1E0B2833"/>
    <w:rsid w:val="1E0E49E0"/>
    <w:rsid w:val="1E0F0EBC"/>
    <w:rsid w:val="1E0F42C8"/>
    <w:rsid w:val="1E12661E"/>
    <w:rsid w:val="1E1409CD"/>
    <w:rsid w:val="1E1515B8"/>
    <w:rsid w:val="1E1B435E"/>
    <w:rsid w:val="1E2E57D3"/>
    <w:rsid w:val="1E3403F4"/>
    <w:rsid w:val="1E413D47"/>
    <w:rsid w:val="1E45684A"/>
    <w:rsid w:val="1E4708FC"/>
    <w:rsid w:val="1E54316F"/>
    <w:rsid w:val="1E5661CD"/>
    <w:rsid w:val="1E622BAF"/>
    <w:rsid w:val="1E675F7C"/>
    <w:rsid w:val="1E724A7B"/>
    <w:rsid w:val="1E771A25"/>
    <w:rsid w:val="1E796D8B"/>
    <w:rsid w:val="1E81096B"/>
    <w:rsid w:val="1E822C67"/>
    <w:rsid w:val="1E89072E"/>
    <w:rsid w:val="1E9E3B38"/>
    <w:rsid w:val="1EA27899"/>
    <w:rsid w:val="1EA80AA4"/>
    <w:rsid w:val="1EAD23CC"/>
    <w:rsid w:val="1EBD1D6B"/>
    <w:rsid w:val="1EC04D69"/>
    <w:rsid w:val="1EC866D6"/>
    <w:rsid w:val="1EC90B09"/>
    <w:rsid w:val="1ECC4555"/>
    <w:rsid w:val="1ECD4D97"/>
    <w:rsid w:val="1ED51561"/>
    <w:rsid w:val="1EDC070D"/>
    <w:rsid w:val="1EE12032"/>
    <w:rsid w:val="1EE81A03"/>
    <w:rsid w:val="1EF240B8"/>
    <w:rsid w:val="1EF62FCE"/>
    <w:rsid w:val="1EF90D16"/>
    <w:rsid w:val="1EFC1683"/>
    <w:rsid w:val="1EFC395C"/>
    <w:rsid w:val="1F026ED5"/>
    <w:rsid w:val="1F104ED6"/>
    <w:rsid w:val="1F107E08"/>
    <w:rsid w:val="1F196D67"/>
    <w:rsid w:val="1F20712B"/>
    <w:rsid w:val="1F25665F"/>
    <w:rsid w:val="1F276521"/>
    <w:rsid w:val="1F2A1EEA"/>
    <w:rsid w:val="1F3066EA"/>
    <w:rsid w:val="1F3A5882"/>
    <w:rsid w:val="1F4345E9"/>
    <w:rsid w:val="1F4E5BF1"/>
    <w:rsid w:val="1F5E02D2"/>
    <w:rsid w:val="1F6A1A4D"/>
    <w:rsid w:val="1F7B32F9"/>
    <w:rsid w:val="1F7F2835"/>
    <w:rsid w:val="1F8E421D"/>
    <w:rsid w:val="1F9272B4"/>
    <w:rsid w:val="1FA97079"/>
    <w:rsid w:val="1FAB2372"/>
    <w:rsid w:val="1FB011E3"/>
    <w:rsid w:val="1FC34744"/>
    <w:rsid w:val="1FC77C2D"/>
    <w:rsid w:val="1FCD760D"/>
    <w:rsid w:val="1FD50CCB"/>
    <w:rsid w:val="1FE04C34"/>
    <w:rsid w:val="1FE20192"/>
    <w:rsid w:val="1FE467BF"/>
    <w:rsid w:val="1FE56893"/>
    <w:rsid w:val="1FE94579"/>
    <w:rsid w:val="1FEE5F7C"/>
    <w:rsid w:val="1FF8557E"/>
    <w:rsid w:val="20065B80"/>
    <w:rsid w:val="20087DF2"/>
    <w:rsid w:val="2009407B"/>
    <w:rsid w:val="200A20CE"/>
    <w:rsid w:val="2012127E"/>
    <w:rsid w:val="201D01F7"/>
    <w:rsid w:val="20280DA6"/>
    <w:rsid w:val="202B2799"/>
    <w:rsid w:val="202C6E4E"/>
    <w:rsid w:val="20302A24"/>
    <w:rsid w:val="20426F21"/>
    <w:rsid w:val="205427EB"/>
    <w:rsid w:val="205A127D"/>
    <w:rsid w:val="205D3290"/>
    <w:rsid w:val="205E139D"/>
    <w:rsid w:val="20634055"/>
    <w:rsid w:val="20657259"/>
    <w:rsid w:val="206D5AA1"/>
    <w:rsid w:val="206D60F0"/>
    <w:rsid w:val="20710F8C"/>
    <w:rsid w:val="20844F04"/>
    <w:rsid w:val="20870658"/>
    <w:rsid w:val="2087373A"/>
    <w:rsid w:val="20906D73"/>
    <w:rsid w:val="20985875"/>
    <w:rsid w:val="209A777B"/>
    <w:rsid w:val="209C0628"/>
    <w:rsid w:val="20B33508"/>
    <w:rsid w:val="20BF2B06"/>
    <w:rsid w:val="20C477E1"/>
    <w:rsid w:val="20C632F9"/>
    <w:rsid w:val="20DA2D0C"/>
    <w:rsid w:val="20DD1614"/>
    <w:rsid w:val="20E306C1"/>
    <w:rsid w:val="20ED171D"/>
    <w:rsid w:val="20F3295A"/>
    <w:rsid w:val="20FD3574"/>
    <w:rsid w:val="21011B81"/>
    <w:rsid w:val="21083B4C"/>
    <w:rsid w:val="210A4748"/>
    <w:rsid w:val="210A4957"/>
    <w:rsid w:val="211B7C4D"/>
    <w:rsid w:val="21290DF9"/>
    <w:rsid w:val="21364C74"/>
    <w:rsid w:val="21411455"/>
    <w:rsid w:val="214148EB"/>
    <w:rsid w:val="21527B20"/>
    <w:rsid w:val="216221C2"/>
    <w:rsid w:val="216B2B55"/>
    <w:rsid w:val="216F5B15"/>
    <w:rsid w:val="21712410"/>
    <w:rsid w:val="21716C2B"/>
    <w:rsid w:val="217D1511"/>
    <w:rsid w:val="21810E38"/>
    <w:rsid w:val="21835545"/>
    <w:rsid w:val="21852E65"/>
    <w:rsid w:val="218E2D04"/>
    <w:rsid w:val="219A2BEA"/>
    <w:rsid w:val="21B70849"/>
    <w:rsid w:val="21C0215D"/>
    <w:rsid w:val="21C333FF"/>
    <w:rsid w:val="21C3364D"/>
    <w:rsid w:val="21C53153"/>
    <w:rsid w:val="21C57152"/>
    <w:rsid w:val="21D3635E"/>
    <w:rsid w:val="21DA29AA"/>
    <w:rsid w:val="21DA2FBE"/>
    <w:rsid w:val="21DE6A85"/>
    <w:rsid w:val="21ED3B92"/>
    <w:rsid w:val="21EE60D8"/>
    <w:rsid w:val="21F12075"/>
    <w:rsid w:val="21F229A5"/>
    <w:rsid w:val="220320DE"/>
    <w:rsid w:val="220E0410"/>
    <w:rsid w:val="22250497"/>
    <w:rsid w:val="22261A12"/>
    <w:rsid w:val="22386CFF"/>
    <w:rsid w:val="224649FE"/>
    <w:rsid w:val="22544ACE"/>
    <w:rsid w:val="2254604C"/>
    <w:rsid w:val="225800D2"/>
    <w:rsid w:val="225912E3"/>
    <w:rsid w:val="225F0E4E"/>
    <w:rsid w:val="226B2B38"/>
    <w:rsid w:val="226F046F"/>
    <w:rsid w:val="226F39CB"/>
    <w:rsid w:val="227102E4"/>
    <w:rsid w:val="227A3ECC"/>
    <w:rsid w:val="227B1109"/>
    <w:rsid w:val="228E09EC"/>
    <w:rsid w:val="229408C3"/>
    <w:rsid w:val="22A5787E"/>
    <w:rsid w:val="22BA0C75"/>
    <w:rsid w:val="22BB10AC"/>
    <w:rsid w:val="22D34B67"/>
    <w:rsid w:val="22D61159"/>
    <w:rsid w:val="22DC6CC8"/>
    <w:rsid w:val="22DD022B"/>
    <w:rsid w:val="22E062BF"/>
    <w:rsid w:val="22E223C8"/>
    <w:rsid w:val="22E41690"/>
    <w:rsid w:val="22F37984"/>
    <w:rsid w:val="22F74742"/>
    <w:rsid w:val="22FA1F83"/>
    <w:rsid w:val="230706CB"/>
    <w:rsid w:val="23190AAC"/>
    <w:rsid w:val="231B6169"/>
    <w:rsid w:val="231C5858"/>
    <w:rsid w:val="231F34C2"/>
    <w:rsid w:val="23213C92"/>
    <w:rsid w:val="23254987"/>
    <w:rsid w:val="232648C7"/>
    <w:rsid w:val="23294989"/>
    <w:rsid w:val="233164BF"/>
    <w:rsid w:val="2339649B"/>
    <w:rsid w:val="233A460E"/>
    <w:rsid w:val="23447236"/>
    <w:rsid w:val="234767E9"/>
    <w:rsid w:val="234A4644"/>
    <w:rsid w:val="234D4EE2"/>
    <w:rsid w:val="23561925"/>
    <w:rsid w:val="235D75B8"/>
    <w:rsid w:val="236C5EF5"/>
    <w:rsid w:val="23747CBD"/>
    <w:rsid w:val="2381199F"/>
    <w:rsid w:val="238659F3"/>
    <w:rsid w:val="238927C2"/>
    <w:rsid w:val="238F52F4"/>
    <w:rsid w:val="239D2271"/>
    <w:rsid w:val="239D2399"/>
    <w:rsid w:val="23A144CA"/>
    <w:rsid w:val="23A21C5C"/>
    <w:rsid w:val="23A91DC0"/>
    <w:rsid w:val="23B12045"/>
    <w:rsid w:val="23B238E3"/>
    <w:rsid w:val="23C13067"/>
    <w:rsid w:val="23CB3D1B"/>
    <w:rsid w:val="23D52CA0"/>
    <w:rsid w:val="23DB3E1D"/>
    <w:rsid w:val="23DE0B47"/>
    <w:rsid w:val="23E55B0E"/>
    <w:rsid w:val="23F048CD"/>
    <w:rsid w:val="23F26BA5"/>
    <w:rsid w:val="23F54B21"/>
    <w:rsid w:val="23F91DE1"/>
    <w:rsid w:val="240707EA"/>
    <w:rsid w:val="240D266E"/>
    <w:rsid w:val="240E5797"/>
    <w:rsid w:val="24173BAD"/>
    <w:rsid w:val="24187D0F"/>
    <w:rsid w:val="241915AD"/>
    <w:rsid w:val="24195439"/>
    <w:rsid w:val="241A4680"/>
    <w:rsid w:val="241C76A2"/>
    <w:rsid w:val="2422018A"/>
    <w:rsid w:val="24240034"/>
    <w:rsid w:val="242D784D"/>
    <w:rsid w:val="24405283"/>
    <w:rsid w:val="24553768"/>
    <w:rsid w:val="245B14B7"/>
    <w:rsid w:val="245C0CE9"/>
    <w:rsid w:val="245D53AD"/>
    <w:rsid w:val="24684B32"/>
    <w:rsid w:val="246F4908"/>
    <w:rsid w:val="2471583F"/>
    <w:rsid w:val="24731D45"/>
    <w:rsid w:val="247B6915"/>
    <w:rsid w:val="24824F6F"/>
    <w:rsid w:val="24873599"/>
    <w:rsid w:val="249764A4"/>
    <w:rsid w:val="2498747E"/>
    <w:rsid w:val="249C3EC4"/>
    <w:rsid w:val="24A00C80"/>
    <w:rsid w:val="24A44B0A"/>
    <w:rsid w:val="24A842B8"/>
    <w:rsid w:val="24B0770F"/>
    <w:rsid w:val="24C44B6C"/>
    <w:rsid w:val="24C64C15"/>
    <w:rsid w:val="24DA11C5"/>
    <w:rsid w:val="24E109A6"/>
    <w:rsid w:val="24E3577E"/>
    <w:rsid w:val="24E47C99"/>
    <w:rsid w:val="24EB704A"/>
    <w:rsid w:val="24F03A9F"/>
    <w:rsid w:val="24F922D4"/>
    <w:rsid w:val="24FE52D7"/>
    <w:rsid w:val="24FF5A10"/>
    <w:rsid w:val="25067FB4"/>
    <w:rsid w:val="250947A0"/>
    <w:rsid w:val="251F58AB"/>
    <w:rsid w:val="252A7934"/>
    <w:rsid w:val="252E4C2B"/>
    <w:rsid w:val="25326D61"/>
    <w:rsid w:val="25354A98"/>
    <w:rsid w:val="254A679C"/>
    <w:rsid w:val="254E6A44"/>
    <w:rsid w:val="255373D2"/>
    <w:rsid w:val="2557397E"/>
    <w:rsid w:val="255777F2"/>
    <w:rsid w:val="25585A61"/>
    <w:rsid w:val="256E67CE"/>
    <w:rsid w:val="2574603E"/>
    <w:rsid w:val="257757C0"/>
    <w:rsid w:val="25776809"/>
    <w:rsid w:val="25783B09"/>
    <w:rsid w:val="257F4752"/>
    <w:rsid w:val="25852E2D"/>
    <w:rsid w:val="2586517E"/>
    <w:rsid w:val="259A68D6"/>
    <w:rsid w:val="25A93CFE"/>
    <w:rsid w:val="25AF3401"/>
    <w:rsid w:val="25B204BC"/>
    <w:rsid w:val="25BB7EB7"/>
    <w:rsid w:val="25BF0DB5"/>
    <w:rsid w:val="25C85F24"/>
    <w:rsid w:val="25CB5F44"/>
    <w:rsid w:val="25CE73E8"/>
    <w:rsid w:val="25D103B3"/>
    <w:rsid w:val="25D14828"/>
    <w:rsid w:val="25D24DFA"/>
    <w:rsid w:val="25D57B11"/>
    <w:rsid w:val="25D81BDF"/>
    <w:rsid w:val="25DC4C73"/>
    <w:rsid w:val="25E32D83"/>
    <w:rsid w:val="25E85D02"/>
    <w:rsid w:val="25ED7797"/>
    <w:rsid w:val="25FE3A55"/>
    <w:rsid w:val="260061B4"/>
    <w:rsid w:val="2606488C"/>
    <w:rsid w:val="26075B8B"/>
    <w:rsid w:val="262723E7"/>
    <w:rsid w:val="262B4F88"/>
    <w:rsid w:val="263E38BC"/>
    <w:rsid w:val="263F4661"/>
    <w:rsid w:val="26455786"/>
    <w:rsid w:val="264C3E74"/>
    <w:rsid w:val="26537BAF"/>
    <w:rsid w:val="2683221B"/>
    <w:rsid w:val="268559CB"/>
    <w:rsid w:val="2687464C"/>
    <w:rsid w:val="26876BDD"/>
    <w:rsid w:val="26893BCA"/>
    <w:rsid w:val="268C6E2B"/>
    <w:rsid w:val="269A4825"/>
    <w:rsid w:val="26AE10E3"/>
    <w:rsid w:val="26B201F7"/>
    <w:rsid w:val="26B316CC"/>
    <w:rsid w:val="26B33EB8"/>
    <w:rsid w:val="26BD5B93"/>
    <w:rsid w:val="26C1609C"/>
    <w:rsid w:val="26C41001"/>
    <w:rsid w:val="26D0318D"/>
    <w:rsid w:val="26D34B2D"/>
    <w:rsid w:val="26D36614"/>
    <w:rsid w:val="26DA5C4F"/>
    <w:rsid w:val="26E25643"/>
    <w:rsid w:val="26E55057"/>
    <w:rsid w:val="26EB1692"/>
    <w:rsid w:val="26EE4DAD"/>
    <w:rsid w:val="26F477AE"/>
    <w:rsid w:val="26F72EB1"/>
    <w:rsid w:val="27017AE1"/>
    <w:rsid w:val="27023734"/>
    <w:rsid w:val="27064F31"/>
    <w:rsid w:val="270F18EB"/>
    <w:rsid w:val="27123D57"/>
    <w:rsid w:val="271348BA"/>
    <w:rsid w:val="272260CE"/>
    <w:rsid w:val="27246E7C"/>
    <w:rsid w:val="273E3EF8"/>
    <w:rsid w:val="2751486E"/>
    <w:rsid w:val="27522A0B"/>
    <w:rsid w:val="27522B4D"/>
    <w:rsid w:val="276055BF"/>
    <w:rsid w:val="2766668A"/>
    <w:rsid w:val="2767231E"/>
    <w:rsid w:val="277C712C"/>
    <w:rsid w:val="277D5FB3"/>
    <w:rsid w:val="278A0172"/>
    <w:rsid w:val="278B3B7D"/>
    <w:rsid w:val="279467D0"/>
    <w:rsid w:val="2799651D"/>
    <w:rsid w:val="27A14018"/>
    <w:rsid w:val="27A55B30"/>
    <w:rsid w:val="27AF261C"/>
    <w:rsid w:val="27AF50BE"/>
    <w:rsid w:val="27B86DED"/>
    <w:rsid w:val="27B959BA"/>
    <w:rsid w:val="27BA40F8"/>
    <w:rsid w:val="27CD2B6E"/>
    <w:rsid w:val="27D5222C"/>
    <w:rsid w:val="27D80922"/>
    <w:rsid w:val="27E45FBC"/>
    <w:rsid w:val="27EC32A6"/>
    <w:rsid w:val="280B2FEF"/>
    <w:rsid w:val="2811251B"/>
    <w:rsid w:val="28156801"/>
    <w:rsid w:val="282A4B30"/>
    <w:rsid w:val="283038BC"/>
    <w:rsid w:val="28353A9F"/>
    <w:rsid w:val="283A008C"/>
    <w:rsid w:val="283B4812"/>
    <w:rsid w:val="283C0132"/>
    <w:rsid w:val="28504E67"/>
    <w:rsid w:val="2850587B"/>
    <w:rsid w:val="2863689F"/>
    <w:rsid w:val="28642FC1"/>
    <w:rsid w:val="28712EA8"/>
    <w:rsid w:val="28750238"/>
    <w:rsid w:val="287616A5"/>
    <w:rsid w:val="287D6B3E"/>
    <w:rsid w:val="287D720C"/>
    <w:rsid w:val="28890B62"/>
    <w:rsid w:val="288C093E"/>
    <w:rsid w:val="288E5A4A"/>
    <w:rsid w:val="28976E8E"/>
    <w:rsid w:val="2899117E"/>
    <w:rsid w:val="289D63FB"/>
    <w:rsid w:val="28AB0F37"/>
    <w:rsid w:val="28AF6533"/>
    <w:rsid w:val="28B52DE1"/>
    <w:rsid w:val="28C66EAE"/>
    <w:rsid w:val="28C94289"/>
    <w:rsid w:val="28C95271"/>
    <w:rsid w:val="28D271D7"/>
    <w:rsid w:val="28D4123A"/>
    <w:rsid w:val="28D568C3"/>
    <w:rsid w:val="28DA3EE6"/>
    <w:rsid w:val="28DB77CE"/>
    <w:rsid w:val="28E01C20"/>
    <w:rsid w:val="28E34947"/>
    <w:rsid w:val="28E70693"/>
    <w:rsid w:val="28E857D5"/>
    <w:rsid w:val="28E85A4D"/>
    <w:rsid w:val="28EB528A"/>
    <w:rsid w:val="28F345BE"/>
    <w:rsid w:val="28F41D77"/>
    <w:rsid w:val="28F96174"/>
    <w:rsid w:val="28FC23EA"/>
    <w:rsid w:val="28FF0356"/>
    <w:rsid w:val="290B36FC"/>
    <w:rsid w:val="290C4D16"/>
    <w:rsid w:val="29133847"/>
    <w:rsid w:val="291360C6"/>
    <w:rsid w:val="291B16BF"/>
    <w:rsid w:val="292438AF"/>
    <w:rsid w:val="292F0BA6"/>
    <w:rsid w:val="29316126"/>
    <w:rsid w:val="293547A1"/>
    <w:rsid w:val="29361AEA"/>
    <w:rsid w:val="293932CE"/>
    <w:rsid w:val="293B7DA8"/>
    <w:rsid w:val="294160CA"/>
    <w:rsid w:val="294D4762"/>
    <w:rsid w:val="294F54B5"/>
    <w:rsid w:val="295C5A08"/>
    <w:rsid w:val="29617F5E"/>
    <w:rsid w:val="2965289C"/>
    <w:rsid w:val="296B3AFC"/>
    <w:rsid w:val="297077DE"/>
    <w:rsid w:val="29710844"/>
    <w:rsid w:val="297A040A"/>
    <w:rsid w:val="297A56BC"/>
    <w:rsid w:val="297A69D2"/>
    <w:rsid w:val="2983009D"/>
    <w:rsid w:val="298661BC"/>
    <w:rsid w:val="29874BC7"/>
    <w:rsid w:val="2989147E"/>
    <w:rsid w:val="298B1CED"/>
    <w:rsid w:val="298B2340"/>
    <w:rsid w:val="298B4DEB"/>
    <w:rsid w:val="298F1983"/>
    <w:rsid w:val="2990076E"/>
    <w:rsid w:val="29905CB2"/>
    <w:rsid w:val="29946A49"/>
    <w:rsid w:val="29950A0B"/>
    <w:rsid w:val="299A2C06"/>
    <w:rsid w:val="29AF2FA5"/>
    <w:rsid w:val="29B830DB"/>
    <w:rsid w:val="29C54727"/>
    <w:rsid w:val="29D02E5D"/>
    <w:rsid w:val="29D71EDA"/>
    <w:rsid w:val="29DD3CC7"/>
    <w:rsid w:val="29E1484F"/>
    <w:rsid w:val="29E566F5"/>
    <w:rsid w:val="29E86038"/>
    <w:rsid w:val="29FE4936"/>
    <w:rsid w:val="2A03364F"/>
    <w:rsid w:val="2A04536E"/>
    <w:rsid w:val="2A1814EC"/>
    <w:rsid w:val="2A1D731B"/>
    <w:rsid w:val="2A1E055D"/>
    <w:rsid w:val="2A212116"/>
    <w:rsid w:val="2A282069"/>
    <w:rsid w:val="2A400DBF"/>
    <w:rsid w:val="2A42264C"/>
    <w:rsid w:val="2A44752C"/>
    <w:rsid w:val="2A4549F9"/>
    <w:rsid w:val="2A5B2C22"/>
    <w:rsid w:val="2A611223"/>
    <w:rsid w:val="2A624822"/>
    <w:rsid w:val="2A6912C7"/>
    <w:rsid w:val="2A762CDE"/>
    <w:rsid w:val="2A7B5C9C"/>
    <w:rsid w:val="2A7D458B"/>
    <w:rsid w:val="2A7D7F04"/>
    <w:rsid w:val="2A821397"/>
    <w:rsid w:val="2A952F70"/>
    <w:rsid w:val="2A95756A"/>
    <w:rsid w:val="2A9D46B9"/>
    <w:rsid w:val="2A9F581C"/>
    <w:rsid w:val="2A9F747E"/>
    <w:rsid w:val="2AA85533"/>
    <w:rsid w:val="2AA962A5"/>
    <w:rsid w:val="2AAB4241"/>
    <w:rsid w:val="2AB20C05"/>
    <w:rsid w:val="2ABA16F0"/>
    <w:rsid w:val="2AC05B02"/>
    <w:rsid w:val="2ADD08E9"/>
    <w:rsid w:val="2AEA7E4E"/>
    <w:rsid w:val="2AF35363"/>
    <w:rsid w:val="2AF631B5"/>
    <w:rsid w:val="2AFA2431"/>
    <w:rsid w:val="2B03324A"/>
    <w:rsid w:val="2B1D429F"/>
    <w:rsid w:val="2B2113D5"/>
    <w:rsid w:val="2B264819"/>
    <w:rsid w:val="2B2D4969"/>
    <w:rsid w:val="2B2F7BD0"/>
    <w:rsid w:val="2B3244A3"/>
    <w:rsid w:val="2B595416"/>
    <w:rsid w:val="2B6737B9"/>
    <w:rsid w:val="2B777119"/>
    <w:rsid w:val="2B8778BD"/>
    <w:rsid w:val="2B9836F8"/>
    <w:rsid w:val="2B9860D4"/>
    <w:rsid w:val="2B9A4D4C"/>
    <w:rsid w:val="2B9B6F31"/>
    <w:rsid w:val="2BA52CFE"/>
    <w:rsid w:val="2BA643E1"/>
    <w:rsid w:val="2BA66D8F"/>
    <w:rsid w:val="2BA84838"/>
    <w:rsid w:val="2BB12381"/>
    <w:rsid w:val="2BB70F96"/>
    <w:rsid w:val="2BC05722"/>
    <w:rsid w:val="2BC15FC1"/>
    <w:rsid w:val="2BCF6059"/>
    <w:rsid w:val="2BD3325C"/>
    <w:rsid w:val="2BDB00BD"/>
    <w:rsid w:val="2BF001AE"/>
    <w:rsid w:val="2BFA0FF8"/>
    <w:rsid w:val="2C0823A2"/>
    <w:rsid w:val="2C0E4760"/>
    <w:rsid w:val="2C205CCE"/>
    <w:rsid w:val="2C2D6B6B"/>
    <w:rsid w:val="2C2D7B92"/>
    <w:rsid w:val="2C300747"/>
    <w:rsid w:val="2C3017AC"/>
    <w:rsid w:val="2C3046AB"/>
    <w:rsid w:val="2C32560C"/>
    <w:rsid w:val="2C36423C"/>
    <w:rsid w:val="2C472F97"/>
    <w:rsid w:val="2C4B52CF"/>
    <w:rsid w:val="2C4D4B91"/>
    <w:rsid w:val="2C4F257D"/>
    <w:rsid w:val="2C5616FF"/>
    <w:rsid w:val="2C567815"/>
    <w:rsid w:val="2C5E6B80"/>
    <w:rsid w:val="2C6373CE"/>
    <w:rsid w:val="2C692C15"/>
    <w:rsid w:val="2C702DDE"/>
    <w:rsid w:val="2C7C762C"/>
    <w:rsid w:val="2C845AEE"/>
    <w:rsid w:val="2C853BE8"/>
    <w:rsid w:val="2C857F44"/>
    <w:rsid w:val="2C863ABA"/>
    <w:rsid w:val="2C875337"/>
    <w:rsid w:val="2C886FE2"/>
    <w:rsid w:val="2C8A74DA"/>
    <w:rsid w:val="2C8B1925"/>
    <w:rsid w:val="2C8C4358"/>
    <w:rsid w:val="2C8C68A7"/>
    <w:rsid w:val="2C8E043D"/>
    <w:rsid w:val="2C94720A"/>
    <w:rsid w:val="2C962BA1"/>
    <w:rsid w:val="2C9C6805"/>
    <w:rsid w:val="2C9F7AA0"/>
    <w:rsid w:val="2CA259D1"/>
    <w:rsid w:val="2CAE5E0D"/>
    <w:rsid w:val="2CAF1E2C"/>
    <w:rsid w:val="2CB96A82"/>
    <w:rsid w:val="2CBB1339"/>
    <w:rsid w:val="2CBB4EF0"/>
    <w:rsid w:val="2CBF277E"/>
    <w:rsid w:val="2CC16EC0"/>
    <w:rsid w:val="2CCF1C05"/>
    <w:rsid w:val="2CD0783E"/>
    <w:rsid w:val="2CD41506"/>
    <w:rsid w:val="2CDD5537"/>
    <w:rsid w:val="2CE26A25"/>
    <w:rsid w:val="2CE352FA"/>
    <w:rsid w:val="2D027A88"/>
    <w:rsid w:val="2D060FB0"/>
    <w:rsid w:val="2D066D18"/>
    <w:rsid w:val="2D0735C4"/>
    <w:rsid w:val="2D1774BF"/>
    <w:rsid w:val="2D1861F9"/>
    <w:rsid w:val="2D1C0EB9"/>
    <w:rsid w:val="2D2F2525"/>
    <w:rsid w:val="2D2F56FC"/>
    <w:rsid w:val="2D377FD9"/>
    <w:rsid w:val="2D392BF9"/>
    <w:rsid w:val="2D417490"/>
    <w:rsid w:val="2D637170"/>
    <w:rsid w:val="2D6507BD"/>
    <w:rsid w:val="2D723A5C"/>
    <w:rsid w:val="2D7F2904"/>
    <w:rsid w:val="2D846BEE"/>
    <w:rsid w:val="2D8672D1"/>
    <w:rsid w:val="2D87239F"/>
    <w:rsid w:val="2D8A5E1F"/>
    <w:rsid w:val="2D941F3E"/>
    <w:rsid w:val="2D980BA7"/>
    <w:rsid w:val="2D9835F3"/>
    <w:rsid w:val="2DAA5424"/>
    <w:rsid w:val="2DB46FA4"/>
    <w:rsid w:val="2DB87601"/>
    <w:rsid w:val="2DBB57B0"/>
    <w:rsid w:val="2DC500B0"/>
    <w:rsid w:val="2DC8248D"/>
    <w:rsid w:val="2DCE3012"/>
    <w:rsid w:val="2DCE3821"/>
    <w:rsid w:val="2DE445B2"/>
    <w:rsid w:val="2DE44986"/>
    <w:rsid w:val="2DEB45F4"/>
    <w:rsid w:val="2DF343E3"/>
    <w:rsid w:val="2DFF4EE7"/>
    <w:rsid w:val="2E045D2E"/>
    <w:rsid w:val="2E081BE7"/>
    <w:rsid w:val="2E096A8B"/>
    <w:rsid w:val="2E0E3854"/>
    <w:rsid w:val="2E1F6776"/>
    <w:rsid w:val="2E2E795C"/>
    <w:rsid w:val="2E2F7374"/>
    <w:rsid w:val="2E340F10"/>
    <w:rsid w:val="2E374DBE"/>
    <w:rsid w:val="2E397D58"/>
    <w:rsid w:val="2E3D6B9E"/>
    <w:rsid w:val="2E422E60"/>
    <w:rsid w:val="2E45041B"/>
    <w:rsid w:val="2E453E35"/>
    <w:rsid w:val="2E535D7B"/>
    <w:rsid w:val="2E537753"/>
    <w:rsid w:val="2E5B31F7"/>
    <w:rsid w:val="2E5E55B0"/>
    <w:rsid w:val="2E760311"/>
    <w:rsid w:val="2E8327C1"/>
    <w:rsid w:val="2E8C5E56"/>
    <w:rsid w:val="2E901885"/>
    <w:rsid w:val="2E9850A9"/>
    <w:rsid w:val="2E9F22B9"/>
    <w:rsid w:val="2EAF4870"/>
    <w:rsid w:val="2EBA0DF2"/>
    <w:rsid w:val="2EBF266C"/>
    <w:rsid w:val="2ECB6E10"/>
    <w:rsid w:val="2ECF2276"/>
    <w:rsid w:val="2ED42551"/>
    <w:rsid w:val="2ED5673C"/>
    <w:rsid w:val="2ED657E6"/>
    <w:rsid w:val="2ED6661F"/>
    <w:rsid w:val="2ED75F93"/>
    <w:rsid w:val="2EDD4B15"/>
    <w:rsid w:val="2EEE6482"/>
    <w:rsid w:val="2EEE684E"/>
    <w:rsid w:val="2EF11216"/>
    <w:rsid w:val="2EF26D48"/>
    <w:rsid w:val="2EF80A03"/>
    <w:rsid w:val="2EF86881"/>
    <w:rsid w:val="2F0D07FA"/>
    <w:rsid w:val="2F1D39D3"/>
    <w:rsid w:val="2F2B30A0"/>
    <w:rsid w:val="2F2C3B52"/>
    <w:rsid w:val="2F375170"/>
    <w:rsid w:val="2F3D04E4"/>
    <w:rsid w:val="2F486B39"/>
    <w:rsid w:val="2F4A5A64"/>
    <w:rsid w:val="2F4B03FC"/>
    <w:rsid w:val="2F4F5A06"/>
    <w:rsid w:val="2F5475B8"/>
    <w:rsid w:val="2F5C3327"/>
    <w:rsid w:val="2F5D6880"/>
    <w:rsid w:val="2F621426"/>
    <w:rsid w:val="2F62180E"/>
    <w:rsid w:val="2F68276B"/>
    <w:rsid w:val="2F6F741B"/>
    <w:rsid w:val="2F770304"/>
    <w:rsid w:val="2F8D0C9C"/>
    <w:rsid w:val="2F9A1159"/>
    <w:rsid w:val="2F9F1209"/>
    <w:rsid w:val="2F9F5A7A"/>
    <w:rsid w:val="2FAB7777"/>
    <w:rsid w:val="2FB0449B"/>
    <w:rsid w:val="2FB263F4"/>
    <w:rsid w:val="2FBB0404"/>
    <w:rsid w:val="2FBC15E1"/>
    <w:rsid w:val="2FD775D3"/>
    <w:rsid w:val="2FDB50F5"/>
    <w:rsid w:val="2FF63990"/>
    <w:rsid w:val="2FFA25C0"/>
    <w:rsid w:val="2FFA7273"/>
    <w:rsid w:val="3005759B"/>
    <w:rsid w:val="30180AA3"/>
    <w:rsid w:val="30374074"/>
    <w:rsid w:val="30457A73"/>
    <w:rsid w:val="30487105"/>
    <w:rsid w:val="305202E7"/>
    <w:rsid w:val="30612E73"/>
    <w:rsid w:val="30640FE3"/>
    <w:rsid w:val="306E20A0"/>
    <w:rsid w:val="306E7975"/>
    <w:rsid w:val="307B385D"/>
    <w:rsid w:val="307B6451"/>
    <w:rsid w:val="30801616"/>
    <w:rsid w:val="30831BEB"/>
    <w:rsid w:val="30887C67"/>
    <w:rsid w:val="308F547B"/>
    <w:rsid w:val="30924DE5"/>
    <w:rsid w:val="3097328C"/>
    <w:rsid w:val="309A19A7"/>
    <w:rsid w:val="309D1810"/>
    <w:rsid w:val="30AD6E59"/>
    <w:rsid w:val="30AF4E27"/>
    <w:rsid w:val="30B30B59"/>
    <w:rsid w:val="30B939E4"/>
    <w:rsid w:val="30BA5001"/>
    <w:rsid w:val="30BA5C45"/>
    <w:rsid w:val="30BC7790"/>
    <w:rsid w:val="30C171A4"/>
    <w:rsid w:val="30CC40B5"/>
    <w:rsid w:val="30D43E7B"/>
    <w:rsid w:val="30D97352"/>
    <w:rsid w:val="30E12562"/>
    <w:rsid w:val="30E7529E"/>
    <w:rsid w:val="30EC3CA3"/>
    <w:rsid w:val="30F61F7E"/>
    <w:rsid w:val="31033F7B"/>
    <w:rsid w:val="31093CD6"/>
    <w:rsid w:val="310B5E8F"/>
    <w:rsid w:val="31113CFC"/>
    <w:rsid w:val="311732A8"/>
    <w:rsid w:val="31176ED8"/>
    <w:rsid w:val="31290887"/>
    <w:rsid w:val="313E10F1"/>
    <w:rsid w:val="31455969"/>
    <w:rsid w:val="314D5561"/>
    <w:rsid w:val="31552760"/>
    <w:rsid w:val="31573014"/>
    <w:rsid w:val="315E3A33"/>
    <w:rsid w:val="31635E4D"/>
    <w:rsid w:val="31667F7B"/>
    <w:rsid w:val="316C0706"/>
    <w:rsid w:val="316C0886"/>
    <w:rsid w:val="3176048C"/>
    <w:rsid w:val="3179069E"/>
    <w:rsid w:val="317970BE"/>
    <w:rsid w:val="317E0520"/>
    <w:rsid w:val="31895CD8"/>
    <w:rsid w:val="318A6607"/>
    <w:rsid w:val="318A6CD5"/>
    <w:rsid w:val="31C15B19"/>
    <w:rsid w:val="31C15D0C"/>
    <w:rsid w:val="31C27573"/>
    <w:rsid w:val="31D413BE"/>
    <w:rsid w:val="31DB1A26"/>
    <w:rsid w:val="31E143EA"/>
    <w:rsid w:val="31E16C4F"/>
    <w:rsid w:val="31F60456"/>
    <w:rsid w:val="321A4667"/>
    <w:rsid w:val="32230781"/>
    <w:rsid w:val="3224043F"/>
    <w:rsid w:val="324111BF"/>
    <w:rsid w:val="32450CD5"/>
    <w:rsid w:val="32461133"/>
    <w:rsid w:val="324F79EF"/>
    <w:rsid w:val="32550385"/>
    <w:rsid w:val="325C41F3"/>
    <w:rsid w:val="325E08F2"/>
    <w:rsid w:val="326A649E"/>
    <w:rsid w:val="326D59E3"/>
    <w:rsid w:val="327755F8"/>
    <w:rsid w:val="327874F2"/>
    <w:rsid w:val="328541B5"/>
    <w:rsid w:val="32880544"/>
    <w:rsid w:val="32897D03"/>
    <w:rsid w:val="32A27D37"/>
    <w:rsid w:val="32A43188"/>
    <w:rsid w:val="32A51ABC"/>
    <w:rsid w:val="32B678BC"/>
    <w:rsid w:val="32B85137"/>
    <w:rsid w:val="32B87E5E"/>
    <w:rsid w:val="32BB0B7A"/>
    <w:rsid w:val="32BC465B"/>
    <w:rsid w:val="32BD263A"/>
    <w:rsid w:val="32C87BF1"/>
    <w:rsid w:val="32CD5EC7"/>
    <w:rsid w:val="32D409C1"/>
    <w:rsid w:val="32D55231"/>
    <w:rsid w:val="32DA5AC5"/>
    <w:rsid w:val="32DB7D3C"/>
    <w:rsid w:val="32DC7621"/>
    <w:rsid w:val="32DE737C"/>
    <w:rsid w:val="32DF5528"/>
    <w:rsid w:val="32F14E34"/>
    <w:rsid w:val="32F22822"/>
    <w:rsid w:val="32FB0A7F"/>
    <w:rsid w:val="32FE4B90"/>
    <w:rsid w:val="330A4747"/>
    <w:rsid w:val="330D59F3"/>
    <w:rsid w:val="33131ED1"/>
    <w:rsid w:val="3316538B"/>
    <w:rsid w:val="33196327"/>
    <w:rsid w:val="331A74BF"/>
    <w:rsid w:val="331B7180"/>
    <w:rsid w:val="332A5079"/>
    <w:rsid w:val="332D3F59"/>
    <w:rsid w:val="3330759E"/>
    <w:rsid w:val="3339596E"/>
    <w:rsid w:val="333F2AB4"/>
    <w:rsid w:val="33407430"/>
    <w:rsid w:val="33415C02"/>
    <w:rsid w:val="3344129F"/>
    <w:rsid w:val="33552928"/>
    <w:rsid w:val="335D698E"/>
    <w:rsid w:val="33622C62"/>
    <w:rsid w:val="3365711A"/>
    <w:rsid w:val="33823DF0"/>
    <w:rsid w:val="338E244F"/>
    <w:rsid w:val="338F045E"/>
    <w:rsid w:val="339107AC"/>
    <w:rsid w:val="33936A32"/>
    <w:rsid w:val="33971CD6"/>
    <w:rsid w:val="339A714E"/>
    <w:rsid w:val="33A16576"/>
    <w:rsid w:val="33A43C26"/>
    <w:rsid w:val="33A52F2C"/>
    <w:rsid w:val="33B339E8"/>
    <w:rsid w:val="33BD44EC"/>
    <w:rsid w:val="33D3210D"/>
    <w:rsid w:val="33D651D1"/>
    <w:rsid w:val="33DE2F7B"/>
    <w:rsid w:val="33E316D0"/>
    <w:rsid w:val="33F16FF0"/>
    <w:rsid w:val="33F373FB"/>
    <w:rsid w:val="34105631"/>
    <w:rsid w:val="343816DF"/>
    <w:rsid w:val="34396AD4"/>
    <w:rsid w:val="343C2D3D"/>
    <w:rsid w:val="343E73A4"/>
    <w:rsid w:val="34430D9B"/>
    <w:rsid w:val="34434135"/>
    <w:rsid w:val="3447774A"/>
    <w:rsid w:val="344C3E14"/>
    <w:rsid w:val="345638B2"/>
    <w:rsid w:val="34583272"/>
    <w:rsid w:val="345A664D"/>
    <w:rsid w:val="34604B13"/>
    <w:rsid w:val="34637906"/>
    <w:rsid w:val="34681F43"/>
    <w:rsid w:val="34694B1B"/>
    <w:rsid w:val="34785475"/>
    <w:rsid w:val="34796247"/>
    <w:rsid w:val="347C4365"/>
    <w:rsid w:val="347C7C7A"/>
    <w:rsid w:val="348C785D"/>
    <w:rsid w:val="34900DE3"/>
    <w:rsid w:val="34966098"/>
    <w:rsid w:val="349843DC"/>
    <w:rsid w:val="34AE41BB"/>
    <w:rsid w:val="34B101E7"/>
    <w:rsid w:val="34B73BB1"/>
    <w:rsid w:val="34BB24AB"/>
    <w:rsid w:val="34C3681F"/>
    <w:rsid w:val="34C72D9E"/>
    <w:rsid w:val="34CB7418"/>
    <w:rsid w:val="34CE6A6E"/>
    <w:rsid w:val="34CF4B73"/>
    <w:rsid w:val="34D12D44"/>
    <w:rsid w:val="34D5120C"/>
    <w:rsid w:val="34D55B3E"/>
    <w:rsid w:val="34DB451A"/>
    <w:rsid w:val="34DD64FB"/>
    <w:rsid w:val="34E649C3"/>
    <w:rsid w:val="34ED5ABA"/>
    <w:rsid w:val="34F2682D"/>
    <w:rsid w:val="34F345C7"/>
    <w:rsid w:val="34FA1390"/>
    <w:rsid w:val="351E08B5"/>
    <w:rsid w:val="35206534"/>
    <w:rsid w:val="352C3FC3"/>
    <w:rsid w:val="35300B81"/>
    <w:rsid w:val="353027E1"/>
    <w:rsid w:val="35396643"/>
    <w:rsid w:val="35525220"/>
    <w:rsid w:val="3555145A"/>
    <w:rsid w:val="355A3ABF"/>
    <w:rsid w:val="355E6F38"/>
    <w:rsid w:val="3566780B"/>
    <w:rsid w:val="35697A8B"/>
    <w:rsid w:val="3578004A"/>
    <w:rsid w:val="3578554B"/>
    <w:rsid w:val="358403B2"/>
    <w:rsid w:val="358E67EA"/>
    <w:rsid w:val="358F4733"/>
    <w:rsid w:val="35A156FC"/>
    <w:rsid w:val="35AD063A"/>
    <w:rsid w:val="35AE6AC9"/>
    <w:rsid w:val="35B66D08"/>
    <w:rsid w:val="35BC73E3"/>
    <w:rsid w:val="35C7261C"/>
    <w:rsid w:val="35D05C78"/>
    <w:rsid w:val="35D850E1"/>
    <w:rsid w:val="35DA2E46"/>
    <w:rsid w:val="35DA764E"/>
    <w:rsid w:val="35F41EBB"/>
    <w:rsid w:val="360669FF"/>
    <w:rsid w:val="36260823"/>
    <w:rsid w:val="362B7C06"/>
    <w:rsid w:val="362D610E"/>
    <w:rsid w:val="362E7669"/>
    <w:rsid w:val="36342534"/>
    <w:rsid w:val="36354DC3"/>
    <w:rsid w:val="363B0C15"/>
    <w:rsid w:val="363B2B51"/>
    <w:rsid w:val="363E0E4F"/>
    <w:rsid w:val="363F7C8B"/>
    <w:rsid w:val="364A4BA8"/>
    <w:rsid w:val="364E4FED"/>
    <w:rsid w:val="365B599B"/>
    <w:rsid w:val="365E1A87"/>
    <w:rsid w:val="36633E3A"/>
    <w:rsid w:val="366B6E74"/>
    <w:rsid w:val="366E189A"/>
    <w:rsid w:val="366E5B0E"/>
    <w:rsid w:val="367710F5"/>
    <w:rsid w:val="36865387"/>
    <w:rsid w:val="36873137"/>
    <w:rsid w:val="368A3ADF"/>
    <w:rsid w:val="368C64A0"/>
    <w:rsid w:val="369D47CD"/>
    <w:rsid w:val="36AB6429"/>
    <w:rsid w:val="36AF02E4"/>
    <w:rsid w:val="36B94206"/>
    <w:rsid w:val="36C44DC8"/>
    <w:rsid w:val="36CC54E1"/>
    <w:rsid w:val="36D40589"/>
    <w:rsid w:val="36D938F2"/>
    <w:rsid w:val="36EA733E"/>
    <w:rsid w:val="36EC298D"/>
    <w:rsid w:val="36F639CA"/>
    <w:rsid w:val="36FE50C3"/>
    <w:rsid w:val="36FF7A8D"/>
    <w:rsid w:val="37054837"/>
    <w:rsid w:val="370C5895"/>
    <w:rsid w:val="370E0D87"/>
    <w:rsid w:val="3712199E"/>
    <w:rsid w:val="3714518F"/>
    <w:rsid w:val="371923EF"/>
    <w:rsid w:val="37230F2E"/>
    <w:rsid w:val="3725649C"/>
    <w:rsid w:val="37262596"/>
    <w:rsid w:val="372667D1"/>
    <w:rsid w:val="372747B4"/>
    <w:rsid w:val="373317B4"/>
    <w:rsid w:val="37343D4D"/>
    <w:rsid w:val="373F219A"/>
    <w:rsid w:val="374672F4"/>
    <w:rsid w:val="374A79B4"/>
    <w:rsid w:val="374D38E6"/>
    <w:rsid w:val="3758630C"/>
    <w:rsid w:val="37587731"/>
    <w:rsid w:val="375A2775"/>
    <w:rsid w:val="37684092"/>
    <w:rsid w:val="37704398"/>
    <w:rsid w:val="377164D9"/>
    <w:rsid w:val="37752252"/>
    <w:rsid w:val="377650FF"/>
    <w:rsid w:val="377E3C98"/>
    <w:rsid w:val="377F6A69"/>
    <w:rsid w:val="3789301B"/>
    <w:rsid w:val="37893F0F"/>
    <w:rsid w:val="378B6EDD"/>
    <w:rsid w:val="379204BB"/>
    <w:rsid w:val="37A16692"/>
    <w:rsid w:val="37A75F0E"/>
    <w:rsid w:val="37AD46C5"/>
    <w:rsid w:val="37AE0267"/>
    <w:rsid w:val="37B26140"/>
    <w:rsid w:val="37B45A1D"/>
    <w:rsid w:val="37BC0AAF"/>
    <w:rsid w:val="37C13986"/>
    <w:rsid w:val="37C31228"/>
    <w:rsid w:val="37C40B8A"/>
    <w:rsid w:val="37C84A0B"/>
    <w:rsid w:val="37DC2B2E"/>
    <w:rsid w:val="37DC3D14"/>
    <w:rsid w:val="37E14EF3"/>
    <w:rsid w:val="37EA2ABA"/>
    <w:rsid w:val="37EC275D"/>
    <w:rsid w:val="37F51CA1"/>
    <w:rsid w:val="37F637F8"/>
    <w:rsid w:val="37FB5D95"/>
    <w:rsid w:val="380064C3"/>
    <w:rsid w:val="38013433"/>
    <w:rsid w:val="380952BE"/>
    <w:rsid w:val="381630BB"/>
    <w:rsid w:val="381A53A2"/>
    <w:rsid w:val="38221BBE"/>
    <w:rsid w:val="382418C6"/>
    <w:rsid w:val="38362796"/>
    <w:rsid w:val="383D3B77"/>
    <w:rsid w:val="384B3FC0"/>
    <w:rsid w:val="38555F1D"/>
    <w:rsid w:val="385E351D"/>
    <w:rsid w:val="38673C68"/>
    <w:rsid w:val="38694981"/>
    <w:rsid w:val="386F59E4"/>
    <w:rsid w:val="38733AAD"/>
    <w:rsid w:val="387B0028"/>
    <w:rsid w:val="387C1971"/>
    <w:rsid w:val="38856865"/>
    <w:rsid w:val="3894065F"/>
    <w:rsid w:val="38A03940"/>
    <w:rsid w:val="38B20BCF"/>
    <w:rsid w:val="38B53EDD"/>
    <w:rsid w:val="38C10B78"/>
    <w:rsid w:val="38C53268"/>
    <w:rsid w:val="38CB3D39"/>
    <w:rsid w:val="38CC59A5"/>
    <w:rsid w:val="38CE2D19"/>
    <w:rsid w:val="38CE3476"/>
    <w:rsid w:val="38D04931"/>
    <w:rsid w:val="38DC47B5"/>
    <w:rsid w:val="38E97C5E"/>
    <w:rsid w:val="38F22AA4"/>
    <w:rsid w:val="38F96B31"/>
    <w:rsid w:val="39003A90"/>
    <w:rsid w:val="39014414"/>
    <w:rsid w:val="39042559"/>
    <w:rsid w:val="390A07DF"/>
    <w:rsid w:val="390E6824"/>
    <w:rsid w:val="39164934"/>
    <w:rsid w:val="39181E45"/>
    <w:rsid w:val="39215EFE"/>
    <w:rsid w:val="3929711E"/>
    <w:rsid w:val="39332434"/>
    <w:rsid w:val="39391807"/>
    <w:rsid w:val="393F6BB1"/>
    <w:rsid w:val="394255B6"/>
    <w:rsid w:val="39441DED"/>
    <w:rsid w:val="39457C00"/>
    <w:rsid w:val="39466B86"/>
    <w:rsid w:val="39477C28"/>
    <w:rsid w:val="3948753D"/>
    <w:rsid w:val="394D7E02"/>
    <w:rsid w:val="3951034B"/>
    <w:rsid w:val="39522A7A"/>
    <w:rsid w:val="39524349"/>
    <w:rsid w:val="395512F4"/>
    <w:rsid w:val="39632B85"/>
    <w:rsid w:val="3967208E"/>
    <w:rsid w:val="397604AA"/>
    <w:rsid w:val="39760711"/>
    <w:rsid w:val="39805330"/>
    <w:rsid w:val="39914957"/>
    <w:rsid w:val="39936054"/>
    <w:rsid w:val="39967CCD"/>
    <w:rsid w:val="39A770D8"/>
    <w:rsid w:val="39B604A3"/>
    <w:rsid w:val="39C31A90"/>
    <w:rsid w:val="39C57324"/>
    <w:rsid w:val="39C636E7"/>
    <w:rsid w:val="39C84DB7"/>
    <w:rsid w:val="39E15E29"/>
    <w:rsid w:val="39F52B3C"/>
    <w:rsid w:val="39FF18C0"/>
    <w:rsid w:val="3A0C5330"/>
    <w:rsid w:val="3A121756"/>
    <w:rsid w:val="3A216F84"/>
    <w:rsid w:val="3A2B66A9"/>
    <w:rsid w:val="3A3705D5"/>
    <w:rsid w:val="3A3A07EF"/>
    <w:rsid w:val="3A47638C"/>
    <w:rsid w:val="3A480DB4"/>
    <w:rsid w:val="3A4D4B07"/>
    <w:rsid w:val="3A502C99"/>
    <w:rsid w:val="3A651091"/>
    <w:rsid w:val="3A683B57"/>
    <w:rsid w:val="3A69720D"/>
    <w:rsid w:val="3A6973F6"/>
    <w:rsid w:val="3A780F12"/>
    <w:rsid w:val="3A787C14"/>
    <w:rsid w:val="3A8F32FF"/>
    <w:rsid w:val="3A98300B"/>
    <w:rsid w:val="3A9B64F2"/>
    <w:rsid w:val="3AA279B2"/>
    <w:rsid w:val="3AAB49FD"/>
    <w:rsid w:val="3AB14C69"/>
    <w:rsid w:val="3AC11C7E"/>
    <w:rsid w:val="3AC15BFC"/>
    <w:rsid w:val="3AC25430"/>
    <w:rsid w:val="3AC52EDD"/>
    <w:rsid w:val="3ACA5708"/>
    <w:rsid w:val="3ACD7584"/>
    <w:rsid w:val="3AD06723"/>
    <w:rsid w:val="3ADC7694"/>
    <w:rsid w:val="3AE60324"/>
    <w:rsid w:val="3AE9404C"/>
    <w:rsid w:val="3AED102F"/>
    <w:rsid w:val="3AF87C46"/>
    <w:rsid w:val="3B003F12"/>
    <w:rsid w:val="3B0C706A"/>
    <w:rsid w:val="3B1A1C70"/>
    <w:rsid w:val="3B1B6022"/>
    <w:rsid w:val="3B2A5A3D"/>
    <w:rsid w:val="3B301AA9"/>
    <w:rsid w:val="3B3B6996"/>
    <w:rsid w:val="3B3C34B6"/>
    <w:rsid w:val="3B3E2BCA"/>
    <w:rsid w:val="3B40111E"/>
    <w:rsid w:val="3B504731"/>
    <w:rsid w:val="3B520266"/>
    <w:rsid w:val="3B520905"/>
    <w:rsid w:val="3B59303C"/>
    <w:rsid w:val="3B5A1D33"/>
    <w:rsid w:val="3B612EFD"/>
    <w:rsid w:val="3B654781"/>
    <w:rsid w:val="3B676028"/>
    <w:rsid w:val="3B690C71"/>
    <w:rsid w:val="3B700651"/>
    <w:rsid w:val="3B71785B"/>
    <w:rsid w:val="3B735B82"/>
    <w:rsid w:val="3B7B2738"/>
    <w:rsid w:val="3B8121D6"/>
    <w:rsid w:val="3B831ACD"/>
    <w:rsid w:val="3B852984"/>
    <w:rsid w:val="3BAD2EBB"/>
    <w:rsid w:val="3BAF39D9"/>
    <w:rsid w:val="3BB558E5"/>
    <w:rsid w:val="3BB56EB7"/>
    <w:rsid w:val="3BB71C9A"/>
    <w:rsid w:val="3BBC016F"/>
    <w:rsid w:val="3BC7632C"/>
    <w:rsid w:val="3BD14A8C"/>
    <w:rsid w:val="3BD3621F"/>
    <w:rsid w:val="3BD8288E"/>
    <w:rsid w:val="3BDF4FF2"/>
    <w:rsid w:val="3BED485C"/>
    <w:rsid w:val="3BF730F9"/>
    <w:rsid w:val="3BFB170C"/>
    <w:rsid w:val="3BFD1079"/>
    <w:rsid w:val="3C0572AB"/>
    <w:rsid w:val="3C096B3B"/>
    <w:rsid w:val="3C0C4B4A"/>
    <w:rsid w:val="3C0C5AE3"/>
    <w:rsid w:val="3C160BE8"/>
    <w:rsid w:val="3C206915"/>
    <w:rsid w:val="3C264CBD"/>
    <w:rsid w:val="3C2B31BB"/>
    <w:rsid w:val="3C2E4778"/>
    <w:rsid w:val="3C302004"/>
    <w:rsid w:val="3C35436A"/>
    <w:rsid w:val="3C3713B6"/>
    <w:rsid w:val="3C380810"/>
    <w:rsid w:val="3C3F1580"/>
    <w:rsid w:val="3C3F71AB"/>
    <w:rsid w:val="3C450311"/>
    <w:rsid w:val="3C46579C"/>
    <w:rsid w:val="3C56472A"/>
    <w:rsid w:val="3C584302"/>
    <w:rsid w:val="3C666EEB"/>
    <w:rsid w:val="3C6A4D44"/>
    <w:rsid w:val="3C6B3AAC"/>
    <w:rsid w:val="3C710AD6"/>
    <w:rsid w:val="3C715042"/>
    <w:rsid w:val="3C741059"/>
    <w:rsid w:val="3C76440F"/>
    <w:rsid w:val="3C791E94"/>
    <w:rsid w:val="3C824025"/>
    <w:rsid w:val="3C835836"/>
    <w:rsid w:val="3C840F09"/>
    <w:rsid w:val="3C8C3A77"/>
    <w:rsid w:val="3C986AFE"/>
    <w:rsid w:val="3C9C035E"/>
    <w:rsid w:val="3C9D7B54"/>
    <w:rsid w:val="3C9E2F2F"/>
    <w:rsid w:val="3CA24968"/>
    <w:rsid w:val="3CA331E6"/>
    <w:rsid w:val="3CA979F9"/>
    <w:rsid w:val="3CAC54B9"/>
    <w:rsid w:val="3CAE48C0"/>
    <w:rsid w:val="3CBE2E43"/>
    <w:rsid w:val="3CC02589"/>
    <w:rsid w:val="3CC949B1"/>
    <w:rsid w:val="3CCE1D05"/>
    <w:rsid w:val="3CCE76D6"/>
    <w:rsid w:val="3CD3514D"/>
    <w:rsid w:val="3D02157D"/>
    <w:rsid w:val="3D05252C"/>
    <w:rsid w:val="3D0A42C1"/>
    <w:rsid w:val="3D0A61BE"/>
    <w:rsid w:val="3D1156F1"/>
    <w:rsid w:val="3D294D06"/>
    <w:rsid w:val="3D30757E"/>
    <w:rsid w:val="3D3951E7"/>
    <w:rsid w:val="3D462CA0"/>
    <w:rsid w:val="3D541DEC"/>
    <w:rsid w:val="3D554B6F"/>
    <w:rsid w:val="3D57289F"/>
    <w:rsid w:val="3D583D36"/>
    <w:rsid w:val="3D6402E1"/>
    <w:rsid w:val="3D6508E8"/>
    <w:rsid w:val="3D65304A"/>
    <w:rsid w:val="3D6F54C3"/>
    <w:rsid w:val="3D812549"/>
    <w:rsid w:val="3D8424D6"/>
    <w:rsid w:val="3D8864EE"/>
    <w:rsid w:val="3D9A0BDF"/>
    <w:rsid w:val="3D9A21C2"/>
    <w:rsid w:val="3D9E5C3F"/>
    <w:rsid w:val="3D9E697B"/>
    <w:rsid w:val="3DA03CDC"/>
    <w:rsid w:val="3DA56D76"/>
    <w:rsid w:val="3DAA7903"/>
    <w:rsid w:val="3DAF46D4"/>
    <w:rsid w:val="3DB506A9"/>
    <w:rsid w:val="3DB541DE"/>
    <w:rsid w:val="3DB97D32"/>
    <w:rsid w:val="3DC17C44"/>
    <w:rsid w:val="3DC52F87"/>
    <w:rsid w:val="3DCE5ED0"/>
    <w:rsid w:val="3DD17B48"/>
    <w:rsid w:val="3DD31B13"/>
    <w:rsid w:val="3DDA677F"/>
    <w:rsid w:val="3DE02E00"/>
    <w:rsid w:val="3DE10F5D"/>
    <w:rsid w:val="3DF43E51"/>
    <w:rsid w:val="3DF541A9"/>
    <w:rsid w:val="3DFC0960"/>
    <w:rsid w:val="3E0A21AB"/>
    <w:rsid w:val="3E12146D"/>
    <w:rsid w:val="3E192CB5"/>
    <w:rsid w:val="3E1951F4"/>
    <w:rsid w:val="3E1A08F4"/>
    <w:rsid w:val="3E243311"/>
    <w:rsid w:val="3E262D1F"/>
    <w:rsid w:val="3E2C1210"/>
    <w:rsid w:val="3E3074EA"/>
    <w:rsid w:val="3E3751F0"/>
    <w:rsid w:val="3E3875C6"/>
    <w:rsid w:val="3E3C1CD0"/>
    <w:rsid w:val="3E3F300E"/>
    <w:rsid w:val="3E476A1B"/>
    <w:rsid w:val="3E4D227E"/>
    <w:rsid w:val="3E640EDA"/>
    <w:rsid w:val="3E6A451E"/>
    <w:rsid w:val="3E7623BB"/>
    <w:rsid w:val="3E884D09"/>
    <w:rsid w:val="3E896188"/>
    <w:rsid w:val="3E8B1F57"/>
    <w:rsid w:val="3E8B508A"/>
    <w:rsid w:val="3E950EDB"/>
    <w:rsid w:val="3E9F1779"/>
    <w:rsid w:val="3EAF5BDD"/>
    <w:rsid w:val="3EB04FA0"/>
    <w:rsid w:val="3EB12BD7"/>
    <w:rsid w:val="3EC62CE3"/>
    <w:rsid w:val="3ECD1EE3"/>
    <w:rsid w:val="3ED13BE4"/>
    <w:rsid w:val="3EDE19BE"/>
    <w:rsid w:val="3EDE4926"/>
    <w:rsid w:val="3EF33F01"/>
    <w:rsid w:val="3EF44DF5"/>
    <w:rsid w:val="3EF57751"/>
    <w:rsid w:val="3F0330DF"/>
    <w:rsid w:val="3F074474"/>
    <w:rsid w:val="3F09096B"/>
    <w:rsid w:val="3F093E60"/>
    <w:rsid w:val="3F1A0BD5"/>
    <w:rsid w:val="3F1A3932"/>
    <w:rsid w:val="3F1E33C0"/>
    <w:rsid w:val="3F213A78"/>
    <w:rsid w:val="3F2F1051"/>
    <w:rsid w:val="3F36426E"/>
    <w:rsid w:val="3F3B40C5"/>
    <w:rsid w:val="3F407582"/>
    <w:rsid w:val="3F454E80"/>
    <w:rsid w:val="3F46524D"/>
    <w:rsid w:val="3F481A21"/>
    <w:rsid w:val="3F4E01A5"/>
    <w:rsid w:val="3F597D5B"/>
    <w:rsid w:val="3F684BB7"/>
    <w:rsid w:val="3F765EB7"/>
    <w:rsid w:val="3F841541"/>
    <w:rsid w:val="3F882F9B"/>
    <w:rsid w:val="3F8B2502"/>
    <w:rsid w:val="3F8E2781"/>
    <w:rsid w:val="3F935CF0"/>
    <w:rsid w:val="3F9D078F"/>
    <w:rsid w:val="3FB04A71"/>
    <w:rsid w:val="3FB26B38"/>
    <w:rsid w:val="3FC20483"/>
    <w:rsid w:val="3FD91C57"/>
    <w:rsid w:val="3FDB6A03"/>
    <w:rsid w:val="3FE655D4"/>
    <w:rsid w:val="3FE824DF"/>
    <w:rsid w:val="3FEC1707"/>
    <w:rsid w:val="400C1E06"/>
    <w:rsid w:val="400F301E"/>
    <w:rsid w:val="40110C77"/>
    <w:rsid w:val="401A59D9"/>
    <w:rsid w:val="401F2509"/>
    <w:rsid w:val="4043253A"/>
    <w:rsid w:val="404549D5"/>
    <w:rsid w:val="404E1E81"/>
    <w:rsid w:val="404F7BF7"/>
    <w:rsid w:val="40506270"/>
    <w:rsid w:val="4053788B"/>
    <w:rsid w:val="40576588"/>
    <w:rsid w:val="40577007"/>
    <w:rsid w:val="40584422"/>
    <w:rsid w:val="405D4FC7"/>
    <w:rsid w:val="405D7EBC"/>
    <w:rsid w:val="40615416"/>
    <w:rsid w:val="4063287C"/>
    <w:rsid w:val="406510E6"/>
    <w:rsid w:val="406B71B0"/>
    <w:rsid w:val="4074201E"/>
    <w:rsid w:val="40770294"/>
    <w:rsid w:val="407A7793"/>
    <w:rsid w:val="407B48D5"/>
    <w:rsid w:val="407E49A9"/>
    <w:rsid w:val="4088010D"/>
    <w:rsid w:val="40A96559"/>
    <w:rsid w:val="40AB12CC"/>
    <w:rsid w:val="40B344F6"/>
    <w:rsid w:val="40BD06F7"/>
    <w:rsid w:val="40CD74C4"/>
    <w:rsid w:val="40D24666"/>
    <w:rsid w:val="40D52FE2"/>
    <w:rsid w:val="40D66E97"/>
    <w:rsid w:val="40D86D63"/>
    <w:rsid w:val="40E31D5E"/>
    <w:rsid w:val="40E748B5"/>
    <w:rsid w:val="40F619D8"/>
    <w:rsid w:val="41001119"/>
    <w:rsid w:val="41056EAB"/>
    <w:rsid w:val="41060BD1"/>
    <w:rsid w:val="410D5820"/>
    <w:rsid w:val="41195DF8"/>
    <w:rsid w:val="411D1980"/>
    <w:rsid w:val="4121160A"/>
    <w:rsid w:val="41276307"/>
    <w:rsid w:val="41296A3A"/>
    <w:rsid w:val="412A1C24"/>
    <w:rsid w:val="412C2568"/>
    <w:rsid w:val="41302BDF"/>
    <w:rsid w:val="413A5D39"/>
    <w:rsid w:val="413B1CC2"/>
    <w:rsid w:val="41400B13"/>
    <w:rsid w:val="414466F6"/>
    <w:rsid w:val="41462062"/>
    <w:rsid w:val="414C0190"/>
    <w:rsid w:val="414D0772"/>
    <w:rsid w:val="415854AE"/>
    <w:rsid w:val="41600F6C"/>
    <w:rsid w:val="416D365F"/>
    <w:rsid w:val="41814A63"/>
    <w:rsid w:val="41863961"/>
    <w:rsid w:val="41911F41"/>
    <w:rsid w:val="419228A2"/>
    <w:rsid w:val="41951DDE"/>
    <w:rsid w:val="419A09F7"/>
    <w:rsid w:val="41A16CF4"/>
    <w:rsid w:val="41A742CA"/>
    <w:rsid w:val="41B71870"/>
    <w:rsid w:val="41BD0D8B"/>
    <w:rsid w:val="41C135F9"/>
    <w:rsid w:val="41C170F5"/>
    <w:rsid w:val="41C51FE2"/>
    <w:rsid w:val="41C93F27"/>
    <w:rsid w:val="41CB5417"/>
    <w:rsid w:val="41CB6A1B"/>
    <w:rsid w:val="41CD5CCE"/>
    <w:rsid w:val="41D15C37"/>
    <w:rsid w:val="41D52EE2"/>
    <w:rsid w:val="41D5592A"/>
    <w:rsid w:val="41F130DE"/>
    <w:rsid w:val="41FB075C"/>
    <w:rsid w:val="4201011E"/>
    <w:rsid w:val="42027541"/>
    <w:rsid w:val="420C7A39"/>
    <w:rsid w:val="4216329F"/>
    <w:rsid w:val="42181662"/>
    <w:rsid w:val="421E2CAA"/>
    <w:rsid w:val="42215BB2"/>
    <w:rsid w:val="42246CDC"/>
    <w:rsid w:val="42250264"/>
    <w:rsid w:val="42270ACD"/>
    <w:rsid w:val="4228454B"/>
    <w:rsid w:val="42286E67"/>
    <w:rsid w:val="422B014C"/>
    <w:rsid w:val="42365DD8"/>
    <w:rsid w:val="423669CA"/>
    <w:rsid w:val="42396376"/>
    <w:rsid w:val="424F699E"/>
    <w:rsid w:val="4253129B"/>
    <w:rsid w:val="42581167"/>
    <w:rsid w:val="425D2605"/>
    <w:rsid w:val="426360FD"/>
    <w:rsid w:val="42646FD7"/>
    <w:rsid w:val="42694429"/>
    <w:rsid w:val="42797FDA"/>
    <w:rsid w:val="428637C9"/>
    <w:rsid w:val="428773AD"/>
    <w:rsid w:val="42903FB7"/>
    <w:rsid w:val="429559F1"/>
    <w:rsid w:val="42956020"/>
    <w:rsid w:val="4296018C"/>
    <w:rsid w:val="429A0F3B"/>
    <w:rsid w:val="42A32270"/>
    <w:rsid w:val="42AA4F81"/>
    <w:rsid w:val="42AC58A7"/>
    <w:rsid w:val="42C61BA8"/>
    <w:rsid w:val="42D66C71"/>
    <w:rsid w:val="42D96D96"/>
    <w:rsid w:val="42DB5A9B"/>
    <w:rsid w:val="42E00034"/>
    <w:rsid w:val="42E63178"/>
    <w:rsid w:val="42EF1A1A"/>
    <w:rsid w:val="42F96A1E"/>
    <w:rsid w:val="43045BBB"/>
    <w:rsid w:val="43050997"/>
    <w:rsid w:val="430564FE"/>
    <w:rsid w:val="430A656F"/>
    <w:rsid w:val="430B7E4F"/>
    <w:rsid w:val="431B22FE"/>
    <w:rsid w:val="43252154"/>
    <w:rsid w:val="43272549"/>
    <w:rsid w:val="43337D34"/>
    <w:rsid w:val="433864E1"/>
    <w:rsid w:val="43390CD2"/>
    <w:rsid w:val="433E753E"/>
    <w:rsid w:val="434241DF"/>
    <w:rsid w:val="43433B2A"/>
    <w:rsid w:val="43441F85"/>
    <w:rsid w:val="43443A7A"/>
    <w:rsid w:val="43466D82"/>
    <w:rsid w:val="43494BBC"/>
    <w:rsid w:val="43556E25"/>
    <w:rsid w:val="43594F45"/>
    <w:rsid w:val="435F432E"/>
    <w:rsid w:val="43640CA7"/>
    <w:rsid w:val="43760344"/>
    <w:rsid w:val="437B6B25"/>
    <w:rsid w:val="438812EC"/>
    <w:rsid w:val="43893818"/>
    <w:rsid w:val="43911D1D"/>
    <w:rsid w:val="439222BD"/>
    <w:rsid w:val="439A22B0"/>
    <w:rsid w:val="439E5D22"/>
    <w:rsid w:val="43A5137C"/>
    <w:rsid w:val="43AA0E4D"/>
    <w:rsid w:val="43AF074F"/>
    <w:rsid w:val="43C83336"/>
    <w:rsid w:val="43D22EBA"/>
    <w:rsid w:val="43DC0144"/>
    <w:rsid w:val="43DC5E55"/>
    <w:rsid w:val="43E25BB8"/>
    <w:rsid w:val="43E47415"/>
    <w:rsid w:val="43EC159F"/>
    <w:rsid w:val="43EC43E7"/>
    <w:rsid w:val="43F530B9"/>
    <w:rsid w:val="43FE62AD"/>
    <w:rsid w:val="440933EC"/>
    <w:rsid w:val="4411299D"/>
    <w:rsid w:val="4421398C"/>
    <w:rsid w:val="4424116D"/>
    <w:rsid w:val="4427081F"/>
    <w:rsid w:val="442B715E"/>
    <w:rsid w:val="442D43DD"/>
    <w:rsid w:val="44336345"/>
    <w:rsid w:val="44351637"/>
    <w:rsid w:val="4437128E"/>
    <w:rsid w:val="444044D4"/>
    <w:rsid w:val="44485D85"/>
    <w:rsid w:val="44581DAF"/>
    <w:rsid w:val="446D44FB"/>
    <w:rsid w:val="446F069A"/>
    <w:rsid w:val="4472510B"/>
    <w:rsid w:val="447436E5"/>
    <w:rsid w:val="448413EF"/>
    <w:rsid w:val="44850FAA"/>
    <w:rsid w:val="44A51F46"/>
    <w:rsid w:val="44B1744C"/>
    <w:rsid w:val="44B84AD9"/>
    <w:rsid w:val="44C449A2"/>
    <w:rsid w:val="44C71173"/>
    <w:rsid w:val="44CA5C96"/>
    <w:rsid w:val="44CD566C"/>
    <w:rsid w:val="44D65B97"/>
    <w:rsid w:val="44D835A7"/>
    <w:rsid w:val="44E126EF"/>
    <w:rsid w:val="44E27904"/>
    <w:rsid w:val="44E30B50"/>
    <w:rsid w:val="44E3310A"/>
    <w:rsid w:val="44E5170E"/>
    <w:rsid w:val="44E80A75"/>
    <w:rsid w:val="44E82FD9"/>
    <w:rsid w:val="44ED1FE5"/>
    <w:rsid w:val="44ED5522"/>
    <w:rsid w:val="44F553F0"/>
    <w:rsid w:val="44F8312D"/>
    <w:rsid w:val="45001A5A"/>
    <w:rsid w:val="45011012"/>
    <w:rsid w:val="450163C4"/>
    <w:rsid w:val="45080501"/>
    <w:rsid w:val="45141883"/>
    <w:rsid w:val="451D7A89"/>
    <w:rsid w:val="4530476F"/>
    <w:rsid w:val="4536569D"/>
    <w:rsid w:val="45446063"/>
    <w:rsid w:val="45532A57"/>
    <w:rsid w:val="45542741"/>
    <w:rsid w:val="455447C8"/>
    <w:rsid w:val="45582A2C"/>
    <w:rsid w:val="455A7E0E"/>
    <w:rsid w:val="4563572B"/>
    <w:rsid w:val="457513F9"/>
    <w:rsid w:val="458F291F"/>
    <w:rsid w:val="45913867"/>
    <w:rsid w:val="45A44FCC"/>
    <w:rsid w:val="45A62B55"/>
    <w:rsid w:val="45A84067"/>
    <w:rsid w:val="45A86689"/>
    <w:rsid w:val="45A92276"/>
    <w:rsid w:val="45B24E60"/>
    <w:rsid w:val="45D72FA0"/>
    <w:rsid w:val="4611057D"/>
    <w:rsid w:val="4613055E"/>
    <w:rsid w:val="461558D3"/>
    <w:rsid w:val="46231865"/>
    <w:rsid w:val="46274AE0"/>
    <w:rsid w:val="46424FAF"/>
    <w:rsid w:val="465332A9"/>
    <w:rsid w:val="465E7F6C"/>
    <w:rsid w:val="46612E08"/>
    <w:rsid w:val="46627C97"/>
    <w:rsid w:val="46652766"/>
    <w:rsid w:val="467750AA"/>
    <w:rsid w:val="46812E8C"/>
    <w:rsid w:val="46871696"/>
    <w:rsid w:val="46876D1B"/>
    <w:rsid w:val="468F7A2D"/>
    <w:rsid w:val="46940D4D"/>
    <w:rsid w:val="46950440"/>
    <w:rsid w:val="469C4D19"/>
    <w:rsid w:val="46A54462"/>
    <w:rsid w:val="46B24E11"/>
    <w:rsid w:val="46BF378C"/>
    <w:rsid w:val="46D34F6C"/>
    <w:rsid w:val="46E51874"/>
    <w:rsid w:val="46EB2213"/>
    <w:rsid w:val="46EE2362"/>
    <w:rsid w:val="46EF66F3"/>
    <w:rsid w:val="46F10B84"/>
    <w:rsid w:val="46F768F0"/>
    <w:rsid w:val="46F806C5"/>
    <w:rsid w:val="46FC0EBD"/>
    <w:rsid w:val="470854A3"/>
    <w:rsid w:val="470C73FD"/>
    <w:rsid w:val="470F6B3A"/>
    <w:rsid w:val="47126846"/>
    <w:rsid w:val="47130A60"/>
    <w:rsid w:val="47131834"/>
    <w:rsid w:val="47144CEC"/>
    <w:rsid w:val="47151D49"/>
    <w:rsid w:val="471531E8"/>
    <w:rsid w:val="472A7FC9"/>
    <w:rsid w:val="473037F8"/>
    <w:rsid w:val="47310FB3"/>
    <w:rsid w:val="473134B0"/>
    <w:rsid w:val="4732065E"/>
    <w:rsid w:val="47394CCA"/>
    <w:rsid w:val="473B2049"/>
    <w:rsid w:val="4745171D"/>
    <w:rsid w:val="475540A8"/>
    <w:rsid w:val="476845ED"/>
    <w:rsid w:val="476A4FBB"/>
    <w:rsid w:val="476D0112"/>
    <w:rsid w:val="477251F9"/>
    <w:rsid w:val="477D63DD"/>
    <w:rsid w:val="478E5EE5"/>
    <w:rsid w:val="478F1566"/>
    <w:rsid w:val="479332B4"/>
    <w:rsid w:val="479707DA"/>
    <w:rsid w:val="479A0E06"/>
    <w:rsid w:val="47B12BC5"/>
    <w:rsid w:val="47B3579F"/>
    <w:rsid w:val="47B45C62"/>
    <w:rsid w:val="47B52321"/>
    <w:rsid w:val="47B52F49"/>
    <w:rsid w:val="47B61F2C"/>
    <w:rsid w:val="47B934B3"/>
    <w:rsid w:val="47CD3DB3"/>
    <w:rsid w:val="47DD6B92"/>
    <w:rsid w:val="47DE60F9"/>
    <w:rsid w:val="47E32D26"/>
    <w:rsid w:val="47EA6ECC"/>
    <w:rsid w:val="47EB04DC"/>
    <w:rsid w:val="47EE2700"/>
    <w:rsid w:val="47F37F28"/>
    <w:rsid w:val="47F72A2F"/>
    <w:rsid w:val="47F90097"/>
    <w:rsid w:val="4808433E"/>
    <w:rsid w:val="481A3E2A"/>
    <w:rsid w:val="48204D71"/>
    <w:rsid w:val="4821310E"/>
    <w:rsid w:val="482443F0"/>
    <w:rsid w:val="48283B4A"/>
    <w:rsid w:val="48343B1E"/>
    <w:rsid w:val="484B6D7A"/>
    <w:rsid w:val="48542CD3"/>
    <w:rsid w:val="485E0A12"/>
    <w:rsid w:val="48624277"/>
    <w:rsid w:val="486D7DFE"/>
    <w:rsid w:val="486F264F"/>
    <w:rsid w:val="487627FF"/>
    <w:rsid w:val="48785140"/>
    <w:rsid w:val="487D2BA0"/>
    <w:rsid w:val="4888366A"/>
    <w:rsid w:val="488869DA"/>
    <w:rsid w:val="489E1DC3"/>
    <w:rsid w:val="48A118D4"/>
    <w:rsid w:val="48A27A04"/>
    <w:rsid w:val="48A61BBD"/>
    <w:rsid w:val="48A656B1"/>
    <w:rsid w:val="48AA5CB7"/>
    <w:rsid w:val="48D15993"/>
    <w:rsid w:val="48DA0DDA"/>
    <w:rsid w:val="48DC4E03"/>
    <w:rsid w:val="48E7447D"/>
    <w:rsid w:val="48F914A7"/>
    <w:rsid w:val="49045318"/>
    <w:rsid w:val="49057B6D"/>
    <w:rsid w:val="490A5F57"/>
    <w:rsid w:val="49103883"/>
    <w:rsid w:val="49127C94"/>
    <w:rsid w:val="49297055"/>
    <w:rsid w:val="493545E1"/>
    <w:rsid w:val="493633E3"/>
    <w:rsid w:val="49383134"/>
    <w:rsid w:val="49391494"/>
    <w:rsid w:val="4941749D"/>
    <w:rsid w:val="494D6125"/>
    <w:rsid w:val="49565A9E"/>
    <w:rsid w:val="4958637A"/>
    <w:rsid w:val="4961301C"/>
    <w:rsid w:val="49687BEB"/>
    <w:rsid w:val="49773475"/>
    <w:rsid w:val="4983209A"/>
    <w:rsid w:val="498738A4"/>
    <w:rsid w:val="49921D9F"/>
    <w:rsid w:val="499628E2"/>
    <w:rsid w:val="49976D25"/>
    <w:rsid w:val="49990E03"/>
    <w:rsid w:val="49A04311"/>
    <w:rsid w:val="49AF05D4"/>
    <w:rsid w:val="49B50C77"/>
    <w:rsid w:val="49BB5E78"/>
    <w:rsid w:val="49C059A2"/>
    <w:rsid w:val="49CA1A45"/>
    <w:rsid w:val="49CD2884"/>
    <w:rsid w:val="49D54271"/>
    <w:rsid w:val="49DA5E73"/>
    <w:rsid w:val="49DB3AE3"/>
    <w:rsid w:val="49DF10B3"/>
    <w:rsid w:val="49E2628E"/>
    <w:rsid w:val="49E553A5"/>
    <w:rsid w:val="49EF1908"/>
    <w:rsid w:val="49F10392"/>
    <w:rsid w:val="4A002F02"/>
    <w:rsid w:val="4A0044E3"/>
    <w:rsid w:val="4A042D32"/>
    <w:rsid w:val="4A0F0396"/>
    <w:rsid w:val="4A0F1A4B"/>
    <w:rsid w:val="4A157E54"/>
    <w:rsid w:val="4A181554"/>
    <w:rsid w:val="4A182B73"/>
    <w:rsid w:val="4A193C76"/>
    <w:rsid w:val="4A223BB6"/>
    <w:rsid w:val="4A227447"/>
    <w:rsid w:val="4A287AF3"/>
    <w:rsid w:val="4A331404"/>
    <w:rsid w:val="4A43694D"/>
    <w:rsid w:val="4A5160E3"/>
    <w:rsid w:val="4A584618"/>
    <w:rsid w:val="4A5F7F12"/>
    <w:rsid w:val="4A65003B"/>
    <w:rsid w:val="4A714C9D"/>
    <w:rsid w:val="4A734D6C"/>
    <w:rsid w:val="4A7B785F"/>
    <w:rsid w:val="4A7C3591"/>
    <w:rsid w:val="4A8118A3"/>
    <w:rsid w:val="4A89054D"/>
    <w:rsid w:val="4A9362BC"/>
    <w:rsid w:val="4AAB4882"/>
    <w:rsid w:val="4AAD420A"/>
    <w:rsid w:val="4AB706B6"/>
    <w:rsid w:val="4ABF46DC"/>
    <w:rsid w:val="4AC52D27"/>
    <w:rsid w:val="4AC77117"/>
    <w:rsid w:val="4AD0449E"/>
    <w:rsid w:val="4AD44EBD"/>
    <w:rsid w:val="4ADB21FF"/>
    <w:rsid w:val="4ADC068B"/>
    <w:rsid w:val="4AE10A3B"/>
    <w:rsid w:val="4AE16B44"/>
    <w:rsid w:val="4AEC7087"/>
    <w:rsid w:val="4AEE5ABF"/>
    <w:rsid w:val="4AF02888"/>
    <w:rsid w:val="4AF07CA8"/>
    <w:rsid w:val="4AF15D2A"/>
    <w:rsid w:val="4AF865EE"/>
    <w:rsid w:val="4B0C20F7"/>
    <w:rsid w:val="4B137FB6"/>
    <w:rsid w:val="4B181D35"/>
    <w:rsid w:val="4B1D1A93"/>
    <w:rsid w:val="4B3017D2"/>
    <w:rsid w:val="4B347DD6"/>
    <w:rsid w:val="4B3C4439"/>
    <w:rsid w:val="4B487EEE"/>
    <w:rsid w:val="4B4A57D0"/>
    <w:rsid w:val="4B5979FA"/>
    <w:rsid w:val="4B6556B5"/>
    <w:rsid w:val="4B6639BB"/>
    <w:rsid w:val="4B694E6F"/>
    <w:rsid w:val="4B6D4507"/>
    <w:rsid w:val="4B710449"/>
    <w:rsid w:val="4B9521D2"/>
    <w:rsid w:val="4B9C3537"/>
    <w:rsid w:val="4B9D0D3B"/>
    <w:rsid w:val="4B9D364E"/>
    <w:rsid w:val="4B9E6D44"/>
    <w:rsid w:val="4BA03C18"/>
    <w:rsid w:val="4BA5611F"/>
    <w:rsid w:val="4BAF6473"/>
    <w:rsid w:val="4BBC7FA8"/>
    <w:rsid w:val="4BBE2C5F"/>
    <w:rsid w:val="4BBF4666"/>
    <w:rsid w:val="4BC16BC4"/>
    <w:rsid w:val="4BD86E07"/>
    <w:rsid w:val="4BDB5983"/>
    <w:rsid w:val="4BDF673C"/>
    <w:rsid w:val="4BEC0092"/>
    <w:rsid w:val="4BEC5832"/>
    <w:rsid w:val="4C01400A"/>
    <w:rsid w:val="4C065B7D"/>
    <w:rsid w:val="4C083159"/>
    <w:rsid w:val="4C096439"/>
    <w:rsid w:val="4C0F05EF"/>
    <w:rsid w:val="4C127960"/>
    <w:rsid w:val="4C1445D7"/>
    <w:rsid w:val="4C144643"/>
    <w:rsid w:val="4C1B09BF"/>
    <w:rsid w:val="4C1D2277"/>
    <w:rsid w:val="4C2108F0"/>
    <w:rsid w:val="4C267901"/>
    <w:rsid w:val="4C2D4590"/>
    <w:rsid w:val="4C3113B9"/>
    <w:rsid w:val="4C317A24"/>
    <w:rsid w:val="4C3A18B3"/>
    <w:rsid w:val="4C481B60"/>
    <w:rsid w:val="4C485C7A"/>
    <w:rsid w:val="4C4A7147"/>
    <w:rsid w:val="4C4C4C09"/>
    <w:rsid w:val="4C4F52C8"/>
    <w:rsid w:val="4C5917A1"/>
    <w:rsid w:val="4C5931BC"/>
    <w:rsid w:val="4C64123B"/>
    <w:rsid w:val="4C6737FC"/>
    <w:rsid w:val="4C6C11A1"/>
    <w:rsid w:val="4C6D43FB"/>
    <w:rsid w:val="4C6D4D88"/>
    <w:rsid w:val="4C6E7CC1"/>
    <w:rsid w:val="4C70329D"/>
    <w:rsid w:val="4C7702C5"/>
    <w:rsid w:val="4C7B4B2C"/>
    <w:rsid w:val="4C894042"/>
    <w:rsid w:val="4C961973"/>
    <w:rsid w:val="4C962A7B"/>
    <w:rsid w:val="4CA14D68"/>
    <w:rsid w:val="4CB97452"/>
    <w:rsid w:val="4CBE5105"/>
    <w:rsid w:val="4CD06C42"/>
    <w:rsid w:val="4CD14C69"/>
    <w:rsid w:val="4CD42411"/>
    <w:rsid w:val="4CD95B33"/>
    <w:rsid w:val="4CE3223E"/>
    <w:rsid w:val="4CED3F58"/>
    <w:rsid w:val="4CF32C1E"/>
    <w:rsid w:val="4D034939"/>
    <w:rsid w:val="4D2D3483"/>
    <w:rsid w:val="4D2E16FC"/>
    <w:rsid w:val="4D44121E"/>
    <w:rsid w:val="4D466F25"/>
    <w:rsid w:val="4D4D5E17"/>
    <w:rsid w:val="4D545754"/>
    <w:rsid w:val="4D5F33C4"/>
    <w:rsid w:val="4D735C5D"/>
    <w:rsid w:val="4D737826"/>
    <w:rsid w:val="4D8437BB"/>
    <w:rsid w:val="4D901DC0"/>
    <w:rsid w:val="4D924131"/>
    <w:rsid w:val="4D9320E2"/>
    <w:rsid w:val="4D935E18"/>
    <w:rsid w:val="4D9E1966"/>
    <w:rsid w:val="4DA14324"/>
    <w:rsid w:val="4DAB0F36"/>
    <w:rsid w:val="4DB1109B"/>
    <w:rsid w:val="4DB1540C"/>
    <w:rsid w:val="4DB3375E"/>
    <w:rsid w:val="4DBB2944"/>
    <w:rsid w:val="4DBD7C0A"/>
    <w:rsid w:val="4DBE787A"/>
    <w:rsid w:val="4DC21CED"/>
    <w:rsid w:val="4DDE4A8E"/>
    <w:rsid w:val="4DDF4058"/>
    <w:rsid w:val="4DE464F1"/>
    <w:rsid w:val="4DE83E02"/>
    <w:rsid w:val="4DEA7970"/>
    <w:rsid w:val="4DEB0608"/>
    <w:rsid w:val="4DF47DC2"/>
    <w:rsid w:val="4DF772A8"/>
    <w:rsid w:val="4DFA3A1E"/>
    <w:rsid w:val="4E040AA6"/>
    <w:rsid w:val="4E0E7657"/>
    <w:rsid w:val="4E1015D7"/>
    <w:rsid w:val="4E2669E5"/>
    <w:rsid w:val="4E267CE6"/>
    <w:rsid w:val="4E2E4938"/>
    <w:rsid w:val="4E355EDB"/>
    <w:rsid w:val="4E357B49"/>
    <w:rsid w:val="4E3C0C9A"/>
    <w:rsid w:val="4E3D64D1"/>
    <w:rsid w:val="4E413A53"/>
    <w:rsid w:val="4E466CF9"/>
    <w:rsid w:val="4E4E42B6"/>
    <w:rsid w:val="4E4F2459"/>
    <w:rsid w:val="4E5318BE"/>
    <w:rsid w:val="4E54426F"/>
    <w:rsid w:val="4E567AE8"/>
    <w:rsid w:val="4E5D7B17"/>
    <w:rsid w:val="4E612563"/>
    <w:rsid w:val="4E626A11"/>
    <w:rsid w:val="4E7E0C59"/>
    <w:rsid w:val="4E8F019A"/>
    <w:rsid w:val="4E9C4EF1"/>
    <w:rsid w:val="4EA137D9"/>
    <w:rsid w:val="4EB60D42"/>
    <w:rsid w:val="4EBB1D99"/>
    <w:rsid w:val="4EC75F89"/>
    <w:rsid w:val="4ECA4A6C"/>
    <w:rsid w:val="4ECD77DE"/>
    <w:rsid w:val="4EE32233"/>
    <w:rsid w:val="4EE62E49"/>
    <w:rsid w:val="4EF13D1F"/>
    <w:rsid w:val="4F0C4375"/>
    <w:rsid w:val="4F156AE2"/>
    <w:rsid w:val="4F1B0EDE"/>
    <w:rsid w:val="4F1C3AAC"/>
    <w:rsid w:val="4F1D0B62"/>
    <w:rsid w:val="4F1E7F2F"/>
    <w:rsid w:val="4F22445B"/>
    <w:rsid w:val="4F253761"/>
    <w:rsid w:val="4F2630BC"/>
    <w:rsid w:val="4F2C4F93"/>
    <w:rsid w:val="4F2E05FA"/>
    <w:rsid w:val="4F33423E"/>
    <w:rsid w:val="4F360838"/>
    <w:rsid w:val="4F4515B2"/>
    <w:rsid w:val="4F470665"/>
    <w:rsid w:val="4F520D42"/>
    <w:rsid w:val="4F542313"/>
    <w:rsid w:val="4F6D5811"/>
    <w:rsid w:val="4F774169"/>
    <w:rsid w:val="4F791B2A"/>
    <w:rsid w:val="4F7B5976"/>
    <w:rsid w:val="4F884149"/>
    <w:rsid w:val="4F8F1B81"/>
    <w:rsid w:val="4F944DA4"/>
    <w:rsid w:val="4F9E4D17"/>
    <w:rsid w:val="4FA65866"/>
    <w:rsid w:val="4FAA2083"/>
    <w:rsid w:val="4FAF6F57"/>
    <w:rsid w:val="4FB33DC4"/>
    <w:rsid w:val="4FB83CFF"/>
    <w:rsid w:val="4FBF54F6"/>
    <w:rsid w:val="4FC30E50"/>
    <w:rsid w:val="4FC42654"/>
    <w:rsid w:val="4FC57A53"/>
    <w:rsid w:val="4FC92166"/>
    <w:rsid w:val="4FDD2047"/>
    <w:rsid w:val="4FDE6CB2"/>
    <w:rsid w:val="50022560"/>
    <w:rsid w:val="50057B1E"/>
    <w:rsid w:val="50083FED"/>
    <w:rsid w:val="50085A28"/>
    <w:rsid w:val="50137C27"/>
    <w:rsid w:val="5014114A"/>
    <w:rsid w:val="50152F4E"/>
    <w:rsid w:val="501546BC"/>
    <w:rsid w:val="501F1EEA"/>
    <w:rsid w:val="50254950"/>
    <w:rsid w:val="502A3A79"/>
    <w:rsid w:val="502C33E1"/>
    <w:rsid w:val="502E5FA3"/>
    <w:rsid w:val="503B4DE1"/>
    <w:rsid w:val="503C333D"/>
    <w:rsid w:val="50461611"/>
    <w:rsid w:val="50474191"/>
    <w:rsid w:val="504A2726"/>
    <w:rsid w:val="504B1C4E"/>
    <w:rsid w:val="50552DC9"/>
    <w:rsid w:val="50574CC5"/>
    <w:rsid w:val="505A272D"/>
    <w:rsid w:val="505C7F40"/>
    <w:rsid w:val="505D0CAB"/>
    <w:rsid w:val="50602CD1"/>
    <w:rsid w:val="507F39B4"/>
    <w:rsid w:val="50831B54"/>
    <w:rsid w:val="5084439E"/>
    <w:rsid w:val="509102C1"/>
    <w:rsid w:val="50945480"/>
    <w:rsid w:val="509861A0"/>
    <w:rsid w:val="509B5A1D"/>
    <w:rsid w:val="50C35509"/>
    <w:rsid w:val="50C618C4"/>
    <w:rsid w:val="50C71345"/>
    <w:rsid w:val="50C77C9B"/>
    <w:rsid w:val="50D01214"/>
    <w:rsid w:val="50D70740"/>
    <w:rsid w:val="50EE52C5"/>
    <w:rsid w:val="510A5E33"/>
    <w:rsid w:val="51154351"/>
    <w:rsid w:val="511967B0"/>
    <w:rsid w:val="512F3E94"/>
    <w:rsid w:val="51323F81"/>
    <w:rsid w:val="51382898"/>
    <w:rsid w:val="514D2488"/>
    <w:rsid w:val="51554E3D"/>
    <w:rsid w:val="51601725"/>
    <w:rsid w:val="51623CAD"/>
    <w:rsid w:val="516738EE"/>
    <w:rsid w:val="516815B1"/>
    <w:rsid w:val="516A0E62"/>
    <w:rsid w:val="516B41C9"/>
    <w:rsid w:val="517806EC"/>
    <w:rsid w:val="517B361D"/>
    <w:rsid w:val="517C6DBB"/>
    <w:rsid w:val="517E6FE4"/>
    <w:rsid w:val="518D2735"/>
    <w:rsid w:val="5193426B"/>
    <w:rsid w:val="51961766"/>
    <w:rsid w:val="51983F39"/>
    <w:rsid w:val="519C0C3E"/>
    <w:rsid w:val="51AF3710"/>
    <w:rsid w:val="51AF6EB1"/>
    <w:rsid w:val="51B1435A"/>
    <w:rsid w:val="51B37846"/>
    <w:rsid w:val="51BB6290"/>
    <w:rsid w:val="51C11FA1"/>
    <w:rsid w:val="51C54427"/>
    <w:rsid w:val="51C651A0"/>
    <w:rsid w:val="51D513F1"/>
    <w:rsid w:val="51F3283E"/>
    <w:rsid w:val="51F37163"/>
    <w:rsid w:val="51F82BEA"/>
    <w:rsid w:val="51F873F6"/>
    <w:rsid w:val="520320C2"/>
    <w:rsid w:val="5209031C"/>
    <w:rsid w:val="521C4745"/>
    <w:rsid w:val="521F59AD"/>
    <w:rsid w:val="52233C81"/>
    <w:rsid w:val="522F2375"/>
    <w:rsid w:val="523011D8"/>
    <w:rsid w:val="523449D6"/>
    <w:rsid w:val="523D2807"/>
    <w:rsid w:val="523F48CC"/>
    <w:rsid w:val="52432BF9"/>
    <w:rsid w:val="52436DF9"/>
    <w:rsid w:val="525976E1"/>
    <w:rsid w:val="525B1D2D"/>
    <w:rsid w:val="52600CE6"/>
    <w:rsid w:val="526D1FFE"/>
    <w:rsid w:val="52701540"/>
    <w:rsid w:val="52843C76"/>
    <w:rsid w:val="52882D29"/>
    <w:rsid w:val="52917EF5"/>
    <w:rsid w:val="52933541"/>
    <w:rsid w:val="52A5492E"/>
    <w:rsid w:val="52A61C4C"/>
    <w:rsid w:val="52A66F0D"/>
    <w:rsid w:val="52B20EFD"/>
    <w:rsid w:val="52BB417B"/>
    <w:rsid w:val="52CA6047"/>
    <w:rsid w:val="52CC1F32"/>
    <w:rsid w:val="52CF052F"/>
    <w:rsid w:val="52D546E9"/>
    <w:rsid w:val="52E128B3"/>
    <w:rsid w:val="52E82797"/>
    <w:rsid w:val="52E91345"/>
    <w:rsid w:val="52EA55F1"/>
    <w:rsid w:val="52EF6DC6"/>
    <w:rsid w:val="52F1423C"/>
    <w:rsid w:val="52F816A3"/>
    <w:rsid w:val="52F82A2B"/>
    <w:rsid w:val="52FE3370"/>
    <w:rsid w:val="531216C4"/>
    <w:rsid w:val="53185B55"/>
    <w:rsid w:val="53190F52"/>
    <w:rsid w:val="531E26A9"/>
    <w:rsid w:val="5327044A"/>
    <w:rsid w:val="53393159"/>
    <w:rsid w:val="53410A86"/>
    <w:rsid w:val="53557996"/>
    <w:rsid w:val="5374072A"/>
    <w:rsid w:val="53755C21"/>
    <w:rsid w:val="53781C9B"/>
    <w:rsid w:val="537D0219"/>
    <w:rsid w:val="537D4AE5"/>
    <w:rsid w:val="539125DF"/>
    <w:rsid w:val="53923310"/>
    <w:rsid w:val="53941F2E"/>
    <w:rsid w:val="539A0C51"/>
    <w:rsid w:val="539C518D"/>
    <w:rsid w:val="53A9191C"/>
    <w:rsid w:val="53AA4273"/>
    <w:rsid w:val="53B21993"/>
    <w:rsid w:val="53B958A9"/>
    <w:rsid w:val="53CE10F6"/>
    <w:rsid w:val="53E366A3"/>
    <w:rsid w:val="53E806F9"/>
    <w:rsid w:val="53ED67F3"/>
    <w:rsid w:val="53F5145E"/>
    <w:rsid w:val="53F86AA9"/>
    <w:rsid w:val="53FC2F9A"/>
    <w:rsid w:val="54103275"/>
    <w:rsid w:val="54111277"/>
    <w:rsid w:val="54175A1C"/>
    <w:rsid w:val="54293003"/>
    <w:rsid w:val="54293A06"/>
    <w:rsid w:val="54294AE8"/>
    <w:rsid w:val="544073FC"/>
    <w:rsid w:val="54416B83"/>
    <w:rsid w:val="54446D12"/>
    <w:rsid w:val="544E1751"/>
    <w:rsid w:val="544F2184"/>
    <w:rsid w:val="544F300B"/>
    <w:rsid w:val="54563484"/>
    <w:rsid w:val="545638E3"/>
    <w:rsid w:val="545F4A78"/>
    <w:rsid w:val="546C791F"/>
    <w:rsid w:val="546F7932"/>
    <w:rsid w:val="54726837"/>
    <w:rsid w:val="54805415"/>
    <w:rsid w:val="5492082D"/>
    <w:rsid w:val="5493415B"/>
    <w:rsid w:val="54971F7D"/>
    <w:rsid w:val="549E074C"/>
    <w:rsid w:val="54A43936"/>
    <w:rsid w:val="54AB5B46"/>
    <w:rsid w:val="54B35714"/>
    <w:rsid w:val="54B87480"/>
    <w:rsid w:val="54BB14BA"/>
    <w:rsid w:val="54CA45EE"/>
    <w:rsid w:val="54D002E9"/>
    <w:rsid w:val="54D360B6"/>
    <w:rsid w:val="54D7429F"/>
    <w:rsid w:val="54D86FE5"/>
    <w:rsid w:val="54D97878"/>
    <w:rsid w:val="54DE60F9"/>
    <w:rsid w:val="54E323DE"/>
    <w:rsid w:val="54E64388"/>
    <w:rsid w:val="54E77B68"/>
    <w:rsid w:val="54EC69C9"/>
    <w:rsid w:val="54F12A2F"/>
    <w:rsid w:val="54F153DE"/>
    <w:rsid w:val="54F50C1A"/>
    <w:rsid w:val="54F53E9A"/>
    <w:rsid w:val="54FE1121"/>
    <w:rsid w:val="550D230C"/>
    <w:rsid w:val="550E5091"/>
    <w:rsid w:val="5513265F"/>
    <w:rsid w:val="55195A02"/>
    <w:rsid w:val="551F0D2D"/>
    <w:rsid w:val="5520659B"/>
    <w:rsid w:val="552E3D48"/>
    <w:rsid w:val="55304ACC"/>
    <w:rsid w:val="553B7DAD"/>
    <w:rsid w:val="5540507F"/>
    <w:rsid w:val="55443B45"/>
    <w:rsid w:val="556406ED"/>
    <w:rsid w:val="5565741C"/>
    <w:rsid w:val="55657603"/>
    <w:rsid w:val="5565770B"/>
    <w:rsid w:val="557B7D38"/>
    <w:rsid w:val="55801E86"/>
    <w:rsid w:val="558666B8"/>
    <w:rsid w:val="558A35D8"/>
    <w:rsid w:val="558A737A"/>
    <w:rsid w:val="558C1024"/>
    <w:rsid w:val="558C393D"/>
    <w:rsid w:val="558D0081"/>
    <w:rsid w:val="55981C34"/>
    <w:rsid w:val="55996F29"/>
    <w:rsid w:val="55A466A0"/>
    <w:rsid w:val="55A90406"/>
    <w:rsid w:val="55AA45CC"/>
    <w:rsid w:val="55AA4672"/>
    <w:rsid w:val="55C075B3"/>
    <w:rsid w:val="55C41CEA"/>
    <w:rsid w:val="55C70CD9"/>
    <w:rsid w:val="55CE6DC1"/>
    <w:rsid w:val="55D32C0D"/>
    <w:rsid w:val="55E14C48"/>
    <w:rsid w:val="55E66F0D"/>
    <w:rsid w:val="55F40A6E"/>
    <w:rsid w:val="55FA701B"/>
    <w:rsid w:val="55FB67C0"/>
    <w:rsid w:val="56066526"/>
    <w:rsid w:val="5610794A"/>
    <w:rsid w:val="561D2BD7"/>
    <w:rsid w:val="561F28F1"/>
    <w:rsid w:val="5620353A"/>
    <w:rsid w:val="562E79E5"/>
    <w:rsid w:val="5637203A"/>
    <w:rsid w:val="56450C8F"/>
    <w:rsid w:val="56455201"/>
    <w:rsid w:val="56497D0A"/>
    <w:rsid w:val="564B4A60"/>
    <w:rsid w:val="56544541"/>
    <w:rsid w:val="565C3343"/>
    <w:rsid w:val="565F0FAC"/>
    <w:rsid w:val="56650CE4"/>
    <w:rsid w:val="56653F50"/>
    <w:rsid w:val="566645A5"/>
    <w:rsid w:val="56671421"/>
    <w:rsid w:val="56693190"/>
    <w:rsid w:val="566D1110"/>
    <w:rsid w:val="567044A6"/>
    <w:rsid w:val="5677317B"/>
    <w:rsid w:val="567A4B4B"/>
    <w:rsid w:val="567B117E"/>
    <w:rsid w:val="567C2AE4"/>
    <w:rsid w:val="567D2C82"/>
    <w:rsid w:val="56822D1A"/>
    <w:rsid w:val="56841B12"/>
    <w:rsid w:val="568E1D3F"/>
    <w:rsid w:val="569835DC"/>
    <w:rsid w:val="569E05A8"/>
    <w:rsid w:val="56A12160"/>
    <w:rsid w:val="56A91177"/>
    <w:rsid w:val="56AC7AE5"/>
    <w:rsid w:val="56B264F0"/>
    <w:rsid w:val="56B4517E"/>
    <w:rsid w:val="56C604A4"/>
    <w:rsid w:val="56C7045E"/>
    <w:rsid w:val="56DE1DC9"/>
    <w:rsid w:val="56E0724E"/>
    <w:rsid w:val="56E562BA"/>
    <w:rsid w:val="56E85F72"/>
    <w:rsid w:val="56F067B8"/>
    <w:rsid w:val="56F30BA8"/>
    <w:rsid w:val="570024E8"/>
    <w:rsid w:val="570B2962"/>
    <w:rsid w:val="5714284A"/>
    <w:rsid w:val="571C11C7"/>
    <w:rsid w:val="571C1778"/>
    <w:rsid w:val="57234A0C"/>
    <w:rsid w:val="572364C1"/>
    <w:rsid w:val="57253D31"/>
    <w:rsid w:val="572D045F"/>
    <w:rsid w:val="57331A55"/>
    <w:rsid w:val="573B3502"/>
    <w:rsid w:val="57422F6E"/>
    <w:rsid w:val="57445B8D"/>
    <w:rsid w:val="57497731"/>
    <w:rsid w:val="574B3FF0"/>
    <w:rsid w:val="57535F5F"/>
    <w:rsid w:val="57661C8E"/>
    <w:rsid w:val="576B2117"/>
    <w:rsid w:val="576C7670"/>
    <w:rsid w:val="57787228"/>
    <w:rsid w:val="57792805"/>
    <w:rsid w:val="57855426"/>
    <w:rsid w:val="57860E16"/>
    <w:rsid w:val="5789348B"/>
    <w:rsid w:val="578C6B91"/>
    <w:rsid w:val="578F33A7"/>
    <w:rsid w:val="57914433"/>
    <w:rsid w:val="57962392"/>
    <w:rsid w:val="57974556"/>
    <w:rsid w:val="579935B4"/>
    <w:rsid w:val="579A37E9"/>
    <w:rsid w:val="579F2DBE"/>
    <w:rsid w:val="579F43A2"/>
    <w:rsid w:val="57A2592D"/>
    <w:rsid w:val="57A60078"/>
    <w:rsid w:val="57AE576C"/>
    <w:rsid w:val="57B627D2"/>
    <w:rsid w:val="57C7668E"/>
    <w:rsid w:val="57CC46D3"/>
    <w:rsid w:val="57D01146"/>
    <w:rsid w:val="57D22465"/>
    <w:rsid w:val="57D438CE"/>
    <w:rsid w:val="57D44197"/>
    <w:rsid w:val="57DF5C23"/>
    <w:rsid w:val="57E5006C"/>
    <w:rsid w:val="57E61BB2"/>
    <w:rsid w:val="57E7361F"/>
    <w:rsid w:val="57E9151C"/>
    <w:rsid w:val="57EB227C"/>
    <w:rsid w:val="57FD7335"/>
    <w:rsid w:val="58010809"/>
    <w:rsid w:val="580D5E6B"/>
    <w:rsid w:val="58101251"/>
    <w:rsid w:val="58150BC0"/>
    <w:rsid w:val="58264BE2"/>
    <w:rsid w:val="583064F4"/>
    <w:rsid w:val="58354CFA"/>
    <w:rsid w:val="58367FEB"/>
    <w:rsid w:val="58383845"/>
    <w:rsid w:val="583B56DB"/>
    <w:rsid w:val="583B65A8"/>
    <w:rsid w:val="584F50FE"/>
    <w:rsid w:val="58513581"/>
    <w:rsid w:val="58545E8D"/>
    <w:rsid w:val="5879481E"/>
    <w:rsid w:val="587B4455"/>
    <w:rsid w:val="587C01A7"/>
    <w:rsid w:val="58940143"/>
    <w:rsid w:val="58A379D6"/>
    <w:rsid w:val="58A4355E"/>
    <w:rsid w:val="58B76F15"/>
    <w:rsid w:val="58B978D7"/>
    <w:rsid w:val="58BE2513"/>
    <w:rsid w:val="58C20A4A"/>
    <w:rsid w:val="58C6056D"/>
    <w:rsid w:val="58C67D6A"/>
    <w:rsid w:val="58D50139"/>
    <w:rsid w:val="58D822E9"/>
    <w:rsid w:val="58E01EBE"/>
    <w:rsid w:val="58E539C3"/>
    <w:rsid w:val="58E87081"/>
    <w:rsid w:val="58F15E14"/>
    <w:rsid w:val="58F97BB1"/>
    <w:rsid w:val="58FB525C"/>
    <w:rsid w:val="59001507"/>
    <w:rsid w:val="5911189B"/>
    <w:rsid w:val="591E314B"/>
    <w:rsid w:val="59204C12"/>
    <w:rsid w:val="59270B2F"/>
    <w:rsid w:val="59362EB4"/>
    <w:rsid w:val="59384FC4"/>
    <w:rsid w:val="594528EE"/>
    <w:rsid w:val="59453977"/>
    <w:rsid w:val="59467F95"/>
    <w:rsid w:val="594B42D3"/>
    <w:rsid w:val="59520962"/>
    <w:rsid w:val="5952108F"/>
    <w:rsid w:val="595E50C6"/>
    <w:rsid w:val="5970484E"/>
    <w:rsid w:val="597C6C78"/>
    <w:rsid w:val="598520CD"/>
    <w:rsid w:val="598A7AF1"/>
    <w:rsid w:val="59994173"/>
    <w:rsid w:val="59A80A90"/>
    <w:rsid w:val="59A861DC"/>
    <w:rsid w:val="59AD7EFB"/>
    <w:rsid w:val="59B87E8E"/>
    <w:rsid w:val="59C11909"/>
    <w:rsid w:val="59CE1399"/>
    <w:rsid w:val="59CE32A9"/>
    <w:rsid w:val="59DE0A40"/>
    <w:rsid w:val="59E308DD"/>
    <w:rsid w:val="59E31440"/>
    <w:rsid w:val="59EB4E3D"/>
    <w:rsid w:val="59F0089C"/>
    <w:rsid w:val="5A34385E"/>
    <w:rsid w:val="5A3B088A"/>
    <w:rsid w:val="5A4112C0"/>
    <w:rsid w:val="5A4C0EBC"/>
    <w:rsid w:val="5A5669BC"/>
    <w:rsid w:val="5A5A04F2"/>
    <w:rsid w:val="5A5E5C87"/>
    <w:rsid w:val="5A626749"/>
    <w:rsid w:val="5A6514A2"/>
    <w:rsid w:val="5A6E0F01"/>
    <w:rsid w:val="5A725BFE"/>
    <w:rsid w:val="5A737706"/>
    <w:rsid w:val="5A784EE8"/>
    <w:rsid w:val="5A8B29F9"/>
    <w:rsid w:val="5A8C7EE6"/>
    <w:rsid w:val="5A8F065F"/>
    <w:rsid w:val="5A905A15"/>
    <w:rsid w:val="5A9065DE"/>
    <w:rsid w:val="5A911BD9"/>
    <w:rsid w:val="5A987BC7"/>
    <w:rsid w:val="5A9E5170"/>
    <w:rsid w:val="5AA2198C"/>
    <w:rsid w:val="5AA81CBC"/>
    <w:rsid w:val="5AA82891"/>
    <w:rsid w:val="5AAA2F48"/>
    <w:rsid w:val="5AC07A16"/>
    <w:rsid w:val="5AC4619A"/>
    <w:rsid w:val="5AD6543D"/>
    <w:rsid w:val="5AD657D0"/>
    <w:rsid w:val="5AD91210"/>
    <w:rsid w:val="5ADF41C5"/>
    <w:rsid w:val="5AE12F7A"/>
    <w:rsid w:val="5AE3453D"/>
    <w:rsid w:val="5AF26FCC"/>
    <w:rsid w:val="5AFD30B5"/>
    <w:rsid w:val="5B012E68"/>
    <w:rsid w:val="5B0566E5"/>
    <w:rsid w:val="5B123334"/>
    <w:rsid w:val="5B15193B"/>
    <w:rsid w:val="5B1E66C7"/>
    <w:rsid w:val="5B233152"/>
    <w:rsid w:val="5B27628F"/>
    <w:rsid w:val="5B2A62DF"/>
    <w:rsid w:val="5B2F7BF7"/>
    <w:rsid w:val="5B304E6A"/>
    <w:rsid w:val="5B346E5E"/>
    <w:rsid w:val="5B4473F8"/>
    <w:rsid w:val="5B530943"/>
    <w:rsid w:val="5B5944F6"/>
    <w:rsid w:val="5B5C1F9C"/>
    <w:rsid w:val="5B611B98"/>
    <w:rsid w:val="5B6B3AD6"/>
    <w:rsid w:val="5B6D0A20"/>
    <w:rsid w:val="5B6D2E13"/>
    <w:rsid w:val="5B737E13"/>
    <w:rsid w:val="5B7472FC"/>
    <w:rsid w:val="5B791758"/>
    <w:rsid w:val="5B7943ED"/>
    <w:rsid w:val="5B800D03"/>
    <w:rsid w:val="5B896536"/>
    <w:rsid w:val="5B8B7173"/>
    <w:rsid w:val="5B8B7A1A"/>
    <w:rsid w:val="5B920506"/>
    <w:rsid w:val="5B954122"/>
    <w:rsid w:val="5B9A59AF"/>
    <w:rsid w:val="5BA132D6"/>
    <w:rsid w:val="5BAC48F5"/>
    <w:rsid w:val="5BB46D6E"/>
    <w:rsid w:val="5BCB28DF"/>
    <w:rsid w:val="5BD11254"/>
    <w:rsid w:val="5BDE39B4"/>
    <w:rsid w:val="5BE50FDA"/>
    <w:rsid w:val="5BF55B07"/>
    <w:rsid w:val="5C086096"/>
    <w:rsid w:val="5C100914"/>
    <w:rsid w:val="5C1142F9"/>
    <w:rsid w:val="5C1C79E2"/>
    <w:rsid w:val="5C20481F"/>
    <w:rsid w:val="5C2B4C1D"/>
    <w:rsid w:val="5C2B6EE8"/>
    <w:rsid w:val="5C3607D9"/>
    <w:rsid w:val="5C3714F5"/>
    <w:rsid w:val="5C504282"/>
    <w:rsid w:val="5C545176"/>
    <w:rsid w:val="5C5B081E"/>
    <w:rsid w:val="5C604A4F"/>
    <w:rsid w:val="5C627647"/>
    <w:rsid w:val="5C637AA0"/>
    <w:rsid w:val="5C787483"/>
    <w:rsid w:val="5C7F7DD8"/>
    <w:rsid w:val="5C8C1F49"/>
    <w:rsid w:val="5C903462"/>
    <w:rsid w:val="5C9A100D"/>
    <w:rsid w:val="5CA12E58"/>
    <w:rsid w:val="5CA17427"/>
    <w:rsid w:val="5CAC1DDF"/>
    <w:rsid w:val="5CB07100"/>
    <w:rsid w:val="5CB66186"/>
    <w:rsid w:val="5CBB119C"/>
    <w:rsid w:val="5CBE405E"/>
    <w:rsid w:val="5CE644C5"/>
    <w:rsid w:val="5CE76B53"/>
    <w:rsid w:val="5CFA2AAB"/>
    <w:rsid w:val="5CFE5FDA"/>
    <w:rsid w:val="5D014411"/>
    <w:rsid w:val="5D050BBE"/>
    <w:rsid w:val="5D06135A"/>
    <w:rsid w:val="5D0C5649"/>
    <w:rsid w:val="5D122EC4"/>
    <w:rsid w:val="5D1B07D9"/>
    <w:rsid w:val="5D204745"/>
    <w:rsid w:val="5D217C2C"/>
    <w:rsid w:val="5D2A3731"/>
    <w:rsid w:val="5D3068B3"/>
    <w:rsid w:val="5D346540"/>
    <w:rsid w:val="5D3D2607"/>
    <w:rsid w:val="5D4843A5"/>
    <w:rsid w:val="5D575B94"/>
    <w:rsid w:val="5D5C6801"/>
    <w:rsid w:val="5D645E5D"/>
    <w:rsid w:val="5D657385"/>
    <w:rsid w:val="5D67534F"/>
    <w:rsid w:val="5D691DF4"/>
    <w:rsid w:val="5D6E45BB"/>
    <w:rsid w:val="5D7302BE"/>
    <w:rsid w:val="5D7C2CDA"/>
    <w:rsid w:val="5D812CE1"/>
    <w:rsid w:val="5D95602F"/>
    <w:rsid w:val="5DA77089"/>
    <w:rsid w:val="5DA96EDE"/>
    <w:rsid w:val="5DB209BB"/>
    <w:rsid w:val="5DC21AF5"/>
    <w:rsid w:val="5DCB07AD"/>
    <w:rsid w:val="5DD929C6"/>
    <w:rsid w:val="5DDA3105"/>
    <w:rsid w:val="5DE07464"/>
    <w:rsid w:val="5DE24EBB"/>
    <w:rsid w:val="5DE73570"/>
    <w:rsid w:val="5E032E84"/>
    <w:rsid w:val="5E190867"/>
    <w:rsid w:val="5E1F46F7"/>
    <w:rsid w:val="5E1F5DED"/>
    <w:rsid w:val="5E3B094D"/>
    <w:rsid w:val="5E4A4C64"/>
    <w:rsid w:val="5E4D60B2"/>
    <w:rsid w:val="5E53536F"/>
    <w:rsid w:val="5E58198B"/>
    <w:rsid w:val="5E5C5396"/>
    <w:rsid w:val="5E625FE7"/>
    <w:rsid w:val="5E686381"/>
    <w:rsid w:val="5E6A0B52"/>
    <w:rsid w:val="5E6A1FA1"/>
    <w:rsid w:val="5E7C0689"/>
    <w:rsid w:val="5E7C7045"/>
    <w:rsid w:val="5E8036B8"/>
    <w:rsid w:val="5E8850E7"/>
    <w:rsid w:val="5E92554E"/>
    <w:rsid w:val="5EA15856"/>
    <w:rsid w:val="5EA40686"/>
    <w:rsid w:val="5EA75B96"/>
    <w:rsid w:val="5EA77D4A"/>
    <w:rsid w:val="5EAE7045"/>
    <w:rsid w:val="5EB33317"/>
    <w:rsid w:val="5EC46084"/>
    <w:rsid w:val="5EC760F9"/>
    <w:rsid w:val="5ECC248E"/>
    <w:rsid w:val="5ECD507D"/>
    <w:rsid w:val="5EE54138"/>
    <w:rsid w:val="5EE81A3C"/>
    <w:rsid w:val="5EFD4927"/>
    <w:rsid w:val="5EFE0092"/>
    <w:rsid w:val="5F015D79"/>
    <w:rsid w:val="5F031AC6"/>
    <w:rsid w:val="5F0A1A18"/>
    <w:rsid w:val="5F2E08E7"/>
    <w:rsid w:val="5F305E77"/>
    <w:rsid w:val="5F351486"/>
    <w:rsid w:val="5F3C1AA2"/>
    <w:rsid w:val="5F481454"/>
    <w:rsid w:val="5F490892"/>
    <w:rsid w:val="5F493407"/>
    <w:rsid w:val="5F4B3292"/>
    <w:rsid w:val="5F5044B0"/>
    <w:rsid w:val="5F516975"/>
    <w:rsid w:val="5F542783"/>
    <w:rsid w:val="5F5B3CBD"/>
    <w:rsid w:val="5F6E201E"/>
    <w:rsid w:val="5F7039CD"/>
    <w:rsid w:val="5F715276"/>
    <w:rsid w:val="5F74597B"/>
    <w:rsid w:val="5F78300E"/>
    <w:rsid w:val="5F7F56C2"/>
    <w:rsid w:val="5F8048F7"/>
    <w:rsid w:val="5F814F07"/>
    <w:rsid w:val="5F8726F5"/>
    <w:rsid w:val="5F892B7F"/>
    <w:rsid w:val="5F8D3C35"/>
    <w:rsid w:val="5F970D3E"/>
    <w:rsid w:val="5F97312A"/>
    <w:rsid w:val="5F983CBC"/>
    <w:rsid w:val="5F9C7506"/>
    <w:rsid w:val="5FA15A3F"/>
    <w:rsid w:val="5FA77D2A"/>
    <w:rsid w:val="5FAD6792"/>
    <w:rsid w:val="5FAE5168"/>
    <w:rsid w:val="5FBC2952"/>
    <w:rsid w:val="5FC82A54"/>
    <w:rsid w:val="5FC86702"/>
    <w:rsid w:val="5FD501F9"/>
    <w:rsid w:val="5FDD46C1"/>
    <w:rsid w:val="5FE1181D"/>
    <w:rsid w:val="5FE4738E"/>
    <w:rsid w:val="5FE479E9"/>
    <w:rsid w:val="5FEB0FC2"/>
    <w:rsid w:val="5FFA2931"/>
    <w:rsid w:val="600633FF"/>
    <w:rsid w:val="60127C8C"/>
    <w:rsid w:val="6028636E"/>
    <w:rsid w:val="602C1C7E"/>
    <w:rsid w:val="602C5E39"/>
    <w:rsid w:val="602F15D7"/>
    <w:rsid w:val="60353F81"/>
    <w:rsid w:val="60367391"/>
    <w:rsid w:val="6043450B"/>
    <w:rsid w:val="6044207E"/>
    <w:rsid w:val="604F04ED"/>
    <w:rsid w:val="6059582B"/>
    <w:rsid w:val="60602EDF"/>
    <w:rsid w:val="606C589D"/>
    <w:rsid w:val="60821AD2"/>
    <w:rsid w:val="608F6436"/>
    <w:rsid w:val="60954919"/>
    <w:rsid w:val="60990264"/>
    <w:rsid w:val="609A4151"/>
    <w:rsid w:val="609B7B23"/>
    <w:rsid w:val="60AF09A4"/>
    <w:rsid w:val="60C02B70"/>
    <w:rsid w:val="60CE22AD"/>
    <w:rsid w:val="60CF04B3"/>
    <w:rsid w:val="60EE0D41"/>
    <w:rsid w:val="60F20E6C"/>
    <w:rsid w:val="60F75BFE"/>
    <w:rsid w:val="61045F48"/>
    <w:rsid w:val="610A4F2D"/>
    <w:rsid w:val="610F6B8D"/>
    <w:rsid w:val="6116229A"/>
    <w:rsid w:val="611D274A"/>
    <w:rsid w:val="61270AE5"/>
    <w:rsid w:val="612802FF"/>
    <w:rsid w:val="612A6812"/>
    <w:rsid w:val="6139725C"/>
    <w:rsid w:val="613F3F37"/>
    <w:rsid w:val="61444023"/>
    <w:rsid w:val="614767D6"/>
    <w:rsid w:val="614A58D5"/>
    <w:rsid w:val="615C06B9"/>
    <w:rsid w:val="61624563"/>
    <w:rsid w:val="61775ECA"/>
    <w:rsid w:val="61946312"/>
    <w:rsid w:val="6196654E"/>
    <w:rsid w:val="619E2AB8"/>
    <w:rsid w:val="61A30D6E"/>
    <w:rsid w:val="61AA64DD"/>
    <w:rsid w:val="61BA662B"/>
    <w:rsid w:val="61CC799A"/>
    <w:rsid w:val="61CE11A0"/>
    <w:rsid w:val="61D646F7"/>
    <w:rsid w:val="61D737E5"/>
    <w:rsid w:val="61EF585B"/>
    <w:rsid w:val="61F826FF"/>
    <w:rsid w:val="61F82EEE"/>
    <w:rsid w:val="620376C1"/>
    <w:rsid w:val="62064997"/>
    <w:rsid w:val="622540FF"/>
    <w:rsid w:val="62284966"/>
    <w:rsid w:val="622B1F78"/>
    <w:rsid w:val="62412055"/>
    <w:rsid w:val="624725C2"/>
    <w:rsid w:val="62482761"/>
    <w:rsid w:val="62495E85"/>
    <w:rsid w:val="6255674C"/>
    <w:rsid w:val="62595E27"/>
    <w:rsid w:val="62605575"/>
    <w:rsid w:val="62706AE7"/>
    <w:rsid w:val="627B1F44"/>
    <w:rsid w:val="628431AC"/>
    <w:rsid w:val="629969C5"/>
    <w:rsid w:val="62B14D53"/>
    <w:rsid w:val="62BB3BC0"/>
    <w:rsid w:val="62BD3C6D"/>
    <w:rsid w:val="62BE7EF7"/>
    <w:rsid w:val="62C53174"/>
    <w:rsid w:val="62DB327F"/>
    <w:rsid w:val="62DE6AEE"/>
    <w:rsid w:val="62DE772C"/>
    <w:rsid w:val="62E51E57"/>
    <w:rsid w:val="62EC5B5A"/>
    <w:rsid w:val="62F74E0E"/>
    <w:rsid w:val="62F82457"/>
    <w:rsid w:val="62F84C78"/>
    <w:rsid w:val="63072C48"/>
    <w:rsid w:val="630979E8"/>
    <w:rsid w:val="630E3F53"/>
    <w:rsid w:val="63115109"/>
    <w:rsid w:val="63132020"/>
    <w:rsid w:val="63173EF0"/>
    <w:rsid w:val="631F5540"/>
    <w:rsid w:val="632674B2"/>
    <w:rsid w:val="63376F15"/>
    <w:rsid w:val="63487367"/>
    <w:rsid w:val="636148FF"/>
    <w:rsid w:val="63647BB5"/>
    <w:rsid w:val="636932A0"/>
    <w:rsid w:val="636E1EAE"/>
    <w:rsid w:val="63701883"/>
    <w:rsid w:val="63751445"/>
    <w:rsid w:val="637936B2"/>
    <w:rsid w:val="63800EFB"/>
    <w:rsid w:val="6382144C"/>
    <w:rsid w:val="639136A8"/>
    <w:rsid w:val="63975FC1"/>
    <w:rsid w:val="639F023F"/>
    <w:rsid w:val="63AA3488"/>
    <w:rsid w:val="63B41A7A"/>
    <w:rsid w:val="63CA0D36"/>
    <w:rsid w:val="63CA4296"/>
    <w:rsid w:val="63CD23EA"/>
    <w:rsid w:val="63D96D2D"/>
    <w:rsid w:val="63E46DF7"/>
    <w:rsid w:val="63EB6D7B"/>
    <w:rsid w:val="63EF0CB8"/>
    <w:rsid w:val="63F6480B"/>
    <w:rsid w:val="63F663B2"/>
    <w:rsid w:val="640B7070"/>
    <w:rsid w:val="640F2448"/>
    <w:rsid w:val="64257CA3"/>
    <w:rsid w:val="642E164E"/>
    <w:rsid w:val="64312CAD"/>
    <w:rsid w:val="64334494"/>
    <w:rsid w:val="643728E2"/>
    <w:rsid w:val="643C7CEF"/>
    <w:rsid w:val="643D3BD0"/>
    <w:rsid w:val="643E0E08"/>
    <w:rsid w:val="64471731"/>
    <w:rsid w:val="645245E0"/>
    <w:rsid w:val="645719A2"/>
    <w:rsid w:val="646E37A6"/>
    <w:rsid w:val="646E3A5D"/>
    <w:rsid w:val="647A0EDC"/>
    <w:rsid w:val="648203A5"/>
    <w:rsid w:val="648502E9"/>
    <w:rsid w:val="648B312E"/>
    <w:rsid w:val="648B6E07"/>
    <w:rsid w:val="64920560"/>
    <w:rsid w:val="64920DDF"/>
    <w:rsid w:val="649649F7"/>
    <w:rsid w:val="649874CE"/>
    <w:rsid w:val="649C1C63"/>
    <w:rsid w:val="64A6423D"/>
    <w:rsid w:val="64A66997"/>
    <w:rsid w:val="64AE6258"/>
    <w:rsid w:val="64C86199"/>
    <w:rsid w:val="64CC36F1"/>
    <w:rsid w:val="64D96C71"/>
    <w:rsid w:val="64DC0C40"/>
    <w:rsid w:val="64E0291C"/>
    <w:rsid w:val="64E1393A"/>
    <w:rsid w:val="64E15785"/>
    <w:rsid w:val="64E761F9"/>
    <w:rsid w:val="64EB2790"/>
    <w:rsid w:val="64EC552E"/>
    <w:rsid w:val="64FD774A"/>
    <w:rsid w:val="64FF6602"/>
    <w:rsid w:val="650A270C"/>
    <w:rsid w:val="650C6C97"/>
    <w:rsid w:val="650D5948"/>
    <w:rsid w:val="651825F2"/>
    <w:rsid w:val="65186986"/>
    <w:rsid w:val="651D3612"/>
    <w:rsid w:val="65325490"/>
    <w:rsid w:val="653436AD"/>
    <w:rsid w:val="65463C96"/>
    <w:rsid w:val="654C1791"/>
    <w:rsid w:val="65577B16"/>
    <w:rsid w:val="655B55A6"/>
    <w:rsid w:val="656536FE"/>
    <w:rsid w:val="6566746A"/>
    <w:rsid w:val="656D6D07"/>
    <w:rsid w:val="65727587"/>
    <w:rsid w:val="657315A7"/>
    <w:rsid w:val="65775AD3"/>
    <w:rsid w:val="657D25A3"/>
    <w:rsid w:val="65823304"/>
    <w:rsid w:val="658767CC"/>
    <w:rsid w:val="65885FE9"/>
    <w:rsid w:val="65900672"/>
    <w:rsid w:val="659731DF"/>
    <w:rsid w:val="659E39F5"/>
    <w:rsid w:val="65A027C3"/>
    <w:rsid w:val="65A1654C"/>
    <w:rsid w:val="65A64BF2"/>
    <w:rsid w:val="65A72520"/>
    <w:rsid w:val="65AD61C2"/>
    <w:rsid w:val="65B36A4A"/>
    <w:rsid w:val="65BF3D89"/>
    <w:rsid w:val="65CE1D4C"/>
    <w:rsid w:val="65D44D4D"/>
    <w:rsid w:val="65D46DDD"/>
    <w:rsid w:val="65D75AFD"/>
    <w:rsid w:val="65DB0B29"/>
    <w:rsid w:val="65DC3B98"/>
    <w:rsid w:val="65E75FB6"/>
    <w:rsid w:val="6604168F"/>
    <w:rsid w:val="66055086"/>
    <w:rsid w:val="66091F7D"/>
    <w:rsid w:val="660C7C2E"/>
    <w:rsid w:val="66123DE5"/>
    <w:rsid w:val="66207913"/>
    <w:rsid w:val="662A6C02"/>
    <w:rsid w:val="662B242A"/>
    <w:rsid w:val="662C4739"/>
    <w:rsid w:val="66394BC8"/>
    <w:rsid w:val="6640371A"/>
    <w:rsid w:val="6641615E"/>
    <w:rsid w:val="664E6DB3"/>
    <w:rsid w:val="66651758"/>
    <w:rsid w:val="666A3864"/>
    <w:rsid w:val="666B4048"/>
    <w:rsid w:val="667376C9"/>
    <w:rsid w:val="667E3B83"/>
    <w:rsid w:val="667F40A4"/>
    <w:rsid w:val="6689457C"/>
    <w:rsid w:val="668E0570"/>
    <w:rsid w:val="668E7280"/>
    <w:rsid w:val="66990B24"/>
    <w:rsid w:val="66A76E7D"/>
    <w:rsid w:val="66AA6445"/>
    <w:rsid w:val="66AB67D7"/>
    <w:rsid w:val="66B156FE"/>
    <w:rsid w:val="66B9070E"/>
    <w:rsid w:val="66CC72A5"/>
    <w:rsid w:val="66CE4357"/>
    <w:rsid w:val="66D267E2"/>
    <w:rsid w:val="66D95B4B"/>
    <w:rsid w:val="66DA284C"/>
    <w:rsid w:val="66E22E06"/>
    <w:rsid w:val="66E5245D"/>
    <w:rsid w:val="66F66451"/>
    <w:rsid w:val="66F756DF"/>
    <w:rsid w:val="66FD49F4"/>
    <w:rsid w:val="66FF37C2"/>
    <w:rsid w:val="670656A2"/>
    <w:rsid w:val="670C330D"/>
    <w:rsid w:val="671756EC"/>
    <w:rsid w:val="67177933"/>
    <w:rsid w:val="67181150"/>
    <w:rsid w:val="671D1B53"/>
    <w:rsid w:val="67246302"/>
    <w:rsid w:val="67270ECA"/>
    <w:rsid w:val="672A0E93"/>
    <w:rsid w:val="67340015"/>
    <w:rsid w:val="6737622D"/>
    <w:rsid w:val="673D6BB4"/>
    <w:rsid w:val="6740215B"/>
    <w:rsid w:val="674602FD"/>
    <w:rsid w:val="67496B26"/>
    <w:rsid w:val="675B2000"/>
    <w:rsid w:val="676A34A5"/>
    <w:rsid w:val="676E4318"/>
    <w:rsid w:val="67777380"/>
    <w:rsid w:val="677909E8"/>
    <w:rsid w:val="6780629E"/>
    <w:rsid w:val="678B5FBF"/>
    <w:rsid w:val="678B697A"/>
    <w:rsid w:val="67A4383A"/>
    <w:rsid w:val="67B44E97"/>
    <w:rsid w:val="67BA08A0"/>
    <w:rsid w:val="67CC45D3"/>
    <w:rsid w:val="67D169A8"/>
    <w:rsid w:val="67E03EAB"/>
    <w:rsid w:val="67EB3F97"/>
    <w:rsid w:val="67F97C2E"/>
    <w:rsid w:val="680609CA"/>
    <w:rsid w:val="68102EF2"/>
    <w:rsid w:val="682729E3"/>
    <w:rsid w:val="68276C3E"/>
    <w:rsid w:val="68284FEF"/>
    <w:rsid w:val="682A5DC7"/>
    <w:rsid w:val="68363DC7"/>
    <w:rsid w:val="68385438"/>
    <w:rsid w:val="684054C9"/>
    <w:rsid w:val="68413C35"/>
    <w:rsid w:val="68482216"/>
    <w:rsid w:val="68557680"/>
    <w:rsid w:val="6856299C"/>
    <w:rsid w:val="68690CA2"/>
    <w:rsid w:val="686E028E"/>
    <w:rsid w:val="686E570B"/>
    <w:rsid w:val="68853B79"/>
    <w:rsid w:val="688562FC"/>
    <w:rsid w:val="688A509E"/>
    <w:rsid w:val="68904B20"/>
    <w:rsid w:val="68907E1D"/>
    <w:rsid w:val="68937D85"/>
    <w:rsid w:val="689A16A6"/>
    <w:rsid w:val="68A2204E"/>
    <w:rsid w:val="68A6561D"/>
    <w:rsid w:val="68A92453"/>
    <w:rsid w:val="68B51ECC"/>
    <w:rsid w:val="68B733C6"/>
    <w:rsid w:val="68BC6861"/>
    <w:rsid w:val="68C75ADE"/>
    <w:rsid w:val="68D250EB"/>
    <w:rsid w:val="68D4412D"/>
    <w:rsid w:val="68E877AA"/>
    <w:rsid w:val="68E919EA"/>
    <w:rsid w:val="68EF6B9C"/>
    <w:rsid w:val="68F052D4"/>
    <w:rsid w:val="68F10C07"/>
    <w:rsid w:val="68F93756"/>
    <w:rsid w:val="690C258E"/>
    <w:rsid w:val="69150B99"/>
    <w:rsid w:val="69167992"/>
    <w:rsid w:val="691D14E8"/>
    <w:rsid w:val="692039CE"/>
    <w:rsid w:val="692D4368"/>
    <w:rsid w:val="692F3514"/>
    <w:rsid w:val="693C11DC"/>
    <w:rsid w:val="693C78DD"/>
    <w:rsid w:val="69407C87"/>
    <w:rsid w:val="694C0A15"/>
    <w:rsid w:val="694C2E52"/>
    <w:rsid w:val="69592AD6"/>
    <w:rsid w:val="695B427C"/>
    <w:rsid w:val="6970409E"/>
    <w:rsid w:val="69793C67"/>
    <w:rsid w:val="697D34EC"/>
    <w:rsid w:val="69831431"/>
    <w:rsid w:val="698323DF"/>
    <w:rsid w:val="698B5CCE"/>
    <w:rsid w:val="698F5BA3"/>
    <w:rsid w:val="698F6463"/>
    <w:rsid w:val="6990472F"/>
    <w:rsid w:val="69A9237A"/>
    <w:rsid w:val="69B34AC1"/>
    <w:rsid w:val="69C74DFD"/>
    <w:rsid w:val="69DC1949"/>
    <w:rsid w:val="69DC4A06"/>
    <w:rsid w:val="69EA2EDC"/>
    <w:rsid w:val="69EC056C"/>
    <w:rsid w:val="69F074D1"/>
    <w:rsid w:val="69F95943"/>
    <w:rsid w:val="69FD3943"/>
    <w:rsid w:val="6A057ED6"/>
    <w:rsid w:val="6A224BE1"/>
    <w:rsid w:val="6A23414D"/>
    <w:rsid w:val="6A2918A2"/>
    <w:rsid w:val="6A2D12E4"/>
    <w:rsid w:val="6A2E6204"/>
    <w:rsid w:val="6A2F27D1"/>
    <w:rsid w:val="6A32332B"/>
    <w:rsid w:val="6A3C7A92"/>
    <w:rsid w:val="6A3D1119"/>
    <w:rsid w:val="6A4A78A8"/>
    <w:rsid w:val="6A651219"/>
    <w:rsid w:val="6A665C6B"/>
    <w:rsid w:val="6A6B0B03"/>
    <w:rsid w:val="6A70452A"/>
    <w:rsid w:val="6A7521D0"/>
    <w:rsid w:val="6A775C98"/>
    <w:rsid w:val="6A8644BA"/>
    <w:rsid w:val="6A864865"/>
    <w:rsid w:val="6A896DC2"/>
    <w:rsid w:val="6A8F46D2"/>
    <w:rsid w:val="6A8F62CC"/>
    <w:rsid w:val="6A8F75F2"/>
    <w:rsid w:val="6A9040D6"/>
    <w:rsid w:val="6A9816FA"/>
    <w:rsid w:val="6A9B4535"/>
    <w:rsid w:val="6AA01FAD"/>
    <w:rsid w:val="6AA13B7A"/>
    <w:rsid w:val="6AA453C0"/>
    <w:rsid w:val="6AAB5E26"/>
    <w:rsid w:val="6AB43942"/>
    <w:rsid w:val="6AB5174C"/>
    <w:rsid w:val="6ABD1E22"/>
    <w:rsid w:val="6ACD10CC"/>
    <w:rsid w:val="6ACE1AC6"/>
    <w:rsid w:val="6AD37528"/>
    <w:rsid w:val="6AD677EB"/>
    <w:rsid w:val="6AD9024D"/>
    <w:rsid w:val="6AE46B40"/>
    <w:rsid w:val="6AE67042"/>
    <w:rsid w:val="6AE838FD"/>
    <w:rsid w:val="6AE92CFD"/>
    <w:rsid w:val="6AEA3995"/>
    <w:rsid w:val="6AF137A3"/>
    <w:rsid w:val="6AF664F1"/>
    <w:rsid w:val="6B063A63"/>
    <w:rsid w:val="6B06541E"/>
    <w:rsid w:val="6B0A7641"/>
    <w:rsid w:val="6B0B53F4"/>
    <w:rsid w:val="6B0C09BA"/>
    <w:rsid w:val="6B0E015F"/>
    <w:rsid w:val="6B0E7B68"/>
    <w:rsid w:val="6B17407B"/>
    <w:rsid w:val="6B1C27EA"/>
    <w:rsid w:val="6B385CA8"/>
    <w:rsid w:val="6B394804"/>
    <w:rsid w:val="6B3F7B96"/>
    <w:rsid w:val="6B4114CA"/>
    <w:rsid w:val="6B4B26ED"/>
    <w:rsid w:val="6B4E17E7"/>
    <w:rsid w:val="6B5826EB"/>
    <w:rsid w:val="6B5D34D5"/>
    <w:rsid w:val="6B5F0CD1"/>
    <w:rsid w:val="6B624A09"/>
    <w:rsid w:val="6B63771B"/>
    <w:rsid w:val="6B693394"/>
    <w:rsid w:val="6B6B76E7"/>
    <w:rsid w:val="6B6D1BC6"/>
    <w:rsid w:val="6B6E1C19"/>
    <w:rsid w:val="6B705559"/>
    <w:rsid w:val="6B74553F"/>
    <w:rsid w:val="6B7B4BC0"/>
    <w:rsid w:val="6B830463"/>
    <w:rsid w:val="6B942B2B"/>
    <w:rsid w:val="6B9A571D"/>
    <w:rsid w:val="6B9F20A5"/>
    <w:rsid w:val="6BBC7434"/>
    <w:rsid w:val="6BC06846"/>
    <w:rsid w:val="6BCD2493"/>
    <w:rsid w:val="6BD429EE"/>
    <w:rsid w:val="6BDE3F70"/>
    <w:rsid w:val="6BE63C45"/>
    <w:rsid w:val="6BE77FC0"/>
    <w:rsid w:val="6BEA743B"/>
    <w:rsid w:val="6BFC6CD9"/>
    <w:rsid w:val="6C061C00"/>
    <w:rsid w:val="6C19646D"/>
    <w:rsid w:val="6C1E6253"/>
    <w:rsid w:val="6C1F1D07"/>
    <w:rsid w:val="6C206742"/>
    <w:rsid w:val="6C221A6D"/>
    <w:rsid w:val="6C264D2C"/>
    <w:rsid w:val="6C352FCF"/>
    <w:rsid w:val="6C355D2F"/>
    <w:rsid w:val="6C396FA3"/>
    <w:rsid w:val="6C3B4ED9"/>
    <w:rsid w:val="6C3C60D9"/>
    <w:rsid w:val="6C410D83"/>
    <w:rsid w:val="6C500E63"/>
    <w:rsid w:val="6C617EFF"/>
    <w:rsid w:val="6C697FB9"/>
    <w:rsid w:val="6C6C279D"/>
    <w:rsid w:val="6C703D3A"/>
    <w:rsid w:val="6C800C8B"/>
    <w:rsid w:val="6C843201"/>
    <w:rsid w:val="6C8C1B21"/>
    <w:rsid w:val="6C9D4055"/>
    <w:rsid w:val="6CA51464"/>
    <w:rsid w:val="6CA5292F"/>
    <w:rsid w:val="6CA75AD3"/>
    <w:rsid w:val="6CB92961"/>
    <w:rsid w:val="6CBA5FA8"/>
    <w:rsid w:val="6CBC7748"/>
    <w:rsid w:val="6CC86379"/>
    <w:rsid w:val="6CC956AD"/>
    <w:rsid w:val="6CCC609E"/>
    <w:rsid w:val="6CCE60CF"/>
    <w:rsid w:val="6CD41B7B"/>
    <w:rsid w:val="6CDD57A2"/>
    <w:rsid w:val="6CED0BAB"/>
    <w:rsid w:val="6CF13F39"/>
    <w:rsid w:val="6CF83039"/>
    <w:rsid w:val="6CFD38D8"/>
    <w:rsid w:val="6D027433"/>
    <w:rsid w:val="6D0457DB"/>
    <w:rsid w:val="6D0F55D2"/>
    <w:rsid w:val="6D111829"/>
    <w:rsid w:val="6D1402FC"/>
    <w:rsid w:val="6D1707D9"/>
    <w:rsid w:val="6D1C1027"/>
    <w:rsid w:val="6D201B3B"/>
    <w:rsid w:val="6D275EFC"/>
    <w:rsid w:val="6D28657A"/>
    <w:rsid w:val="6D29672E"/>
    <w:rsid w:val="6D2D7565"/>
    <w:rsid w:val="6D37574B"/>
    <w:rsid w:val="6D3B1798"/>
    <w:rsid w:val="6D3B4C7A"/>
    <w:rsid w:val="6D3D4558"/>
    <w:rsid w:val="6D3E6D68"/>
    <w:rsid w:val="6D45257C"/>
    <w:rsid w:val="6D454C1B"/>
    <w:rsid w:val="6D454DC8"/>
    <w:rsid w:val="6D472EF1"/>
    <w:rsid w:val="6D474EC7"/>
    <w:rsid w:val="6D4F773F"/>
    <w:rsid w:val="6D5608CE"/>
    <w:rsid w:val="6D6448E6"/>
    <w:rsid w:val="6D6B4379"/>
    <w:rsid w:val="6D724EE6"/>
    <w:rsid w:val="6D7F70E6"/>
    <w:rsid w:val="6D803312"/>
    <w:rsid w:val="6D96498B"/>
    <w:rsid w:val="6D995B1F"/>
    <w:rsid w:val="6DA63865"/>
    <w:rsid w:val="6DB60886"/>
    <w:rsid w:val="6DB76480"/>
    <w:rsid w:val="6DC554C6"/>
    <w:rsid w:val="6DC7169F"/>
    <w:rsid w:val="6DCB41FA"/>
    <w:rsid w:val="6DD45A80"/>
    <w:rsid w:val="6DE95470"/>
    <w:rsid w:val="6DEA07E8"/>
    <w:rsid w:val="6DED486A"/>
    <w:rsid w:val="6DF27AAE"/>
    <w:rsid w:val="6DF3222F"/>
    <w:rsid w:val="6DF41F00"/>
    <w:rsid w:val="6DF6295E"/>
    <w:rsid w:val="6DFA1798"/>
    <w:rsid w:val="6DFA3A09"/>
    <w:rsid w:val="6DFB6ECA"/>
    <w:rsid w:val="6E006E59"/>
    <w:rsid w:val="6E0138F4"/>
    <w:rsid w:val="6E043F22"/>
    <w:rsid w:val="6E066986"/>
    <w:rsid w:val="6E073B72"/>
    <w:rsid w:val="6E084C17"/>
    <w:rsid w:val="6E0B4C01"/>
    <w:rsid w:val="6E0B6B33"/>
    <w:rsid w:val="6E202632"/>
    <w:rsid w:val="6E2535C6"/>
    <w:rsid w:val="6E264E11"/>
    <w:rsid w:val="6E32622F"/>
    <w:rsid w:val="6E490E5A"/>
    <w:rsid w:val="6E4E32E2"/>
    <w:rsid w:val="6E551498"/>
    <w:rsid w:val="6E596140"/>
    <w:rsid w:val="6E5A409C"/>
    <w:rsid w:val="6E5C2AEA"/>
    <w:rsid w:val="6E613CA2"/>
    <w:rsid w:val="6E6231A5"/>
    <w:rsid w:val="6E692B82"/>
    <w:rsid w:val="6E6A4A24"/>
    <w:rsid w:val="6E714588"/>
    <w:rsid w:val="6E7B4AAA"/>
    <w:rsid w:val="6E7F4512"/>
    <w:rsid w:val="6EA33DE8"/>
    <w:rsid w:val="6EB532BD"/>
    <w:rsid w:val="6EBA66FB"/>
    <w:rsid w:val="6ECA4C86"/>
    <w:rsid w:val="6ED70D6C"/>
    <w:rsid w:val="6EDE69D3"/>
    <w:rsid w:val="6EE3737A"/>
    <w:rsid w:val="6EE46938"/>
    <w:rsid w:val="6EE47B6F"/>
    <w:rsid w:val="6EED5EA2"/>
    <w:rsid w:val="6EF11A53"/>
    <w:rsid w:val="6EF17A59"/>
    <w:rsid w:val="6EFA0AB8"/>
    <w:rsid w:val="6EFB556D"/>
    <w:rsid w:val="6EFF2F75"/>
    <w:rsid w:val="6F0C4EDC"/>
    <w:rsid w:val="6F0C55FA"/>
    <w:rsid w:val="6F106B64"/>
    <w:rsid w:val="6F145FE2"/>
    <w:rsid w:val="6F2D7092"/>
    <w:rsid w:val="6F324049"/>
    <w:rsid w:val="6F344667"/>
    <w:rsid w:val="6F390C34"/>
    <w:rsid w:val="6F442AE7"/>
    <w:rsid w:val="6F452228"/>
    <w:rsid w:val="6F462431"/>
    <w:rsid w:val="6F5D1EAC"/>
    <w:rsid w:val="6F5E21BD"/>
    <w:rsid w:val="6F6568C0"/>
    <w:rsid w:val="6F663545"/>
    <w:rsid w:val="6F69753B"/>
    <w:rsid w:val="6F6F6832"/>
    <w:rsid w:val="6F79718E"/>
    <w:rsid w:val="6F7E606E"/>
    <w:rsid w:val="6F881617"/>
    <w:rsid w:val="6F9F469F"/>
    <w:rsid w:val="6FA97041"/>
    <w:rsid w:val="6FBF5459"/>
    <w:rsid w:val="6FC46995"/>
    <w:rsid w:val="6FD34FB8"/>
    <w:rsid w:val="6FD37321"/>
    <w:rsid w:val="6FD703EF"/>
    <w:rsid w:val="6FD739A1"/>
    <w:rsid w:val="6FD87AED"/>
    <w:rsid w:val="6FDB3E27"/>
    <w:rsid w:val="6FDD1374"/>
    <w:rsid w:val="6FE77A84"/>
    <w:rsid w:val="6FE9002B"/>
    <w:rsid w:val="6FF1561D"/>
    <w:rsid w:val="6FF32119"/>
    <w:rsid w:val="7001581F"/>
    <w:rsid w:val="700203B9"/>
    <w:rsid w:val="7006214B"/>
    <w:rsid w:val="701065C6"/>
    <w:rsid w:val="701723E6"/>
    <w:rsid w:val="70196C5B"/>
    <w:rsid w:val="702451B0"/>
    <w:rsid w:val="70246BFF"/>
    <w:rsid w:val="70250EAB"/>
    <w:rsid w:val="702740AF"/>
    <w:rsid w:val="702A0156"/>
    <w:rsid w:val="703473B7"/>
    <w:rsid w:val="7036406A"/>
    <w:rsid w:val="703F236D"/>
    <w:rsid w:val="70490E03"/>
    <w:rsid w:val="70545FEA"/>
    <w:rsid w:val="70550144"/>
    <w:rsid w:val="705B7FF8"/>
    <w:rsid w:val="70603C26"/>
    <w:rsid w:val="706433A5"/>
    <w:rsid w:val="706741B9"/>
    <w:rsid w:val="706E36F3"/>
    <w:rsid w:val="706F66E8"/>
    <w:rsid w:val="70810B64"/>
    <w:rsid w:val="70811760"/>
    <w:rsid w:val="70863023"/>
    <w:rsid w:val="708A6EB6"/>
    <w:rsid w:val="708B67F8"/>
    <w:rsid w:val="708C17AE"/>
    <w:rsid w:val="709603ED"/>
    <w:rsid w:val="70AF6080"/>
    <w:rsid w:val="70B16062"/>
    <w:rsid w:val="70C21C40"/>
    <w:rsid w:val="70C51EB3"/>
    <w:rsid w:val="70D80A7C"/>
    <w:rsid w:val="70DC38DF"/>
    <w:rsid w:val="70DE5999"/>
    <w:rsid w:val="70E6003E"/>
    <w:rsid w:val="70ED5436"/>
    <w:rsid w:val="70EF446C"/>
    <w:rsid w:val="70F460A7"/>
    <w:rsid w:val="70F64CFB"/>
    <w:rsid w:val="71001235"/>
    <w:rsid w:val="710B3FB8"/>
    <w:rsid w:val="710E4C27"/>
    <w:rsid w:val="71170E58"/>
    <w:rsid w:val="71187482"/>
    <w:rsid w:val="711D6537"/>
    <w:rsid w:val="712003A3"/>
    <w:rsid w:val="712B63D6"/>
    <w:rsid w:val="712D628E"/>
    <w:rsid w:val="71325232"/>
    <w:rsid w:val="713A298B"/>
    <w:rsid w:val="713B292D"/>
    <w:rsid w:val="71423D30"/>
    <w:rsid w:val="7146231F"/>
    <w:rsid w:val="71520601"/>
    <w:rsid w:val="715209FC"/>
    <w:rsid w:val="715A4F43"/>
    <w:rsid w:val="715C6C0A"/>
    <w:rsid w:val="7164221B"/>
    <w:rsid w:val="71656494"/>
    <w:rsid w:val="716842E5"/>
    <w:rsid w:val="7177090D"/>
    <w:rsid w:val="717A0A47"/>
    <w:rsid w:val="717D3268"/>
    <w:rsid w:val="71830152"/>
    <w:rsid w:val="71922744"/>
    <w:rsid w:val="719254EA"/>
    <w:rsid w:val="719950AF"/>
    <w:rsid w:val="719D0DF0"/>
    <w:rsid w:val="71B354F7"/>
    <w:rsid w:val="71B933CB"/>
    <w:rsid w:val="71BB71A8"/>
    <w:rsid w:val="71BC25E3"/>
    <w:rsid w:val="71C7722F"/>
    <w:rsid w:val="71D4624D"/>
    <w:rsid w:val="71DB6C0D"/>
    <w:rsid w:val="71E33092"/>
    <w:rsid w:val="71E6503B"/>
    <w:rsid w:val="71E77C9F"/>
    <w:rsid w:val="71E803A5"/>
    <w:rsid w:val="71EE26C5"/>
    <w:rsid w:val="71F320B6"/>
    <w:rsid w:val="71F4531E"/>
    <w:rsid w:val="71FA33FD"/>
    <w:rsid w:val="720C145E"/>
    <w:rsid w:val="720D5EBC"/>
    <w:rsid w:val="72212C8A"/>
    <w:rsid w:val="72275BA6"/>
    <w:rsid w:val="72370133"/>
    <w:rsid w:val="723A22A1"/>
    <w:rsid w:val="723E2897"/>
    <w:rsid w:val="72401991"/>
    <w:rsid w:val="72425C43"/>
    <w:rsid w:val="72444213"/>
    <w:rsid w:val="724501BF"/>
    <w:rsid w:val="72496E17"/>
    <w:rsid w:val="7257045A"/>
    <w:rsid w:val="725735C2"/>
    <w:rsid w:val="72583CDD"/>
    <w:rsid w:val="72615CDC"/>
    <w:rsid w:val="7264351B"/>
    <w:rsid w:val="72761B59"/>
    <w:rsid w:val="727648C0"/>
    <w:rsid w:val="727A4160"/>
    <w:rsid w:val="728F5FBC"/>
    <w:rsid w:val="72901AAC"/>
    <w:rsid w:val="72A35BE8"/>
    <w:rsid w:val="72A4134A"/>
    <w:rsid w:val="72A47BFA"/>
    <w:rsid w:val="72AC5334"/>
    <w:rsid w:val="72AE753D"/>
    <w:rsid w:val="72B51048"/>
    <w:rsid w:val="72B5384C"/>
    <w:rsid w:val="72B8772D"/>
    <w:rsid w:val="72C0773C"/>
    <w:rsid w:val="72C647BD"/>
    <w:rsid w:val="72D462B3"/>
    <w:rsid w:val="72D5308F"/>
    <w:rsid w:val="72D71C00"/>
    <w:rsid w:val="72E43406"/>
    <w:rsid w:val="72E6342D"/>
    <w:rsid w:val="72E71003"/>
    <w:rsid w:val="72EA7094"/>
    <w:rsid w:val="72EA7130"/>
    <w:rsid w:val="72EF275C"/>
    <w:rsid w:val="72F61603"/>
    <w:rsid w:val="72F84C62"/>
    <w:rsid w:val="7305533B"/>
    <w:rsid w:val="731C7205"/>
    <w:rsid w:val="73245429"/>
    <w:rsid w:val="73267CCD"/>
    <w:rsid w:val="73283ED6"/>
    <w:rsid w:val="733855AE"/>
    <w:rsid w:val="733A7930"/>
    <w:rsid w:val="73441AE5"/>
    <w:rsid w:val="73512F95"/>
    <w:rsid w:val="73540724"/>
    <w:rsid w:val="73631C49"/>
    <w:rsid w:val="736C10A8"/>
    <w:rsid w:val="73751773"/>
    <w:rsid w:val="73771AA9"/>
    <w:rsid w:val="737A688F"/>
    <w:rsid w:val="737C7674"/>
    <w:rsid w:val="737F52A0"/>
    <w:rsid w:val="7381455D"/>
    <w:rsid w:val="738E2C07"/>
    <w:rsid w:val="73922970"/>
    <w:rsid w:val="739415FE"/>
    <w:rsid w:val="739551F6"/>
    <w:rsid w:val="73A12056"/>
    <w:rsid w:val="73A72D7D"/>
    <w:rsid w:val="73A870EC"/>
    <w:rsid w:val="73AE4072"/>
    <w:rsid w:val="73AF0F14"/>
    <w:rsid w:val="73B32D41"/>
    <w:rsid w:val="73B977D2"/>
    <w:rsid w:val="73BC6FCA"/>
    <w:rsid w:val="73BE3AE7"/>
    <w:rsid w:val="73CD37D7"/>
    <w:rsid w:val="73D963F3"/>
    <w:rsid w:val="73F6358F"/>
    <w:rsid w:val="7400090E"/>
    <w:rsid w:val="74037FF8"/>
    <w:rsid w:val="74075D19"/>
    <w:rsid w:val="74076D39"/>
    <w:rsid w:val="740836BD"/>
    <w:rsid w:val="740909DF"/>
    <w:rsid w:val="740D5DFC"/>
    <w:rsid w:val="741619AC"/>
    <w:rsid w:val="741C5C80"/>
    <w:rsid w:val="742F2A71"/>
    <w:rsid w:val="74360EC3"/>
    <w:rsid w:val="743F35EB"/>
    <w:rsid w:val="7459367A"/>
    <w:rsid w:val="745C021F"/>
    <w:rsid w:val="7464104D"/>
    <w:rsid w:val="74666580"/>
    <w:rsid w:val="74666700"/>
    <w:rsid w:val="746B6FFE"/>
    <w:rsid w:val="74751BCE"/>
    <w:rsid w:val="747533CB"/>
    <w:rsid w:val="74783016"/>
    <w:rsid w:val="747A0E2C"/>
    <w:rsid w:val="74866564"/>
    <w:rsid w:val="74882974"/>
    <w:rsid w:val="74890A2C"/>
    <w:rsid w:val="749A6CBF"/>
    <w:rsid w:val="74A566D0"/>
    <w:rsid w:val="74A87653"/>
    <w:rsid w:val="74AF20AC"/>
    <w:rsid w:val="74B61D22"/>
    <w:rsid w:val="74BB5B4E"/>
    <w:rsid w:val="74BB7BE5"/>
    <w:rsid w:val="74C255C5"/>
    <w:rsid w:val="74C4486D"/>
    <w:rsid w:val="74C50E79"/>
    <w:rsid w:val="74C86A9C"/>
    <w:rsid w:val="74CC252F"/>
    <w:rsid w:val="74D22B05"/>
    <w:rsid w:val="74DC112D"/>
    <w:rsid w:val="74E46C83"/>
    <w:rsid w:val="74EA1C54"/>
    <w:rsid w:val="74EC0B57"/>
    <w:rsid w:val="74F56877"/>
    <w:rsid w:val="74FA63DD"/>
    <w:rsid w:val="74FC736C"/>
    <w:rsid w:val="75006EBC"/>
    <w:rsid w:val="750155C7"/>
    <w:rsid w:val="75021EF7"/>
    <w:rsid w:val="75125F62"/>
    <w:rsid w:val="751F7356"/>
    <w:rsid w:val="752D5665"/>
    <w:rsid w:val="7535703B"/>
    <w:rsid w:val="75366569"/>
    <w:rsid w:val="753E67FB"/>
    <w:rsid w:val="7557123A"/>
    <w:rsid w:val="755727DA"/>
    <w:rsid w:val="755F2D52"/>
    <w:rsid w:val="756471C1"/>
    <w:rsid w:val="7565185D"/>
    <w:rsid w:val="7568277B"/>
    <w:rsid w:val="756A147C"/>
    <w:rsid w:val="75700432"/>
    <w:rsid w:val="757B0FEF"/>
    <w:rsid w:val="757C510A"/>
    <w:rsid w:val="757E0A6C"/>
    <w:rsid w:val="758965DC"/>
    <w:rsid w:val="759E3A0E"/>
    <w:rsid w:val="759E7803"/>
    <w:rsid w:val="75AE1B2C"/>
    <w:rsid w:val="75C53B5B"/>
    <w:rsid w:val="75E209B6"/>
    <w:rsid w:val="75EB2B50"/>
    <w:rsid w:val="75EB5298"/>
    <w:rsid w:val="75F43809"/>
    <w:rsid w:val="75FA2A39"/>
    <w:rsid w:val="75FE6EA3"/>
    <w:rsid w:val="7604289C"/>
    <w:rsid w:val="7609689F"/>
    <w:rsid w:val="760D4D34"/>
    <w:rsid w:val="761038FC"/>
    <w:rsid w:val="7611272F"/>
    <w:rsid w:val="761263B3"/>
    <w:rsid w:val="761866F3"/>
    <w:rsid w:val="761E0DB7"/>
    <w:rsid w:val="76222225"/>
    <w:rsid w:val="763B54EC"/>
    <w:rsid w:val="763C3F5E"/>
    <w:rsid w:val="765305CA"/>
    <w:rsid w:val="765407CF"/>
    <w:rsid w:val="76623C31"/>
    <w:rsid w:val="76632BB4"/>
    <w:rsid w:val="767227B6"/>
    <w:rsid w:val="76815797"/>
    <w:rsid w:val="768971F9"/>
    <w:rsid w:val="768B2146"/>
    <w:rsid w:val="7692461B"/>
    <w:rsid w:val="76954FC0"/>
    <w:rsid w:val="769634BA"/>
    <w:rsid w:val="769B3985"/>
    <w:rsid w:val="769E7ECC"/>
    <w:rsid w:val="76A20968"/>
    <w:rsid w:val="76A51984"/>
    <w:rsid w:val="76A8617C"/>
    <w:rsid w:val="76AB11D4"/>
    <w:rsid w:val="76AD76B7"/>
    <w:rsid w:val="76AE1C17"/>
    <w:rsid w:val="76AE62C4"/>
    <w:rsid w:val="76B65A17"/>
    <w:rsid w:val="76B85BC7"/>
    <w:rsid w:val="76C11699"/>
    <w:rsid w:val="76C85CB2"/>
    <w:rsid w:val="76D06325"/>
    <w:rsid w:val="76EC41F7"/>
    <w:rsid w:val="76EE4FD0"/>
    <w:rsid w:val="76F12724"/>
    <w:rsid w:val="76F15472"/>
    <w:rsid w:val="76F32E79"/>
    <w:rsid w:val="76F5725E"/>
    <w:rsid w:val="76F82FBB"/>
    <w:rsid w:val="770C4A94"/>
    <w:rsid w:val="771027EC"/>
    <w:rsid w:val="771E0E88"/>
    <w:rsid w:val="771E3CEB"/>
    <w:rsid w:val="7725633D"/>
    <w:rsid w:val="77292522"/>
    <w:rsid w:val="772C1E34"/>
    <w:rsid w:val="772E1E1C"/>
    <w:rsid w:val="773730FB"/>
    <w:rsid w:val="77393896"/>
    <w:rsid w:val="773D6235"/>
    <w:rsid w:val="774602D3"/>
    <w:rsid w:val="77470518"/>
    <w:rsid w:val="774F32F8"/>
    <w:rsid w:val="775D6A7E"/>
    <w:rsid w:val="775E6A44"/>
    <w:rsid w:val="77623344"/>
    <w:rsid w:val="776E0F12"/>
    <w:rsid w:val="7775642F"/>
    <w:rsid w:val="777F5CC8"/>
    <w:rsid w:val="77843AC4"/>
    <w:rsid w:val="77880C86"/>
    <w:rsid w:val="77894D2C"/>
    <w:rsid w:val="779112C1"/>
    <w:rsid w:val="7796197D"/>
    <w:rsid w:val="779853F4"/>
    <w:rsid w:val="779960A3"/>
    <w:rsid w:val="77A0667A"/>
    <w:rsid w:val="77A53F6D"/>
    <w:rsid w:val="77A60C72"/>
    <w:rsid w:val="77B04DF9"/>
    <w:rsid w:val="77B15D4F"/>
    <w:rsid w:val="77B3351E"/>
    <w:rsid w:val="77B8154B"/>
    <w:rsid w:val="77C9073E"/>
    <w:rsid w:val="77D273F8"/>
    <w:rsid w:val="77D825E4"/>
    <w:rsid w:val="77E8664B"/>
    <w:rsid w:val="77EF7883"/>
    <w:rsid w:val="77F174D1"/>
    <w:rsid w:val="77F56459"/>
    <w:rsid w:val="77FB2274"/>
    <w:rsid w:val="77FF54D0"/>
    <w:rsid w:val="77FF76D4"/>
    <w:rsid w:val="78137FBD"/>
    <w:rsid w:val="78143006"/>
    <w:rsid w:val="78190C05"/>
    <w:rsid w:val="781C1FDD"/>
    <w:rsid w:val="781C3028"/>
    <w:rsid w:val="781D0B0B"/>
    <w:rsid w:val="781F37F1"/>
    <w:rsid w:val="78204D7F"/>
    <w:rsid w:val="78261BAA"/>
    <w:rsid w:val="78262B1F"/>
    <w:rsid w:val="782976A0"/>
    <w:rsid w:val="782A2CC7"/>
    <w:rsid w:val="782E0497"/>
    <w:rsid w:val="7835075E"/>
    <w:rsid w:val="783855A8"/>
    <w:rsid w:val="783A4CCE"/>
    <w:rsid w:val="783F6978"/>
    <w:rsid w:val="78464F94"/>
    <w:rsid w:val="784D4DD0"/>
    <w:rsid w:val="78506C61"/>
    <w:rsid w:val="785467EA"/>
    <w:rsid w:val="7859379A"/>
    <w:rsid w:val="785C7A9E"/>
    <w:rsid w:val="78603173"/>
    <w:rsid w:val="786056BB"/>
    <w:rsid w:val="78690145"/>
    <w:rsid w:val="786A4CCA"/>
    <w:rsid w:val="786F1D43"/>
    <w:rsid w:val="7872538E"/>
    <w:rsid w:val="787C730B"/>
    <w:rsid w:val="787F16D3"/>
    <w:rsid w:val="788007A0"/>
    <w:rsid w:val="789E40DE"/>
    <w:rsid w:val="78A31418"/>
    <w:rsid w:val="78A50F5D"/>
    <w:rsid w:val="78C70C9E"/>
    <w:rsid w:val="78D96FEF"/>
    <w:rsid w:val="78E70B2A"/>
    <w:rsid w:val="78EB0B43"/>
    <w:rsid w:val="78F94DBD"/>
    <w:rsid w:val="78FB7CB5"/>
    <w:rsid w:val="78FD58D7"/>
    <w:rsid w:val="78FE1E98"/>
    <w:rsid w:val="79010A3C"/>
    <w:rsid w:val="79011B85"/>
    <w:rsid w:val="79020370"/>
    <w:rsid w:val="790A7E05"/>
    <w:rsid w:val="790E6FF7"/>
    <w:rsid w:val="792411EE"/>
    <w:rsid w:val="79283952"/>
    <w:rsid w:val="792A20DF"/>
    <w:rsid w:val="792C0AE9"/>
    <w:rsid w:val="792E720A"/>
    <w:rsid w:val="7933675D"/>
    <w:rsid w:val="7940719E"/>
    <w:rsid w:val="794316CB"/>
    <w:rsid w:val="794C3D49"/>
    <w:rsid w:val="795176C9"/>
    <w:rsid w:val="795B7DAF"/>
    <w:rsid w:val="795D4177"/>
    <w:rsid w:val="79650FCA"/>
    <w:rsid w:val="796647DD"/>
    <w:rsid w:val="796879D9"/>
    <w:rsid w:val="79695225"/>
    <w:rsid w:val="796E2D10"/>
    <w:rsid w:val="796F7652"/>
    <w:rsid w:val="7975716E"/>
    <w:rsid w:val="79793654"/>
    <w:rsid w:val="797C2CA5"/>
    <w:rsid w:val="79835B71"/>
    <w:rsid w:val="79874EAD"/>
    <w:rsid w:val="798821DD"/>
    <w:rsid w:val="798A2A15"/>
    <w:rsid w:val="798E619F"/>
    <w:rsid w:val="799035A0"/>
    <w:rsid w:val="7991067A"/>
    <w:rsid w:val="79925201"/>
    <w:rsid w:val="799A3AC6"/>
    <w:rsid w:val="799C0399"/>
    <w:rsid w:val="79A672AF"/>
    <w:rsid w:val="79AC0882"/>
    <w:rsid w:val="79AE5782"/>
    <w:rsid w:val="79B04803"/>
    <w:rsid w:val="79B15E4B"/>
    <w:rsid w:val="79B323E0"/>
    <w:rsid w:val="79B70927"/>
    <w:rsid w:val="79BD35C3"/>
    <w:rsid w:val="79C95FA9"/>
    <w:rsid w:val="79D02D11"/>
    <w:rsid w:val="79E80F1F"/>
    <w:rsid w:val="79FD37CF"/>
    <w:rsid w:val="7A153FCA"/>
    <w:rsid w:val="7A1A0878"/>
    <w:rsid w:val="7A4147BA"/>
    <w:rsid w:val="7A442F16"/>
    <w:rsid w:val="7A476633"/>
    <w:rsid w:val="7A510E13"/>
    <w:rsid w:val="7A5473B7"/>
    <w:rsid w:val="7A547ECE"/>
    <w:rsid w:val="7A574C59"/>
    <w:rsid w:val="7A5768F0"/>
    <w:rsid w:val="7A585197"/>
    <w:rsid w:val="7A5A4EA5"/>
    <w:rsid w:val="7A6E3382"/>
    <w:rsid w:val="7A7609AE"/>
    <w:rsid w:val="7A821A72"/>
    <w:rsid w:val="7A835A05"/>
    <w:rsid w:val="7A917F1B"/>
    <w:rsid w:val="7A923519"/>
    <w:rsid w:val="7A926986"/>
    <w:rsid w:val="7A954499"/>
    <w:rsid w:val="7A9D1062"/>
    <w:rsid w:val="7AA154CB"/>
    <w:rsid w:val="7AA83E4E"/>
    <w:rsid w:val="7AA90582"/>
    <w:rsid w:val="7AB82759"/>
    <w:rsid w:val="7ABB71EF"/>
    <w:rsid w:val="7AC13780"/>
    <w:rsid w:val="7ACA539B"/>
    <w:rsid w:val="7ACA75F4"/>
    <w:rsid w:val="7ACC444F"/>
    <w:rsid w:val="7ACC66D8"/>
    <w:rsid w:val="7ACE317B"/>
    <w:rsid w:val="7AD23343"/>
    <w:rsid w:val="7ADC058F"/>
    <w:rsid w:val="7AE62F34"/>
    <w:rsid w:val="7AEB6032"/>
    <w:rsid w:val="7B0F76C0"/>
    <w:rsid w:val="7B122645"/>
    <w:rsid w:val="7B151C87"/>
    <w:rsid w:val="7B291796"/>
    <w:rsid w:val="7B2C5AAD"/>
    <w:rsid w:val="7B312675"/>
    <w:rsid w:val="7B377AE0"/>
    <w:rsid w:val="7B377FC9"/>
    <w:rsid w:val="7B385EDD"/>
    <w:rsid w:val="7B55430E"/>
    <w:rsid w:val="7B671FAC"/>
    <w:rsid w:val="7B6D00D0"/>
    <w:rsid w:val="7B735BB0"/>
    <w:rsid w:val="7B787C0A"/>
    <w:rsid w:val="7B8277E3"/>
    <w:rsid w:val="7B85422E"/>
    <w:rsid w:val="7B943562"/>
    <w:rsid w:val="7B9527BA"/>
    <w:rsid w:val="7BB61681"/>
    <w:rsid w:val="7BBE2F2A"/>
    <w:rsid w:val="7BC02007"/>
    <w:rsid w:val="7BC67B44"/>
    <w:rsid w:val="7BD0480E"/>
    <w:rsid w:val="7BD64163"/>
    <w:rsid w:val="7BE67A76"/>
    <w:rsid w:val="7BFF4AA1"/>
    <w:rsid w:val="7C036452"/>
    <w:rsid w:val="7C0834A8"/>
    <w:rsid w:val="7C101289"/>
    <w:rsid w:val="7C111889"/>
    <w:rsid w:val="7C185C48"/>
    <w:rsid w:val="7C1B4A2A"/>
    <w:rsid w:val="7C321463"/>
    <w:rsid w:val="7C3372DD"/>
    <w:rsid w:val="7C375FB8"/>
    <w:rsid w:val="7C396372"/>
    <w:rsid w:val="7C401DF3"/>
    <w:rsid w:val="7C4C60BF"/>
    <w:rsid w:val="7C4D2EA7"/>
    <w:rsid w:val="7C4F5D34"/>
    <w:rsid w:val="7C521E40"/>
    <w:rsid w:val="7C5350CD"/>
    <w:rsid w:val="7C542B81"/>
    <w:rsid w:val="7C623382"/>
    <w:rsid w:val="7C6E1430"/>
    <w:rsid w:val="7C7B5D59"/>
    <w:rsid w:val="7C7C5447"/>
    <w:rsid w:val="7C8B573F"/>
    <w:rsid w:val="7C8F5BB5"/>
    <w:rsid w:val="7C9621F2"/>
    <w:rsid w:val="7CA167F6"/>
    <w:rsid w:val="7CAC4B7E"/>
    <w:rsid w:val="7CB018E9"/>
    <w:rsid w:val="7CB06F2B"/>
    <w:rsid w:val="7CB43DB0"/>
    <w:rsid w:val="7CCA4453"/>
    <w:rsid w:val="7CCC70D7"/>
    <w:rsid w:val="7CD75034"/>
    <w:rsid w:val="7CD82ACB"/>
    <w:rsid w:val="7CDB78EE"/>
    <w:rsid w:val="7CE055A4"/>
    <w:rsid w:val="7CE218C4"/>
    <w:rsid w:val="7CE46999"/>
    <w:rsid w:val="7CE77CC2"/>
    <w:rsid w:val="7CEF3235"/>
    <w:rsid w:val="7CF46584"/>
    <w:rsid w:val="7CF74BF4"/>
    <w:rsid w:val="7CFC4614"/>
    <w:rsid w:val="7D05652B"/>
    <w:rsid w:val="7D0902D8"/>
    <w:rsid w:val="7D0A5CB8"/>
    <w:rsid w:val="7D0B4A0F"/>
    <w:rsid w:val="7D0F11CA"/>
    <w:rsid w:val="7D1A3455"/>
    <w:rsid w:val="7D2854EF"/>
    <w:rsid w:val="7D291BB9"/>
    <w:rsid w:val="7D2C1A2B"/>
    <w:rsid w:val="7D36168B"/>
    <w:rsid w:val="7D373ABA"/>
    <w:rsid w:val="7D435B98"/>
    <w:rsid w:val="7D451875"/>
    <w:rsid w:val="7D4C393D"/>
    <w:rsid w:val="7D503820"/>
    <w:rsid w:val="7D576035"/>
    <w:rsid w:val="7D5C68B3"/>
    <w:rsid w:val="7D5E7DFB"/>
    <w:rsid w:val="7D61209B"/>
    <w:rsid w:val="7D8D642C"/>
    <w:rsid w:val="7D973C98"/>
    <w:rsid w:val="7D993E8C"/>
    <w:rsid w:val="7DB10102"/>
    <w:rsid w:val="7DB345C1"/>
    <w:rsid w:val="7DBA4551"/>
    <w:rsid w:val="7DC0372E"/>
    <w:rsid w:val="7DCD6ED9"/>
    <w:rsid w:val="7DE16B00"/>
    <w:rsid w:val="7DED2B16"/>
    <w:rsid w:val="7DF06B14"/>
    <w:rsid w:val="7DF745C3"/>
    <w:rsid w:val="7DFB1735"/>
    <w:rsid w:val="7DFC4778"/>
    <w:rsid w:val="7E0023B1"/>
    <w:rsid w:val="7E046EC2"/>
    <w:rsid w:val="7E0A529D"/>
    <w:rsid w:val="7E105FAE"/>
    <w:rsid w:val="7E2A5A75"/>
    <w:rsid w:val="7E3A1631"/>
    <w:rsid w:val="7E3A7017"/>
    <w:rsid w:val="7E3C65F7"/>
    <w:rsid w:val="7E3F6FB6"/>
    <w:rsid w:val="7E491B82"/>
    <w:rsid w:val="7E4B2838"/>
    <w:rsid w:val="7E500767"/>
    <w:rsid w:val="7E5B3B9F"/>
    <w:rsid w:val="7E5B7AE3"/>
    <w:rsid w:val="7E602527"/>
    <w:rsid w:val="7E631344"/>
    <w:rsid w:val="7E662E36"/>
    <w:rsid w:val="7E770DC4"/>
    <w:rsid w:val="7E785092"/>
    <w:rsid w:val="7E836997"/>
    <w:rsid w:val="7E900473"/>
    <w:rsid w:val="7E934684"/>
    <w:rsid w:val="7E987423"/>
    <w:rsid w:val="7EA6078B"/>
    <w:rsid w:val="7EB35FD8"/>
    <w:rsid w:val="7EC755FE"/>
    <w:rsid w:val="7ECC6409"/>
    <w:rsid w:val="7ED056F7"/>
    <w:rsid w:val="7ED1429F"/>
    <w:rsid w:val="7ED2669C"/>
    <w:rsid w:val="7EDB2E5B"/>
    <w:rsid w:val="7EE034ED"/>
    <w:rsid w:val="7F0746FE"/>
    <w:rsid w:val="7F075254"/>
    <w:rsid w:val="7F104FDF"/>
    <w:rsid w:val="7F174739"/>
    <w:rsid w:val="7F221941"/>
    <w:rsid w:val="7F2D354A"/>
    <w:rsid w:val="7F382AFA"/>
    <w:rsid w:val="7F3D1DF8"/>
    <w:rsid w:val="7F3D577C"/>
    <w:rsid w:val="7F47600E"/>
    <w:rsid w:val="7F4C4C72"/>
    <w:rsid w:val="7F501F9B"/>
    <w:rsid w:val="7F562CE0"/>
    <w:rsid w:val="7F5630FE"/>
    <w:rsid w:val="7F5771CB"/>
    <w:rsid w:val="7F596BF1"/>
    <w:rsid w:val="7F5B56FF"/>
    <w:rsid w:val="7F5F500D"/>
    <w:rsid w:val="7F6554D4"/>
    <w:rsid w:val="7F7A4AB1"/>
    <w:rsid w:val="7F8A32CA"/>
    <w:rsid w:val="7F8B4D75"/>
    <w:rsid w:val="7F8C0E9F"/>
    <w:rsid w:val="7F921C12"/>
    <w:rsid w:val="7F9B0573"/>
    <w:rsid w:val="7F9F4995"/>
    <w:rsid w:val="7FA26BCD"/>
    <w:rsid w:val="7FA422E5"/>
    <w:rsid w:val="7FA741B2"/>
    <w:rsid w:val="7FB46C0B"/>
    <w:rsid w:val="7FB63483"/>
    <w:rsid w:val="7FBB5049"/>
    <w:rsid w:val="7FC2633E"/>
    <w:rsid w:val="7FC77F0C"/>
    <w:rsid w:val="7FDC4528"/>
    <w:rsid w:val="7FE00011"/>
    <w:rsid w:val="7FE33561"/>
    <w:rsid w:val="7FE3585F"/>
    <w:rsid w:val="7FE40D5E"/>
    <w:rsid w:val="7FEF3E12"/>
    <w:rsid w:val="7FF11ED0"/>
    <w:rsid w:val="7FF21D7C"/>
    <w:rsid w:val="7FF636C1"/>
    <w:rsid w:val="7FF754B0"/>
    <w:rsid w:val="7FF86BA5"/>
    <w:rsid w:val="7FF931CC"/>
    <w:rsid w:val="7FFB0415"/>
  </w:rsids>
  <m:mathPr>
    <m:lMargin m:val="0"/>
    <m:mathFont m:val="Cambria Math"/>
    <m:rMargin m:val="0"/>
    <m:wrapIndent m:val="1440"/>
    <m:brkBin m:val="before"/>
    <m:brkBinSub m:val="--"/>
    <m:defJc m:val="centerGroup"/>
    <m:intLim m:val="subSup"/>
    <m:naryLim m:val="undOvr"/>
    <m:smallFrac m:val="off"/>
    <m:dispDef/>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qFormat="1" w:unhideWhenUsed="0" w:uiPriority="99" w:semiHidden="0" w:name="table of figures"/>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qFormat="1" w:unhideWhenUsed="0" w:uiPriority="99" w:semiHidden="0" w:name="endnote text"/>
    <w:lsdException w:uiPriority="99" w:name="table of authorities" w:locked="1"/>
    <w:lsdException w:uiPriority="99" w:name="macro" w:locked="1"/>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uiPriority="99" w:name="List Continue 2" w:locked="1"/>
    <w:lsdException w:qFormat="1" w:unhideWhenUsed="0" w:uiPriority="99" w:semiHidden="0" w:name="List Continue 3"/>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qFormat="1" w:unhideWhenUsed="0" w:uiPriority="99" w:semiHidden="0" w:name="HTML Typewriter"/>
    <w:lsdException w:uiPriority="99" w:name="HTML Variable" w:locked="1"/>
    <w:lsdException w:qFormat="1" w:uiPriority="99" w:semiHidden="0"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0"/>
      <w:szCs w:val="20"/>
      <w:lang w:val="en-US" w:eastAsia="zh-CN" w:bidi="ar-SA"/>
    </w:rPr>
  </w:style>
  <w:style w:type="paragraph" w:styleId="2">
    <w:name w:val="heading 1"/>
    <w:basedOn w:val="1"/>
    <w:next w:val="3"/>
    <w:link w:val="70"/>
    <w:qFormat/>
    <w:uiPriority w:val="99"/>
    <w:pPr>
      <w:keepNext/>
      <w:keepLines/>
      <w:numPr>
        <w:ilvl w:val="0"/>
        <w:numId w:val="1"/>
      </w:numPr>
      <w:adjustRightInd w:val="0"/>
      <w:snapToGrid w:val="0"/>
      <w:spacing w:line="360" w:lineRule="auto"/>
      <w:outlineLvl w:val="0"/>
    </w:pPr>
    <w:rPr>
      <w:rFonts w:eastAsia="黑体"/>
      <w:bCs/>
      <w:kern w:val="44"/>
      <w:sz w:val="24"/>
      <w:szCs w:val="44"/>
    </w:rPr>
  </w:style>
  <w:style w:type="paragraph" w:styleId="4">
    <w:name w:val="heading 2"/>
    <w:basedOn w:val="1"/>
    <w:next w:val="3"/>
    <w:link w:val="71"/>
    <w:qFormat/>
    <w:uiPriority w:val="99"/>
    <w:pPr>
      <w:keepNext/>
      <w:keepLines/>
      <w:numPr>
        <w:ilvl w:val="1"/>
        <w:numId w:val="1"/>
      </w:numPr>
      <w:adjustRightInd w:val="0"/>
      <w:snapToGrid w:val="0"/>
      <w:spacing w:line="360" w:lineRule="auto"/>
      <w:outlineLvl w:val="1"/>
    </w:pPr>
    <w:rPr>
      <w:rFonts w:eastAsia="黑体"/>
      <w:bCs/>
      <w:kern w:val="0"/>
      <w:sz w:val="24"/>
      <w:szCs w:val="32"/>
    </w:rPr>
  </w:style>
  <w:style w:type="paragraph" w:styleId="5">
    <w:name w:val="heading 3"/>
    <w:basedOn w:val="1"/>
    <w:next w:val="3"/>
    <w:link w:val="72"/>
    <w:qFormat/>
    <w:uiPriority w:val="99"/>
    <w:pPr>
      <w:keepNext/>
      <w:keepLines/>
      <w:numPr>
        <w:ilvl w:val="2"/>
        <w:numId w:val="1"/>
      </w:numPr>
      <w:adjustRightInd w:val="0"/>
      <w:snapToGrid w:val="0"/>
      <w:spacing w:line="360" w:lineRule="auto"/>
      <w:outlineLvl w:val="2"/>
    </w:pPr>
    <w:rPr>
      <w:bCs/>
      <w:kern w:val="0"/>
      <w:sz w:val="24"/>
      <w:szCs w:val="32"/>
    </w:rPr>
  </w:style>
  <w:style w:type="paragraph" w:styleId="6">
    <w:name w:val="heading 4"/>
    <w:basedOn w:val="1"/>
    <w:next w:val="3"/>
    <w:link w:val="73"/>
    <w:qFormat/>
    <w:uiPriority w:val="99"/>
    <w:pPr>
      <w:keepNext/>
      <w:keepLines/>
      <w:numPr>
        <w:ilvl w:val="3"/>
        <w:numId w:val="1"/>
      </w:numPr>
      <w:adjustRightInd w:val="0"/>
      <w:snapToGrid w:val="0"/>
      <w:spacing w:line="360" w:lineRule="auto"/>
      <w:outlineLvl w:val="3"/>
    </w:pPr>
    <w:rPr>
      <w:bCs/>
      <w:kern w:val="0"/>
      <w:sz w:val="24"/>
      <w:szCs w:val="28"/>
    </w:rPr>
  </w:style>
  <w:style w:type="paragraph" w:styleId="7">
    <w:name w:val="heading 5"/>
    <w:basedOn w:val="1"/>
    <w:next w:val="3"/>
    <w:link w:val="74"/>
    <w:qFormat/>
    <w:uiPriority w:val="99"/>
    <w:pPr>
      <w:keepNext/>
      <w:keepLines/>
      <w:numPr>
        <w:ilvl w:val="4"/>
        <w:numId w:val="1"/>
      </w:numPr>
      <w:spacing w:before="120" w:line="360" w:lineRule="auto"/>
      <w:outlineLvl w:val="4"/>
    </w:pPr>
    <w:rPr>
      <w:bCs/>
      <w:kern w:val="0"/>
      <w:sz w:val="24"/>
      <w:szCs w:val="28"/>
    </w:rPr>
  </w:style>
  <w:style w:type="paragraph" w:styleId="8">
    <w:name w:val="heading 6"/>
    <w:basedOn w:val="1"/>
    <w:next w:val="1"/>
    <w:link w:val="75"/>
    <w:qFormat/>
    <w:uiPriority w:val="99"/>
    <w:pPr>
      <w:keepNext/>
      <w:keepLines/>
      <w:numPr>
        <w:ilvl w:val="5"/>
        <w:numId w:val="1"/>
      </w:numPr>
      <w:spacing w:before="240" w:after="64" w:line="320" w:lineRule="auto"/>
      <w:outlineLvl w:val="5"/>
    </w:pPr>
    <w:rPr>
      <w:rFonts w:ascii="Cambria" w:hAnsi="Cambria"/>
      <w:b/>
      <w:bCs/>
      <w:kern w:val="0"/>
      <w:sz w:val="24"/>
      <w:szCs w:val="24"/>
    </w:rPr>
  </w:style>
  <w:style w:type="paragraph" w:styleId="9">
    <w:name w:val="heading 7"/>
    <w:basedOn w:val="1"/>
    <w:next w:val="1"/>
    <w:link w:val="76"/>
    <w:qFormat/>
    <w:uiPriority w:val="99"/>
    <w:pPr>
      <w:keepNext/>
      <w:keepLines/>
      <w:numPr>
        <w:ilvl w:val="6"/>
        <w:numId w:val="1"/>
      </w:numPr>
      <w:spacing w:before="240" w:after="64" w:line="320" w:lineRule="auto"/>
      <w:outlineLvl w:val="6"/>
    </w:pPr>
    <w:rPr>
      <w:b/>
      <w:bCs/>
      <w:kern w:val="0"/>
      <w:sz w:val="24"/>
      <w:szCs w:val="24"/>
    </w:rPr>
  </w:style>
  <w:style w:type="paragraph" w:styleId="10">
    <w:name w:val="heading 8"/>
    <w:basedOn w:val="1"/>
    <w:next w:val="1"/>
    <w:link w:val="77"/>
    <w:qFormat/>
    <w:uiPriority w:val="99"/>
    <w:pPr>
      <w:keepNext/>
      <w:keepLines/>
      <w:numPr>
        <w:ilvl w:val="7"/>
        <w:numId w:val="1"/>
      </w:numPr>
      <w:spacing w:before="240" w:after="64" w:line="320" w:lineRule="auto"/>
      <w:outlineLvl w:val="7"/>
    </w:pPr>
    <w:rPr>
      <w:rFonts w:ascii="Cambria" w:hAnsi="Cambria"/>
      <w:kern w:val="0"/>
      <w:sz w:val="24"/>
      <w:szCs w:val="24"/>
    </w:rPr>
  </w:style>
  <w:style w:type="paragraph" w:styleId="11">
    <w:name w:val="heading 9"/>
    <w:basedOn w:val="1"/>
    <w:next w:val="1"/>
    <w:link w:val="78"/>
    <w:qFormat/>
    <w:uiPriority w:val="99"/>
    <w:pPr>
      <w:keepNext/>
      <w:keepLines/>
      <w:numPr>
        <w:ilvl w:val="8"/>
        <w:numId w:val="1"/>
      </w:numPr>
      <w:spacing w:before="240" w:after="64" w:line="320" w:lineRule="auto"/>
      <w:outlineLvl w:val="8"/>
    </w:pPr>
    <w:rPr>
      <w:rFonts w:ascii="Cambria" w:hAnsi="Cambria"/>
      <w:kern w:val="0"/>
    </w:rPr>
  </w:style>
  <w:style w:type="character" w:default="1" w:styleId="57">
    <w:name w:val="Default Paragraph Font"/>
    <w:semiHidden/>
    <w:qFormat/>
    <w:uiPriority w:val="99"/>
  </w:style>
  <w:style w:type="table" w:default="1" w:styleId="65">
    <w:name w:val="Normal Table"/>
    <w:unhideWhenUsed/>
    <w:qFormat/>
    <w:uiPriority w:val="99"/>
    <w:tblPr>
      <w:tblLayout w:type="fixed"/>
      <w:tblCellMar>
        <w:top w:w="0" w:type="dxa"/>
        <w:left w:w="108" w:type="dxa"/>
        <w:bottom w:w="0" w:type="dxa"/>
        <w:right w:w="108" w:type="dxa"/>
      </w:tblCellMar>
    </w:tblPr>
  </w:style>
  <w:style w:type="paragraph" w:styleId="3">
    <w:name w:val="Body Text First Indent"/>
    <w:basedOn w:val="1"/>
    <w:link w:val="80"/>
    <w:qFormat/>
    <w:uiPriority w:val="99"/>
    <w:pPr>
      <w:adjustRightInd w:val="0"/>
      <w:snapToGrid w:val="0"/>
      <w:spacing w:line="360" w:lineRule="auto"/>
      <w:ind w:firstLine="200" w:firstLineChars="200"/>
    </w:pPr>
    <w:rPr>
      <w:kern w:val="0"/>
      <w:sz w:val="24"/>
    </w:rPr>
  </w:style>
  <w:style w:type="paragraph" w:styleId="12">
    <w:name w:val="List 3"/>
    <w:basedOn w:val="1"/>
    <w:qFormat/>
    <w:uiPriority w:val="99"/>
    <w:pPr>
      <w:ind w:left="100" w:leftChars="400" w:hanging="200" w:hangingChars="200"/>
    </w:pPr>
    <w:rPr>
      <w:szCs w:val="24"/>
    </w:rPr>
  </w:style>
  <w:style w:type="paragraph" w:styleId="13">
    <w:name w:val="annotation subject"/>
    <w:basedOn w:val="14"/>
    <w:next w:val="14"/>
    <w:link w:val="82"/>
    <w:qFormat/>
    <w:uiPriority w:val="99"/>
    <w:rPr>
      <w:b/>
      <w:bCs/>
    </w:rPr>
  </w:style>
  <w:style w:type="paragraph" w:styleId="14">
    <w:name w:val="annotation text"/>
    <w:basedOn w:val="1"/>
    <w:link w:val="81"/>
    <w:qFormat/>
    <w:uiPriority w:val="99"/>
    <w:pPr>
      <w:jc w:val="left"/>
    </w:pPr>
    <w:rPr>
      <w:kern w:val="0"/>
      <w:sz w:val="21"/>
      <w:szCs w:val="24"/>
    </w:rPr>
  </w:style>
  <w:style w:type="paragraph" w:styleId="15">
    <w:name w:val="toc 7"/>
    <w:basedOn w:val="1"/>
    <w:next w:val="1"/>
    <w:qFormat/>
    <w:uiPriority w:val="99"/>
    <w:pPr>
      <w:ind w:left="1260"/>
      <w:jc w:val="left"/>
    </w:pPr>
    <w:rPr>
      <w:sz w:val="18"/>
      <w:szCs w:val="18"/>
    </w:rPr>
  </w:style>
  <w:style w:type="paragraph" w:styleId="16">
    <w:name w:val="List Number 2"/>
    <w:basedOn w:val="1"/>
    <w:qFormat/>
    <w:uiPriority w:val="99"/>
    <w:pPr>
      <w:tabs>
        <w:tab w:val="left" w:pos="360"/>
      </w:tabs>
      <w:adjustRightInd w:val="0"/>
      <w:snapToGrid w:val="0"/>
    </w:pPr>
    <w:rPr>
      <w:rFonts w:ascii="宋体" w:hAnsi="宋体"/>
      <w:sz w:val="24"/>
      <w:szCs w:val="24"/>
    </w:rPr>
  </w:style>
  <w:style w:type="paragraph" w:styleId="17">
    <w:name w:val="List Number"/>
    <w:basedOn w:val="1"/>
    <w:qFormat/>
    <w:uiPriority w:val="99"/>
    <w:pPr>
      <w:numPr>
        <w:ilvl w:val="0"/>
        <w:numId w:val="2"/>
      </w:numPr>
      <w:adjustRightInd w:val="0"/>
      <w:snapToGrid w:val="0"/>
      <w:spacing w:line="360" w:lineRule="auto"/>
    </w:pPr>
    <w:rPr>
      <w:sz w:val="24"/>
    </w:rPr>
  </w:style>
  <w:style w:type="paragraph" w:styleId="18">
    <w:name w:val="Normal Indent"/>
    <w:basedOn w:val="1"/>
    <w:link w:val="125"/>
    <w:qFormat/>
    <w:uiPriority w:val="99"/>
    <w:pPr>
      <w:spacing w:line="420" w:lineRule="exact"/>
      <w:ind w:firstLine="480"/>
    </w:pPr>
    <w:rPr>
      <w:rFonts w:ascii="Calibri" w:hAnsi="Calibri"/>
      <w:kern w:val="0"/>
      <w:sz w:val="21"/>
      <w:szCs w:val="21"/>
    </w:rPr>
  </w:style>
  <w:style w:type="paragraph" w:styleId="19">
    <w:name w:val="caption"/>
    <w:basedOn w:val="1"/>
    <w:next w:val="1"/>
    <w:link w:val="174"/>
    <w:qFormat/>
    <w:uiPriority w:val="99"/>
    <w:pPr>
      <w:adjustRightInd w:val="0"/>
      <w:snapToGrid w:val="0"/>
      <w:spacing w:line="360" w:lineRule="auto"/>
      <w:jc w:val="left"/>
    </w:pPr>
    <w:rPr>
      <w:rFonts w:eastAsia="黑体"/>
      <w:kern w:val="0"/>
      <w:sz w:val="24"/>
    </w:rPr>
  </w:style>
  <w:style w:type="paragraph" w:styleId="20">
    <w:name w:val="List Bullet"/>
    <w:basedOn w:val="1"/>
    <w:qFormat/>
    <w:uiPriority w:val="99"/>
    <w:pPr>
      <w:widowControl/>
      <w:adjustRightInd w:val="0"/>
      <w:snapToGrid w:val="0"/>
      <w:ind w:left="900" w:hanging="420"/>
      <w:contextualSpacing/>
    </w:pPr>
    <w:rPr>
      <w:rFonts w:ascii="Calibri" w:hAnsi="Calibri"/>
    </w:rPr>
  </w:style>
  <w:style w:type="paragraph" w:styleId="21">
    <w:name w:val="Document Map"/>
    <w:basedOn w:val="1"/>
    <w:link w:val="83"/>
    <w:qFormat/>
    <w:uiPriority w:val="99"/>
    <w:rPr>
      <w:rFonts w:ascii="宋体"/>
      <w:kern w:val="0"/>
      <w:sz w:val="18"/>
      <w:szCs w:val="18"/>
    </w:rPr>
  </w:style>
  <w:style w:type="paragraph" w:styleId="22">
    <w:name w:val="toa heading"/>
    <w:basedOn w:val="1"/>
    <w:next w:val="1"/>
    <w:link w:val="387"/>
    <w:qFormat/>
    <w:uiPriority w:val="99"/>
    <w:pPr>
      <w:spacing w:before="120"/>
    </w:pPr>
    <w:rPr>
      <w:rFonts w:ascii="Arial" w:hAnsi="Arial"/>
      <w:kern w:val="0"/>
      <w:sz w:val="24"/>
      <w:szCs w:val="24"/>
    </w:rPr>
  </w:style>
  <w:style w:type="paragraph" w:styleId="23">
    <w:name w:val="Salutation"/>
    <w:basedOn w:val="1"/>
    <w:next w:val="1"/>
    <w:link w:val="84"/>
    <w:qFormat/>
    <w:uiPriority w:val="99"/>
    <w:rPr>
      <w:kern w:val="0"/>
      <w:sz w:val="21"/>
      <w:szCs w:val="24"/>
    </w:rPr>
  </w:style>
  <w:style w:type="paragraph" w:styleId="24">
    <w:name w:val="Body Text 3"/>
    <w:basedOn w:val="1"/>
    <w:link w:val="85"/>
    <w:qFormat/>
    <w:uiPriority w:val="99"/>
    <w:pPr>
      <w:spacing w:after="120"/>
    </w:pPr>
    <w:rPr>
      <w:kern w:val="0"/>
      <w:sz w:val="16"/>
      <w:szCs w:val="16"/>
    </w:rPr>
  </w:style>
  <w:style w:type="paragraph" w:styleId="25">
    <w:name w:val="Body Text"/>
    <w:basedOn w:val="1"/>
    <w:link w:val="79"/>
    <w:qFormat/>
    <w:uiPriority w:val="99"/>
  </w:style>
  <w:style w:type="paragraph" w:styleId="26">
    <w:name w:val="Body Text Indent"/>
    <w:basedOn w:val="1"/>
    <w:link w:val="86"/>
    <w:qFormat/>
    <w:uiPriority w:val="99"/>
    <w:pPr>
      <w:spacing w:after="120"/>
      <w:ind w:left="420" w:leftChars="200"/>
    </w:pPr>
    <w:rPr>
      <w:kern w:val="0"/>
      <w:sz w:val="21"/>
      <w:szCs w:val="24"/>
    </w:rPr>
  </w:style>
  <w:style w:type="paragraph" w:styleId="27">
    <w:name w:val="List 2"/>
    <w:basedOn w:val="1"/>
    <w:qFormat/>
    <w:uiPriority w:val="99"/>
    <w:pPr>
      <w:ind w:left="100" w:leftChars="200" w:hanging="200" w:hangingChars="200"/>
    </w:pPr>
    <w:rPr>
      <w:szCs w:val="24"/>
    </w:rPr>
  </w:style>
  <w:style w:type="paragraph" w:styleId="28">
    <w:name w:val="List Continue"/>
    <w:basedOn w:val="1"/>
    <w:qFormat/>
    <w:uiPriority w:val="99"/>
    <w:pPr>
      <w:spacing w:after="120"/>
      <w:ind w:left="420" w:leftChars="200"/>
    </w:pPr>
    <w:rPr>
      <w:szCs w:val="24"/>
    </w:rPr>
  </w:style>
  <w:style w:type="paragraph" w:styleId="29">
    <w:name w:val="Block Text"/>
    <w:basedOn w:val="1"/>
    <w:qFormat/>
    <w:uiPriority w:val="99"/>
    <w:pPr>
      <w:spacing w:line="240" w:lineRule="exact"/>
      <w:ind w:left="46" w:leftChars="22" w:right="113"/>
    </w:pPr>
    <w:rPr>
      <w:rFonts w:ascii="宋体"/>
      <w:bCs/>
      <w:spacing w:val="-10"/>
      <w:sz w:val="18"/>
      <w:szCs w:val="18"/>
    </w:rPr>
  </w:style>
  <w:style w:type="paragraph" w:styleId="30">
    <w:name w:val="toc 5"/>
    <w:basedOn w:val="1"/>
    <w:next w:val="1"/>
    <w:qFormat/>
    <w:uiPriority w:val="99"/>
    <w:pPr>
      <w:ind w:left="840"/>
      <w:jc w:val="left"/>
    </w:pPr>
    <w:rPr>
      <w:sz w:val="18"/>
      <w:szCs w:val="18"/>
    </w:rPr>
  </w:style>
  <w:style w:type="paragraph" w:styleId="31">
    <w:name w:val="toc 3"/>
    <w:basedOn w:val="1"/>
    <w:next w:val="1"/>
    <w:qFormat/>
    <w:uiPriority w:val="99"/>
    <w:pPr>
      <w:ind w:left="420"/>
      <w:jc w:val="left"/>
    </w:pPr>
    <w:rPr>
      <w:i/>
      <w:iCs/>
    </w:rPr>
  </w:style>
  <w:style w:type="paragraph" w:styleId="32">
    <w:name w:val="Plain Text"/>
    <w:basedOn w:val="1"/>
    <w:link w:val="87"/>
    <w:qFormat/>
    <w:uiPriority w:val="99"/>
    <w:pPr>
      <w:widowControl/>
      <w:spacing w:before="100" w:beforeAutospacing="1" w:after="100" w:afterAutospacing="1"/>
      <w:jc w:val="left"/>
    </w:pPr>
    <w:rPr>
      <w:rFonts w:ascii="宋体" w:hAnsi="宋体"/>
      <w:kern w:val="0"/>
      <w:sz w:val="24"/>
      <w:szCs w:val="24"/>
    </w:rPr>
  </w:style>
  <w:style w:type="paragraph" w:styleId="33">
    <w:name w:val="toc 8"/>
    <w:basedOn w:val="1"/>
    <w:next w:val="1"/>
    <w:qFormat/>
    <w:uiPriority w:val="99"/>
    <w:pPr>
      <w:ind w:left="1470"/>
      <w:jc w:val="left"/>
    </w:pPr>
    <w:rPr>
      <w:sz w:val="18"/>
      <w:szCs w:val="18"/>
    </w:rPr>
  </w:style>
  <w:style w:type="paragraph" w:styleId="34">
    <w:name w:val="Date"/>
    <w:basedOn w:val="1"/>
    <w:next w:val="1"/>
    <w:link w:val="88"/>
    <w:qFormat/>
    <w:uiPriority w:val="99"/>
    <w:pPr>
      <w:ind w:left="100" w:leftChars="2500"/>
    </w:pPr>
    <w:rPr>
      <w:kern w:val="0"/>
      <w:sz w:val="21"/>
      <w:szCs w:val="24"/>
    </w:rPr>
  </w:style>
  <w:style w:type="paragraph" w:styleId="35">
    <w:name w:val="Body Text Indent 2"/>
    <w:basedOn w:val="1"/>
    <w:link w:val="89"/>
    <w:qFormat/>
    <w:uiPriority w:val="99"/>
    <w:pPr>
      <w:spacing w:after="120" w:line="480" w:lineRule="auto"/>
      <w:ind w:left="420" w:leftChars="200"/>
    </w:pPr>
    <w:rPr>
      <w:rFonts w:ascii="Calibri" w:hAnsi="Calibri"/>
      <w:kern w:val="0"/>
      <w:sz w:val="21"/>
      <w:szCs w:val="21"/>
    </w:rPr>
  </w:style>
  <w:style w:type="paragraph" w:styleId="36">
    <w:name w:val="endnote text"/>
    <w:basedOn w:val="1"/>
    <w:link w:val="90"/>
    <w:qFormat/>
    <w:uiPriority w:val="99"/>
    <w:pPr>
      <w:widowControl/>
      <w:adjustRightInd w:val="0"/>
      <w:snapToGrid w:val="0"/>
      <w:jc w:val="left"/>
    </w:pPr>
    <w:rPr>
      <w:kern w:val="0"/>
      <w:szCs w:val="21"/>
    </w:rPr>
  </w:style>
  <w:style w:type="paragraph" w:styleId="37">
    <w:name w:val="Balloon Text"/>
    <w:basedOn w:val="1"/>
    <w:link w:val="91"/>
    <w:qFormat/>
    <w:uiPriority w:val="99"/>
    <w:rPr>
      <w:kern w:val="0"/>
      <w:sz w:val="18"/>
      <w:szCs w:val="18"/>
    </w:rPr>
  </w:style>
  <w:style w:type="paragraph" w:styleId="38">
    <w:name w:val="footer"/>
    <w:basedOn w:val="1"/>
    <w:link w:val="92"/>
    <w:qFormat/>
    <w:uiPriority w:val="99"/>
    <w:pPr>
      <w:tabs>
        <w:tab w:val="center" w:pos="4153"/>
        <w:tab w:val="right" w:pos="8306"/>
      </w:tabs>
      <w:snapToGrid w:val="0"/>
      <w:jc w:val="left"/>
    </w:pPr>
    <w:rPr>
      <w:kern w:val="0"/>
      <w:sz w:val="18"/>
      <w:szCs w:val="18"/>
    </w:rPr>
  </w:style>
  <w:style w:type="paragraph" w:styleId="39">
    <w:name w:val="Body Text First Indent 2"/>
    <w:basedOn w:val="26"/>
    <w:link w:val="93"/>
    <w:qFormat/>
    <w:uiPriority w:val="99"/>
    <w:pPr>
      <w:ind w:firstLine="420" w:firstLineChars="200"/>
    </w:pPr>
  </w:style>
  <w:style w:type="paragraph" w:styleId="40">
    <w:name w:val="header"/>
    <w:basedOn w:val="1"/>
    <w:link w:val="94"/>
    <w:qFormat/>
    <w:uiPriority w:val="99"/>
    <w:pPr>
      <w:pBdr>
        <w:bottom w:val="single" w:color="auto" w:sz="6" w:space="1"/>
      </w:pBdr>
      <w:tabs>
        <w:tab w:val="center" w:pos="4153"/>
        <w:tab w:val="right" w:pos="8306"/>
      </w:tabs>
      <w:snapToGrid w:val="0"/>
      <w:jc w:val="center"/>
    </w:pPr>
    <w:rPr>
      <w:kern w:val="0"/>
      <w:sz w:val="18"/>
      <w:szCs w:val="18"/>
    </w:rPr>
  </w:style>
  <w:style w:type="paragraph" w:styleId="41">
    <w:name w:val="toc 1"/>
    <w:basedOn w:val="1"/>
    <w:next w:val="1"/>
    <w:qFormat/>
    <w:uiPriority w:val="99"/>
    <w:pPr>
      <w:spacing w:before="120" w:after="120"/>
      <w:jc w:val="left"/>
    </w:pPr>
    <w:rPr>
      <w:b/>
      <w:bCs/>
      <w:caps/>
    </w:rPr>
  </w:style>
  <w:style w:type="paragraph" w:styleId="42">
    <w:name w:val="toc 4"/>
    <w:basedOn w:val="1"/>
    <w:next w:val="1"/>
    <w:qFormat/>
    <w:uiPriority w:val="99"/>
    <w:pPr>
      <w:ind w:left="630"/>
      <w:jc w:val="left"/>
    </w:pPr>
    <w:rPr>
      <w:sz w:val="18"/>
      <w:szCs w:val="18"/>
    </w:rPr>
  </w:style>
  <w:style w:type="paragraph" w:styleId="43">
    <w:name w:val="Subtitle"/>
    <w:basedOn w:val="1"/>
    <w:next w:val="1"/>
    <w:link w:val="95"/>
    <w:qFormat/>
    <w:uiPriority w:val="99"/>
    <w:pPr>
      <w:spacing w:before="240" w:after="60" w:line="312" w:lineRule="auto"/>
      <w:jc w:val="center"/>
      <w:outlineLvl w:val="1"/>
    </w:pPr>
    <w:rPr>
      <w:rFonts w:ascii="Cambria" w:hAnsi="Cambria"/>
      <w:b/>
      <w:bCs/>
      <w:kern w:val="28"/>
      <w:sz w:val="32"/>
      <w:szCs w:val="32"/>
    </w:rPr>
  </w:style>
  <w:style w:type="paragraph" w:styleId="44">
    <w:name w:val="List"/>
    <w:basedOn w:val="1"/>
    <w:qFormat/>
    <w:uiPriority w:val="99"/>
    <w:pPr>
      <w:spacing w:line="240" w:lineRule="exact"/>
      <w:jc w:val="center"/>
    </w:pPr>
    <w:rPr>
      <w:rFonts w:ascii="仿宋_GB2312" w:eastAsia="仿宋_GB2312"/>
      <w:sz w:val="21"/>
    </w:rPr>
  </w:style>
  <w:style w:type="paragraph" w:styleId="45">
    <w:name w:val="footnote text"/>
    <w:basedOn w:val="1"/>
    <w:link w:val="96"/>
    <w:qFormat/>
    <w:uiPriority w:val="99"/>
    <w:pPr>
      <w:widowControl/>
      <w:jc w:val="left"/>
    </w:pPr>
    <w:rPr>
      <w:rFonts w:ascii="Calibri" w:hAnsi="Calibri"/>
      <w:kern w:val="0"/>
    </w:rPr>
  </w:style>
  <w:style w:type="paragraph" w:styleId="46">
    <w:name w:val="toc 6"/>
    <w:basedOn w:val="1"/>
    <w:next w:val="1"/>
    <w:qFormat/>
    <w:uiPriority w:val="99"/>
    <w:pPr>
      <w:ind w:left="1050"/>
      <w:jc w:val="left"/>
    </w:pPr>
    <w:rPr>
      <w:sz w:val="18"/>
      <w:szCs w:val="18"/>
    </w:rPr>
  </w:style>
  <w:style w:type="paragraph" w:styleId="47">
    <w:name w:val="Body Text Indent 3"/>
    <w:basedOn w:val="1"/>
    <w:link w:val="97"/>
    <w:qFormat/>
    <w:uiPriority w:val="99"/>
    <w:pPr>
      <w:spacing w:after="120"/>
      <w:ind w:left="420" w:leftChars="200"/>
    </w:pPr>
    <w:rPr>
      <w:kern w:val="0"/>
      <w:sz w:val="16"/>
      <w:szCs w:val="16"/>
    </w:rPr>
  </w:style>
  <w:style w:type="paragraph" w:styleId="48">
    <w:name w:val="table of figures"/>
    <w:basedOn w:val="1"/>
    <w:next w:val="1"/>
    <w:qFormat/>
    <w:uiPriority w:val="99"/>
    <w:pPr>
      <w:widowControl/>
      <w:adjustRightInd w:val="0"/>
      <w:snapToGrid w:val="0"/>
      <w:ind w:left="200" w:leftChars="200" w:hanging="200" w:hangingChars="200"/>
    </w:pPr>
    <w:rPr>
      <w:rFonts w:ascii="Calibri" w:hAnsi="Calibri"/>
      <w:sz w:val="21"/>
      <w:szCs w:val="21"/>
    </w:rPr>
  </w:style>
  <w:style w:type="paragraph" w:styleId="49">
    <w:name w:val="toc 2"/>
    <w:basedOn w:val="1"/>
    <w:next w:val="1"/>
    <w:qFormat/>
    <w:uiPriority w:val="99"/>
    <w:pPr>
      <w:ind w:left="210"/>
      <w:jc w:val="left"/>
    </w:pPr>
    <w:rPr>
      <w:smallCaps/>
    </w:rPr>
  </w:style>
  <w:style w:type="paragraph" w:styleId="50">
    <w:name w:val="toc 9"/>
    <w:basedOn w:val="1"/>
    <w:next w:val="1"/>
    <w:qFormat/>
    <w:uiPriority w:val="99"/>
    <w:pPr>
      <w:ind w:left="1680"/>
      <w:jc w:val="left"/>
    </w:pPr>
    <w:rPr>
      <w:sz w:val="18"/>
      <w:szCs w:val="18"/>
    </w:rPr>
  </w:style>
  <w:style w:type="paragraph" w:styleId="51">
    <w:name w:val="Body Text 2"/>
    <w:basedOn w:val="1"/>
    <w:link w:val="98"/>
    <w:qFormat/>
    <w:uiPriority w:val="99"/>
    <w:pPr>
      <w:spacing w:after="120" w:line="480" w:lineRule="auto"/>
    </w:pPr>
    <w:rPr>
      <w:rFonts w:ascii="Calibri" w:hAnsi="Calibri"/>
      <w:kern w:val="0"/>
      <w:sz w:val="21"/>
      <w:szCs w:val="21"/>
    </w:rPr>
  </w:style>
  <w:style w:type="paragraph" w:styleId="52">
    <w:name w:val="List 4"/>
    <w:basedOn w:val="1"/>
    <w:qFormat/>
    <w:uiPriority w:val="99"/>
    <w:pPr>
      <w:ind w:left="100" w:leftChars="600" w:hanging="200" w:hangingChars="200"/>
    </w:pPr>
    <w:rPr>
      <w:kern w:val="0"/>
      <w:sz w:val="24"/>
      <w:szCs w:val="24"/>
    </w:rPr>
  </w:style>
  <w:style w:type="paragraph" w:styleId="53">
    <w:name w:val="HTML Preformatted"/>
    <w:basedOn w:val="1"/>
    <w:link w:val="99"/>
    <w:qFormat/>
    <w:uiPriority w:val="99"/>
    <w:pPr>
      <w:adjustRightInd w:val="0"/>
      <w:snapToGrid w:val="0"/>
      <w:spacing w:line="312" w:lineRule="auto"/>
    </w:pPr>
    <w:rPr>
      <w:rFonts w:ascii="Courier New" w:hAnsi="Courier New" w:eastAsia="仿宋_GB2312"/>
      <w:kern w:val="0"/>
    </w:rPr>
  </w:style>
  <w:style w:type="paragraph" w:styleId="5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55">
    <w:name w:val="List Continue 3"/>
    <w:basedOn w:val="1"/>
    <w:qFormat/>
    <w:uiPriority w:val="99"/>
    <w:pPr>
      <w:spacing w:after="120"/>
      <w:ind w:left="1260" w:leftChars="600"/>
    </w:pPr>
    <w:rPr>
      <w:sz w:val="21"/>
      <w:szCs w:val="24"/>
    </w:rPr>
  </w:style>
  <w:style w:type="paragraph" w:styleId="56">
    <w:name w:val="Title"/>
    <w:basedOn w:val="1"/>
    <w:next w:val="3"/>
    <w:link w:val="100"/>
    <w:qFormat/>
    <w:uiPriority w:val="99"/>
    <w:pPr>
      <w:adjustRightInd w:val="0"/>
      <w:snapToGrid w:val="0"/>
      <w:spacing w:line="360" w:lineRule="auto"/>
      <w:jc w:val="center"/>
    </w:pPr>
    <w:rPr>
      <w:rFonts w:eastAsia="黑体"/>
      <w:bCs/>
      <w:kern w:val="0"/>
      <w:sz w:val="36"/>
      <w:szCs w:val="32"/>
    </w:rPr>
  </w:style>
  <w:style w:type="character" w:styleId="58">
    <w:name w:val="Strong"/>
    <w:basedOn w:val="57"/>
    <w:qFormat/>
    <w:uiPriority w:val="99"/>
    <w:rPr>
      <w:rFonts w:cs="Times New Roman"/>
      <w:b/>
    </w:rPr>
  </w:style>
  <w:style w:type="character" w:styleId="59">
    <w:name w:val="page number"/>
    <w:basedOn w:val="57"/>
    <w:qFormat/>
    <w:uiPriority w:val="99"/>
    <w:rPr>
      <w:rFonts w:cs="Times New Roman"/>
    </w:rPr>
  </w:style>
  <w:style w:type="character" w:styleId="60">
    <w:name w:val="FollowedHyperlink"/>
    <w:basedOn w:val="57"/>
    <w:qFormat/>
    <w:uiPriority w:val="99"/>
    <w:rPr>
      <w:rFonts w:cs="Times New Roman"/>
      <w:color w:val="800080"/>
      <w:u w:val="single"/>
    </w:rPr>
  </w:style>
  <w:style w:type="character" w:styleId="61">
    <w:name w:val="Emphasis"/>
    <w:basedOn w:val="57"/>
    <w:qFormat/>
    <w:uiPriority w:val="99"/>
    <w:rPr>
      <w:rFonts w:cs="Times New Roman"/>
      <w:i/>
    </w:rPr>
  </w:style>
  <w:style w:type="character" w:styleId="62">
    <w:name w:val="HTML Typewriter"/>
    <w:basedOn w:val="57"/>
    <w:qFormat/>
    <w:uiPriority w:val="99"/>
    <w:rPr>
      <w:rFonts w:ascii="黑体" w:hAnsi="Courier New" w:eastAsia="黑体" w:cs="Times New Roman"/>
      <w:sz w:val="18"/>
    </w:rPr>
  </w:style>
  <w:style w:type="character" w:styleId="63">
    <w:name w:val="Hyperlink"/>
    <w:basedOn w:val="57"/>
    <w:qFormat/>
    <w:uiPriority w:val="99"/>
    <w:rPr>
      <w:rFonts w:cs="Times New Roman"/>
      <w:color w:val="0000FF"/>
      <w:u w:val="single"/>
    </w:rPr>
  </w:style>
  <w:style w:type="character" w:styleId="64">
    <w:name w:val="annotation reference"/>
    <w:basedOn w:val="57"/>
    <w:qFormat/>
    <w:uiPriority w:val="99"/>
    <w:rPr>
      <w:rFonts w:cs="Times New Roman"/>
      <w:sz w:val="21"/>
    </w:rPr>
  </w:style>
  <w:style w:type="table" w:styleId="66">
    <w:name w:val="Table Grid"/>
    <w:basedOn w:val="65"/>
    <w:qFormat/>
    <w:uiPriority w:val="99"/>
    <w:pPr>
      <w:adjustRightInd w:val="0"/>
      <w:snapToGrid w:val="0"/>
      <w:jc w:val="center"/>
    </w:pPr>
    <w:rPr>
      <w:kern w:val="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67">
    <w:name w:val="Table Theme"/>
    <w:basedOn w:val="6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8">
    <w:name w:val="Table Elegant"/>
    <w:basedOn w:val="65"/>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StylePr w:type="firstRow">
      <w:rPr>
        <w:rFonts w:cs="Times New Roman"/>
        <w:caps/>
        <w:color w:val="auto"/>
      </w:rPr>
      <w:tblPr>
        <w:tblLayout w:type="fixed"/>
      </w:tblPr>
      <w:tcPr>
        <w:tcBorders>
          <w:tl2br w:val="nil"/>
          <w:tr2bl w:val="nil"/>
        </w:tcBorders>
      </w:tcPr>
    </w:tblStylePr>
  </w:style>
  <w:style w:type="table" w:styleId="69">
    <w:name w:val="Table Grid 5"/>
    <w:basedOn w:val="65"/>
    <w:qFormat/>
    <w:uiPriority w:val="99"/>
    <w:pPr>
      <w:widowControl w:val="0"/>
      <w:autoSpaceDE w:val="0"/>
      <w:autoSpaceDN w:val="0"/>
      <w:adjustRightInd w:val="0"/>
      <w:snapToGrid w:val="0"/>
      <w:spacing w:before="100" w:after="100"/>
      <w:jc w:val="both"/>
    </w:pPr>
    <w:rPr>
      <w:rFonts w:ascii="宋体"/>
      <w:kern w:val="0"/>
      <w:sz w:val="22"/>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StylePr w:type="firstRow">
      <w:rPr>
        <w:rFonts w:cs="Times New Roman"/>
      </w:rPr>
      <w:tblPr>
        <w:tblLayout w:type="fixed"/>
      </w:tblPr>
      <w:tcPr>
        <w:tcBorders>
          <w:bottom w:val="single" w:color="000000" w:sz="12" w:space="0"/>
          <w:tl2br w:val="nil"/>
          <w:tr2bl w:val="nil"/>
        </w:tcBorders>
      </w:tcPr>
    </w:tblStylePr>
    <w:tblStylePr w:type="lastRow">
      <w:rPr>
        <w:rFonts w:cs="Times New Roman"/>
        <w:b/>
        <w:bCs/>
      </w:rPr>
      <w:tblPr>
        <w:tblLayout w:type="fixed"/>
      </w:tblPr>
      <w:tcPr>
        <w:tcBorders>
          <w:tl2br w:val="nil"/>
          <w:tr2bl w:val="nil"/>
        </w:tcBorders>
      </w:tcPr>
    </w:tblStylePr>
    <w:tblStylePr w:type="lastCol">
      <w:rPr>
        <w:rFonts w:cs="Times New Roman"/>
        <w:b/>
        <w:bCs/>
      </w:rPr>
      <w:tblPr>
        <w:tblLayout w:type="fixed"/>
      </w:tblPr>
      <w:tcPr>
        <w:tcBorders>
          <w:tl2br w:val="nil"/>
          <w:tr2bl w:val="nil"/>
        </w:tcBorders>
      </w:tcPr>
    </w:tblStylePr>
    <w:tblStylePr w:type="nwCell">
      <w:rPr>
        <w:rFonts w:cs="Times New Roman"/>
      </w:rPr>
      <w:tblPr>
        <w:tblLayout w:type="fixed"/>
      </w:tblPr>
      <w:tcPr>
        <w:tcBorders>
          <w:tl2br w:val="single" w:color="000000" w:sz="6" w:space="0"/>
          <w:tr2bl w:val="nil"/>
        </w:tcBorders>
      </w:tcPr>
    </w:tblStylePr>
  </w:style>
  <w:style w:type="character" w:customStyle="1" w:styleId="70">
    <w:name w:val="Heading 1 Char"/>
    <w:basedOn w:val="57"/>
    <w:link w:val="2"/>
    <w:qFormat/>
    <w:locked/>
    <w:uiPriority w:val="99"/>
    <w:rPr>
      <w:rFonts w:eastAsia="黑体"/>
      <w:bCs/>
      <w:kern w:val="44"/>
      <w:sz w:val="24"/>
      <w:szCs w:val="44"/>
    </w:rPr>
  </w:style>
  <w:style w:type="character" w:customStyle="1" w:styleId="71">
    <w:name w:val="Heading 2 Char"/>
    <w:basedOn w:val="57"/>
    <w:link w:val="4"/>
    <w:qFormat/>
    <w:locked/>
    <w:uiPriority w:val="99"/>
    <w:rPr>
      <w:rFonts w:eastAsia="黑体"/>
      <w:bCs/>
      <w:kern w:val="0"/>
      <w:sz w:val="24"/>
      <w:szCs w:val="32"/>
    </w:rPr>
  </w:style>
  <w:style w:type="character" w:customStyle="1" w:styleId="72">
    <w:name w:val="Heading 3 Char"/>
    <w:basedOn w:val="57"/>
    <w:link w:val="5"/>
    <w:qFormat/>
    <w:locked/>
    <w:uiPriority w:val="99"/>
    <w:rPr>
      <w:bCs/>
      <w:kern w:val="0"/>
      <w:sz w:val="24"/>
      <w:szCs w:val="32"/>
    </w:rPr>
  </w:style>
  <w:style w:type="character" w:customStyle="1" w:styleId="73">
    <w:name w:val="Heading 4 Char"/>
    <w:basedOn w:val="57"/>
    <w:link w:val="6"/>
    <w:qFormat/>
    <w:locked/>
    <w:uiPriority w:val="99"/>
    <w:rPr>
      <w:bCs/>
      <w:kern w:val="0"/>
      <w:sz w:val="24"/>
      <w:szCs w:val="28"/>
    </w:rPr>
  </w:style>
  <w:style w:type="character" w:customStyle="1" w:styleId="74">
    <w:name w:val="Heading 5 Char"/>
    <w:basedOn w:val="57"/>
    <w:link w:val="7"/>
    <w:qFormat/>
    <w:locked/>
    <w:uiPriority w:val="99"/>
    <w:rPr>
      <w:bCs/>
      <w:kern w:val="0"/>
      <w:sz w:val="24"/>
      <w:szCs w:val="28"/>
    </w:rPr>
  </w:style>
  <w:style w:type="character" w:customStyle="1" w:styleId="75">
    <w:name w:val="Heading 6 Char"/>
    <w:basedOn w:val="57"/>
    <w:link w:val="8"/>
    <w:qFormat/>
    <w:locked/>
    <w:uiPriority w:val="99"/>
    <w:rPr>
      <w:rFonts w:ascii="Cambria" w:hAnsi="Cambria"/>
      <w:b/>
      <w:bCs/>
      <w:kern w:val="0"/>
      <w:sz w:val="24"/>
      <w:szCs w:val="24"/>
    </w:rPr>
  </w:style>
  <w:style w:type="character" w:customStyle="1" w:styleId="76">
    <w:name w:val="Heading 7 Char"/>
    <w:basedOn w:val="57"/>
    <w:link w:val="9"/>
    <w:qFormat/>
    <w:locked/>
    <w:uiPriority w:val="99"/>
    <w:rPr>
      <w:b/>
      <w:bCs/>
      <w:kern w:val="0"/>
      <w:sz w:val="24"/>
      <w:szCs w:val="24"/>
    </w:rPr>
  </w:style>
  <w:style w:type="character" w:customStyle="1" w:styleId="77">
    <w:name w:val="Heading 8 Char"/>
    <w:basedOn w:val="57"/>
    <w:link w:val="10"/>
    <w:qFormat/>
    <w:locked/>
    <w:uiPriority w:val="99"/>
    <w:rPr>
      <w:rFonts w:ascii="Cambria" w:hAnsi="Cambria"/>
      <w:kern w:val="0"/>
      <w:sz w:val="24"/>
      <w:szCs w:val="24"/>
    </w:rPr>
  </w:style>
  <w:style w:type="character" w:customStyle="1" w:styleId="78">
    <w:name w:val="Heading 9 Char"/>
    <w:basedOn w:val="57"/>
    <w:link w:val="11"/>
    <w:qFormat/>
    <w:locked/>
    <w:uiPriority w:val="99"/>
    <w:rPr>
      <w:rFonts w:ascii="Cambria" w:hAnsi="Cambria"/>
      <w:kern w:val="0"/>
      <w:sz w:val="20"/>
      <w:szCs w:val="20"/>
    </w:rPr>
  </w:style>
  <w:style w:type="character" w:customStyle="1" w:styleId="79">
    <w:name w:val="Body Text Char"/>
    <w:basedOn w:val="57"/>
    <w:link w:val="25"/>
    <w:qFormat/>
    <w:locked/>
    <w:uiPriority w:val="99"/>
    <w:rPr>
      <w:rFonts w:cs="Times New Roman"/>
    </w:rPr>
  </w:style>
  <w:style w:type="character" w:customStyle="1" w:styleId="80">
    <w:name w:val="Body Text First Indent Char"/>
    <w:basedOn w:val="79"/>
    <w:link w:val="3"/>
    <w:qFormat/>
    <w:locked/>
    <w:uiPriority w:val="99"/>
    <w:rPr>
      <w:rFonts w:ascii="Times New Roman" w:hAnsi="Times New Roman" w:eastAsia="宋体"/>
      <w:sz w:val="24"/>
    </w:rPr>
  </w:style>
  <w:style w:type="character" w:customStyle="1" w:styleId="81">
    <w:name w:val="Comment Text Char"/>
    <w:basedOn w:val="57"/>
    <w:link w:val="14"/>
    <w:qFormat/>
    <w:locked/>
    <w:uiPriority w:val="99"/>
    <w:rPr>
      <w:sz w:val="24"/>
    </w:rPr>
  </w:style>
  <w:style w:type="character" w:customStyle="1" w:styleId="82">
    <w:name w:val="Comment Subject Char"/>
    <w:basedOn w:val="81"/>
    <w:link w:val="13"/>
    <w:qFormat/>
    <w:locked/>
    <w:uiPriority w:val="99"/>
    <w:rPr>
      <w:b/>
    </w:rPr>
  </w:style>
  <w:style w:type="character" w:customStyle="1" w:styleId="83">
    <w:name w:val="Document Map Char"/>
    <w:basedOn w:val="57"/>
    <w:link w:val="21"/>
    <w:qFormat/>
    <w:locked/>
    <w:uiPriority w:val="99"/>
    <w:rPr>
      <w:rFonts w:ascii="宋体" w:eastAsia="宋体"/>
      <w:sz w:val="18"/>
    </w:rPr>
  </w:style>
  <w:style w:type="character" w:customStyle="1" w:styleId="84">
    <w:name w:val="Salutation Char"/>
    <w:basedOn w:val="57"/>
    <w:link w:val="23"/>
    <w:qFormat/>
    <w:locked/>
    <w:uiPriority w:val="99"/>
    <w:rPr>
      <w:sz w:val="24"/>
    </w:rPr>
  </w:style>
  <w:style w:type="character" w:customStyle="1" w:styleId="85">
    <w:name w:val="Body Text 3 Char"/>
    <w:basedOn w:val="57"/>
    <w:link w:val="24"/>
    <w:qFormat/>
    <w:locked/>
    <w:uiPriority w:val="99"/>
    <w:rPr>
      <w:kern w:val="0"/>
      <w:sz w:val="16"/>
    </w:rPr>
  </w:style>
  <w:style w:type="character" w:customStyle="1" w:styleId="86">
    <w:name w:val="Body Text Indent Char"/>
    <w:basedOn w:val="57"/>
    <w:link w:val="26"/>
    <w:qFormat/>
    <w:locked/>
    <w:uiPriority w:val="99"/>
    <w:rPr>
      <w:sz w:val="24"/>
    </w:rPr>
  </w:style>
  <w:style w:type="character" w:customStyle="1" w:styleId="87">
    <w:name w:val="Plain Text Char"/>
    <w:basedOn w:val="57"/>
    <w:link w:val="32"/>
    <w:qFormat/>
    <w:locked/>
    <w:uiPriority w:val="99"/>
    <w:rPr>
      <w:rFonts w:ascii="宋体" w:eastAsia="宋体"/>
      <w:kern w:val="0"/>
      <w:sz w:val="24"/>
    </w:rPr>
  </w:style>
  <w:style w:type="character" w:customStyle="1" w:styleId="88">
    <w:name w:val="Date Char"/>
    <w:basedOn w:val="57"/>
    <w:link w:val="34"/>
    <w:qFormat/>
    <w:locked/>
    <w:uiPriority w:val="99"/>
    <w:rPr>
      <w:sz w:val="24"/>
    </w:rPr>
  </w:style>
  <w:style w:type="character" w:customStyle="1" w:styleId="89">
    <w:name w:val="Body Text Indent 2 Char"/>
    <w:basedOn w:val="57"/>
    <w:link w:val="35"/>
    <w:qFormat/>
    <w:locked/>
    <w:uiPriority w:val="99"/>
    <w:rPr>
      <w:rFonts w:ascii="Calibri" w:hAnsi="Calibri"/>
      <w:sz w:val="21"/>
    </w:rPr>
  </w:style>
  <w:style w:type="character" w:customStyle="1" w:styleId="90">
    <w:name w:val="Endnote Text Char"/>
    <w:basedOn w:val="57"/>
    <w:link w:val="36"/>
    <w:qFormat/>
    <w:locked/>
    <w:uiPriority w:val="99"/>
    <w:rPr>
      <w:rFonts w:cs="Times New Roman"/>
    </w:rPr>
  </w:style>
  <w:style w:type="character" w:customStyle="1" w:styleId="91">
    <w:name w:val="Balloon Text Char"/>
    <w:basedOn w:val="57"/>
    <w:link w:val="37"/>
    <w:qFormat/>
    <w:locked/>
    <w:uiPriority w:val="99"/>
    <w:rPr>
      <w:sz w:val="18"/>
    </w:rPr>
  </w:style>
  <w:style w:type="character" w:customStyle="1" w:styleId="92">
    <w:name w:val="Footer Char"/>
    <w:basedOn w:val="57"/>
    <w:link w:val="38"/>
    <w:qFormat/>
    <w:locked/>
    <w:uiPriority w:val="99"/>
    <w:rPr>
      <w:sz w:val="18"/>
    </w:rPr>
  </w:style>
  <w:style w:type="character" w:customStyle="1" w:styleId="93">
    <w:name w:val="Body Text First Indent 2 Char"/>
    <w:basedOn w:val="86"/>
    <w:link w:val="39"/>
    <w:qFormat/>
    <w:locked/>
    <w:uiPriority w:val="99"/>
    <w:rPr>
      <w:rFonts w:cs="Times New Roman"/>
      <w:szCs w:val="24"/>
    </w:rPr>
  </w:style>
  <w:style w:type="character" w:customStyle="1" w:styleId="94">
    <w:name w:val="Header Char"/>
    <w:basedOn w:val="57"/>
    <w:link w:val="40"/>
    <w:qFormat/>
    <w:locked/>
    <w:uiPriority w:val="99"/>
    <w:rPr>
      <w:sz w:val="18"/>
    </w:rPr>
  </w:style>
  <w:style w:type="character" w:customStyle="1" w:styleId="95">
    <w:name w:val="Subtitle Char"/>
    <w:basedOn w:val="57"/>
    <w:link w:val="43"/>
    <w:qFormat/>
    <w:locked/>
    <w:uiPriority w:val="99"/>
    <w:rPr>
      <w:rFonts w:ascii="Cambria" w:hAnsi="Cambria" w:eastAsia="宋体"/>
      <w:b/>
      <w:kern w:val="28"/>
      <w:sz w:val="32"/>
    </w:rPr>
  </w:style>
  <w:style w:type="character" w:customStyle="1" w:styleId="96">
    <w:name w:val="Footnote Text Char"/>
    <w:basedOn w:val="57"/>
    <w:link w:val="45"/>
    <w:qFormat/>
    <w:locked/>
    <w:uiPriority w:val="99"/>
    <w:rPr>
      <w:rFonts w:ascii="Calibri" w:hAnsi="Calibri"/>
      <w:kern w:val="0"/>
    </w:rPr>
  </w:style>
  <w:style w:type="character" w:customStyle="1" w:styleId="97">
    <w:name w:val="Body Text Indent 3 Char"/>
    <w:basedOn w:val="57"/>
    <w:link w:val="47"/>
    <w:qFormat/>
    <w:locked/>
    <w:uiPriority w:val="99"/>
    <w:rPr>
      <w:sz w:val="16"/>
    </w:rPr>
  </w:style>
  <w:style w:type="character" w:customStyle="1" w:styleId="98">
    <w:name w:val="Body Text 2 Char"/>
    <w:basedOn w:val="57"/>
    <w:link w:val="51"/>
    <w:qFormat/>
    <w:locked/>
    <w:uiPriority w:val="99"/>
    <w:rPr>
      <w:rFonts w:ascii="Calibri" w:hAnsi="Calibri"/>
      <w:sz w:val="21"/>
    </w:rPr>
  </w:style>
  <w:style w:type="character" w:customStyle="1" w:styleId="99">
    <w:name w:val="HTML Preformatted Char"/>
    <w:basedOn w:val="57"/>
    <w:link w:val="53"/>
    <w:qFormat/>
    <w:locked/>
    <w:uiPriority w:val="99"/>
    <w:rPr>
      <w:rFonts w:ascii="Courier New" w:hAnsi="Courier New" w:eastAsia="仿宋_GB2312"/>
    </w:rPr>
  </w:style>
  <w:style w:type="character" w:customStyle="1" w:styleId="100">
    <w:name w:val="Title Char"/>
    <w:basedOn w:val="57"/>
    <w:link w:val="56"/>
    <w:qFormat/>
    <w:locked/>
    <w:uiPriority w:val="99"/>
    <w:rPr>
      <w:rFonts w:eastAsia="黑体"/>
      <w:sz w:val="32"/>
    </w:rPr>
  </w:style>
  <w:style w:type="paragraph" w:customStyle="1" w:styleId="101">
    <w:name w:val="No Spacing1"/>
    <w:qFormat/>
    <w:uiPriority w:val="99"/>
    <w:pPr>
      <w:widowControl w:val="0"/>
      <w:jc w:val="both"/>
    </w:pPr>
    <w:rPr>
      <w:rFonts w:ascii="Times New Roman" w:hAnsi="Times New Roman" w:eastAsia="宋体" w:cs="Times New Roman"/>
      <w:kern w:val="2"/>
      <w:sz w:val="20"/>
      <w:szCs w:val="20"/>
      <w:lang w:val="en-US" w:eastAsia="zh-CN" w:bidi="ar-SA"/>
    </w:rPr>
  </w:style>
  <w:style w:type="character" w:customStyle="1" w:styleId="102">
    <w:name w:val="Subtle Reference1"/>
    <w:qFormat/>
    <w:uiPriority w:val="99"/>
    <w:rPr>
      <w:smallCaps/>
      <w:color w:val="C0504D"/>
      <w:u w:val="single"/>
    </w:rPr>
  </w:style>
  <w:style w:type="paragraph" w:customStyle="1" w:styleId="103">
    <w:name w:val="List Paragraph1"/>
    <w:basedOn w:val="1"/>
    <w:qFormat/>
    <w:uiPriority w:val="99"/>
    <w:pPr>
      <w:ind w:firstLine="420" w:firstLineChars="200"/>
    </w:pPr>
  </w:style>
  <w:style w:type="character" w:customStyle="1" w:styleId="104">
    <w:name w:val="Intense Reference1"/>
    <w:qFormat/>
    <w:uiPriority w:val="99"/>
    <w:rPr>
      <w:b/>
      <w:smallCaps/>
      <w:color w:val="C0504D"/>
      <w:spacing w:val="5"/>
      <w:u w:val="single"/>
    </w:rPr>
  </w:style>
  <w:style w:type="character" w:customStyle="1" w:styleId="105">
    <w:name w:val="Book Title1"/>
    <w:qFormat/>
    <w:uiPriority w:val="99"/>
    <w:rPr>
      <w:b/>
      <w:smallCaps/>
      <w:spacing w:val="5"/>
    </w:rPr>
  </w:style>
  <w:style w:type="paragraph" w:customStyle="1" w:styleId="106">
    <w:name w:val="Quote1"/>
    <w:basedOn w:val="1"/>
    <w:next w:val="1"/>
    <w:link w:val="107"/>
    <w:qFormat/>
    <w:uiPriority w:val="99"/>
    <w:rPr>
      <w:i/>
      <w:iCs/>
      <w:color w:val="000000"/>
      <w:kern w:val="0"/>
    </w:rPr>
  </w:style>
  <w:style w:type="character" w:customStyle="1" w:styleId="107">
    <w:name w:val="引用 Char"/>
    <w:link w:val="106"/>
    <w:qFormat/>
    <w:locked/>
    <w:uiPriority w:val="99"/>
    <w:rPr>
      <w:i/>
      <w:color w:val="000000"/>
    </w:rPr>
  </w:style>
  <w:style w:type="paragraph" w:customStyle="1" w:styleId="108">
    <w:name w:val="Intense Quote1"/>
    <w:basedOn w:val="1"/>
    <w:next w:val="1"/>
    <w:link w:val="109"/>
    <w:qFormat/>
    <w:uiPriority w:val="99"/>
    <w:pPr>
      <w:pBdr>
        <w:bottom w:val="single" w:color="4F81BD" w:sz="4" w:space="4"/>
      </w:pBdr>
      <w:spacing w:before="200" w:after="280"/>
      <w:ind w:left="936" w:right="936"/>
    </w:pPr>
    <w:rPr>
      <w:b/>
      <w:bCs/>
      <w:i/>
      <w:iCs/>
      <w:color w:val="4F81BD"/>
      <w:kern w:val="0"/>
    </w:rPr>
  </w:style>
  <w:style w:type="character" w:customStyle="1" w:styleId="109">
    <w:name w:val="明显引用 Char"/>
    <w:link w:val="108"/>
    <w:qFormat/>
    <w:locked/>
    <w:uiPriority w:val="99"/>
    <w:rPr>
      <w:b/>
      <w:i/>
      <w:color w:val="4F81BD"/>
    </w:rPr>
  </w:style>
  <w:style w:type="character" w:customStyle="1" w:styleId="110">
    <w:name w:val="Intense Emphasis1"/>
    <w:qFormat/>
    <w:uiPriority w:val="99"/>
    <w:rPr>
      <w:b/>
      <w:i/>
      <w:color w:val="4F81BD"/>
    </w:rPr>
  </w:style>
  <w:style w:type="character" w:customStyle="1" w:styleId="111">
    <w:name w:val="Subtle Emphasis1"/>
    <w:qFormat/>
    <w:uiPriority w:val="99"/>
    <w:rPr>
      <w:i/>
      <w:color w:val="808080"/>
    </w:rPr>
  </w:style>
  <w:style w:type="paragraph" w:customStyle="1" w:styleId="112">
    <w:name w:val="表格文字"/>
    <w:basedOn w:val="3"/>
    <w:link w:val="113"/>
    <w:qFormat/>
    <w:uiPriority w:val="99"/>
    <w:pPr>
      <w:spacing w:line="240" w:lineRule="auto"/>
      <w:ind w:firstLine="0" w:firstLineChars="0"/>
      <w:jc w:val="center"/>
    </w:pPr>
    <w:rPr>
      <w:sz w:val="21"/>
    </w:rPr>
  </w:style>
  <w:style w:type="character" w:customStyle="1" w:styleId="113">
    <w:name w:val="表格文字 Char"/>
    <w:basedOn w:val="80"/>
    <w:link w:val="112"/>
    <w:qFormat/>
    <w:locked/>
    <w:uiPriority w:val="99"/>
    <w:rPr>
      <w:rFonts w:cs="Times New Roman"/>
    </w:rPr>
  </w:style>
  <w:style w:type="paragraph" w:customStyle="1" w:styleId="114">
    <w:name w:val="表格标题"/>
    <w:basedOn w:val="3"/>
    <w:link w:val="115"/>
    <w:qFormat/>
    <w:uiPriority w:val="99"/>
    <w:pPr>
      <w:ind w:firstLine="0" w:firstLineChars="0"/>
      <w:jc w:val="center"/>
    </w:pPr>
    <w:rPr>
      <w:rFonts w:eastAsia="黑体"/>
    </w:rPr>
  </w:style>
  <w:style w:type="character" w:customStyle="1" w:styleId="115">
    <w:name w:val="表格标题 Char"/>
    <w:link w:val="114"/>
    <w:qFormat/>
    <w:locked/>
    <w:uiPriority w:val="99"/>
    <w:rPr>
      <w:rFonts w:eastAsia="黑体"/>
      <w:kern w:val="0"/>
      <w:sz w:val="24"/>
    </w:rPr>
  </w:style>
  <w:style w:type="table" w:customStyle="1" w:styleId="116">
    <w:name w:val="表格"/>
    <w:qFormat/>
    <w:uiPriority w:val="99"/>
    <w:pPr>
      <w:jc w:val="center"/>
    </w:pPr>
    <w:rPr>
      <w:kern w:val="0"/>
      <w:sz w:val="20"/>
      <w:szCs w:val="21"/>
    </w:rPr>
    <w:tblPr>
      <w:tblBorders>
        <w:top w:val="single" w:color="auto" w:sz="4" w:space="0"/>
        <w:bottom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17">
    <w:name w:val="表字居中"/>
    <w:basedOn w:val="1"/>
    <w:next w:val="1"/>
    <w:link w:val="118"/>
    <w:qFormat/>
    <w:uiPriority w:val="99"/>
    <w:pPr>
      <w:adjustRightInd w:val="0"/>
      <w:jc w:val="center"/>
      <w:textAlignment w:val="baseline"/>
    </w:pPr>
    <w:rPr>
      <w:rFonts w:ascii="Calibri" w:hAnsi="Calibri"/>
      <w:kern w:val="0"/>
      <w:sz w:val="21"/>
      <w:szCs w:val="21"/>
    </w:rPr>
  </w:style>
  <w:style w:type="character" w:customStyle="1" w:styleId="118">
    <w:name w:val="表字居中 Char"/>
    <w:link w:val="117"/>
    <w:qFormat/>
    <w:locked/>
    <w:uiPriority w:val="99"/>
    <w:rPr>
      <w:rFonts w:ascii="Calibri" w:hAnsi="Calibri"/>
      <w:kern w:val="0"/>
      <w:sz w:val="21"/>
    </w:rPr>
  </w:style>
  <w:style w:type="character" w:customStyle="1" w:styleId="119">
    <w:name w:val="标题 2 Char1"/>
    <w:qFormat/>
    <w:uiPriority w:val="99"/>
    <w:rPr>
      <w:rFonts w:ascii="Arial" w:hAnsi="Arial" w:eastAsia="黑体"/>
      <w:b/>
      <w:kern w:val="2"/>
      <w:sz w:val="32"/>
      <w:lang w:val="en-US" w:eastAsia="zh-CN"/>
    </w:rPr>
  </w:style>
  <w:style w:type="character" w:customStyle="1" w:styleId="120">
    <w:name w:val="标题 6 Char1"/>
    <w:qFormat/>
    <w:uiPriority w:val="99"/>
    <w:rPr>
      <w:rFonts w:ascii="Arial" w:hAnsi="Arial" w:eastAsia="黑体"/>
      <w:b/>
      <w:kern w:val="2"/>
      <w:sz w:val="24"/>
      <w:lang w:val="en-US" w:eastAsia="zh-CN"/>
    </w:rPr>
  </w:style>
  <w:style w:type="paragraph" w:customStyle="1" w:styleId="121">
    <w:name w:val="Char Char4"/>
    <w:basedOn w:val="5"/>
    <w:qFormat/>
    <w:uiPriority w:val="99"/>
    <w:pPr>
      <w:numPr>
        <w:ilvl w:val="0"/>
        <w:numId w:val="0"/>
      </w:numPr>
      <w:tabs>
        <w:tab w:val="left" w:pos="360"/>
        <w:tab w:val="left" w:pos="900"/>
      </w:tabs>
      <w:adjustRightInd/>
      <w:spacing w:before="120" w:after="120"/>
      <w:ind w:left="542" w:leftChars="-12" w:firstLine="200" w:firstLineChars="200"/>
      <w:jc w:val="left"/>
    </w:pPr>
    <w:rPr>
      <w:rFonts w:eastAsia="黑体"/>
      <w:bCs w:val="0"/>
      <w:szCs w:val="24"/>
    </w:rPr>
  </w:style>
  <w:style w:type="paragraph" w:customStyle="1" w:styleId="122">
    <w:name w:val="lei Char Char"/>
    <w:basedOn w:val="1"/>
    <w:link w:val="123"/>
    <w:qFormat/>
    <w:uiPriority w:val="99"/>
    <w:pPr>
      <w:adjustRightInd w:val="0"/>
      <w:spacing w:line="560" w:lineRule="exact"/>
      <w:ind w:firstLine="565" w:firstLineChars="200"/>
    </w:pPr>
    <w:rPr>
      <w:rFonts w:eastAsia="仿宋_GB2312"/>
      <w:kern w:val="0"/>
      <w:sz w:val="28"/>
      <w:szCs w:val="28"/>
    </w:rPr>
  </w:style>
  <w:style w:type="character" w:customStyle="1" w:styleId="123">
    <w:name w:val="lei Char Char Char"/>
    <w:link w:val="122"/>
    <w:qFormat/>
    <w:locked/>
    <w:uiPriority w:val="99"/>
    <w:rPr>
      <w:rFonts w:eastAsia="仿宋_GB2312"/>
      <w:sz w:val="28"/>
    </w:rPr>
  </w:style>
  <w:style w:type="paragraph" w:customStyle="1" w:styleId="124">
    <w:name w:val="zh"/>
    <w:basedOn w:val="122"/>
    <w:qFormat/>
    <w:uiPriority w:val="99"/>
  </w:style>
  <w:style w:type="character" w:customStyle="1" w:styleId="125">
    <w:name w:val="Normal Indent Char"/>
    <w:link w:val="18"/>
    <w:qFormat/>
    <w:locked/>
    <w:uiPriority w:val="99"/>
    <w:rPr>
      <w:rFonts w:ascii="Calibri" w:hAnsi="Calibri"/>
      <w:sz w:val="21"/>
    </w:rPr>
  </w:style>
  <w:style w:type="paragraph" w:customStyle="1" w:styleId="126">
    <w:name w:val="4"/>
    <w:basedOn w:val="1"/>
    <w:next w:val="18"/>
    <w:qFormat/>
    <w:uiPriority w:val="99"/>
    <w:pPr>
      <w:ind w:firstLine="420"/>
    </w:pPr>
  </w:style>
  <w:style w:type="paragraph" w:customStyle="1" w:styleId="127">
    <w:name w:val="表名1"/>
    <w:basedOn w:val="1"/>
    <w:qFormat/>
    <w:uiPriority w:val="99"/>
    <w:pPr>
      <w:adjustRightInd w:val="0"/>
      <w:snapToGrid w:val="0"/>
      <w:spacing w:line="560" w:lineRule="exact"/>
      <w:jc w:val="center"/>
    </w:pPr>
    <w:rPr>
      <w:rFonts w:eastAsia="黑体"/>
      <w:sz w:val="24"/>
      <w:szCs w:val="24"/>
    </w:rPr>
  </w:style>
  <w:style w:type="paragraph" w:customStyle="1" w:styleId="128">
    <w:name w:val="样式-lei Char Char"/>
    <w:basedOn w:val="1"/>
    <w:link w:val="129"/>
    <w:qFormat/>
    <w:uiPriority w:val="99"/>
    <w:pPr>
      <w:spacing w:line="560" w:lineRule="exact"/>
      <w:ind w:firstLine="565" w:firstLineChars="200"/>
    </w:pPr>
    <w:rPr>
      <w:rFonts w:eastAsia="仿宋_GB2312"/>
      <w:kern w:val="0"/>
      <w:sz w:val="28"/>
      <w:szCs w:val="28"/>
    </w:rPr>
  </w:style>
  <w:style w:type="character" w:customStyle="1" w:styleId="129">
    <w:name w:val="样式-lei Char Char Char"/>
    <w:link w:val="128"/>
    <w:qFormat/>
    <w:locked/>
    <w:uiPriority w:val="99"/>
    <w:rPr>
      <w:rFonts w:eastAsia="仿宋_GB2312"/>
      <w:sz w:val="28"/>
    </w:rPr>
  </w:style>
  <w:style w:type="paragraph" w:customStyle="1" w:styleId="130">
    <w:name w:val="表内-文字"/>
    <w:basedOn w:val="1"/>
    <w:qFormat/>
    <w:uiPriority w:val="99"/>
    <w:pPr>
      <w:spacing w:line="320" w:lineRule="exact"/>
      <w:jc w:val="center"/>
    </w:pPr>
    <w:rPr>
      <w:rFonts w:eastAsia="楷体_GB2312" w:cs="宋体"/>
      <w:bCs/>
      <w:color w:val="000000"/>
    </w:rPr>
  </w:style>
  <w:style w:type="paragraph" w:customStyle="1" w:styleId="131">
    <w:name w:val="lei"/>
    <w:basedOn w:val="1"/>
    <w:qFormat/>
    <w:uiPriority w:val="99"/>
    <w:pPr>
      <w:adjustRightInd w:val="0"/>
      <w:spacing w:line="560" w:lineRule="exact"/>
      <w:ind w:firstLine="565" w:firstLineChars="200"/>
    </w:pPr>
    <w:rPr>
      <w:rFonts w:eastAsia="仿宋_GB2312"/>
      <w:kern w:val="0"/>
      <w:sz w:val="28"/>
      <w:szCs w:val="28"/>
    </w:rPr>
  </w:style>
  <w:style w:type="paragraph" w:customStyle="1" w:styleId="132">
    <w:name w:val="bg"/>
    <w:basedOn w:val="1"/>
    <w:qFormat/>
    <w:uiPriority w:val="99"/>
    <w:pPr>
      <w:adjustRightInd w:val="0"/>
      <w:spacing w:line="360" w:lineRule="exact"/>
      <w:jc w:val="center"/>
    </w:pPr>
    <w:rPr>
      <w:rFonts w:eastAsia="仿宋_GB2312"/>
      <w:kern w:val="0"/>
    </w:rPr>
  </w:style>
  <w:style w:type="paragraph" w:customStyle="1" w:styleId="133">
    <w:name w:val="bm"/>
    <w:basedOn w:val="1"/>
    <w:qFormat/>
    <w:uiPriority w:val="99"/>
    <w:pPr>
      <w:adjustRightInd w:val="0"/>
      <w:spacing w:beforeLines="30" w:afterLines="10" w:line="360" w:lineRule="exact"/>
      <w:jc w:val="center"/>
    </w:pPr>
    <w:rPr>
      <w:rFonts w:eastAsia="黑体"/>
      <w:kern w:val="0"/>
      <w:sz w:val="24"/>
      <w:szCs w:val="24"/>
    </w:rPr>
  </w:style>
  <w:style w:type="character" w:customStyle="1" w:styleId="134">
    <w:name w:val="纯文本 Char1"/>
    <w:qFormat/>
    <w:uiPriority w:val="99"/>
    <w:rPr>
      <w:rFonts w:ascii="宋体" w:hAnsi="Courier New" w:eastAsia="宋体"/>
      <w:kern w:val="2"/>
      <w:sz w:val="24"/>
      <w:lang w:val="en-US" w:eastAsia="zh-CN"/>
    </w:rPr>
  </w:style>
  <w:style w:type="paragraph" w:customStyle="1" w:styleId="135">
    <w:name w:val="样式 标题 2H2Heading 2 HiddenHeading 2 CCBS2nd levelh22Header..."/>
    <w:basedOn w:val="4"/>
    <w:qFormat/>
    <w:uiPriority w:val="99"/>
    <w:pPr>
      <w:numPr>
        <w:ilvl w:val="0"/>
        <w:numId w:val="0"/>
      </w:numPr>
      <w:snapToGrid/>
      <w:spacing w:before="120" w:after="120" w:line="560" w:lineRule="exact"/>
    </w:pPr>
    <w:rPr>
      <w:rFonts w:cs="宋体"/>
      <w:bCs w:val="0"/>
      <w:sz w:val="30"/>
      <w:szCs w:val="20"/>
    </w:rPr>
  </w:style>
  <w:style w:type="paragraph" w:customStyle="1" w:styleId="136">
    <w:name w:val="样式 标题 3标题 3 Char + Times New Roman 首行缩进:  2 字符 段前: 6 磅 段后: 6..."/>
    <w:basedOn w:val="5"/>
    <w:qFormat/>
    <w:uiPriority w:val="99"/>
    <w:pPr>
      <w:numPr>
        <w:ilvl w:val="0"/>
        <w:numId w:val="0"/>
      </w:numPr>
      <w:snapToGrid/>
      <w:spacing w:before="120" w:after="120" w:line="560" w:lineRule="exact"/>
      <w:jc w:val="left"/>
    </w:pPr>
    <w:rPr>
      <w:rFonts w:eastAsia="黑体" w:cs="宋体"/>
      <w:bCs w:val="0"/>
      <w:sz w:val="28"/>
      <w:szCs w:val="20"/>
    </w:rPr>
  </w:style>
  <w:style w:type="character" w:customStyle="1" w:styleId="137">
    <w:name w:val="节 Char"/>
    <w:qFormat/>
    <w:uiPriority w:val="99"/>
    <w:rPr>
      <w:rFonts w:eastAsia="黑体"/>
      <w:b/>
      <w:kern w:val="2"/>
      <w:sz w:val="28"/>
      <w:lang w:val="en-US" w:eastAsia="zh-CN"/>
    </w:rPr>
  </w:style>
  <w:style w:type="paragraph" w:customStyle="1" w:styleId="138">
    <w:name w:val="Char Char1 Char Char Char"/>
    <w:basedOn w:val="1"/>
    <w:qFormat/>
    <w:uiPriority w:val="99"/>
    <w:pPr>
      <w:adjustRightInd w:val="0"/>
      <w:spacing w:line="360" w:lineRule="atLeast"/>
      <w:jc w:val="left"/>
      <w:textAlignment w:val="baseline"/>
    </w:pPr>
    <w:rPr>
      <w:rFonts w:ascii="Tahoma" w:hAnsi="Tahoma"/>
      <w:kern w:val="0"/>
      <w:sz w:val="24"/>
    </w:rPr>
  </w:style>
  <w:style w:type="character" w:customStyle="1" w:styleId="139">
    <w:name w:val="正文文本 Char1"/>
    <w:qFormat/>
    <w:uiPriority w:val="99"/>
    <w:rPr>
      <w:rFonts w:eastAsia="宋体"/>
      <w:kern w:val="2"/>
      <w:sz w:val="21"/>
      <w:lang w:val="en-US" w:eastAsia="zh-CN"/>
    </w:rPr>
  </w:style>
  <w:style w:type="paragraph" w:customStyle="1" w:styleId="140">
    <w:name w:val="Char Char"/>
    <w:basedOn w:val="1"/>
    <w:qFormat/>
    <w:uiPriority w:val="99"/>
    <w:pPr>
      <w:adjustRightInd w:val="0"/>
      <w:spacing w:line="360" w:lineRule="atLeast"/>
      <w:jc w:val="left"/>
      <w:textAlignment w:val="baseline"/>
    </w:pPr>
    <w:rPr>
      <w:rFonts w:ascii="Tahoma" w:hAnsi="Tahoma"/>
      <w:kern w:val="0"/>
      <w:sz w:val="24"/>
    </w:rPr>
  </w:style>
  <w:style w:type="paragraph" w:customStyle="1" w:styleId="141">
    <w:name w:val="样式 标题 1 + 四号 行距: 1.5 倍行距"/>
    <w:basedOn w:val="2"/>
    <w:qFormat/>
    <w:uiPriority w:val="99"/>
    <w:pPr>
      <w:keepLines w:val="0"/>
      <w:numPr>
        <w:ilvl w:val="0"/>
        <w:numId w:val="0"/>
      </w:numPr>
      <w:adjustRightInd/>
      <w:snapToGrid/>
      <w:spacing w:beforeLines="50" w:line="440" w:lineRule="exact"/>
    </w:pPr>
    <w:rPr>
      <w:rFonts w:ascii="宋体" w:eastAsia="宋体"/>
      <w:b/>
      <w:iCs/>
      <w:kern w:val="2"/>
      <w:sz w:val="28"/>
      <w:szCs w:val="28"/>
    </w:rPr>
  </w:style>
  <w:style w:type="paragraph" w:customStyle="1" w:styleId="142">
    <w:name w:val="表名"/>
    <w:basedOn w:val="1"/>
    <w:link w:val="143"/>
    <w:qFormat/>
    <w:uiPriority w:val="99"/>
    <w:pPr>
      <w:adjustRightInd w:val="0"/>
      <w:spacing w:line="560" w:lineRule="exact"/>
      <w:jc w:val="center"/>
    </w:pPr>
    <w:rPr>
      <w:rFonts w:eastAsia="黑体"/>
      <w:kern w:val="0"/>
      <w:sz w:val="24"/>
      <w:szCs w:val="24"/>
    </w:rPr>
  </w:style>
  <w:style w:type="character" w:customStyle="1" w:styleId="143">
    <w:name w:val="表名 Char"/>
    <w:link w:val="142"/>
    <w:qFormat/>
    <w:locked/>
    <w:uiPriority w:val="99"/>
    <w:rPr>
      <w:rFonts w:eastAsia="黑体"/>
      <w:sz w:val="24"/>
    </w:rPr>
  </w:style>
  <w:style w:type="paragraph" w:customStyle="1" w:styleId="144">
    <w:name w:val="正文1 Char"/>
    <w:basedOn w:val="1"/>
    <w:link w:val="145"/>
    <w:qFormat/>
    <w:uiPriority w:val="99"/>
    <w:pPr>
      <w:adjustRightInd w:val="0"/>
      <w:snapToGrid w:val="0"/>
      <w:spacing w:line="560" w:lineRule="exact"/>
      <w:ind w:firstLine="560" w:firstLineChars="200"/>
    </w:pPr>
    <w:rPr>
      <w:rFonts w:eastAsia="仿宋_GB2312"/>
      <w:kern w:val="0"/>
      <w:sz w:val="28"/>
      <w:szCs w:val="30"/>
    </w:rPr>
  </w:style>
  <w:style w:type="character" w:customStyle="1" w:styleId="145">
    <w:name w:val="正文1 Char Char"/>
    <w:link w:val="144"/>
    <w:qFormat/>
    <w:locked/>
    <w:uiPriority w:val="99"/>
    <w:rPr>
      <w:rFonts w:eastAsia="仿宋_GB2312"/>
      <w:sz w:val="30"/>
    </w:rPr>
  </w:style>
  <w:style w:type="paragraph" w:customStyle="1" w:styleId="146">
    <w:name w:val="样式-lei"/>
    <w:basedOn w:val="1"/>
    <w:qFormat/>
    <w:uiPriority w:val="99"/>
    <w:pPr>
      <w:spacing w:line="560" w:lineRule="exact"/>
      <w:ind w:firstLine="560" w:firstLineChars="200"/>
    </w:pPr>
    <w:rPr>
      <w:rFonts w:eastAsia="仿宋_GB2312"/>
      <w:sz w:val="28"/>
      <w:szCs w:val="28"/>
    </w:rPr>
  </w:style>
  <w:style w:type="paragraph" w:customStyle="1" w:styleId="147">
    <w:name w:val="样式2 Char"/>
    <w:basedOn w:val="1"/>
    <w:link w:val="148"/>
    <w:qFormat/>
    <w:uiPriority w:val="99"/>
    <w:pPr>
      <w:adjustRightInd w:val="0"/>
      <w:spacing w:line="560" w:lineRule="exact"/>
      <w:ind w:firstLine="565" w:firstLineChars="200"/>
    </w:pPr>
    <w:rPr>
      <w:rFonts w:eastAsia="仿宋_GB2312"/>
      <w:kern w:val="0"/>
      <w:sz w:val="28"/>
      <w:szCs w:val="28"/>
    </w:rPr>
  </w:style>
  <w:style w:type="character" w:customStyle="1" w:styleId="148">
    <w:name w:val="样式2 Char Char"/>
    <w:link w:val="147"/>
    <w:qFormat/>
    <w:locked/>
    <w:uiPriority w:val="99"/>
    <w:rPr>
      <w:rFonts w:eastAsia="仿宋_GB2312"/>
      <w:sz w:val="28"/>
    </w:rPr>
  </w:style>
  <w:style w:type="character" w:customStyle="1" w:styleId="149">
    <w:name w:val="正文1 Char1"/>
    <w:qFormat/>
    <w:uiPriority w:val="99"/>
    <w:rPr>
      <w:rFonts w:eastAsia="仿宋_GB2312"/>
      <w:kern w:val="2"/>
      <w:sz w:val="28"/>
      <w:lang w:val="en-US" w:eastAsia="zh-CN"/>
    </w:rPr>
  </w:style>
  <w:style w:type="paragraph" w:customStyle="1" w:styleId="150">
    <w:name w:val="zw"/>
    <w:basedOn w:val="1"/>
    <w:link w:val="283"/>
    <w:qFormat/>
    <w:uiPriority w:val="99"/>
    <w:pPr>
      <w:spacing w:line="560" w:lineRule="exact"/>
      <w:ind w:firstLine="560" w:firstLineChars="200"/>
    </w:pPr>
    <w:rPr>
      <w:rFonts w:eastAsia="仿宋_GB2312"/>
      <w:kern w:val="0"/>
      <w:sz w:val="28"/>
      <w:szCs w:val="28"/>
    </w:rPr>
  </w:style>
  <w:style w:type="paragraph" w:customStyle="1" w:styleId="151">
    <w:name w:val="样式 首行缩进:  2 字符"/>
    <w:basedOn w:val="1"/>
    <w:next w:val="1"/>
    <w:qFormat/>
    <w:uiPriority w:val="99"/>
    <w:pPr>
      <w:snapToGrid w:val="0"/>
      <w:spacing w:line="400" w:lineRule="exact"/>
      <w:ind w:firstLine="459" w:firstLineChars="200"/>
    </w:pPr>
    <w:rPr>
      <w:sz w:val="24"/>
    </w:rPr>
  </w:style>
  <w:style w:type="character" w:customStyle="1" w:styleId="152">
    <w:name w:val="标题 2 Char1 Char"/>
    <w:qFormat/>
    <w:uiPriority w:val="99"/>
    <w:rPr>
      <w:rFonts w:eastAsia="黑体"/>
      <w:kern w:val="2"/>
      <w:sz w:val="28"/>
      <w:lang w:val="en-US" w:eastAsia="zh-CN"/>
    </w:rPr>
  </w:style>
  <w:style w:type="character" w:customStyle="1" w:styleId="153">
    <w:name w:val="正文缩进 Char2 Char"/>
    <w:qFormat/>
    <w:uiPriority w:val="99"/>
    <w:rPr>
      <w:rFonts w:eastAsia="宋体"/>
      <w:kern w:val="2"/>
      <w:sz w:val="24"/>
      <w:lang w:val="en-US" w:eastAsia="zh-CN"/>
    </w:rPr>
  </w:style>
  <w:style w:type="character" w:customStyle="1" w:styleId="154">
    <w:name w:val="纯文本 Char Char"/>
    <w:qFormat/>
    <w:uiPriority w:val="99"/>
    <w:rPr>
      <w:rFonts w:ascii="宋体" w:hAnsi="Courier New" w:eastAsia="宋体"/>
      <w:kern w:val="2"/>
      <w:sz w:val="24"/>
      <w:lang w:val="en-US" w:eastAsia="zh-CN"/>
    </w:rPr>
  </w:style>
  <w:style w:type="character" w:customStyle="1" w:styleId="155">
    <w:name w:val="Char Char1"/>
    <w:qFormat/>
    <w:uiPriority w:val="99"/>
    <w:rPr>
      <w:kern w:val="2"/>
      <w:sz w:val="18"/>
    </w:rPr>
  </w:style>
  <w:style w:type="character" w:customStyle="1" w:styleId="156">
    <w:name w:val="引用 Char Char"/>
    <w:qFormat/>
    <w:uiPriority w:val="99"/>
    <w:rPr>
      <w:rFonts w:ascii="Calibri" w:hAnsi="Calibri" w:eastAsia="宋体"/>
      <w:i/>
      <w:color w:val="000000"/>
      <w:kern w:val="2"/>
      <w:sz w:val="24"/>
      <w:lang w:val="en-US" w:eastAsia="zh-CN"/>
    </w:rPr>
  </w:style>
  <w:style w:type="character" w:customStyle="1" w:styleId="157">
    <w:name w:val="font3"/>
    <w:qFormat/>
    <w:uiPriority w:val="99"/>
  </w:style>
  <w:style w:type="paragraph" w:customStyle="1" w:styleId="158">
    <w:name w:val="样式1"/>
    <w:basedOn w:val="2"/>
    <w:qFormat/>
    <w:uiPriority w:val="99"/>
    <w:pPr>
      <w:keepLines w:val="0"/>
      <w:numPr>
        <w:ilvl w:val="0"/>
        <w:numId w:val="0"/>
      </w:numPr>
      <w:adjustRightInd/>
      <w:snapToGrid/>
      <w:spacing w:line="240" w:lineRule="auto"/>
    </w:pPr>
    <w:rPr>
      <w:rFonts w:eastAsia="宋体"/>
      <w:bCs w:val="0"/>
      <w:i/>
      <w:iCs/>
      <w:kern w:val="2"/>
      <w:sz w:val="28"/>
      <w:szCs w:val="28"/>
    </w:rPr>
  </w:style>
  <w:style w:type="character" w:customStyle="1" w:styleId="159">
    <w:name w:val="repeat-item"/>
    <w:qFormat/>
    <w:uiPriority w:val="99"/>
  </w:style>
  <w:style w:type="paragraph" w:customStyle="1" w:styleId="160">
    <w:name w:val="Char Char1 Char Char Char Char Char Char1"/>
    <w:basedOn w:val="1"/>
    <w:qFormat/>
    <w:uiPriority w:val="99"/>
    <w:pPr>
      <w:adjustRightInd w:val="0"/>
      <w:spacing w:line="360" w:lineRule="atLeast"/>
      <w:jc w:val="left"/>
      <w:textAlignment w:val="baseline"/>
    </w:pPr>
    <w:rPr>
      <w:rFonts w:ascii="Tahoma" w:hAnsi="Tahoma"/>
      <w:kern w:val="0"/>
      <w:sz w:val="24"/>
    </w:rPr>
  </w:style>
  <w:style w:type="paragraph" w:customStyle="1" w:styleId="161">
    <w:name w:val="Char Char1 Char Char Char Char Char Char"/>
    <w:basedOn w:val="1"/>
    <w:qFormat/>
    <w:uiPriority w:val="99"/>
    <w:pPr>
      <w:adjustRightInd w:val="0"/>
      <w:spacing w:line="360" w:lineRule="atLeast"/>
      <w:jc w:val="left"/>
      <w:textAlignment w:val="baseline"/>
    </w:pPr>
    <w:rPr>
      <w:rFonts w:ascii="Tahoma" w:hAnsi="Tahoma"/>
      <w:kern w:val="0"/>
      <w:sz w:val="24"/>
    </w:rPr>
  </w:style>
  <w:style w:type="paragraph" w:customStyle="1" w:styleId="162">
    <w:name w:val="Char2 Char Char Char"/>
    <w:basedOn w:val="5"/>
    <w:qFormat/>
    <w:uiPriority w:val="99"/>
    <w:pPr>
      <w:numPr>
        <w:ilvl w:val="0"/>
        <w:numId w:val="0"/>
      </w:numPr>
      <w:tabs>
        <w:tab w:val="left" w:pos="360"/>
        <w:tab w:val="left" w:pos="900"/>
      </w:tabs>
      <w:adjustRightInd/>
      <w:spacing w:before="120" w:after="120"/>
      <w:ind w:left="542" w:leftChars="-12" w:firstLine="200" w:firstLineChars="200"/>
      <w:jc w:val="left"/>
    </w:pPr>
    <w:rPr>
      <w:rFonts w:eastAsia="黑体"/>
      <w:bCs w:val="0"/>
      <w:szCs w:val="24"/>
    </w:rPr>
  </w:style>
  <w:style w:type="paragraph" w:customStyle="1" w:styleId="163">
    <w:name w:val="Char2 Char Char"/>
    <w:basedOn w:val="5"/>
    <w:qFormat/>
    <w:uiPriority w:val="99"/>
    <w:pPr>
      <w:numPr>
        <w:ilvl w:val="0"/>
        <w:numId w:val="0"/>
      </w:numPr>
      <w:tabs>
        <w:tab w:val="left" w:pos="360"/>
        <w:tab w:val="left" w:pos="900"/>
      </w:tabs>
      <w:adjustRightInd/>
      <w:spacing w:before="120" w:after="120"/>
      <w:ind w:left="542" w:leftChars="-12" w:firstLine="200" w:firstLineChars="200"/>
      <w:jc w:val="left"/>
    </w:pPr>
    <w:rPr>
      <w:rFonts w:eastAsia="黑体"/>
      <w:bCs w:val="0"/>
      <w:szCs w:val="24"/>
    </w:rPr>
  </w:style>
  <w:style w:type="character" w:customStyle="1" w:styleId="164">
    <w:name w:val="表名 Char1"/>
    <w:qFormat/>
    <w:uiPriority w:val="99"/>
    <w:rPr>
      <w:rFonts w:eastAsia="黑体"/>
      <w:snapToGrid w:val="0"/>
      <w:kern w:val="2"/>
      <w:sz w:val="24"/>
      <w:lang w:val="en-US" w:eastAsia="zh-CN"/>
    </w:rPr>
  </w:style>
  <w:style w:type="paragraph" w:customStyle="1" w:styleId="165">
    <w:name w:val="段落"/>
    <w:basedOn w:val="1"/>
    <w:link w:val="166"/>
    <w:qFormat/>
    <w:uiPriority w:val="99"/>
    <w:pPr>
      <w:tabs>
        <w:tab w:val="left" w:pos="720"/>
        <w:tab w:val="left" w:pos="900"/>
      </w:tabs>
      <w:snapToGrid w:val="0"/>
      <w:spacing w:line="360" w:lineRule="auto"/>
      <w:ind w:firstLine="480" w:firstLineChars="200"/>
      <w:jc w:val="left"/>
    </w:pPr>
    <w:rPr>
      <w:bCs/>
      <w:color w:val="000000"/>
      <w:kern w:val="0"/>
      <w:sz w:val="24"/>
      <w:szCs w:val="24"/>
    </w:rPr>
  </w:style>
  <w:style w:type="character" w:customStyle="1" w:styleId="166">
    <w:name w:val="段落 Char2"/>
    <w:link w:val="165"/>
    <w:qFormat/>
    <w:locked/>
    <w:uiPriority w:val="99"/>
    <w:rPr>
      <w:color w:val="000000"/>
      <w:kern w:val="0"/>
      <w:sz w:val="24"/>
    </w:rPr>
  </w:style>
  <w:style w:type="paragraph" w:customStyle="1" w:styleId="167">
    <w:name w:val="标题5"/>
    <w:basedOn w:val="168"/>
    <w:link w:val="169"/>
    <w:qFormat/>
    <w:uiPriority w:val="99"/>
    <w:pPr>
      <w:adjustRightInd w:val="0"/>
      <w:snapToGrid w:val="0"/>
      <w:spacing w:line="360" w:lineRule="auto"/>
      <w:ind w:firstLine="454"/>
    </w:pPr>
    <w:rPr>
      <w:b/>
      <w:bCs/>
      <w:kern w:val="0"/>
      <w:sz w:val="24"/>
      <w:szCs w:val="24"/>
    </w:rPr>
  </w:style>
  <w:style w:type="paragraph" w:customStyle="1" w:styleId="168">
    <w:name w:val="正文文字"/>
    <w:basedOn w:val="18"/>
    <w:link w:val="258"/>
    <w:qFormat/>
    <w:uiPriority w:val="99"/>
    <w:pPr>
      <w:adjustRightInd w:val="0"/>
      <w:snapToGrid w:val="0"/>
      <w:spacing w:line="360" w:lineRule="auto"/>
      <w:ind w:firstLine="200" w:firstLineChars="200"/>
    </w:pPr>
    <w:rPr>
      <w:rFonts w:ascii="Times New Roman" w:hAnsi="Times New Roman"/>
      <w:sz w:val="24"/>
      <w:szCs w:val="24"/>
    </w:rPr>
  </w:style>
  <w:style w:type="character" w:customStyle="1" w:styleId="169">
    <w:name w:val="标题5 Char"/>
    <w:link w:val="167"/>
    <w:qFormat/>
    <w:locked/>
    <w:uiPriority w:val="99"/>
    <w:rPr>
      <w:b/>
      <w:sz w:val="24"/>
    </w:rPr>
  </w:style>
  <w:style w:type="paragraph" w:customStyle="1" w:styleId="170">
    <w:name w:val="重要点"/>
    <w:basedOn w:val="1"/>
    <w:qFormat/>
    <w:uiPriority w:val="99"/>
    <w:pPr>
      <w:numPr>
        <w:ilvl w:val="0"/>
        <w:numId w:val="3"/>
      </w:numPr>
      <w:spacing w:line="360" w:lineRule="auto"/>
      <w:outlineLvl w:val="3"/>
    </w:pPr>
    <w:rPr>
      <w:rFonts w:eastAsia="黑体"/>
      <w:bCs/>
      <w:sz w:val="24"/>
    </w:rPr>
  </w:style>
  <w:style w:type="paragraph" w:customStyle="1" w:styleId="171">
    <w:name w:val="xl24"/>
    <w:basedOn w:val="1"/>
    <w:qFormat/>
    <w:uiPriority w:val="99"/>
    <w:pPr>
      <w:widowControl/>
      <w:pBdr>
        <w:bottom w:val="single" w:color="auto" w:sz="4" w:space="0"/>
        <w:right w:val="single" w:color="auto" w:sz="4" w:space="0"/>
      </w:pBdr>
      <w:spacing w:before="100" w:beforeAutospacing="1" w:after="100" w:afterAutospacing="1"/>
      <w:jc w:val="center"/>
    </w:pPr>
    <w:rPr>
      <w:rFonts w:ascii="Arial Unicode MS" w:hAnsi="Arial Unicode MS" w:cs="Arial Unicode MS"/>
      <w:kern w:val="0"/>
    </w:rPr>
  </w:style>
  <w:style w:type="paragraph" w:customStyle="1" w:styleId="172">
    <w:name w:val="标题3"/>
    <w:next w:val="1"/>
    <w:qFormat/>
    <w:uiPriority w:val="99"/>
    <w:pPr>
      <w:spacing w:line="360" w:lineRule="auto"/>
      <w:outlineLvl w:val="2"/>
    </w:pPr>
    <w:rPr>
      <w:rFonts w:ascii="Times New Roman" w:hAnsi="Times New Roman" w:eastAsia="黑体" w:cs="Times New Roman"/>
      <w:b/>
      <w:w w:val="80"/>
      <w:kern w:val="0"/>
      <w:sz w:val="32"/>
      <w:szCs w:val="20"/>
      <w:lang w:val="en-US" w:eastAsia="zh-CN" w:bidi="ar-SA"/>
    </w:rPr>
  </w:style>
  <w:style w:type="table" w:customStyle="1" w:styleId="173">
    <w:name w:val="灰度表格1"/>
    <w:qFormat/>
    <w:uiPriority w:val="99"/>
    <w:pPr>
      <w:spacing w:line="360" w:lineRule="auto"/>
      <w:ind w:left="62" w:firstLine="482"/>
      <w:jc w:val="center"/>
    </w:pPr>
    <w:rPr>
      <w:kern w:val="0"/>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4">
    <w:name w:val="Caption Char"/>
    <w:link w:val="19"/>
    <w:qFormat/>
    <w:locked/>
    <w:uiPriority w:val="99"/>
    <w:rPr>
      <w:rFonts w:eastAsia="黑体"/>
      <w:sz w:val="24"/>
    </w:rPr>
  </w:style>
  <w:style w:type="paragraph" w:customStyle="1" w:styleId="175">
    <w:name w:val="样式 表格 + 居中"/>
    <w:basedOn w:val="1"/>
    <w:qFormat/>
    <w:uiPriority w:val="99"/>
    <w:pPr>
      <w:jc w:val="center"/>
    </w:pPr>
    <w:rPr>
      <w:rFonts w:hAnsi="宋体"/>
      <w:kern w:val="0"/>
      <w:szCs w:val="18"/>
    </w:rPr>
  </w:style>
  <w:style w:type="paragraph" w:customStyle="1" w:styleId="176">
    <w:name w:val="表注"/>
    <w:qFormat/>
    <w:uiPriority w:val="99"/>
    <w:pPr>
      <w:spacing w:line="360" w:lineRule="auto"/>
      <w:jc w:val="both"/>
    </w:pPr>
    <w:rPr>
      <w:rFonts w:ascii="Times New Roman" w:hAnsi="Times New Roman" w:eastAsia="宋体" w:cs="Times New Roman"/>
      <w:kern w:val="0"/>
      <w:sz w:val="18"/>
      <w:szCs w:val="18"/>
      <w:lang w:val="en-US" w:eastAsia="zh-CN" w:bidi="ar-SA"/>
    </w:rPr>
  </w:style>
  <w:style w:type="paragraph" w:customStyle="1" w:styleId="177">
    <w:name w:val="报告书正文"/>
    <w:basedOn w:val="1"/>
    <w:link w:val="178"/>
    <w:qFormat/>
    <w:uiPriority w:val="99"/>
    <w:pPr>
      <w:spacing w:line="300" w:lineRule="auto"/>
      <w:ind w:firstLine="200" w:firstLineChars="200"/>
    </w:pPr>
    <w:rPr>
      <w:kern w:val="0"/>
      <w:sz w:val="24"/>
    </w:rPr>
  </w:style>
  <w:style w:type="character" w:customStyle="1" w:styleId="178">
    <w:name w:val="报告书正文 Char"/>
    <w:link w:val="177"/>
    <w:qFormat/>
    <w:locked/>
    <w:uiPriority w:val="99"/>
    <w:rPr>
      <w:kern w:val="0"/>
      <w:sz w:val="24"/>
    </w:rPr>
  </w:style>
  <w:style w:type="paragraph" w:customStyle="1" w:styleId="179">
    <w:name w:val="表格（小）"/>
    <w:basedOn w:val="1"/>
    <w:qFormat/>
    <w:uiPriority w:val="99"/>
    <w:pPr>
      <w:adjustRightInd w:val="0"/>
      <w:snapToGrid w:val="0"/>
    </w:pPr>
    <w:rPr>
      <w:kern w:val="0"/>
    </w:rPr>
  </w:style>
  <w:style w:type="paragraph" w:customStyle="1" w:styleId="180">
    <w:name w:val="表文字"/>
    <w:basedOn w:val="1"/>
    <w:link w:val="288"/>
    <w:qFormat/>
    <w:uiPriority w:val="99"/>
    <w:pPr>
      <w:overflowPunct w:val="0"/>
      <w:autoSpaceDE w:val="0"/>
      <w:autoSpaceDN w:val="0"/>
      <w:adjustRightInd w:val="0"/>
      <w:spacing w:line="240" w:lineRule="atLeast"/>
      <w:jc w:val="center"/>
      <w:textAlignment w:val="baseline"/>
    </w:pPr>
    <w:rPr>
      <w:kern w:val="0"/>
      <w:sz w:val="24"/>
    </w:rPr>
  </w:style>
  <w:style w:type="paragraph" w:customStyle="1" w:styleId="181">
    <w:name w:val="样式 标题 4标题 4 Char Char标题 4 + 黑体小四非加粗段前: 8 磅段后: 5 磅行距: 1.5 ..."/>
    <w:basedOn w:val="6"/>
    <w:qFormat/>
    <w:uiPriority w:val="99"/>
    <w:pPr>
      <w:numPr>
        <w:ilvl w:val="0"/>
        <w:numId w:val="0"/>
      </w:numPr>
      <w:adjustRightInd/>
      <w:snapToGrid/>
      <w:spacing w:beforeLines="50" w:afterLines="50" w:line="300" w:lineRule="auto"/>
    </w:pPr>
    <w:rPr>
      <w:rFonts w:cs="宋体"/>
      <w:b/>
      <w:color w:val="FF0000"/>
      <w:szCs w:val="20"/>
    </w:rPr>
  </w:style>
  <w:style w:type="character" w:customStyle="1" w:styleId="182">
    <w:name w:val="样式 黑色"/>
    <w:qFormat/>
    <w:uiPriority w:val="99"/>
    <w:rPr>
      <w:rFonts w:eastAsia="宋体"/>
      <w:color w:val="000000"/>
      <w:sz w:val="24"/>
      <w:u w:val="none"/>
      <w:vertAlign w:val="baseline"/>
    </w:rPr>
  </w:style>
  <w:style w:type="paragraph" w:customStyle="1" w:styleId="183">
    <w:name w:val="样式 样式 z + Times New Roman + (西文) Times New Roman"/>
    <w:basedOn w:val="1"/>
    <w:link w:val="184"/>
    <w:qFormat/>
    <w:uiPriority w:val="99"/>
    <w:pPr>
      <w:adjustRightInd w:val="0"/>
      <w:snapToGrid w:val="0"/>
      <w:spacing w:line="480" w:lineRule="exact"/>
      <w:ind w:firstLine="459" w:firstLineChars="200"/>
    </w:pPr>
    <w:rPr>
      <w:kern w:val="0"/>
      <w:position w:val="2"/>
      <w:sz w:val="24"/>
      <w:szCs w:val="24"/>
    </w:rPr>
  </w:style>
  <w:style w:type="character" w:customStyle="1" w:styleId="184">
    <w:name w:val="样式 样式 z + Times New Roman + (西文) Times New Roman Char"/>
    <w:link w:val="183"/>
    <w:qFormat/>
    <w:locked/>
    <w:uiPriority w:val="99"/>
    <w:rPr>
      <w:kern w:val="0"/>
      <w:position w:val="2"/>
      <w:sz w:val="24"/>
    </w:rPr>
  </w:style>
  <w:style w:type="paragraph" w:customStyle="1" w:styleId="185">
    <w:name w:val="Char Char Char Char"/>
    <w:basedOn w:val="1"/>
    <w:qFormat/>
    <w:uiPriority w:val="99"/>
    <w:pPr>
      <w:spacing w:line="300" w:lineRule="auto"/>
      <w:ind w:firstLine="200" w:firstLineChars="200"/>
    </w:pPr>
    <w:rPr>
      <w:sz w:val="24"/>
      <w:szCs w:val="24"/>
    </w:rPr>
  </w:style>
  <w:style w:type="paragraph" w:customStyle="1" w:styleId="186">
    <w:name w:val="Char5"/>
    <w:basedOn w:val="1"/>
    <w:qFormat/>
    <w:uiPriority w:val="99"/>
    <w:pPr>
      <w:spacing w:line="360" w:lineRule="auto"/>
      <w:ind w:firstLine="200" w:firstLineChars="200"/>
    </w:pPr>
    <w:rPr>
      <w:rFonts w:ascii="宋体" w:hAnsi="宋体" w:cs="宋体"/>
      <w:sz w:val="24"/>
    </w:rPr>
  </w:style>
  <w:style w:type="paragraph" w:customStyle="1" w:styleId="187">
    <w:name w:val="xl22"/>
    <w:basedOn w:val="1"/>
    <w:qFormat/>
    <w:uiPriority w:val="99"/>
    <w:pPr>
      <w:widowControl/>
      <w:spacing w:before="100" w:beforeAutospacing="1" w:after="100" w:afterAutospacing="1"/>
      <w:jc w:val="left"/>
    </w:pPr>
    <w:rPr>
      <w:rFonts w:ascii="Arial Unicode MS" w:hAnsi="Arial Unicode MS" w:cs="Arial Unicode MS"/>
      <w:kern w:val="0"/>
    </w:rPr>
  </w:style>
  <w:style w:type="paragraph" w:customStyle="1" w:styleId="188">
    <w:name w:val="Char Char Char1 Char Char Char Char Char Char Char Char Char Char Char Char1 Char Char Char Char"/>
    <w:basedOn w:val="1"/>
    <w:qFormat/>
    <w:uiPriority w:val="99"/>
    <w:pPr>
      <w:spacing w:line="360" w:lineRule="auto"/>
      <w:ind w:firstLine="200" w:firstLineChars="200"/>
    </w:pPr>
    <w:rPr>
      <w:rFonts w:ascii="宋体" w:hAnsi="宋体" w:cs="宋体"/>
      <w:sz w:val="24"/>
      <w:szCs w:val="24"/>
    </w:rPr>
  </w:style>
  <w:style w:type="character" w:customStyle="1" w:styleId="189">
    <w:name w:val="headline-content"/>
    <w:qFormat/>
    <w:uiPriority w:val="99"/>
  </w:style>
  <w:style w:type="paragraph" w:customStyle="1" w:styleId="190">
    <w:name w:val="标题02"/>
    <w:basedOn w:val="1"/>
    <w:next w:val="1"/>
    <w:qFormat/>
    <w:uiPriority w:val="99"/>
    <w:pPr>
      <w:snapToGrid w:val="0"/>
      <w:spacing w:before="240" w:after="180"/>
      <w:jc w:val="left"/>
      <w:outlineLvl w:val="1"/>
    </w:pPr>
    <w:rPr>
      <w:rFonts w:eastAsia="黑体"/>
      <w:sz w:val="30"/>
      <w:szCs w:val="30"/>
    </w:rPr>
  </w:style>
  <w:style w:type="paragraph" w:customStyle="1" w:styleId="191">
    <w:name w:val="仿宋文本"/>
    <w:basedOn w:val="1"/>
    <w:link w:val="192"/>
    <w:qFormat/>
    <w:uiPriority w:val="99"/>
    <w:pPr>
      <w:widowControl/>
      <w:spacing w:line="360" w:lineRule="auto"/>
      <w:ind w:firstLine="200" w:firstLineChars="200"/>
    </w:pPr>
    <w:rPr>
      <w:rFonts w:ascii="仿宋_GB2312" w:hAnsi="宋体" w:eastAsia="仿宋_GB2312"/>
      <w:kern w:val="0"/>
      <w:sz w:val="24"/>
      <w:szCs w:val="24"/>
    </w:rPr>
  </w:style>
  <w:style w:type="character" w:customStyle="1" w:styleId="192">
    <w:name w:val="仿宋文本 Char"/>
    <w:link w:val="191"/>
    <w:qFormat/>
    <w:locked/>
    <w:uiPriority w:val="99"/>
    <w:rPr>
      <w:rFonts w:ascii="仿宋_GB2312" w:hAnsi="宋体" w:eastAsia="仿宋_GB2312"/>
      <w:kern w:val="0"/>
      <w:sz w:val="24"/>
    </w:rPr>
  </w:style>
  <w:style w:type="paragraph" w:customStyle="1" w:styleId="193">
    <w:name w:val="3级"/>
    <w:basedOn w:val="1"/>
    <w:next w:val="18"/>
    <w:qFormat/>
    <w:uiPriority w:val="99"/>
    <w:pPr>
      <w:spacing w:before="120" w:line="360" w:lineRule="auto"/>
      <w:jc w:val="left"/>
      <w:outlineLvl w:val="2"/>
    </w:pPr>
    <w:rPr>
      <w:rFonts w:eastAsia="黑体"/>
      <w:sz w:val="28"/>
      <w:szCs w:val="24"/>
    </w:rPr>
  </w:style>
  <w:style w:type="paragraph" w:customStyle="1" w:styleId="194">
    <w:name w:val="2级"/>
    <w:basedOn w:val="1"/>
    <w:next w:val="18"/>
    <w:qFormat/>
    <w:uiPriority w:val="99"/>
    <w:pPr>
      <w:spacing w:before="240" w:line="360" w:lineRule="auto"/>
      <w:jc w:val="left"/>
      <w:outlineLvl w:val="1"/>
    </w:pPr>
    <w:rPr>
      <w:rFonts w:eastAsia="黑体"/>
      <w:sz w:val="30"/>
      <w:szCs w:val="28"/>
    </w:rPr>
  </w:style>
  <w:style w:type="paragraph" w:customStyle="1" w:styleId="195">
    <w:name w:val="表"/>
    <w:basedOn w:val="19"/>
    <w:qFormat/>
    <w:uiPriority w:val="99"/>
    <w:pPr>
      <w:spacing w:beforeLines="50"/>
      <w:jc w:val="center"/>
    </w:pPr>
    <w:rPr>
      <w:sz w:val="21"/>
    </w:rPr>
  </w:style>
  <w:style w:type="paragraph" w:customStyle="1" w:styleId="196">
    <w:name w:val="样式 标题3 + 首行缩进:  2 字符"/>
    <w:basedOn w:val="1"/>
    <w:qFormat/>
    <w:uiPriority w:val="99"/>
    <w:pPr>
      <w:keepNext/>
      <w:keepLines/>
      <w:spacing w:before="120" w:after="120" w:line="360" w:lineRule="auto"/>
      <w:outlineLvl w:val="2"/>
    </w:pPr>
    <w:rPr>
      <w:rFonts w:eastAsia="黑体" w:cs="宋体"/>
      <w:bCs/>
      <w:sz w:val="28"/>
    </w:rPr>
  </w:style>
  <w:style w:type="paragraph" w:customStyle="1" w:styleId="197">
    <w:name w:val="Revision1"/>
    <w:hidden/>
    <w:semiHidden/>
    <w:qFormat/>
    <w:uiPriority w:val="99"/>
    <w:rPr>
      <w:rFonts w:ascii="Calibri" w:hAnsi="Calibri" w:eastAsia="宋体" w:cs="Times New Roman"/>
      <w:kern w:val="2"/>
      <w:sz w:val="21"/>
      <w:szCs w:val="21"/>
      <w:lang w:val="en-US" w:eastAsia="zh-CN" w:bidi="ar-SA"/>
    </w:rPr>
  </w:style>
  <w:style w:type="paragraph" w:customStyle="1" w:styleId="198">
    <w:name w:val="Char"/>
    <w:basedOn w:val="21"/>
    <w:qFormat/>
    <w:uiPriority w:val="99"/>
    <w:pPr>
      <w:shd w:val="clear" w:color="auto" w:fill="000080"/>
    </w:pPr>
    <w:rPr>
      <w:rFonts w:ascii="Tahoma" w:hAnsi="Tahoma"/>
      <w:sz w:val="24"/>
      <w:szCs w:val="24"/>
    </w:rPr>
  </w:style>
  <w:style w:type="paragraph" w:customStyle="1" w:styleId="199">
    <w:name w:val="Char Char9"/>
    <w:basedOn w:val="1"/>
    <w:next w:val="1"/>
    <w:qFormat/>
    <w:uiPriority w:val="99"/>
    <w:pPr>
      <w:pBdr>
        <w:right w:val="single" w:color="auto" w:sz="12" w:space="4"/>
      </w:pBdr>
      <w:spacing w:line="360" w:lineRule="auto"/>
      <w:ind w:firstLine="200" w:firstLineChars="200"/>
    </w:pPr>
  </w:style>
  <w:style w:type="paragraph" w:customStyle="1" w:styleId="200">
    <w:name w:val="pa-2"/>
    <w:basedOn w:val="1"/>
    <w:qFormat/>
    <w:uiPriority w:val="99"/>
    <w:pPr>
      <w:widowControl/>
      <w:spacing w:line="360" w:lineRule="atLeast"/>
      <w:ind w:firstLine="480"/>
      <w:jc w:val="left"/>
    </w:pPr>
    <w:rPr>
      <w:rFonts w:ascii="宋体" w:hAnsi="宋体" w:cs="宋体"/>
      <w:kern w:val="0"/>
      <w:sz w:val="24"/>
      <w:szCs w:val="24"/>
    </w:rPr>
  </w:style>
  <w:style w:type="paragraph" w:customStyle="1" w:styleId="201">
    <w:name w:val="Char Char92"/>
    <w:basedOn w:val="1"/>
    <w:next w:val="1"/>
    <w:qFormat/>
    <w:uiPriority w:val="99"/>
    <w:pPr>
      <w:pBdr>
        <w:right w:val="single" w:color="auto" w:sz="12" w:space="4"/>
      </w:pBdr>
      <w:spacing w:line="360" w:lineRule="auto"/>
      <w:ind w:firstLine="200" w:firstLineChars="200"/>
    </w:pPr>
  </w:style>
  <w:style w:type="paragraph" w:customStyle="1" w:styleId="202">
    <w:name w:val="Char Char91"/>
    <w:basedOn w:val="1"/>
    <w:next w:val="1"/>
    <w:qFormat/>
    <w:uiPriority w:val="99"/>
    <w:pPr>
      <w:pBdr>
        <w:right w:val="single" w:color="auto" w:sz="12" w:space="4"/>
      </w:pBdr>
      <w:spacing w:line="360" w:lineRule="auto"/>
      <w:ind w:firstLine="200" w:firstLineChars="200"/>
    </w:pPr>
  </w:style>
  <w:style w:type="paragraph" w:customStyle="1" w:styleId="203">
    <w:name w:val="样式 z + Times New Roman"/>
    <w:basedOn w:val="1"/>
    <w:qFormat/>
    <w:uiPriority w:val="99"/>
    <w:pPr>
      <w:adjustRightInd w:val="0"/>
      <w:snapToGrid w:val="0"/>
      <w:spacing w:beforeLines="50" w:afterLines="50" w:line="360" w:lineRule="auto"/>
      <w:ind w:firstLine="482"/>
    </w:pPr>
    <w:rPr>
      <w:rFonts w:ascii="宋体" w:hAnsi="宋体"/>
      <w:position w:val="2"/>
      <w:sz w:val="24"/>
      <w:szCs w:val="24"/>
    </w:rPr>
  </w:style>
  <w:style w:type="paragraph" w:customStyle="1" w:styleId="204">
    <w:name w:val="样式 样式 样式 宋体 段前: 0.5 行 行距: 固定值 18 磅 + 首行缩进:  2 字符 + 首行缩进:  2 字符1"/>
    <w:basedOn w:val="1"/>
    <w:qFormat/>
    <w:uiPriority w:val="99"/>
    <w:pPr>
      <w:adjustRightInd w:val="0"/>
      <w:snapToGrid w:val="0"/>
      <w:spacing w:beforeLines="50" w:line="360" w:lineRule="auto"/>
      <w:ind w:firstLine="480"/>
    </w:pPr>
    <w:rPr>
      <w:rFonts w:ascii="宋体" w:hAnsi="宋体"/>
      <w:color w:val="FF0000"/>
      <w:sz w:val="24"/>
      <w:szCs w:val="24"/>
    </w:rPr>
  </w:style>
  <w:style w:type="paragraph" w:customStyle="1" w:styleId="205">
    <w:name w:val="Char Char93"/>
    <w:basedOn w:val="1"/>
    <w:next w:val="1"/>
    <w:qFormat/>
    <w:uiPriority w:val="99"/>
    <w:pPr>
      <w:pBdr>
        <w:right w:val="single" w:color="auto" w:sz="12" w:space="4"/>
      </w:pBdr>
      <w:spacing w:line="360" w:lineRule="auto"/>
      <w:ind w:firstLine="200" w:firstLineChars="200"/>
    </w:pPr>
  </w:style>
  <w:style w:type="paragraph" w:customStyle="1" w:styleId="206">
    <w:name w:val="正文不加粗"/>
    <w:basedOn w:val="1"/>
    <w:link w:val="207"/>
    <w:qFormat/>
    <w:uiPriority w:val="99"/>
    <w:pPr>
      <w:ind w:firstLine="200" w:firstLineChars="200"/>
    </w:pPr>
    <w:rPr>
      <w:rFonts w:ascii="仿宋_GB2312" w:hAnsi="仿宋" w:eastAsia="仿宋_GB2312"/>
      <w:kern w:val="0"/>
      <w:sz w:val="28"/>
      <w:szCs w:val="28"/>
    </w:rPr>
  </w:style>
  <w:style w:type="character" w:customStyle="1" w:styleId="207">
    <w:name w:val="正文不加粗 Char"/>
    <w:link w:val="206"/>
    <w:qFormat/>
    <w:locked/>
    <w:uiPriority w:val="99"/>
    <w:rPr>
      <w:rFonts w:ascii="仿宋_GB2312" w:hAnsi="仿宋" w:eastAsia="仿宋_GB2312"/>
      <w:kern w:val="0"/>
      <w:sz w:val="28"/>
    </w:rPr>
  </w:style>
  <w:style w:type="paragraph" w:customStyle="1" w:styleId="208">
    <w:name w:val="Char Char41"/>
    <w:basedOn w:val="5"/>
    <w:qFormat/>
    <w:uiPriority w:val="99"/>
    <w:pPr>
      <w:numPr>
        <w:ilvl w:val="0"/>
        <w:numId w:val="0"/>
      </w:numPr>
      <w:tabs>
        <w:tab w:val="left" w:pos="360"/>
        <w:tab w:val="left" w:pos="900"/>
      </w:tabs>
      <w:adjustRightInd/>
      <w:spacing w:before="120" w:after="120"/>
      <w:ind w:left="542" w:leftChars="-12" w:firstLine="200" w:firstLineChars="200"/>
      <w:jc w:val="left"/>
    </w:pPr>
    <w:rPr>
      <w:rFonts w:ascii="Calibri" w:hAnsi="Calibri" w:eastAsia="黑体"/>
      <w:bCs w:val="0"/>
      <w:szCs w:val="24"/>
    </w:rPr>
  </w:style>
  <w:style w:type="paragraph" w:customStyle="1" w:styleId="209">
    <w:name w:val="Char Char1 Char Char Char1"/>
    <w:basedOn w:val="1"/>
    <w:qFormat/>
    <w:uiPriority w:val="99"/>
    <w:pPr>
      <w:adjustRightInd w:val="0"/>
      <w:spacing w:line="360" w:lineRule="atLeast"/>
      <w:jc w:val="left"/>
      <w:textAlignment w:val="baseline"/>
    </w:pPr>
    <w:rPr>
      <w:rFonts w:ascii="Tahoma" w:hAnsi="Tahoma"/>
      <w:kern w:val="0"/>
      <w:sz w:val="24"/>
    </w:rPr>
  </w:style>
  <w:style w:type="paragraph" w:customStyle="1" w:styleId="210">
    <w:name w:val="Char Char2"/>
    <w:basedOn w:val="1"/>
    <w:qFormat/>
    <w:uiPriority w:val="99"/>
    <w:pPr>
      <w:adjustRightInd w:val="0"/>
      <w:spacing w:line="360" w:lineRule="atLeast"/>
      <w:jc w:val="left"/>
      <w:textAlignment w:val="baseline"/>
    </w:pPr>
    <w:rPr>
      <w:rFonts w:ascii="Tahoma" w:hAnsi="Tahoma"/>
      <w:kern w:val="0"/>
      <w:sz w:val="24"/>
    </w:rPr>
  </w:style>
  <w:style w:type="character" w:customStyle="1" w:styleId="211">
    <w:name w:val="Char Char11"/>
    <w:semiHidden/>
    <w:qFormat/>
    <w:uiPriority w:val="99"/>
    <w:rPr>
      <w:kern w:val="2"/>
      <w:sz w:val="18"/>
    </w:rPr>
  </w:style>
  <w:style w:type="paragraph" w:customStyle="1" w:styleId="212">
    <w:name w:val="Char Char1 Char Char Char Char Char Char11"/>
    <w:basedOn w:val="1"/>
    <w:qFormat/>
    <w:uiPriority w:val="99"/>
    <w:pPr>
      <w:adjustRightInd w:val="0"/>
      <w:spacing w:line="360" w:lineRule="atLeast"/>
      <w:jc w:val="left"/>
      <w:textAlignment w:val="baseline"/>
    </w:pPr>
    <w:rPr>
      <w:rFonts w:ascii="Tahoma" w:hAnsi="Tahoma"/>
      <w:kern w:val="0"/>
      <w:sz w:val="24"/>
    </w:rPr>
  </w:style>
  <w:style w:type="paragraph" w:customStyle="1" w:styleId="213">
    <w:name w:val="Char Char1 Char Char Char Char Char Char2"/>
    <w:basedOn w:val="1"/>
    <w:qFormat/>
    <w:uiPriority w:val="99"/>
    <w:pPr>
      <w:adjustRightInd w:val="0"/>
      <w:spacing w:line="360" w:lineRule="atLeast"/>
      <w:jc w:val="left"/>
      <w:textAlignment w:val="baseline"/>
    </w:pPr>
    <w:rPr>
      <w:rFonts w:ascii="Tahoma" w:hAnsi="Tahoma"/>
      <w:kern w:val="0"/>
      <w:sz w:val="24"/>
    </w:rPr>
  </w:style>
  <w:style w:type="paragraph" w:customStyle="1" w:styleId="214">
    <w:name w:val="Char2 Char Char Char1"/>
    <w:basedOn w:val="5"/>
    <w:qFormat/>
    <w:uiPriority w:val="99"/>
    <w:pPr>
      <w:numPr>
        <w:ilvl w:val="0"/>
        <w:numId w:val="0"/>
      </w:numPr>
      <w:tabs>
        <w:tab w:val="left" w:pos="360"/>
        <w:tab w:val="left" w:pos="900"/>
      </w:tabs>
      <w:adjustRightInd/>
      <w:spacing w:before="120" w:after="120"/>
      <w:ind w:left="542" w:leftChars="-12" w:firstLine="200" w:firstLineChars="200"/>
      <w:jc w:val="left"/>
    </w:pPr>
    <w:rPr>
      <w:rFonts w:ascii="Calibri" w:hAnsi="Calibri" w:eastAsia="黑体"/>
      <w:bCs w:val="0"/>
      <w:szCs w:val="24"/>
    </w:rPr>
  </w:style>
  <w:style w:type="paragraph" w:customStyle="1" w:styleId="215">
    <w:name w:val="Char2 Char Char1"/>
    <w:basedOn w:val="5"/>
    <w:qFormat/>
    <w:uiPriority w:val="99"/>
    <w:pPr>
      <w:numPr>
        <w:ilvl w:val="0"/>
        <w:numId w:val="0"/>
      </w:numPr>
      <w:tabs>
        <w:tab w:val="left" w:pos="360"/>
        <w:tab w:val="left" w:pos="900"/>
      </w:tabs>
      <w:adjustRightInd/>
      <w:spacing w:before="120" w:after="120"/>
      <w:ind w:left="542" w:leftChars="-12" w:firstLine="200" w:firstLineChars="200"/>
      <w:jc w:val="left"/>
    </w:pPr>
    <w:rPr>
      <w:rFonts w:ascii="Calibri" w:hAnsi="Calibri" w:eastAsia="黑体"/>
      <w:bCs w:val="0"/>
      <w:szCs w:val="24"/>
    </w:rPr>
  </w:style>
  <w:style w:type="paragraph" w:customStyle="1" w:styleId="216">
    <w:name w:val="表头"/>
    <w:basedOn w:val="3"/>
    <w:link w:val="233"/>
    <w:qFormat/>
    <w:uiPriority w:val="99"/>
    <w:pPr>
      <w:spacing w:before="60" w:line="300" w:lineRule="auto"/>
      <w:jc w:val="center"/>
    </w:pPr>
    <w:rPr>
      <w:rFonts w:ascii="黑体" w:eastAsia="黑体"/>
      <w:kern w:val="24"/>
      <w:szCs w:val="24"/>
    </w:rPr>
  </w:style>
  <w:style w:type="paragraph" w:customStyle="1" w:styleId="217">
    <w:name w:val="样式 宋体 小五 居中 段前: 0.5 行 行距: 单倍行距"/>
    <w:basedOn w:val="1"/>
    <w:qFormat/>
    <w:uiPriority w:val="99"/>
    <w:pPr>
      <w:jc w:val="center"/>
    </w:pPr>
    <w:rPr>
      <w:rFonts w:ascii="宋体" w:hAnsi="宋体" w:cs="宋体"/>
      <w:kern w:val="0"/>
      <w:sz w:val="18"/>
    </w:rPr>
  </w:style>
  <w:style w:type="character" w:customStyle="1" w:styleId="218">
    <w:name w:val="apple-style-span"/>
    <w:qFormat/>
    <w:uiPriority w:val="99"/>
  </w:style>
  <w:style w:type="character" w:customStyle="1" w:styleId="219">
    <w:name w:val="t_tag"/>
    <w:qFormat/>
    <w:uiPriority w:val="99"/>
  </w:style>
  <w:style w:type="paragraph" w:customStyle="1" w:styleId="220">
    <w:name w:val="正文 首行缩进:  2 字符 Char"/>
    <w:basedOn w:val="1"/>
    <w:semiHidden/>
    <w:qFormat/>
    <w:uiPriority w:val="99"/>
    <w:pPr>
      <w:spacing w:line="520" w:lineRule="exact"/>
      <w:ind w:firstLine="200" w:firstLineChars="200"/>
    </w:pPr>
    <w:rPr>
      <w:rFonts w:cs="宋体"/>
      <w:kern w:val="44"/>
      <w:sz w:val="24"/>
    </w:rPr>
  </w:style>
  <w:style w:type="paragraph" w:customStyle="1" w:styleId="221">
    <w:name w:val="表格内文字"/>
    <w:next w:val="1"/>
    <w:link w:val="222"/>
    <w:qFormat/>
    <w:uiPriority w:val="99"/>
    <w:pPr>
      <w:spacing w:line="360" w:lineRule="auto"/>
      <w:ind w:left="62" w:firstLine="482"/>
      <w:jc w:val="both"/>
    </w:pPr>
    <w:rPr>
      <w:rFonts w:ascii="Times New Roman" w:hAnsi="Times New Roman" w:eastAsia="宋体" w:cs="Times New Roman"/>
      <w:kern w:val="0"/>
      <w:sz w:val="21"/>
      <w:szCs w:val="21"/>
      <w:lang w:val="zh-CN" w:eastAsia="zh-CN" w:bidi="ar-SA"/>
    </w:rPr>
  </w:style>
  <w:style w:type="character" w:customStyle="1" w:styleId="222">
    <w:name w:val="表格内文字 Char1"/>
    <w:link w:val="221"/>
    <w:qFormat/>
    <w:locked/>
    <w:uiPriority w:val="99"/>
    <w:rPr>
      <w:sz w:val="21"/>
      <w:lang w:val="zh-CN"/>
    </w:rPr>
  </w:style>
  <w:style w:type="paragraph" w:customStyle="1" w:styleId="223">
    <w:name w:val="正本"/>
    <w:basedOn w:val="1"/>
    <w:qFormat/>
    <w:uiPriority w:val="99"/>
    <w:pPr>
      <w:spacing w:line="360" w:lineRule="auto"/>
      <w:ind w:left="198"/>
      <w:jc w:val="left"/>
    </w:pPr>
    <w:rPr>
      <w:rFonts w:ascii="宋体" w:hAnsi="宋体"/>
      <w:sz w:val="24"/>
    </w:rPr>
  </w:style>
  <w:style w:type="paragraph" w:customStyle="1" w:styleId="224">
    <w:name w:val="表头1"/>
    <w:basedOn w:val="1"/>
    <w:link w:val="225"/>
    <w:qFormat/>
    <w:uiPriority w:val="99"/>
    <w:pPr>
      <w:wordWrap w:val="0"/>
      <w:jc w:val="right"/>
    </w:pPr>
    <w:rPr>
      <w:rFonts w:ascii="黑体" w:hAnsi="宋体" w:eastAsia="黑体"/>
      <w:color w:val="000000"/>
      <w:kern w:val="0"/>
      <w:sz w:val="24"/>
      <w:szCs w:val="24"/>
    </w:rPr>
  </w:style>
  <w:style w:type="character" w:customStyle="1" w:styleId="225">
    <w:name w:val="表头1 Char Char"/>
    <w:link w:val="224"/>
    <w:qFormat/>
    <w:locked/>
    <w:uiPriority w:val="99"/>
    <w:rPr>
      <w:rFonts w:ascii="黑体" w:hAnsi="宋体" w:eastAsia="黑体"/>
      <w:color w:val="000000"/>
      <w:kern w:val="0"/>
      <w:sz w:val="24"/>
    </w:rPr>
  </w:style>
  <w:style w:type="paragraph" w:customStyle="1" w:styleId="226">
    <w:name w:val="样式 样式 正本 + 两端对齐 左侧:  0 厘米 首行缩进:  1 厘米 + 段前: 0.5 行 段后: 0.5 行"/>
    <w:basedOn w:val="1"/>
    <w:qFormat/>
    <w:uiPriority w:val="99"/>
    <w:pPr>
      <w:spacing w:beforeLines="20" w:afterLines="20" w:line="360" w:lineRule="auto"/>
      <w:ind w:firstLine="567"/>
    </w:pPr>
    <w:rPr>
      <w:rFonts w:ascii="宋体" w:hAnsi="宋体" w:cs="宋体"/>
      <w:sz w:val="24"/>
    </w:rPr>
  </w:style>
  <w:style w:type="paragraph" w:customStyle="1" w:styleId="227">
    <w:name w:val="Char3"/>
    <w:basedOn w:val="1"/>
    <w:qFormat/>
    <w:uiPriority w:val="99"/>
    <w:pPr>
      <w:tabs>
        <w:tab w:val="left" w:pos="794"/>
        <w:tab w:val="left" w:pos="1191"/>
        <w:tab w:val="left" w:pos="1588"/>
        <w:tab w:val="left" w:pos="1985"/>
      </w:tabs>
      <w:autoSpaceDE w:val="0"/>
      <w:autoSpaceDN w:val="0"/>
      <w:spacing w:before="136"/>
    </w:pPr>
    <w:rPr>
      <w:rFonts w:ascii="Tahoma" w:hAnsi="Tahoma"/>
      <w:kern w:val="0"/>
      <w:sz w:val="24"/>
      <w:lang w:val="en-GB"/>
    </w:rPr>
  </w:style>
  <w:style w:type="paragraph" w:customStyle="1" w:styleId="228">
    <w:name w:val="7 Char"/>
    <w:basedOn w:val="1"/>
    <w:next w:val="1"/>
    <w:qFormat/>
    <w:uiPriority w:val="99"/>
    <w:rPr>
      <w:szCs w:val="24"/>
    </w:rPr>
  </w:style>
  <w:style w:type="character" w:customStyle="1" w:styleId="229">
    <w:name w:val="表格 Char1"/>
    <w:link w:val="230"/>
    <w:qFormat/>
    <w:locked/>
    <w:uiPriority w:val="99"/>
    <w:rPr>
      <w:rFonts w:ascii="Times New Roman" w:hAnsi="Times New Roman"/>
      <w:kern w:val="0"/>
    </w:rPr>
  </w:style>
  <w:style w:type="paragraph" w:customStyle="1" w:styleId="230">
    <w:name w:val="图文"/>
    <w:basedOn w:val="1"/>
    <w:link w:val="229"/>
    <w:qFormat/>
    <w:uiPriority w:val="99"/>
    <w:pPr>
      <w:widowControl/>
      <w:adjustRightInd w:val="0"/>
      <w:snapToGrid w:val="0"/>
      <w:spacing w:line="300" w:lineRule="exact"/>
      <w:jc w:val="center"/>
    </w:pPr>
    <w:rPr>
      <w:kern w:val="0"/>
    </w:rPr>
  </w:style>
  <w:style w:type="paragraph" w:customStyle="1" w:styleId="231">
    <w:name w:val="Char1"/>
    <w:basedOn w:val="1"/>
    <w:qFormat/>
    <w:uiPriority w:val="99"/>
    <w:pPr>
      <w:spacing w:line="360" w:lineRule="auto"/>
      <w:ind w:firstLine="200" w:firstLineChars="200"/>
    </w:pPr>
    <w:rPr>
      <w:rFonts w:ascii="宋体" w:hAnsi="宋体" w:cs="宋体"/>
      <w:sz w:val="24"/>
      <w:szCs w:val="24"/>
    </w:rPr>
  </w:style>
  <w:style w:type="paragraph" w:customStyle="1" w:styleId="232">
    <w:name w:val="表头 Char Char"/>
    <w:basedOn w:val="1"/>
    <w:qFormat/>
    <w:uiPriority w:val="99"/>
    <w:pPr>
      <w:tabs>
        <w:tab w:val="left" w:pos="1021"/>
      </w:tabs>
      <w:spacing w:before="60" w:line="360" w:lineRule="auto"/>
      <w:jc w:val="center"/>
    </w:pPr>
    <w:rPr>
      <w:b/>
      <w:bCs/>
      <w:color w:val="000000"/>
      <w:kern w:val="24"/>
      <w:sz w:val="24"/>
      <w:szCs w:val="24"/>
    </w:rPr>
  </w:style>
  <w:style w:type="character" w:customStyle="1" w:styleId="233">
    <w:name w:val="表头 Char"/>
    <w:link w:val="216"/>
    <w:qFormat/>
    <w:locked/>
    <w:uiPriority w:val="99"/>
    <w:rPr>
      <w:rFonts w:ascii="黑体" w:eastAsia="黑体"/>
      <w:kern w:val="24"/>
      <w:sz w:val="24"/>
    </w:rPr>
  </w:style>
  <w:style w:type="paragraph" w:customStyle="1" w:styleId="234">
    <w:name w:val="报告书正文 Char Char Char"/>
    <w:basedOn w:val="1"/>
    <w:link w:val="235"/>
    <w:qFormat/>
    <w:uiPriority w:val="99"/>
    <w:pPr>
      <w:spacing w:line="300" w:lineRule="auto"/>
      <w:ind w:firstLine="480" w:firstLineChars="200"/>
    </w:pPr>
    <w:rPr>
      <w:rFonts w:ascii="宋体" w:hAnsi="宋体"/>
      <w:kern w:val="0"/>
      <w:sz w:val="24"/>
      <w:szCs w:val="24"/>
    </w:rPr>
  </w:style>
  <w:style w:type="character" w:customStyle="1" w:styleId="235">
    <w:name w:val="报告书正文 Char Char Char Char"/>
    <w:link w:val="234"/>
    <w:qFormat/>
    <w:locked/>
    <w:uiPriority w:val="99"/>
    <w:rPr>
      <w:rFonts w:ascii="宋体" w:eastAsia="宋体"/>
      <w:kern w:val="0"/>
      <w:sz w:val="24"/>
    </w:rPr>
  </w:style>
  <w:style w:type="paragraph" w:customStyle="1" w:styleId="236">
    <w:name w:val="表头11"/>
    <w:basedOn w:val="1"/>
    <w:link w:val="237"/>
    <w:qFormat/>
    <w:uiPriority w:val="99"/>
    <w:pPr>
      <w:jc w:val="center"/>
    </w:pPr>
    <w:rPr>
      <w:rFonts w:eastAsia="黑体"/>
      <w:bCs/>
      <w:color w:val="000000"/>
      <w:kern w:val="0"/>
      <w:sz w:val="24"/>
    </w:rPr>
  </w:style>
  <w:style w:type="character" w:customStyle="1" w:styleId="237">
    <w:name w:val="表头11 Char"/>
    <w:link w:val="236"/>
    <w:qFormat/>
    <w:locked/>
    <w:uiPriority w:val="99"/>
    <w:rPr>
      <w:rFonts w:eastAsia="黑体"/>
      <w:color w:val="000000"/>
      <w:kern w:val="0"/>
      <w:sz w:val="24"/>
    </w:rPr>
  </w:style>
  <w:style w:type="paragraph" w:customStyle="1" w:styleId="238">
    <w:name w:val="表尾"/>
    <w:basedOn w:val="1"/>
    <w:qFormat/>
    <w:uiPriority w:val="99"/>
    <w:pPr>
      <w:tabs>
        <w:tab w:val="left" w:pos="1021"/>
      </w:tabs>
      <w:spacing w:line="160" w:lineRule="exact"/>
    </w:pPr>
    <w:rPr>
      <w:sz w:val="10"/>
    </w:rPr>
  </w:style>
  <w:style w:type="paragraph" w:customStyle="1" w:styleId="239">
    <w:name w:val="表文"/>
    <w:basedOn w:val="1"/>
    <w:link w:val="353"/>
    <w:qFormat/>
    <w:uiPriority w:val="99"/>
    <w:pPr>
      <w:tabs>
        <w:tab w:val="left" w:pos="1021"/>
      </w:tabs>
      <w:jc w:val="center"/>
    </w:pPr>
    <w:rPr>
      <w:kern w:val="0"/>
    </w:rPr>
  </w:style>
  <w:style w:type="character" w:customStyle="1" w:styleId="240">
    <w:name w:val="段落 Char"/>
    <w:qFormat/>
    <w:uiPriority w:val="99"/>
    <w:rPr>
      <w:rFonts w:ascii="Times New Roman" w:hAnsi="Times New Roman"/>
      <w:b/>
      <w:color w:val="000000"/>
      <w:spacing w:val="-4"/>
      <w:kern w:val="24"/>
      <w:sz w:val="24"/>
    </w:rPr>
  </w:style>
  <w:style w:type="paragraph" w:customStyle="1" w:styleId="241">
    <w:name w:val="正文2002"/>
    <w:basedOn w:val="1"/>
    <w:qFormat/>
    <w:uiPriority w:val="99"/>
    <w:pPr>
      <w:jc w:val="center"/>
    </w:pPr>
    <w:rPr>
      <w:color w:val="008000"/>
      <w:sz w:val="18"/>
      <w:szCs w:val="18"/>
    </w:rPr>
  </w:style>
  <w:style w:type="paragraph" w:customStyle="1" w:styleId="242">
    <w:name w:val="表1"/>
    <w:basedOn w:val="1"/>
    <w:qFormat/>
    <w:uiPriority w:val="99"/>
    <w:pPr>
      <w:adjustRightInd w:val="0"/>
      <w:spacing w:before="120" w:line="240" w:lineRule="atLeast"/>
      <w:jc w:val="center"/>
      <w:textAlignment w:val="baseline"/>
    </w:pPr>
    <w:rPr>
      <w:rFonts w:ascii="楷体_GB2312" w:eastAsia="楷体_GB2312"/>
      <w:spacing w:val="-4"/>
      <w:w w:val="90"/>
      <w:kern w:val="28"/>
      <w:sz w:val="24"/>
    </w:rPr>
  </w:style>
  <w:style w:type="paragraph" w:customStyle="1" w:styleId="243">
    <w:name w:val="Char Char Char1 Char Char Char Char"/>
    <w:basedOn w:val="1"/>
    <w:next w:val="1"/>
    <w:qFormat/>
    <w:uiPriority w:val="99"/>
    <w:rPr>
      <w:szCs w:val="24"/>
    </w:rPr>
  </w:style>
  <w:style w:type="paragraph" w:customStyle="1" w:styleId="244">
    <w:name w:val="报告书"/>
    <w:basedOn w:val="1"/>
    <w:qFormat/>
    <w:uiPriority w:val="99"/>
    <w:pPr>
      <w:spacing w:line="300" w:lineRule="auto"/>
      <w:ind w:firstLine="480" w:firstLineChars="200"/>
    </w:pPr>
    <w:rPr>
      <w:sz w:val="24"/>
    </w:rPr>
  </w:style>
  <w:style w:type="character" w:customStyle="1" w:styleId="245">
    <w:name w:val="ys0409031"/>
    <w:qFormat/>
    <w:uiPriority w:val="99"/>
    <w:rPr>
      <w:rFonts w:ascii="宋体" w:hAnsi="宋体" w:eastAsia="宋体"/>
      <w:b/>
      <w:color w:val="0033FF"/>
      <w:spacing w:val="24"/>
      <w:kern w:val="44"/>
      <w:sz w:val="27"/>
      <w:lang w:val="en-US" w:eastAsia="zh-CN"/>
    </w:rPr>
  </w:style>
  <w:style w:type="character" w:customStyle="1" w:styleId="246">
    <w:name w:val="ziti2 style10 style11"/>
    <w:qFormat/>
    <w:uiPriority w:val="99"/>
  </w:style>
  <w:style w:type="paragraph" w:customStyle="1" w:styleId="247">
    <w:name w:val="小小节JR2"/>
    <w:basedOn w:val="1"/>
    <w:link w:val="248"/>
    <w:qFormat/>
    <w:uiPriority w:val="99"/>
    <w:pPr>
      <w:numPr>
        <w:ilvl w:val="0"/>
        <w:numId w:val="4"/>
      </w:numPr>
      <w:spacing w:beforeLines="50" w:line="360" w:lineRule="auto"/>
    </w:pPr>
    <w:rPr>
      <w:rFonts w:ascii="Century Gothic" w:hAnsi="Century Gothic" w:eastAsia="黑体"/>
      <w:b/>
      <w:color w:val="0070C0"/>
      <w:kern w:val="0"/>
      <w:sz w:val="24"/>
      <w:szCs w:val="24"/>
    </w:rPr>
  </w:style>
  <w:style w:type="character" w:customStyle="1" w:styleId="248">
    <w:name w:val="小小节JR2 Char"/>
    <w:link w:val="247"/>
    <w:qFormat/>
    <w:locked/>
    <w:uiPriority w:val="99"/>
    <w:rPr>
      <w:rFonts w:ascii="Century Gothic" w:hAnsi="Century Gothic" w:eastAsia="黑体"/>
      <w:b/>
      <w:color w:val="0070C0"/>
      <w:kern w:val="0"/>
      <w:sz w:val="24"/>
      <w:szCs w:val="24"/>
    </w:rPr>
  </w:style>
  <w:style w:type="paragraph" w:customStyle="1" w:styleId="249">
    <w:name w:val="列出段落1"/>
    <w:basedOn w:val="1"/>
    <w:qFormat/>
    <w:uiPriority w:val="99"/>
    <w:pPr>
      <w:ind w:firstLine="420" w:firstLineChars="200"/>
    </w:pPr>
    <w:rPr>
      <w:szCs w:val="24"/>
    </w:rPr>
  </w:style>
  <w:style w:type="paragraph" w:customStyle="1" w:styleId="250">
    <w:name w:val="标题（3）"/>
    <w:basedOn w:val="1"/>
    <w:next w:val="1"/>
    <w:qFormat/>
    <w:uiPriority w:val="99"/>
    <w:pPr>
      <w:adjustRightInd w:val="0"/>
      <w:snapToGrid w:val="0"/>
      <w:spacing w:beforeLines="50" w:line="360" w:lineRule="auto"/>
      <w:outlineLvl w:val="2"/>
    </w:pPr>
    <w:rPr>
      <w:rFonts w:ascii="宋体" w:hAnsi="宋体"/>
      <w:b/>
      <w:color w:val="000000"/>
      <w:kern w:val="28"/>
      <w:sz w:val="24"/>
    </w:rPr>
  </w:style>
  <w:style w:type="paragraph" w:customStyle="1" w:styleId="251">
    <w:name w:val="pic-info"/>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52">
    <w:name w:val="album-div"/>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253">
    <w:name w:val="标题1"/>
    <w:qFormat/>
    <w:uiPriority w:val="99"/>
  </w:style>
  <w:style w:type="character" w:customStyle="1" w:styleId="254">
    <w:name w:val="count"/>
    <w:qFormat/>
    <w:uiPriority w:val="99"/>
  </w:style>
  <w:style w:type="character" w:customStyle="1" w:styleId="255">
    <w:name w:val="（正文） Char"/>
    <w:link w:val="256"/>
    <w:qFormat/>
    <w:locked/>
    <w:uiPriority w:val="99"/>
    <w:rPr>
      <w:sz w:val="24"/>
    </w:rPr>
  </w:style>
  <w:style w:type="paragraph" w:customStyle="1" w:styleId="256">
    <w:name w:val="（正文）"/>
    <w:basedOn w:val="32"/>
    <w:link w:val="255"/>
    <w:qFormat/>
    <w:uiPriority w:val="99"/>
    <w:pPr>
      <w:widowControl w:val="0"/>
      <w:spacing w:before="0" w:beforeAutospacing="0" w:after="0" w:afterAutospacing="0" w:line="360" w:lineRule="auto"/>
      <w:ind w:firstLine="480" w:firstLineChars="200"/>
      <w:jc w:val="both"/>
    </w:pPr>
    <w:rPr>
      <w:rFonts w:ascii="Times New Roman" w:hAnsi="Times New Roman"/>
      <w:szCs w:val="20"/>
    </w:rPr>
  </w:style>
  <w:style w:type="paragraph" w:customStyle="1" w:styleId="257">
    <w:name w:val="标题（4）"/>
    <w:basedOn w:val="1"/>
    <w:next w:val="256"/>
    <w:qFormat/>
    <w:uiPriority w:val="99"/>
    <w:pPr>
      <w:spacing w:beforeLines="50" w:line="360" w:lineRule="auto"/>
      <w:outlineLvl w:val="3"/>
    </w:pPr>
    <w:rPr>
      <w:sz w:val="24"/>
    </w:rPr>
  </w:style>
  <w:style w:type="character" w:customStyle="1" w:styleId="258">
    <w:name w:val="正文文字 Char1"/>
    <w:link w:val="168"/>
    <w:qFormat/>
    <w:locked/>
    <w:uiPriority w:val="99"/>
    <w:rPr>
      <w:sz w:val="24"/>
    </w:rPr>
  </w:style>
  <w:style w:type="paragraph" w:customStyle="1" w:styleId="259">
    <w:name w:val="表格一"/>
    <w:basedOn w:val="1"/>
    <w:qFormat/>
    <w:uiPriority w:val="99"/>
    <w:pPr>
      <w:jc w:val="center"/>
    </w:pPr>
    <w:rPr>
      <w:sz w:val="24"/>
    </w:rPr>
  </w:style>
  <w:style w:type="paragraph" w:customStyle="1" w:styleId="260">
    <w:name w:val="Char Char Char Char Char Char Char"/>
    <w:basedOn w:val="1"/>
    <w:qFormat/>
    <w:uiPriority w:val="99"/>
    <w:pPr>
      <w:tabs>
        <w:tab w:val="left" w:pos="-2340"/>
      </w:tabs>
      <w:snapToGrid w:val="0"/>
      <w:spacing w:line="360" w:lineRule="auto"/>
      <w:ind w:firstLine="200" w:firstLineChars="200"/>
    </w:pPr>
    <w:rPr>
      <w:rFonts w:hAnsi="宋体" w:eastAsia="仿宋_GB2312"/>
      <w:sz w:val="24"/>
      <w:szCs w:val="24"/>
    </w:rPr>
  </w:style>
  <w:style w:type="paragraph" w:customStyle="1" w:styleId="261">
    <w:name w:val="Char Char Char1 Char Char Char Char Char Char Char Char Char Char Char Char1 Char Char Char Char1"/>
    <w:basedOn w:val="1"/>
    <w:qFormat/>
    <w:uiPriority w:val="99"/>
    <w:pPr>
      <w:spacing w:line="360" w:lineRule="auto"/>
      <w:ind w:firstLine="200" w:firstLineChars="200"/>
    </w:pPr>
    <w:rPr>
      <w:rFonts w:ascii="宋体" w:hAnsi="宋体" w:cs="宋体"/>
      <w:sz w:val="24"/>
      <w:szCs w:val="24"/>
    </w:rPr>
  </w:style>
  <w:style w:type="paragraph" w:customStyle="1" w:styleId="262">
    <w:name w:val="正文首行缩进 2 + Times New Roman"/>
    <w:basedOn w:val="1"/>
    <w:link w:val="263"/>
    <w:qFormat/>
    <w:uiPriority w:val="99"/>
    <w:pPr>
      <w:tabs>
        <w:tab w:val="left" w:pos="0"/>
        <w:tab w:val="left" w:pos="870"/>
        <w:tab w:val="left" w:pos="3150"/>
      </w:tabs>
      <w:autoSpaceDE w:val="0"/>
      <w:autoSpaceDN w:val="0"/>
      <w:spacing w:beforeLines="50" w:afterLines="50" w:line="540" w:lineRule="exact"/>
      <w:jc w:val="center"/>
    </w:pPr>
    <w:rPr>
      <w:rFonts w:eastAsia="黑体"/>
      <w:kern w:val="0"/>
      <w:sz w:val="28"/>
      <w:szCs w:val="28"/>
    </w:rPr>
  </w:style>
  <w:style w:type="character" w:customStyle="1" w:styleId="263">
    <w:name w:val="正文首行缩进 2 + Times New Roman Char"/>
    <w:link w:val="262"/>
    <w:qFormat/>
    <w:locked/>
    <w:uiPriority w:val="99"/>
    <w:rPr>
      <w:rFonts w:eastAsia="黑体"/>
      <w:kern w:val="0"/>
      <w:sz w:val="28"/>
    </w:rPr>
  </w:style>
  <w:style w:type="paragraph" w:customStyle="1" w:styleId="264">
    <w:name w:val="表内容"/>
    <w:basedOn w:val="1"/>
    <w:next w:val="1"/>
    <w:qFormat/>
    <w:uiPriority w:val="99"/>
    <w:pPr>
      <w:spacing w:line="300" w:lineRule="exact"/>
    </w:pPr>
    <w:rPr>
      <w:color w:val="000000"/>
    </w:rPr>
  </w:style>
  <w:style w:type="paragraph" w:customStyle="1" w:styleId="265">
    <w:name w:val="默认段落字体 Char Char Char"/>
    <w:basedOn w:val="1"/>
    <w:qFormat/>
    <w:uiPriority w:val="99"/>
    <w:rPr>
      <w:sz w:val="24"/>
      <w:szCs w:val="24"/>
    </w:rPr>
  </w:style>
  <w:style w:type="paragraph" w:customStyle="1" w:styleId="266">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rPr>
  </w:style>
  <w:style w:type="paragraph" w:customStyle="1" w:styleId="267">
    <w:name w:val="表格编号"/>
    <w:basedOn w:val="1"/>
    <w:qFormat/>
    <w:uiPriority w:val="99"/>
    <w:pPr>
      <w:adjustRightInd w:val="0"/>
      <w:snapToGrid w:val="0"/>
      <w:spacing w:line="240" w:lineRule="atLeast"/>
    </w:pPr>
    <w:rPr>
      <w:rFonts w:cs="宋体"/>
      <w:sz w:val="18"/>
    </w:rPr>
  </w:style>
  <w:style w:type="paragraph" w:customStyle="1" w:styleId="268">
    <w:name w:val="列出段落2"/>
    <w:basedOn w:val="1"/>
    <w:qFormat/>
    <w:uiPriority w:val="99"/>
    <w:pPr>
      <w:ind w:firstLine="420" w:firstLineChars="200"/>
    </w:pPr>
    <w:rPr>
      <w:sz w:val="21"/>
      <w:szCs w:val="24"/>
    </w:rPr>
  </w:style>
  <w:style w:type="paragraph" w:customStyle="1" w:styleId="269">
    <w:name w:val="节JR"/>
    <w:basedOn w:val="4"/>
    <w:next w:val="18"/>
    <w:qFormat/>
    <w:uiPriority w:val="99"/>
    <w:pPr>
      <w:numPr>
        <w:numId w:val="5"/>
      </w:numPr>
      <w:tabs>
        <w:tab w:val="left" w:pos="425"/>
        <w:tab w:val="left" w:pos="840"/>
      </w:tabs>
      <w:adjustRightInd/>
      <w:snapToGrid/>
      <w:spacing w:before="480" w:after="240" w:line="480" w:lineRule="auto"/>
      <w:jc w:val="left"/>
    </w:pPr>
    <w:rPr>
      <w:rFonts w:ascii="Century Gothic" w:hAnsi="Century Gothic"/>
      <w:b/>
      <w:color w:val="0000FF"/>
      <w:sz w:val="32"/>
    </w:rPr>
  </w:style>
  <w:style w:type="paragraph" w:customStyle="1" w:styleId="270">
    <w:name w:val="样式 标题 3小节名小节标题 33 + (西文) Century Gothic (中文) 黑体 四号 蓝色 段前:..."/>
    <w:basedOn w:val="5"/>
    <w:next w:val="1"/>
    <w:qFormat/>
    <w:uiPriority w:val="99"/>
    <w:pPr>
      <w:numPr>
        <w:numId w:val="5"/>
      </w:numPr>
      <w:tabs>
        <w:tab w:val="left" w:pos="425"/>
        <w:tab w:val="left" w:pos="1365"/>
      </w:tabs>
      <w:adjustRightInd/>
      <w:snapToGrid/>
      <w:spacing w:before="240" w:after="240"/>
      <w:ind w:left="1418"/>
    </w:pPr>
    <w:rPr>
      <w:rFonts w:ascii="Century Gothic" w:hAnsi="Century Gothic" w:eastAsia="黑体" w:cs="宋体"/>
      <w:color w:val="0D0D0D"/>
      <w:sz w:val="28"/>
      <w:szCs w:val="20"/>
    </w:rPr>
  </w:style>
  <w:style w:type="paragraph" w:customStyle="1" w:styleId="271">
    <w:name w:val="章名JR"/>
    <w:basedOn w:val="2"/>
    <w:link w:val="272"/>
    <w:qFormat/>
    <w:uiPriority w:val="99"/>
    <w:pPr>
      <w:keepNext w:val="0"/>
      <w:pageBreakBefore/>
      <w:numPr>
        <w:numId w:val="5"/>
      </w:numPr>
      <w:tabs>
        <w:tab w:val="left" w:pos="425"/>
      </w:tabs>
      <w:adjustRightInd/>
      <w:snapToGrid/>
      <w:spacing w:before="640" w:after="840"/>
      <w:jc w:val="center"/>
    </w:pPr>
    <w:rPr>
      <w:rFonts w:ascii="Century Gothic" w:hAnsi="Century Gothic"/>
      <w:b/>
      <w:color w:val="993300"/>
      <w:sz w:val="36"/>
      <w:szCs w:val="36"/>
    </w:rPr>
  </w:style>
  <w:style w:type="character" w:customStyle="1" w:styleId="272">
    <w:name w:val="章名JR Char"/>
    <w:link w:val="271"/>
    <w:qFormat/>
    <w:locked/>
    <w:uiPriority w:val="99"/>
    <w:rPr>
      <w:rFonts w:ascii="Century Gothic" w:hAnsi="Century Gothic" w:eastAsia="黑体"/>
      <w:b/>
      <w:bCs/>
      <w:color w:val="993300"/>
      <w:kern w:val="44"/>
      <w:sz w:val="36"/>
      <w:szCs w:val="36"/>
    </w:rPr>
  </w:style>
  <w:style w:type="paragraph" w:customStyle="1" w:styleId="273">
    <w:name w:val="图表1"/>
    <w:basedOn w:val="1"/>
    <w:next w:val="1"/>
    <w:qFormat/>
    <w:uiPriority w:val="99"/>
    <w:pPr>
      <w:autoSpaceDE w:val="0"/>
      <w:autoSpaceDN w:val="0"/>
      <w:adjustRightInd w:val="0"/>
      <w:jc w:val="left"/>
    </w:pPr>
    <w:rPr>
      <w:rFonts w:ascii="楷体_GB2312" w:eastAsia="楷体_GB2312"/>
      <w:kern w:val="0"/>
      <w:szCs w:val="24"/>
    </w:rPr>
  </w:style>
  <w:style w:type="paragraph" w:customStyle="1" w:styleId="274">
    <w:name w:val="样式 首行缩进:  1 厘米 行距: 固定值 25 磅"/>
    <w:basedOn w:val="1"/>
    <w:qFormat/>
    <w:uiPriority w:val="99"/>
    <w:pPr>
      <w:spacing w:line="500" w:lineRule="exact"/>
      <w:ind w:firstLine="567"/>
    </w:pPr>
    <w:rPr>
      <w:rFonts w:ascii="宋体" w:cs="宋体"/>
      <w:kern w:val="24"/>
      <w:sz w:val="24"/>
    </w:rPr>
  </w:style>
  <w:style w:type="character" w:customStyle="1" w:styleId="275">
    <w:name w:val="normalclass1"/>
    <w:basedOn w:val="57"/>
    <w:qFormat/>
    <w:uiPriority w:val="99"/>
    <w:rPr>
      <w:rFonts w:cs="Times New Roman"/>
    </w:rPr>
  </w:style>
  <w:style w:type="paragraph" w:customStyle="1" w:styleId="276">
    <w:name w:val="样式 标题 3 + 左侧:  -0.85 厘米"/>
    <w:basedOn w:val="5"/>
    <w:qFormat/>
    <w:uiPriority w:val="99"/>
    <w:pPr>
      <w:numPr>
        <w:ilvl w:val="0"/>
        <w:numId w:val="0"/>
      </w:numPr>
      <w:tabs>
        <w:tab w:val="left" w:pos="425"/>
      </w:tabs>
      <w:adjustRightInd/>
      <w:snapToGrid/>
      <w:spacing w:before="120" w:after="120" w:line="415" w:lineRule="auto"/>
      <w:ind w:left="425" w:hanging="425"/>
    </w:pPr>
    <w:rPr>
      <w:rFonts w:ascii="Arial" w:hAnsi="Arial" w:cs="宋体"/>
      <w:b/>
      <w:color w:val="99CC00"/>
      <w:sz w:val="30"/>
      <w:szCs w:val="20"/>
    </w:rPr>
  </w:style>
  <w:style w:type="paragraph" w:customStyle="1" w:styleId="277">
    <w:name w:val="列出段落11"/>
    <w:basedOn w:val="1"/>
    <w:qFormat/>
    <w:uiPriority w:val="99"/>
    <w:pPr>
      <w:ind w:firstLine="420" w:firstLineChars="200"/>
    </w:pPr>
    <w:rPr>
      <w:szCs w:val="24"/>
    </w:rPr>
  </w:style>
  <w:style w:type="table" w:customStyle="1" w:styleId="278">
    <w:name w:val="Table Normal1"/>
    <w:qFormat/>
    <w:uiPriority w:val="99"/>
    <w:pPr>
      <w:widowControl w:val="0"/>
    </w:pPr>
    <w:rPr>
      <w:rFonts w:ascii="Calibri" w:hAnsi="Calibri"/>
      <w:kern w:val="0"/>
      <w:sz w:val="22"/>
      <w:lang w:eastAsia="en-US"/>
    </w:rPr>
    <w:tblPr>
      <w:tblLayout w:type="fixed"/>
      <w:tblCellMar>
        <w:top w:w="0" w:type="dxa"/>
        <w:left w:w="0" w:type="dxa"/>
        <w:bottom w:w="0" w:type="dxa"/>
        <w:right w:w="0" w:type="dxa"/>
      </w:tblCellMar>
    </w:tblPr>
  </w:style>
  <w:style w:type="paragraph" w:customStyle="1" w:styleId="279">
    <w:name w:val="Table Paragraph"/>
    <w:basedOn w:val="1"/>
    <w:qFormat/>
    <w:uiPriority w:val="99"/>
    <w:pPr>
      <w:jc w:val="left"/>
    </w:pPr>
    <w:rPr>
      <w:rFonts w:ascii="Calibri" w:hAnsi="Calibri"/>
      <w:kern w:val="0"/>
      <w:sz w:val="22"/>
      <w:szCs w:val="22"/>
      <w:lang w:eastAsia="en-US"/>
    </w:rPr>
  </w:style>
  <w:style w:type="paragraph" w:customStyle="1" w:styleId="280">
    <w:name w:val="Default"/>
    <w:qFormat/>
    <w:uiPriority w:val="99"/>
    <w:pPr>
      <w:widowControl w:val="0"/>
      <w:autoSpaceDE w:val="0"/>
      <w:autoSpaceDN w:val="0"/>
      <w:adjustRightInd w:val="0"/>
    </w:pPr>
    <w:rPr>
      <w:rFonts w:ascii="楷体_GB2312" w:hAnsi="楷体_GB2312" w:eastAsia="宋体" w:cs="楷体_GB2312"/>
      <w:color w:val="000000"/>
      <w:kern w:val="0"/>
      <w:sz w:val="24"/>
      <w:szCs w:val="24"/>
      <w:lang w:val="en-US" w:eastAsia="zh-CN" w:bidi="ar-SA"/>
    </w:rPr>
  </w:style>
  <w:style w:type="character" w:customStyle="1" w:styleId="281">
    <w:name w:val="ca-21"/>
    <w:qFormat/>
    <w:uiPriority w:val="99"/>
  </w:style>
  <w:style w:type="table" w:customStyle="1" w:styleId="282">
    <w:name w:val="Table Normal11"/>
    <w:qFormat/>
    <w:uiPriority w:val="99"/>
    <w:pPr>
      <w:widowControl w:val="0"/>
    </w:pPr>
    <w:rPr>
      <w:rFonts w:ascii="Calibri" w:hAnsi="Calibri"/>
      <w:kern w:val="0"/>
      <w:sz w:val="22"/>
      <w:lang w:eastAsia="en-US"/>
    </w:rPr>
    <w:tblPr>
      <w:tblLayout w:type="fixed"/>
      <w:tblCellMar>
        <w:top w:w="0" w:type="dxa"/>
        <w:left w:w="0" w:type="dxa"/>
        <w:bottom w:w="0" w:type="dxa"/>
        <w:right w:w="0" w:type="dxa"/>
      </w:tblCellMar>
    </w:tblPr>
  </w:style>
  <w:style w:type="character" w:customStyle="1" w:styleId="283">
    <w:name w:val="zw Char"/>
    <w:link w:val="150"/>
    <w:qFormat/>
    <w:locked/>
    <w:uiPriority w:val="99"/>
    <w:rPr>
      <w:rFonts w:eastAsia="仿宋_GB2312"/>
      <w:sz w:val="28"/>
    </w:rPr>
  </w:style>
  <w:style w:type="paragraph" w:customStyle="1" w:styleId="284">
    <w:name w:val="样式 表格11 + 居中 段前: 自动1"/>
    <w:basedOn w:val="1"/>
    <w:link w:val="285"/>
    <w:qFormat/>
    <w:uiPriority w:val="99"/>
    <w:pPr>
      <w:adjustRightInd w:val="0"/>
      <w:snapToGrid w:val="0"/>
      <w:jc w:val="center"/>
    </w:pPr>
    <w:rPr>
      <w:bCs/>
      <w:kern w:val="0"/>
    </w:rPr>
  </w:style>
  <w:style w:type="character" w:customStyle="1" w:styleId="285">
    <w:name w:val="样式 表格11 + 居中 段前: 自动1 Char"/>
    <w:link w:val="284"/>
    <w:qFormat/>
    <w:locked/>
    <w:uiPriority w:val="99"/>
    <w:rPr>
      <w:kern w:val="0"/>
    </w:rPr>
  </w:style>
  <w:style w:type="paragraph" w:customStyle="1" w:styleId="286">
    <w:name w:val="报告书三级标题"/>
    <w:basedOn w:val="9"/>
    <w:qFormat/>
    <w:uiPriority w:val="99"/>
    <w:pPr>
      <w:numPr>
        <w:ilvl w:val="0"/>
        <w:numId w:val="0"/>
      </w:numPr>
      <w:adjustRightInd w:val="0"/>
      <w:spacing w:before="0" w:after="0" w:line="300" w:lineRule="auto"/>
      <w:textAlignment w:val="baseline"/>
    </w:pPr>
    <w:rPr>
      <w:rFonts w:ascii="宋体" w:hAnsi="宋体"/>
    </w:rPr>
  </w:style>
  <w:style w:type="paragraph" w:customStyle="1" w:styleId="287">
    <w:name w:val="样式 表题注"/>
    <w:basedOn w:val="1"/>
    <w:qFormat/>
    <w:uiPriority w:val="99"/>
    <w:pPr>
      <w:spacing w:beforeLines="50" w:afterLines="20"/>
      <w:jc w:val="center"/>
    </w:pPr>
    <w:rPr>
      <w:rFonts w:ascii="Arial" w:hAnsi="Arial" w:cs="隶书"/>
      <w:sz w:val="21"/>
    </w:rPr>
  </w:style>
  <w:style w:type="character" w:customStyle="1" w:styleId="288">
    <w:name w:val="表文字 Char"/>
    <w:link w:val="180"/>
    <w:qFormat/>
    <w:locked/>
    <w:uiPriority w:val="99"/>
    <w:rPr>
      <w:kern w:val="0"/>
      <w:sz w:val="24"/>
    </w:rPr>
  </w:style>
  <w:style w:type="paragraph" w:customStyle="1" w:styleId="289">
    <w:name w:val="Decimal Aligned"/>
    <w:basedOn w:val="1"/>
    <w:qFormat/>
    <w:uiPriority w:val="99"/>
    <w:pPr>
      <w:widowControl/>
      <w:tabs>
        <w:tab w:val="decimal" w:pos="360"/>
      </w:tabs>
      <w:spacing w:after="200" w:line="276" w:lineRule="auto"/>
      <w:jc w:val="left"/>
    </w:pPr>
    <w:rPr>
      <w:rFonts w:ascii="Calibri" w:hAnsi="Calibri"/>
      <w:kern w:val="0"/>
      <w:sz w:val="22"/>
      <w:szCs w:val="22"/>
    </w:rPr>
  </w:style>
  <w:style w:type="character" w:customStyle="1" w:styleId="290">
    <w:name w:val="标题 1 Char2"/>
    <w:qFormat/>
    <w:uiPriority w:val="99"/>
    <w:rPr>
      <w:rFonts w:eastAsia="宋体"/>
      <w:b/>
      <w:kern w:val="44"/>
      <w:sz w:val="44"/>
      <w:lang w:val="en-US" w:eastAsia="zh-CN"/>
    </w:rPr>
  </w:style>
  <w:style w:type="paragraph" w:customStyle="1" w:styleId="291">
    <w:name w:val="Char Char1 Char Char Char Char Char Char Char Char Char Char Char Char Char Char Char Char Char Char Char Char1 Char"/>
    <w:basedOn w:val="1"/>
    <w:qFormat/>
    <w:uiPriority w:val="99"/>
    <w:pPr>
      <w:spacing w:line="360" w:lineRule="auto"/>
      <w:ind w:firstLine="200" w:firstLineChars="200"/>
    </w:pPr>
    <w:rPr>
      <w:sz w:val="21"/>
      <w:szCs w:val="24"/>
    </w:rPr>
  </w:style>
  <w:style w:type="character" w:customStyle="1" w:styleId="292">
    <w:name w:val="样式 表格11 + 居中 段前: 自动1 Char Char"/>
    <w:qFormat/>
    <w:uiPriority w:val="99"/>
    <w:rPr>
      <w:rFonts w:eastAsia="宋体"/>
      <w:sz w:val="21"/>
      <w:lang w:val="en-US" w:eastAsia="zh-CN"/>
    </w:rPr>
  </w:style>
  <w:style w:type="table" w:customStyle="1" w:styleId="293">
    <w:name w:val="浅色底纹 - 强调文字颜色 11"/>
    <w:qFormat/>
    <w:uiPriority w:val="99"/>
    <w:rPr>
      <w:rFonts w:ascii="Calibri" w:hAnsi="Calibri"/>
      <w:color w:val="4F81BD"/>
      <w:kern w:val="0"/>
      <w:sz w:val="22"/>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pPr>
        <w:spacing w:before="0" w:after="0"/>
      </w:pPr>
      <w:rPr>
        <w:rFonts w:cs="Times New Roman"/>
        <w:b/>
        <w:bCs/>
      </w:rPr>
      <w:tblPr>
        <w:tblLayout w:type="fixed"/>
      </w:tblPr>
      <w:tcPr>
        <w:tcBorders>
          <w:top w:val="single" w:color="4F81BD" w:sz="8" w:space="0"/>
          <w:left w:val="nil"/>
          <w:bottom w:val="single" w:color="4F81BD" w:sz="8" w:space="0"/>
          <w:right w:val="nil"/>
          <w:insideH w:val="nil"/>
          <w:insideV w:val="nil"/>
        </w:tcBorders>
      </w:tcPr>
    </w:tblStylePr>
    <w:tblStylePr w:type="lastRow">
      <w:pPr>
        <w:spacing w:before="0" w:after="0"/>
      </w:pPr>
      <w:rPr>
        <w:rFonts w:cs="Times New Roman"/>
        <w:b/>
        <w:bCs/>
      </w:rPr>
      <w:tblPr>
        <w:tblLayout w:type="fixed"/>
      </w:tblPr>
      <w:tcPr>
        <w:tcBorders>
          <w:top w:val="single" w:color="4F81BD" w:sz="8" w:space="0"/>
          <w:left w:val="nil"/>
          <w:bottom w:val="single" w:color="4F81BD"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blLayout w:type="fixed"/>
      </w:tblPr>
      <w:tcPr>
        <w:tcBorders>
          <w:left w:val="nil"/>
          <w:right w:val="nil"/>
          <w:insideH w:val="nil"/>
          <w:insideV w:val="nil"/>
        </w:tcBorders>
        <w:shd w:val="clear" w:color="auto" w:fill="D3DFEE"/>
      </w:tcPr>
    </w:tblStylePr>
    <w:tblStylePr w:type="band1Horz">
      <w:rPr>
        <w:rFonts w:cs="Times New Roman"/>
      </w:rPr>
      <w:tblPr>
        <w:tblLayout w:type="fixed"/>
      </w:tblPr>
      <w:tcPr>
        <w:tcBorders>
          <w:left w:val="nil"/>
          <w:right w:val="nil"/>
          <w:insideH w:val="nil"/>
          <w:insideV w:val="nil"/>
        </w:tcBorders>
        <w:shd w:val="clear" w:color="auto" w:fill="D3DFEE"/>
      </w:tcPr>
    </w:tblStylePr>
  </w:style>
  <w:style w:type="paragraph" w:customStyle="1" w:styleId="294">
    <w:name w:val="TOC Heading1"/>
    <w:basedOn w:val="2"/>
    <w:next w:val="1"/>
    <w:qFormat/>
    <w:uiPriority w:val="99"/>
    <w:pPr>
      <w:widowControl/>
      <w:numPr>
        <w:numId w:val="0"/>
      </w:numPr>
      <w:adjustRightInd/>
      <w:snapToGrid/>
      <w:spacing w:before="480" w:line="276" w:lineRule="auto"/>
      <w:jc w:val="left"/>
      <w:outlineLvl w:val="9"/>
    </w:pPr>
    <w:rPr>
      <w:rFonts w:ascii="Cambria" w:hAnsi="Cambria" w:eastAsia="宋体"/>
      <w:b/>
      <w:color w:val="365F91"/>
      <w:kern w:val="0"/>
      <w:sz w:val="28"/>
      <w:szCs w:val="28"/>
    </w:rPr>
  </w:style>
  <w:style w:type="paragraph" w:customStyle="1" w:styleId="295">
    <w:name w:val="Char Char1 Char Char Char Char Char Char Char Char Char Char Char Char Char Char Char Char Char Char Char Char1 Char1"/>
    <w:basedOn w:val="1"/>
    <w:qFormat/>
    <w:uiPriority w:val="99"/>
    <w:pPr>
      <w:spacing w:line="360" w:lineRule="auto"/>
      <w:ind w:firstLine="200" w:firstLineChars="200"/>
    </w:pPr>
    <w:rPr>
      <w:sz w:val="21"/>
      <w:szCs w:val="24"/>
    </w:rPr>
  </w:style>
  <w:style w:type="paragraph" w:customStyle="1" w:styleId="296">
    <w:name w:val="样式 标题 3 + 左侧:  0.42 厘米 右侧:  0.42 厘米"/>
    <w:basedOn w:val="5"/>
    <w:qFormat/>
    <w:uiPriority w:val="99"/>
    <w:pPr>
      <w:numPr>
        <w:ilvl w:val="0"/>
        <w:numId w:val="0"/>
      </w:numPr>
      <w:adjustRightInd/>
      <w:spacing w:beforeLines="50"/>
    </w:pPr>
    <w:rPr>
      <w:b/>
      <w:szCs w:val="20"/>
    </w:rPr>
  </w:style>
  <w:style w:type="character" w:customStyle="1" w:styleId="297">
    <w:name w:val="报告书正文 Char2"/>
    <w:qFormat/>
    <w:uiPriority w:val="99"/>
    <w:rPr>
      <w:rFonts w:eastAsia="宋体"/>
      <w:kern w:val="2"/>
      <w:sz w:val="24"/>
      <w:lang w:val="en-US" w:eastAsia="zh-CN"/>
    </w:rPr>
  </w:style>
  <w:style w:type="paragraph" w:customStyle="1" w:styleId="298">
    <w:name w:val="标题03"/>
    <w:basedOn w:val="1"/>
    <w:next w:val="1"/>
    <w:link w:val="299"/>
    <w:qFormat/>
    <w:uiPriority w:val="99"/>
    <w:pPr>
      <w:spacing w:before="240" w:after="60" w:line="360" w:lineRule="auto"/>
      <w:jc w:val="left"/>
      <w:outlineLvl w:val="2"/>
    </w:pPr>
    <w:rPr>
      <w:b/>
      <w:kern w:val="0"/>
      <w:sz w:val="28"/>
      <w:szCs w:val="28"/>
    </w:rPr>
  </w:style>
  <w:style w:type="character" w:customStyle="1" w:styleId="299">
    <w:name w:val="标题03 Char"/>
    <w:link w:val="298"/>
    <w:qFormat/>
    <w:locked/>
    <w:uiPriority w:val="99"/>
    <w:rPr>
      <w:b/>
      <w:sz w:val="28"/>
    </w:rPr>
  </w:style>
  <w:style w:type="character" w:customStyle="1" w:styleId="300">
    <w:name w:val="表头 Char1"/>
    <w:qFormat/>
    <w:uiPriority w:val="99"/>
    <w:rPr>
      <w:rFonts w:ascii="Times New Roman" w:hAnsi="Times New Roman"/>
      <w:kern w:val="2"/>
      <w:sz w:val="24"/>
    </w:rPr>
  </w:style>
  <w:style w:type="character" w:customStyle="1" w:styleId="301">
    <w:name w:val="apple-converted-space"/>
    <w:qFormat/>
    <w:uiPriority w:val="99"/>
  </w:style>
  <w:style w:type="character" w:customStyle="1" w:styleId="302">
    <w:name w:val="tent1"/>
    <w:qFormat/>
    <w:uiPriority w:val="99"/>
    <w:rPr>
      <w:color w:val="333333"/>
    </w:rPr>
  </w:style>
  <w:style w:type="character" w:customStyle="1" w:styleId="303">
    <w:name w:val="001正文 Char"/>
    <w:link w:val="304"/>
    <w:qFormat/>
    <w:locked/>
    <w:uiPriority w:val="99"/>
    <w:rPr>
      <w:rFonts w:hAnsi="宋体"/>
      <w:color w:val="000000"/>
      <w:sz w:val="24"/>
    </w:rPr>
  </w:style>
  <w:style w:type="paragraph" w:customStyle="1" w:styleId="304">
    <w:name w:val="001正文"/>
    <w:basedOn w:val="1"/>
    <w:link w:val="303"/>
    <w:qFormat/>
    <w:uiPriority w:val="99"/>
    <w:pPr>
      <w:spacing w:line="360" w:lineRule="auto"/>
      <w:ind w:firstLine="200" w:firstLineChars="200"/>
    </w:pPr>
    <w:rPr>
      <w:rFonts w:hAnsi="宋体"/>
      <w:color w:val="000000"/>
      <w:kern w:val="0"/>
      <w:sz w:val="24"/>
    </w:rPr>
  </w:style>
  <w:style w:type="paragraph" w:customStyle="1" w:styleId="305">
    <w:name w:val="xl30"/>
    <w:basedOn w:val="1"/>
    <w:qFormat/>
    <w:uiPriority w:val="99"/>
    <w:pPr>
      <w:widowControl/>
      <w:spacing w:before="100" w:beforeAutospacing="1" w:after="100" w:afterAutospacing="1"/>
      <w:jc w:val="center"/>
    </w:pPr>
    <w:rPr>
      <w:kern w:val="0"/>
      <w:sz w:val="21"/>
      <w:szCs w:val="21"/>
    </w:rPr>
  </w:style>
  <w:style w:type="paragraph" w:customStyle="1" w:styleId="306">
    <w:name w:val="正文1"/>
    <w:basedOn w:val="1"/>
    <w:qFormat/>
    <w:uiPriority w:val="99"/>
    <w:pPr>
      <w:spacing w:line="360" w:lineRule="auto"/>
      <w:ind w:firstLine="200" w:firstLineChars="200"/>
    </w:pPr>
    <w:rPr>
      <w:rFonts w:ascii="宋体" w:hAnsi="宋体"/>
      <w:sz w:val="24"/>
      <w:szCs w:val="21"/>
    </w:rPr>
  </w:style>
  <w:style w:type="paragraph" w:customStyle="1" w:styleId="307">
    <w:name w:val="表头文字"/>
    <w:basedOn w:val="1"/>
    <w:qFormat/>
    <w:uiPriority w:val="99"/>
    <w:pPr>
      <w:spacing w:line="360" w:lineRule="auto"/>
      <w:jc w:val="center"/>
    </w:pPr>
    <w:rPr>
      <w:rFonts w:ascii="黑体" w:hAnsi="宋体" w:eastAsia="黑体"/>
      <w:sz w:val="24"/>
      <w:szCs w:val="21"/>
    </w:rPr>
  </w:style>
  <w:style w:type="character" w:customStyle="1" w:styleId="308">
    <w:name w:val="Placeholder Text1"/>
    <w:semiHidden/>
    <w:qFormat/>
    <w:uiPriority w:val="99"/>
    <w:rPr>
      <w:color w:val="808080"/>
    </w:rPr>
  </w:style>
  <w:style w:type="paragraph" w:customStyle="1" w:styleId="309">
    <w:name w:val="Char9"/>
    <w:basedOn w:val="1"/>
    <w:qFormat/>
    <w:uiPriority w:val="99"/>
    <w:rPr>
      <w:sz w:val="21"/>
      <w:szCs w:val="21"/>
    </w:rPr>
  </w:style>
  <w:style w:type="paragraph" w:customStyle="1" w:styleId="310">
    <w:name w:val="Char8"/>
    <w:basedOn w:val="1"/>
    <w:qFormat/>
    <w:uiPriority w:val="99"/>
    <w:rPr>
      <w:sz w:val="21"/>
      <w:szCs w:val="24"/>
    </w:rPr>
  </w:style>
  <w:style w:type="paragraph" w:customStyle="1" w:styleId="311">
    <w:name w:val="Char7"/>
    <w:basedOn w:val="1"/>
    <w:qFormat/>
    <w:uiPriority w:val="99"/>
    <w:rPr>
      <w:sz w:val="21"/>
      <w:szCs w:val="24"/>
    </w:rPr>
  </w:style>
  <w:style w:type="paragraph" w:customStyle="1" w:styleId="312">
    <w:name w:val="Char6"/>
    <w:basedOn w:val="1"/>
    <w:qFormat/>
    <w:uiPriority w:val="99"/>
    <w:rPr>
      <w:sz w:val="21"/>
      <w:szCs w:val="24"/>
    </w:rPr>
  </w:style>
  <w:style w:type="paragraph" w:customStyle="1" w:styleId="313">
    <w:name w:val="样式 资兴电网正文 + 首行缩进:  2 字符"/>
    <w:qFormat/>
    <w:uiPriority w:val="99"/>
    <w:pPr>
      <w:spacing w:line="360" w:lineRule="auto"/>
    </w:pPr>
    <w:rPr>
      <w:rFonts w:ascii="Times New Roman" w:hAnsi="Times New Roman" w:eastAsia="宋体" w:cs="Times New Roman"/>
      <w:kern w:val="0"/>
      <w:sz w:val="20"/>
      <w:szCs w:val="20"/>
      <w:lang w:val="en-US" w:eastAsia="zh-CN" w:bidi="ar-SA"/>
    </w:rPr>
  </w:style>
  <w:style w:type="character" w:customStyle="1" w:styleId="314">
    <w:name w:val="样式 黑体 小四 加粗"/>
    <w:qFormat/>
    <w:uiPriority w:val="99"/>
    <w:rPr>
      <w:rFonts w:ascii="黑体" w:hAnsi="黑体" w:eastAsia="黑体"/>
      <w:b/>
      <w:sz w:val="24"/>
    </w:rPr>
  </w:style>
  <w:style w:type="paragraph" w:customStyle="1" w:styleId="315">
    <w:name w:val="表格内容"/>
    <w:basedOn w:val="1"/>
    <w:qFormat/>
    <w:uiPriority w:val="99"/>
    <w:pPr>
      <w:jc w:val="center"/>
    </w:pPr>
    <w:rPr>
      <w:sz w:val="21"/>
    </w:rPr>
  </w:style>
  <w:style w:type="character" w:customStyle="1" w:styleId="316">
    <w:name w:val="样式 宋体"/>
    <w:qFormat/>
    <w:uiPriority w:val="99"/>
    <w:rPr>
      <w:rFonts w:ascii="宋体" w:hAnsi="宋体" w:eastAsia="宋体"/>
      <w:sz w:val="24"/>
    </w:rPr>
  </w:style>
  <w:style w:type="paragraph" w:customStyle="1" w:styleId="317">
    <w:name w:val="标题11"/>
    <w:basedOn w:val="1"/>
    <w:next w:val="1"/>
    <w:qFormat/>
    <w:uiPriority w:val="99"/>
    <w:pPr>
      <w:keepNext/>
      <w:numPr>
        <w:ilvl w:val="0"/>
        <w:numId w:val="6"/>
      </w:numPr>
      <w:spacing w:line="480" w:lineRule="auto"/>
      <w:jc w:val="center"/>
    </w:pPr>
    <w:rPr>
      <w:rFonts w:eastAsia="黑体"/>
      <w:sz w:val="32"/>
    </w:rPr>
  </w:style>
  <w:style w:type="paragraph" w:customStyle="1" w:styleId="318">
    <w:name w:val="样式 左 首行缩进:  2 字符"/>
    <w:basedOn w:val="1"/>
    <w:qFormat/>
    <w:uiPriority w:val="99"/>
    <w:pPr>
      <w:spacing w:line="360" w:lineRule="auto"/>
      <w:ind w:firstLine="560" w:firstLineChars="200"/>
      <w:jc w:val="left"/>
    </w:pPr>
    <w:rPr>
      <w:rFonts w:cs="宋体"/>
      <w:sz w:val="24"/>
    </w:rPr>
  </w:style>
  <w:style w:type="paragraph" w:customStyle="1" w:styleId="319">
    <w:name w:val="样式 宋体 首行缩进:  2 字符"/>
    <w:basedOn w:val="1"/>
    <w:qFormat/>
    <w:uiPriority w:val="99"/>
    <w:pPr>
      <w:spacing w:line="360" w:lineRule="auto"/>
      <w:ind w:firstLine="560" w:firstLineChars="200"/>
    </w:pPr>
    <w:rPr>
      <w:rFonts w:ascii="宋体" w:hAnsi="宋体" w:cs="宋体"/>
      <w:sz w:val="24"/>
    </w:rPr>
  </w:style>
  <w:style w:type="paragraph" w:customStyle="1" w:styleId="320">
    <w:name w:val="Char4"/>
    <w:basedOn w:val="1"/>
    <w:qFormat/>
    <w:uiPriority w:val="99"/>
    <w:rPr>
      <w:sz w:val="21"/>
      <w:szCs w:val="24"/>
    </w:rPr>
  </w:style>
  <w:style w:type="paragraph" w:customStyle="1" w:styleId="321">
    <w:name w:val="Char2"/>
    <w:basedOn w:val="1"/>
    <w:qFormat/>
    <w:uiPriority w:val="99"/>
    <w:rPr>
      <w:sz w:val="21"/>
      <w:szCs w:val="24"/>
    </w:rPr>
  </w:style>
  <w:style w:type="paragraph" w:customStyle="1" w:styleId="322">
    <w:name w:val="图文框"/>
    <w:basedOn w:val="1"/>
    <w:qFormat/>
    <w:uiPriority w:val="99"/>
    <w:pPr>
      <w:widowControl/>
      <w:spacing w:line="351" w:lineRule="atLeast"/>
      <w:ind w:left="17" w:right="-102" w:hanging="90"/>
      <w:textAlignment w:val="baseline"/>
    </w:pPr>
    <w:rPr>
      <w:color w:val="000000"/>
      <w:kern w:val="0"/>
      <w:sz w:val="21"/>
      <w:u w:color="000000"/>
    </w:rPr>
  </w:style>
  <w:style w:type="paragraph" w:customStyle="1" w:styleId="323">
    <w:name w:val="xl23"/>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color w:val="0000FF"/>
      <w:kern w:val="0"/>
      <w:sz w:val="21"/>
      <w:szCs w:val="21"/>
    </w:rPr>
  </w:style>
  <w:style w:type="paragraph" w:customStyle="1" w:styleId="324">
    <w:name w:val="T表格"/>
    <w:qFormat/>
    <w:uiPriority w:val="99"/>
    <w:pPr>
      <w:adjustRightInd w:val="0"/>
      <w:snapToGrid w:val="0"/>
      <w:spacing w:line="360" w:lineRule="auto"/>
      <w:jc w:val="center"/>
    </w:pPr>
    <w:rPr>
      <w:rFonts w:ascii="Times New Roman" w:hAnsi="Times New Roman" w:eastAsia="宋体" w:cs="Times New Roman"/>
      <w:color w:val="000000"/>
      <w:kern w:val="0"/>
      <w:sz w:val="21"/>
      <w:szCs w:val="20"/>
      <w:lang w:val="en-US" w:eastAsia="zh-CN" w:bidi="ar-SA"/>
    </w:rPr>
  </w:style>
  <w:style w:type="character" w:customStyle="1" w:styleId="325">
    <w:name w:val="headline-content2"/>
    <w:basedOn w:val="57"/>
    <w:qFormat/>
    <w:uiPriority w:val="99"/>
    <w:rPr>
      <w:rFonts w:cs="Times New Roman"/>
    </w:rPr>
  </w:style>
  <w:style w:type="paragraph" w:customStyle="1" w:styleId="326">
    <w:name w:val="正文（用）"/>
    <w:basedOn w:val="1"/>
    <w:qFormat/>
    <w:uiPriority w:val="99"/>
    <w:pPr>
      <w:spacing w:line="360" w:lineRule="auto"/>
      <w:ind w:firstLine="480" w:firstLineChars="200"/>
      <w:jc w:val="left"/>
    </w:pPr>
    <w:rPr>
      <w:rFonts w:ascii="宋体" w:hAnsi="宋体" w:cs="宋体"/>
      <w:sz w:val="24"/>
    </w:rPr>
  </w:style>
  <w:style w:type="paragraph" w:customStyle="1" w:styleId="327">
    <w:name w:val="我的正文"/>
    <w:basedOn w:val="1"/>
    <w:qFormat/>
    <w:uiPriority w:val="99"/>
    <w:pPr>
      <w:ind w:firstLine="538" w:firstLineChars="192"/>
    </w:pPr>
    <w:rPr>
      <w:sz w:val="28"/>
    </w:rPr>
  </w:style>
  <w:style w:type="character" w:customStyle="1" w:styleId="328">
    <w:name w:val="标题（2） Char"/>
    <w:link w:val="329"/>
    <w:qFormat/>
    <w:locked/>
    <w:uiPriority w:val="99"/>
    <w:rPr>
      <w:kern w:val="28"/>
      <w:sz w:val="28"/>
    </w:rPr>
  </w:style>
  <w:style w:type="paragraph" w:customStyle="1" w:styleId="329">
    <w:name w:val="标题（2）"/>
    <w:basedOn w:val="4"/>
    <w:next w:val="250"/>
    <w:link w:val="328"/>
    <w:qFormat/>
    <w:uiPriority w:val="99"/>
    <w:pPr>
      <w:keepNext w:val="0"/>
      <w:keepLines w:val="0"/>
      <w:numPr>
        <w:ilvl w:val="0"/>
        <w:numId w:val="0"/>
      </w:numPr>
      <w:snapToGrid/>
      <w:spacing w:beforeLines="50"/>
      <w:jc w:val="left"/>
    </w:pPr>
    <w:rPr>
      <w:rFonts w:eastAsia="宋体"/>
      <w:bCs w:val="0"/>
      <w:kern w:val="28"/>
      <w:sz w:val="28"/>
      <w:szCs w:val="20"/>
    </w:rPr>
  </w:style>
  <w:style w:type="paragraph" w:customStyle="1" w:styleId="330">
    <w:name w:val="_Style 11"/>
    <w:basedOn w:val="1"/>
    <w:qFormat/>
    <w:uiPriority w:val="99"/>
    <w:rPr>
      <w:rFonts w:ascii="Calibri" w:hAnsi="Calibri"/>
      <w:sz w:val="21"/>
    </w:rPr>
  </w:style>
  <w:style w:type="paragraph" w:customStyle="1" w:styleId="331">
    <w:name w:val="_Style 5"/>
    <w:basedOn w:val="1"/>
    <w:next w:val="32"/>
    <w:qFormat/>
    <w:uiPriority w:val="99"/>
    <w:rPr>
      <w:rFonts w:ascii="宋体" w:hAnsi="Courier New"/>
      <w:sz w:val="21"/>
    </w:rPr>
  </w:style>
  <w:style w:type="character" w:customStyle="1" w:styleId="332">
    <w:name w:val="标题 3 Char Char Char"/>
    <w:basedOn w:val="57"/>
    <w:qFormat/>
    <w:uiPriority w:val="99"/>
    <w:rPr>
      <w:rFonts w:cs="Times New Roman"/>
    </w:rPr>
  </w:style>
  <w:style w:type="character" w:customStyle="1" w:styleId="333">
    <w:name w:val="批注主题 Char1"/>
    <w:qFormat/>
    <w:uiPriority w:val="99"/>
    <w:rPr>
      <w:b/>
    </w:rPr>
  </w:style>
  <w:style w:type="paragraph" w:customStyle="1" w:styleId="334">
    <w:name w:val="Char Char Char Char Char Char Char Char Char Char Char Char Char Char Char Char Char Char Char Char Char Char Char Char Char"/>
    <w:basedOn w:val="1"/>
    <w:qFormat/>
    <w:uiPriority w:val="99"/>
    <w:pPr>
      <w:widowControl/>
      <w:spacing w:after="160" w:line="240" w:lineRule="exact"/>
      <w:jc w:val="left"/>
    </w:pPr>
    <w:rPr>
      <w:rFonts w:ascii="Verdana" w:hAnsi="Verdana"/>
      <w:kern w:val="0"/>
      <w:lang w:eastAsia="en-US"/>
    </w:rPr>
  </w:style>
  <w:style w:type="character" w:customStyle="1" w:styleId="335">
    <w:name w:val="文档结构图 Char1"/>
    <w:semiHidden/>
    <w:qFormat/>
    <w:uiPriority w:val="99"/>
    <w:rPr>
      <w:rFonts w:ascii="宋体" w:eastAsia="宋体"/>
      <w:sz w:val="18"/>
    </w:rPr>
  </w:style>
  <w:style w:type="paragraph" w:customStyle="1" w:styleId="336">
    <w:name w:val="册除格式 Char Char"/>
    <w:qFormat/>
    <w:uiPriority w:val="99"/>
    <w:pPr>
      <w:spacing w:line="360" w:lineRule="auto"/>
      <w:ind w:firstLine="482"/>
    </w:pPr>
    <w:rPr>
      <w:rFonts w:ascii="黑体" w:hAnsi="Arial" w:eastAsia="宋体" w:cs="Arial"/>
      <w:spacing w:val="4"/>
      <w:kern w:val="18"/>
      <w:sz w:val="24"/>
      <w:szCs w:val="28"/>
      <w:lang w:val="en-US" w:eastAsia="zh-CN" w:bidi="ar-SA"/>
    </w:rPr>
  </w:style>
  <w:style w:type="character" w:customStyle="1" w:styleId="337">
    <w:name w:val="l1"/>
    <w:basedOn w:val="57"/>
    <w:qFormat/>
    <w:uiPriority w:val="99"/>
    <w:rPr>
      <w:rFonts w:cs="Times New Roman"/>
    </w:rPr>
  </w:style>
  <w:style w:type="paragraph" w:customStyle="1" w:styleId="338">
    <w:name w:val="册除格式 Char"/>
    <w:qFormat/>
    <w:uiPriority w:val="99"/>
    <w:pPr>
      <w:spacing w:line="360" w:lineRule="auto"/>
      <w:ind w:firstLine="482"/>
    </w:pPr>
    <w:rPr>
      <w:rFonts w:ascii="黑体" w:hAnsi="Arial" w:eastAsia="宋体" w:cs="Arial"/>
      <w:spacing w:val="4"/>
      <w:kern w:val="18"/>
      <w:sz w:val="24"/>
      <w:szCs w:val="28"/>
      <w:lang w:val="en-US" w:eastAsia="zh-CN" w:bidi="ar-SA"/>
    </w:rPr>
  </w:style>
  <w:style w:type="character" w:customStyle="1" w:styleId="339">
    <w:name w:val="册除格式 Char Char Char"/>
    <w:qFormat/>
    <w:uiPriority w:val="99"/>
    <w:rPr>
      <w:rFonts w:ascii="黑体" w:hAnsi="Arial" w:eastAsia="宋体"/>
      <w:spacing w:val="4"/>
      <w:kern w:val="18"/>
      <w:sz w:val="28"/>
      <w:lang w:val="en-US" w:eastAsia="zh-CN"/>
    </w:rPr>
  </w:style>
  <w:style w:type="paragraph" w:customStyle="1" w:styleId="340">
    <w:name w:val="文本1"/>
    <w:basedOn w:val="1"/>
    <w:qFormat/>
    <w:uiPriority w:val="99"/>
    <w:pPr>
      <w:adjustRightInd w:val="0"/>
      <w:snapToGrid w:val="0"/>
      <w:spacing w:line="360" w:lineRule="auto"/>
      <w:ind w:firstLine="514" w:firstLineChars="200"/>
    </w:pPr>
    <w:rPr>
      <w:rFonts w:ascii="宋体" w:hAnsi="宋体"/>
      <w:kern w:val="0"/>
      <w:sz w:val="24"/>
      <w:szCs w:val="24"/>
    </w:rPr>
  </w:style>
  <w:style w:type="paragraph" w:customStyle="1" w:styleId="341">
    <w:name w:val="正文(首行缩进)"/>
    <w:basedOn w:val="1"/>
    <w:link w:val="342"/>
    <w:qFormat/>
    <w:uiPriority w:val="99"/>
    <w:pPr>
      <w:spacing w:line="360" w:lineRule="auto"/>
      <w:ind w:firstLine="540" w:firstLineChars="225"/>
    </w:pPr>
    <w:rPr>
      <w:color w:val="000000"/>
      <w:kern w:val="0"/>
      <w:sz w:val="24"/>
      <w:szCs w:val="24"/>
    </w:rPr>
  </w:style>
  <w:style w:type="character" w:customStyle="1" w:styleId="342">
    <w:name w:val="正文(首行缩进) Char"/>
    <w:link w:val="341"/>
    <w:qFormat/>
    <w:locked/>
    <w:uiPriority w:val="99"/>
    <w:rPr>
      <w:snapToGrid w:val="0"/>
      <w:color w:val="000000"/>
      <w:kern w:val="0"/>
      <w:sz w:val="24"/>
    </w:rPr>
  </w:style>
  <w:style w:type="paragraph" w:customStyle="1" w:styleId="343">
    <w:name w:val="我的样式（正文）"/>
    <w:basedOn w:val="1"/>
    <w:qFormat/>
    <w:uiPriority w:val="99"/>
    <w:pPr>
      <w:spacing w:line="440" w:lineRule="exact"/>
    </w:pPr>
    <w:rPr>
      <w:rFonts w:ascii="宋体"/>
      <w:sz w:val="28"/>
    </w:rPr>
  </w:style>
  <w:style w:type="character" w:customStyle="1" w:styleId="344">
    <w:name w:val="尾注文本 Char"/>
    <w:qFormat/>
    <w:uiPriority w:val="99"/>
    <w:rPr>
      <w:sz w:val="21"/>
    </w:rPr>
  </w:style>
  <w:style w:type="paragraph" w:customStyle="1" w:styleId="345">
    <w:name w:val="Char10"/>
    <w:basedOn w:val="1"/>
    <w:qFormat/>
    <w:uiPriority w:val="99"/>
    <w:pPr>
      <w:spacing w:line="360" w:lineRule="auto"/>
      <w:ind w:firstLine="200" w:firstLineChars="200"/>
    </w:pPr>
    <w:rPr>
      <w:rFonts w:ascii="宋体" w:hAnsi="宋体" w:cs="宋体"/>
      <w:sz w:val="24"/>
      <w:szCs w:val="24"/>
    </w:rPr>
  </w:style>
  <w:style w:type="character" w:customStyle="1" w:styleId="346">
    <w:name w:val="脚注文本 Char1"/>
    <w:qFormat/>
    <w:uiPriority w:val="99"/>
    <w:rPr>
      <w:sz w:val="18"/>
    </w:rPr>
  </w:style>
  <w:style w:type="paragraph" w:customStyle="1" w:styleId="347">
    <w:name w:val="Char12"/>
    <w:basedOn w:val="1"/>
    <w:qFormat/>
    <w:uiPriority w:val="99"/>
    <w:pPr>
      <w:spacing w:line="360" w:lineRule="auto"/>
      <w:ind w:firstLine="200" w:firstLineChars="200"/>
    </w:pPr>
    <w:rPr>
      <w:rFonts w:ascii="宋体" w:hAnsi="宋体" w:cs="宋体"/>
      <w:sz w:val="24"/>
      <w:szCs w:val="24"/>
    </w:rPr>
  </w:style>
  <w:style w:type="paragraph" w:customStyle="1" w:styleId="348">
    <w:name w:val="myformat_content Char"/>
    <w:basedOn w:val="1"/>
    <w:qFormat/>
    <w:uiPriority w:val="99"/>
    <w:pPr>
      <w:spacing w:beforeLines="50" w:afterLines="50" w:line="360" w:lineRule="exact"/>
      <w:ind w:firstLine="480" w:firstLineChars="200"/>
    </w:pPr>
    <w:rPr>
      <w:sz w:val="24"/>
    </w:rPr>
  </w:style>
  <w:style w:type="paragraph" w:customStyle="1" w:styleId="349">
    <w:name w:val="Char11"/>
    <w:basedOn w:val="1"/>
    <w:qFormat/>
    <w:uiPriority w:val="99"/>
    <w:pPr>
      <w:spacing w:line="360" w:lineRule="auto"/>
      <w:ind w:firstLine="200" w:firstLineChars="200"/>
    </w:pPr>
    <w:rPr>
      <w:rFonts w:ascii="宋体" w:hAnsi="宋体" w:cs="宋体"/>
      <w:sz w:val="24"/>
      <w:szCs w:val="24"/>
    </w:rPr>
  </w:style>
  <w:style w:type="character" w:customStyle="1" w:styleId="350">
    <w:name w:val="样式 （正文） + 首行缩进:  2 字符 Char"/>
    <w:link w:val="351"/>
    <w:qFormat/>
    <w:locked/>
    <w:uiPriority w:val="99"/>
    <w:rPr>
      <w:sz w:val="24"/>
    </w:rPr>
  </w:style>
  <w:style w:type="paragraph" w:customStyle="1" w:styleId="351">
    <w:name w:val="样式 （正文） + 首行缩进:  2 字符"/>
    <w:basedOn w:val="256"/>
    <w:link w:val="350"/>
    <w:qFormat/>
    <w:uiPriority w:val="99"/>
  </w:style>
  <w:style w:type="paragraph" w:customStyle="1" w:styleId="352">
    <w:name w:val="（表格）"/>
    <w:basedOn w:val="1"/>
    <w:next w:val="1"/>
    <w:qFormat/>
    <w:uiPriority w:val="99"/>
    <w:pPr>
      <w:jc w:val="center"/>
    </w:pPr>
    <w:rPr>
      <w:rFonts w:ascii="宋体" w:hAnsi="宋体" w:cs="宋体"/>
      <w:sz w:val="21"/>
    </w:rPr>
  </w:style>
  <w:style w:type="character" w:customStyle="1" w:styleId="353">
    <w:name w:val="表文 Char"/>
    <w:link w:val="239"/>
    <w:qFormat/>
    <w:locked/>
    <w:uiPriority w:val="99"/>
    <w:rPr>
      <w:kern w:val="0"/>
    </w:rPr>
  </w:style>
  <w:style w:type="paragraph" w:customStyle="1" w:styleId="354">
    <w:name w:val="样式 标题 3 + 五号"/>
    <w:basedOn w:val="5"/>
    <w:semiHidden/>
    <w:qFormat/>
    <w:uiPriority w:val="99"/>
    <w:pPr>
      <w:numPr>
        <w:ilvl w:val="0"/>
        <w:numId w:val="0"/>
      </w:numPr>
      <w:tabs>
        <w:tab w:val="left" w:pos="5580"/>
      </w:tabs>
    </w:pPr>
    <w:rPr>
      <w:rFonts w:ascii="Calibri" w:hAnsi="Calibri"/>
      <w:b/>
      <w:kern w:val="44"/>
      <w:sz w:val="28"/>
      <w:szCs w:val="28"/>
    </w:rPr>
  </w:style>
  <w:style w:type="character" w:customStyle="1" w:styleId="355">
    <w:name w:val="title12"/>
    <w:basedOn w:val="57"/>
    <w:qFormat/>
    <w:uiPriority w:val="99"/>
    <w:rPr>
      <w:rFonts w:cs="Times New Roman"/>
    </w:rPr>
  </w:style>
  <w:style w:type="character" w:customStyle="1" w:styleId="356">
    <w:name w:val="日期 Char1"/>
    <w:basedOn w:val="57"/>
    <w:qFormat/>
    <w:uiPriority w:val="99"/>
    <w:rPr>
      <w:rFonts w:cs="Times New Roman"/>
    </w:rPr>
  </w:style>
  <w:style w:type="character" w:customStyle="1" w:styleId="357">
    <w:name w:val="正文文本缩进 2 Char1"/>
    <w:basedOn w:val="57"/>
    <w:qFormat/>
    <w:uiPriority w:val="99"/>
    <w:rPr>
      <w:rFonts w:cs="Times New Roman"/>
    </w:rPr>
  </w:style>
  <w:style w:type="character" w:customStyle="1" w:styleId="358">
    <w:name w:val="正文文本 2 Char1"/>
    <w:basedOn w:val="57"/>
    <w:qFormat/>
    <w:uiPriority w:val="99"/>
    <w:rPr>
      <w:rFonts w:cs="Times New Roman"/>
    </w:rPr>
  </w:style>
  <w:style w:type="character" w:customStyle="1" w:styleId="359">
    <w:name w:val="正文文本缩进 Char1"/>
    <w:basedOn w:val="57"/>
    <w:qFormat/>
    <w:uiPriority w:val="99"/>
    <w:rPr>
      <w:rFonts w:cs="Times New Roman"/>
    </w:rPr>
  </w:style>
  <w:style w:type="paragraph" w:customStyle="1" w:styleId="360">
    <w:name w:val="标题 2 +"/>
    <w:basedOn w:val="4"/>
    <w:next w:val="1"/>
    <w:qFormat/>
    <w:uiPriority w:val="99"/>
    <w:pPr>
      <w:numPr>
        <w:numId w:val="7"/>
      </w:numPr>
      <w:adjustRightInd/>
      <w:snapToGrid/>
      <w:spacing w:beforeLines="100"/>
      <w:ind w:firstLine="0"/>
    </w:pPr>
    <w:rPr>
      <w:rFonts w:cs="宋体"/>
      <w:bCs w:val="0"/>
      <w:sz w:val="28"/>
      <w:szCs w:val="20"/>
    </w:rPr>
  </w:style>
  <w:style w:type="paragraph" w:customStyle="1" w:styleId="361">
    <w:name w:val="标题 3 + Char Char Char Char Char"/>
    <w:basedOn w:val="5"/>
    <w:next w:val="1"/>
    <w:qFormat/>
    <w:uiPriority w:val="99"/>
    <w:pPr>
      <w:numPr>
        <w:numId w:val="7"/>
      </w:numPr>
      <w:tabs>
        <w:tab w:val="left" w:pos="525"/>
      </w:tabs>
      <w:adjustRightInd/>
      <w:snapToGrid/>
    </w:pPr>
    <w:rPr>
      <w:rFonts w:cs="宋体"/>
      <w:b/>
      <w:szCs w:val="20"/>
    </w:rPr>
  </w:style>
  <w:style w:type="paragraph" w:customStyle="1" w:styleId="362">
    <w:name w:val="样式 标题 1+ + 段前: 1 行"/>
    <w:basedOn w:val="1"/>
    <w:qFormat/>
    <w:uiPriority w:val="99"/>
    <w:pPr>
      <w:keepNext/>
      <w:keepLines/>
      <w:pageBreakBefore/>
      <w:numPr>
        <w:ilvl w:val="0"/>
        <w:numId w:val="7"/>
      </w:numPr>
      <w:spacing w:beforeLines="100"/>
      <w:outlineLvl w:val="0"/>
    </w:pPr>
    <w:rPr>
      <w:rFonts w:eastAsia="黑体" w:cs="宋体"/>
      <w:b/>
      <w:bCs/>
      <w:kern w:val="44"/>
      <w:sz w:val="32"/>
    </w:rPr>
  </w:style>
  <w:style w:type="paragraph" w:customStyle="1" w:styleId="363">
    <w:name w:val="样式 标题 4款标题标题 4 Char2标题 4 Char Char1款标题 Char款标题 Char Char Ch..."/>
    <w:basedOn w:val="6"/>
    <w:qFormat/>
    <w:uiPriority w:val="99"/>
    <w:pPr>
      <w:numPr>
        <w:numId w:val="7"/>
      </w:numPr>
      <w:adjustRightInd/>
      <w:snapToGrid/>
      <w:spacing w:before="120" w:after="120" w:line="288" w:lineRule="auto"/>
    </w:pPr>
    <w:rPr>
      <w:b/>
      <w:szCs w:val="21"/>
    </w:rPr>
  </w:style>
  <w:style w:type="paragraph" w:customStyle="1" w:styleId="364">
    <w:name w:val="表格正文"/>
    <w:basedOn w:val="1"/>
    <w:qFormat/>
    <w:uiPriority w:val="99"/>
    <w:pPr>
      <w:widowControl/>
      <w:adjustRightInd w:val="0"/>
      <w:snapToGrid w:val="0"/>
      <w:spacing w:line="360" w:lineRule="exact"/>
      <w:jc w:val="center"/>
    </w:pPr>
    <w:rPr>
      <w:rFonts w:ascii="Arial" w:hAnsi="Arial"/>
      <w:color w:val="000000"/>
      <w:sz w:val="21"/>
      <w:szCs w:val="21"/>
    </w:rPr>
  </w:style>
  <w:style w:type="paragraph" w:customStyle="1" w:styleId="365">
    <w:name w:val="正文001"/>
    <w:basedOn w:val="1"/>
    <w:qFormat/>
    <w:uiPriority w:val="99"/>
    <w:pPr>
      <w:widowControl/>
      <w:adjustRightInd w:val="0"/>
      <w:snapToGrid w:val="0"/>
      <w:spacing w:before="60" w:line="460" w:lineRule="exact"/>
      <w:ind w:firstLine="200" w:firstLineChars="200"/>
    </w:pPr>
    <w:rPr>
      <w:rFonts w:ascii="Arial" w:hAnsi="Arial"/>
      <w:sz w:val="24"/>
      <w:szCs w:val="21"/>
    </w:rPr>
  </w:style>
  <w:style w:type="paragraph" w:customStyle="1" w:styleId="366">
    <w:name w:val="段落 Char Char Char"/>
    <w:basedOn w:val="1"/>
    <w:qFormat/>
    <w:uiPriority w:val="99"/>
    <w:pPr>
      <w:tabs>
        <w:tab w:val="left" w:pos="1021"/>
      </w:tabs>
      <w:adjustRightInd w:val="0"/>
      <w:spacing w:line="480" w:lineRule="exact"/>
      <w:ind w:firstLine="480" w:firstLineChars="200"/>
    </w:pPr>
    <w:rPr>
      <w:kern w:val="0"/>
      <w:sz w:val="24"/>
      <w:szCs w:val="24"/>
      <w:lang w:eastAsia="zh-TW"/>
    </w:rPr>
  </w:style>
  <w:style w:type="paragraph" w:customStyle="1" w:styleId="367">
    <w:name w:val="默认段落字体 Para Char Char Char Char"/>
    <w:basedOn w:val="1"/>
    <w:qFormat/>
    <w:uiPriority w:val="99"/>
    <w:pPr>
      <w:spacing w:beforeLines="100" w:afterLines="50" w:line="600" w:lineRule="exact"/>
      <w:ind w:firstLine="200" w:firstLineChars="200"/>
    </w:pPr>
    <w:rPr>
      <w:rFonts w:eastAsia="黑体"/>
      <w:sz w:val="28"/>
      <w:szCs w:val="24"/>
    </w:rPr>
  </w:style>
  <w:style w:type="character" w:customStyle="1" w:styleId="368">
    <w:name w:val="正文首行缩进 Char1"/>
    <w:qFormat/>
    <w:uiPriority w:val="99"/>
    <w:rPr>
      <w:rFonts w:ascii="Times New Roman" w:hAnsi="Times New Roman" w:eastAsia="宋体"/>
      <w:sz w:val="24"/>
    </w:rPr>
  </w:style>
  <w:style w:type="paragraph" w:customStyle="1" w:styleId="369">
    <w:name w:val="小四表文左齐"/>
    <w:basedOn w:val="1"/>
    <w:qFormat/>
    <w:uiPriority w:val="99"/>
    <w:pPr>
      <w:widowControl/>
      <w:jc w:val="center"/>
    </w:pPr>
    <w:rPr>
      <w:rFonts w:ascii="宋体"/>
      <w:sz w:val="21"/>
    </w:rPr>
  </w:style>
  <w:style w:type="paragraph" w:customStyle="1" w:styleId="370">
    <w:name w:val="目录4"/>
    <w:basedOn w:val="1"/>
    <w:qFormat/>
    <w:uiPriority w:val="99"/>
    <w:pPr>
      <w:widowControl/>
      <w:tabs>
        <w:tab w:val="left" w:leader="dot" w:pos="7370"/>
      </w:tabs>
      <w:spacing w:line="317" w:lineRule="atLeast"/>
      <w:ind w:firstLine="629"/>
      <w:textAlignment w:val="baseline"/>
    </w:pPr>
    <w:rPr>
      <w:color w:val="000000"/>
      <w:kern w:val="0"/>
      <w:sz w:val="21"/>
      <w:u w:color="000000"/>
    </w:rPr>
  </w:style>
  <w:style w:type="paragraph" w:customStyle="1" w:styleId="371">
    <w:name w:val="样式 2 + 小四 非加粗 行距: 1.5 倍行距"/>
    <w:basedOn w:val="1"/>
    <w:qFormat/>
    <w:uiPriority w:val="99"/>
    <w:pPr>
      <w:keepNext/>
      <w:keepLines/>
      <w:tabs>
        <w:tab w:val="left" w:pos="567"/>
      </w:tabs>
      <w:spacing w:before="120" w:after="120" w:line="360" w:lineRule="auto"/>
      <w:ind w:left="567" w:hanging="567"/>
      <w:outlineLvl w:val="1"/>
    </w:pPr>
    <w:rPr>
      <w:rFonts w:ascii="Arial" w:hAnsi="Arial" w:eastAsia="黑体"/>
      <w:b/>
      <w:sz w:val="24"/>
    </w:rPr>
  </w:style>
  <w:style w:type="character" w:customStyle="1" w:styleId="372">
    <w:name w:val="content1"/>
    <w:qFormat/>
    <w:uiPriority w:val="99"/>
    <w:rPr>
      <w:rFonts w:ascii="宋体" w:hAnsi="宋体" w:eastAsia="宋体"/>
      <w:sz w:val="22"/>
    </w:rPr>
  </w:style>
  <w:style w:type="paragraph" w:customStyle="1" w:styleId="373">
    <w:name w:val="表题注"/>
    <w:basedOn w:val="19"/>
    <w:link w:val="374"/>
    <w:qFormat/>
    <w:uiPriority w:val="99"/>
    <w:pPr>
      <w:tabs>
        <w:tab w:val="left" w:pos="3626"/>
      </w:tabs>
      <w:spacing w:line="348" w:lineRule="auto"/>
      <w:ind w:firstLine="480"/>
      <w:jc w:val="center"/>
    </w:pPr>
    <w:rPr>
      <w:szCs w:val="24"/>
    </w:rPr>
  </w:style>
  <w:style w:type="character" w:customStyle="1" w:styleId="374">
    <w:name w:val="表题注 Char"/>
    <w:link w:val="373"/>
    <w:qFormat/>
    <w:locked/>
    <w:uiPriority w:val="99"/>
    <w:rPr>
      <w:rFonts w:eastAsia="黑体"/>
      <w:sz w:val="24"/>
    </w:rPr>
  </w:style>
  <w:style w:type="paragraph" w:customStyle="1" w:styleId="375">
    <w:name w:val="表字居中O"/>
    <w:basedOn w:val="1"/>
    <w:qFormat/>
    <w:uiPriority w:val="99"/>
    <w:pPr>
      <w:tabs>
        <w:tab w:val="left" w:pos="3626"/>
      </w:tabs>
      <w:spacing w:line="240" w:lineRule="exact"/>
      <w:jc w:val="center"/>
    </w:pPr>
    <w:rPr>
      <w:color w:val="FF0000"/>
      <w:spacing w:val="-4"/>
      <w:kern w:val="0"/>
      <w:sz w:val="18"/>
      <w:szCs w:val="18"/>
    </w:rPr>
  </w:style>
  <w:style w:type="paragraph" w:customStyle="1" w:styleId="376">
    <w:name w:val="样式 表格文字 + 首行缩进:  2 字符"/>
    <w:basedOn w:val="1"/>
    <w:qFormat/>
    <w:uiPriority w:val="99"/>
    <w:pPr>
      <w:adjustRightInd w:val="0"/>
      <w:snapToGrid w:val="0"/>
      <w:jc w:val="center"/>
      <w:textAlignment w:val="center"/>
    </w:pPr>
    <w:rPr>
      <w:rFonts w:cs="宋体"/>
      <w:sz w:val="21"/>
    </w:rPr>
  </w:style>
  <w:style w:type="paragraph" w:customStyle="1" w:styleId="377">
    <w:name w:val="font10"/>
    <w:basedOn w:val="1"/>
    <w:qFormat/>
    <w:uiPriority w:val="99"/>
    <w:pPr>
      <w:widowControl/>
      <w:spacing w:before="100" w:beforeAutospacing="1" w:after="100" w:afterAutospacing="1"/>
      <w:jc w:val="left"/>
    </w:pPr>
    <w:rPr>
      <w:kern w:val="0"/>
    </w:rPr>
  </w:style>
  <w:style w:type="character" w:customStyle="1" w:styleId="378">
    <w:name w:val="style8"/>
    <w:basedOn w:val="57"/>
    <w:qFormat/>
    <w:uiPriority w:val="99"/>
    <w:rPr>
      <w:rFonts w:cs="Times New Roman"/>
    </w:rPr>
  </w:style>
  <w:style w:type="paragraph" w:customStyle="1" w:styleId="379">
    <w:name w:val="Char14"/>
    <w:basedOn w:val="5"/>
    <w:next w:val="6"/>
    <w:qFormat/>
    <w:uiPriority w:val="99"/>
    <w:pPr>
      <w:numPr>
        <w:ilvl w:val="0"/>
        <w:numId w:val="0"/>
      </w:numPr>
      <w:tabs>
        <w:tab w:val="left" w:pos="425"/>
        <w:tab w:val="left" w:pos="480"/>
      </w:tabs>
      <w:adjustRightInd/>
      <w:snapToGrid/>
      <w:spacing w:before="260" w:after="260" w:line="415" w:lineRule="auto"/>
      <w:ind w:left="432" w:hanging="432"/>
    </w:pPr>
    <w:rPr>
      <w:rFonts w:ascii="Arial" w:hAnsi="Arial"/>
      <w:b/>
      <w:bCs w:val="0"/>
      <w:szCs w:val="20"/>
    </w:rPr>
  </w:style>
  <w:style w:type="paragraph" w:customStyle="1" w:styleId="380">
    <w:name w:val="xl28"/>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kern w:val="0"/>
      <w:sz w:val="21"/>
    </w:rPr>
  </w:style>
  <w:style w:type="paragraph" w:customStyle="1" w:styleId="381">
    <w:name w:val="表格03"/>
    <w:basedOn w:val="1"/>
    <w:qFormat/>
    <w:uiPriority w:val="99"/>
    <w:pPr>
      <w:spacing w:line="400" w:lineRule="exact"/>
      <w:jc w:val="center"/>
    </w:pPr>
    <w:rPr>
      <w:sz w:val="21"/>
      <w:szCs w:val="21"/>
    </w:rPr>
  </w:style>
  <w:style w:type="character" w:customStyle="1" w:styleId="382">
    <w:name w:val="正文首行缩进 Char2"/>
    <w:qFormat/>
    <w:uiPriority w:val="99"/>
    <w:rPr>
      <w:rFonts w:eastAsia="宋体"/>
      <w:kern w:val="2"/>
      <w:sz w:val="24"/>
      <w:lang w:val="en-US" w:eastAsia="zh-CN"/>
    </w:rPr>
  </w:style>
  <w:style w:type="paragraph" w:customStyle="1" w:styleId="383">
    <w:name w:val="正文(首行缩进2字)"/>
    <w:basedOn w:val="1"/>
    <w:next w:val="1"/>
    <w:link w:val="384"/>
    <w:qFormat/>
    <w:uiPriority w:val="99"/>
    <w:pPr>
      <w:adjustRightInd w:val="0"/>
      <w:spacing w:afterLines="50" w:line="360" w:lineRule="auto"/>
      <w:ind w:firstLine="480" w:firstLineChars="200"/>
      <w:jc w:val="left"/>
      <w:textAlignment w:val="baseline"/>
    </w:pPr>
    <w:rPr>
      <w:color w:val="000000"/>
      <w:kern w:val="0"/>
      <w:sz w:val="24"/>
    </w:rPr>
  </w:style>
  <w:style w:type="character" w:customStyle="1" w:styleId="384">
    <w:name w:val="正文(首行缩进2字) Char"/>
    <w:link w:val="383"/>
    <w:qFormat/>
    <w:locked/>
    <w:uiPriority w:val="99"/>
    <w:rPr>
      <w:color w:val="000000"/>
      <w:kern w:val="0"/>
      <w:sz w:val="24"/>
    </w:rPr>
  </w:style>
  <w:style w:type="paragraph" w:customStyle="1" w:styleId="385">
    <w:name w:val="样式 正文首行缩进 2 + 左侧:  0.74 厘米 首行缩进:  2 字符"/>
    <w:basedOn w:val="39"/>
    <w:qFormat/>
    <w:uiPriority w:val="99"/>
    <w:pPr>
      <w:spacing w:after="0" w:line="360" w:lineRule="auto"/>
      <w:ind w:left="0" w:leftChars="0" w:firstLine="200"/>
    </w:pPr>
    <w:rPr>
      <w:rFonts w:cs="宋体"/>
      <w:sz w:val="24"/>
      <w:szCs w:val="20"/>
    </w:rPr>
  </w:style>
  <w:style w:type="character" w:customStyle="1" w:styleId="386">
    <w:name w:val="Char Char18"/>
    <w:qFormat/>
    <w:uiPriority w:val="99"/>
    <w:rPr>
      <w:rFonts w:hAnsi="宋体" w:eastAsia="宋体"/>
      <w:b/>
      <w:kern w:val="2"/>
      <w:sz w:val="28"/>
      <w:lang w:val="en-US" w:eastAsia="zh-CN"/>
    </w:rPr>
  </w:style>
  <w:style w:type="character" w:customStyle="1" w:styleId="387">
    <w:name w:val="TOA Heading Char"/>
    <w:link w:val="22"/>
    <w:qFormat/>
    <w:locked/>
    <w:uiPriority w:val="99"/>
    <w:rPr>
      <w:rFonts w:ascii="Arial" w:hAnsi="Arial"/>
      <w:sz w:val="24"/>
    </w:rPr>
  </w:style>
  <w:style w:type="paragraph" w:customStyle="1" w:styleId="388">
    <w:name w:val="正文（首行不缩进）"/>
    <w:basedOn w:val="383"/>
    <w:qFormat/>
    <w:uiPriority w:val="99"/>
    <w:pPr>
      <w:spacing w:afterLines="0"/>
      <w:ind w:firstLine="0" w:firstLineChars="0"/>
    </w:pPr>
  </w:style>
  <w:style w:type="paragraph" w:customStyle="1" w:styleId="389">
    <w:name w:val="表标题"/>
    <w:basedOn w:val="1"/>
    <w:qFormat/>
    <w:uiPriority w:val="99"/>
    <w:pPr>
      <w:snapToGrid w:val="0"/>
      <w:spacing w:line="360" w:lineRule="auto"/>
      <w:ind w:firstLine="482" w:firstLineChars="200"/>
      <w:jc w:val="center"/>
    </w:pPr>
    <w:rPr>
      <w:b/>
      <w:color w:val="000000"/>
      <w:sz w:val="24"/>
      <w:szCs w:val="24"/>
      <w:lang w:val="zh-CN"/>
    </w:rPr>
  </w:style>
  <w:style w:type="character" w:customStyle="1" w:styleId="390">
    <w:name w:val="00000000000000 Char"/>
    <w:qFormat/>
    <w:uiPriority w:val="99"/>
    <w:rPr>
      <w:rFonts w:ascii="宋体" w:hAnsi="宋体" w:eastAsia="宋体"/>
      <w:kern w:val="18"/>
      <w:sz w:val="24"/>
      <w:lang w:val="en-US" w:eastAsia="zh-CN"/>
    </w:rPr>
  </w:style>
  <w:style w:type="character" w:customStyle="1" w:styleId="391">
    <w:name w:val="pt14"/>
    <w:basedOn w:val="57"/>
    <w:qFormat/>
    <w:uiPriority w:val="99"/>
    <w:rPr>
      <w:rFonts w:cs="Times New Roman"/>
    </w:rPr>
  </w:style>
  <w:style w:type="character" w:customStyle="1" w:styleId="392">
    <w:name w:val="font11"/>
    <w:qFormat/>
    <w:uiPriority w:val="99"/>
    <w:rPr>
      <w:sz w:val="21"/>
    </w:rPr>
  </w:style>
  <w:style w:type="character" w:customStyle="1" w:styleId="393">
    <w:name w:val="3xi"/>
    <w:basedOn w:val="57"/>
    <w:qFormat/>
    <w:uiPriority w:val="99"/>
    <w:rPr>
      <w:rFonts w:cs="Times New Roman"/>
    </w:rPr>
  </w:style>
  <w:style w:type="character" w:customStyle="1" w:styleId="394">
    <w:name w:val="BBBBBBBBBB Char"/>
    <w:qFormat/>
    <w:uiPriority w:val="99"/>
    <w:rPr>
      <w:rFonts w:hAnsi="宋体" w:eastAsia="宋体"/>
      <w:b/>
      <w:kern w:val="2"/>
      <w:sz w:val="21"/>
      <w:lang w:val="en-US" w:eastAsia="zh-CN"/>
    </w:rPr>
  </w:style>
  <w:style w:type="character" w:customStyle="1" w:styleId="395">
    <w:name w:val="正文（首行缩进两字） Char1"/>
    <w:qFormat/>
    <w:uiPriority w:val="99"/>
    <w:rPr>
      <w:rFonts w:ascii="仿宋_GB2312" w:eastAsia="仿宋_GB2312"/>
      <w:kern w:val="2"/>
      <w:sz w:val="28"/>
      <w:lang w:val="en-US" w:eastAsia="zh-CN"/>
    </w:rPr>
  </w:style>
  <w:style w:type="character" w:customStyle="1" w:styleId="396">
    <w:name w:val="正文（首行缩进两字） Char Char Char Char Char Char Char1"/>
    <w:qFormat/>
    <w:uiPriority w:val="99"/>
    <w:rPr>
      <w:rFonts w:ascii="仿宋_GB2312" w:eastAsia="仿宋_GB2312"/>
      <w:color w:val="000000"/>
      <w:kern w:val="2"/>
      <w:sz w:val="28"/>
      <w:lang w:val="en-US" w:eastAsia="zh-CN"/>
    </w:rPr>
  </w:style>
  <w:style w:type="character" w:customStyle="1" w:styleId="397">
    <w:name w:val="正文（首行缩进两字） Char3"/>
    <w:qFormat/>
    <w:uiPriority w:val="99"/>
    <w:rPr>
      <w:rFonts w:eastAsia="宋体"/>
      <w:sz w:val="28"/>
      <w:lang w:val="en-US" w:eastAsia="zh-CN"/>
    </w:rPr>
  </w:style>
  <w:style w:type="character" w:customStyle="1" w:styleId="398">
    <w:name w:val="正文缩进2"/>
    <w:qFormat/>
    <w:uiPriority w:val="99"/>
    <w:rPr>
      <w:rFonts w:ascii="仿宋_GB2312" w:eastAsia="仿宋_GB2312"/>
      <w:kern w:val="2"/>
      <w:sz w:val="28"/>
      <w:lang w:val="en-US" w:eastAsia="zh-CN"/>
    </w:rPr>
  </w:style>
  <w:style w:type="character" w:customStyle="1" w:styleId="399">
    <w:name w:val="p9l1"/>
    <w:qFormat/>
    <w:uiPriority w:val="99"/>
    <w:rPr>
      <w:sz w:val="18"/>
      <w:u w:val="none"/>
    </w:rPr>
  </w:style>
  <w:style w:type="paragraph" w:customStyle="1" w:styleId="400">
    <w:name w:val="Date1"/>
    <w:basedOn w:val="1"/>
    <w:next w:val="1"/>
    <w:qFormat/>
    <w:uiPriority w:val="99"/>
    <w:pPr>
      <w:adjustRightInd w:val="0"/>
      <w:textAlignment w:val="baseline"/>
    </w:pPr>
    <w:rPr>
      <w:sz w:val="21"/>
    </w:rPr>
  </w:style>
  <w:style w:type="paragraph" w:customStyle="1" w:styleId="401">
    <w:name w:val="正文文本 21"/>
    <w:basedOn w:val="1"/>
    <w:qFormat/>
    <w:uiPriority w:val="99"/>
    <w:pPr>
      <w:adjustRightInd w:val="0"/>
      <w:spacing w:after="120"/>
      <w:ind w:left="420"/>
      <w:textAlignment w:val="baseline"/>
    </w:pPr>
    <w:rPr>
      <w:rFonts w:ascii="宋体" w:hAnsi="宋体"/>
      <w:sz w:val="24"/>
    </w:rPr>
  </w:style>
  <w:style w:type="paragraph" w:customStyle="1" w:styleId="402">
    <w:name w:val="xl25"/>
    <w:basedOn w:val="1"/>
    <w:qFormat/>
    <w:uiPriority w:val="99"/>
    <w:pPr>
      <w:widowControl/>
      <w:pBdr>
        <w:bottom w:val="single" w:color="auto" w:sz="4" w:space="0"/>
        <w:right w:val="single" w:color="auto" w:sz="4" w:space="0"/>
      </w:pBdr>
      <w:spacing w:before="100" w:beforeAutospacing="1" w:after="100" w:afterAutospacing="1"/>
      <w:jc w:val="center"/>
    </w:pPr>
    <w:rPr>
      <w:rFonts w:ascii="宋体" w:hAnsi="宋体"/>
      <w:kern w:val="0"/>
      <w:sz w:val="21"/>
    </w:rPr>
  </w:style>
  <w:style w:type="paragraph" w:customStyle="1" w:styleId="403">
    <w:name w:val="环标2"/>
    <w:basedOn w:val="4"/>
    <w:qFormat/>
    <w:uiPriority w:val="99"/>
    <w:pPr>
      <w:numPr>
        <w:numId w:val="0"/>
      </w:numPr>
      <w:tabs>
        <w:tab w:val="left" w:pos="0"/>
        <w:tab w:val="left" w:pos="360"/>
        <w:tab w:val="left" w:pos="540"/>
        <w:tab w:val="left" w:pos="720"/>
      </w:tabs>
      <w:snapToGrid/>
      <w:ind w:left="397" w:hanging="397"/>
      <w:jc w:val="left"/>
      <w:textAlignment w:val="baseline"/>
    </w:pPr>
    <w:rPr>
      <w:rFonts w:ascii="黑体" w:hAnsi="宋体" w:eastAsia="宋体"/>
      <w:b/>
      <w:bCs w:val="0"/>
      <w:sz w:val="28"/>
      <w:szCs w:val="20"/>
    </w:rPr>
  </w:style>
  <w:style w:type="paragraph" w:customStyle="1" w:styleId="404">
    <w:name w:val="y表头"/>
    <w:basedOn w:val="25"/>
    <w:qFormat/>
    <w:uiPriority w:val="99"/>
    <w:pPr>
      <w:tabs>
        <w:tab w:val="left" w:pos="900"/>
      </w:tabs>
      <w:adjustRightInd w:val="0"/>
      <w:jc w:val="center"/>
    </w:pPr>
    <w:rPr>
      <w:rFonts w:ascii="宋体" w:hAnsi="宋体" w:eastAsia="楷体_GB2312"/>
      <w:b/>
      <w:sz w:val="24"/>
    </w:rPr>
  </w:style>
  <w:style w:type="paragraph" w:customStyle="1" w:styleId="405">
    <w:name w:val="Char Char Char Char Char Char"/>
    <w:basedOn w:val="1"/>
    <w:qFormat/>
    <w:uiPriority w:val="99"/>
    <w:rPr>
      <w:sz w:val="24"/>
    </w:rPr>
  </w:style>
  <w:style w:type="paragraph" w:customStyle="1" w:styleId="406">
    <w:name w:val="样式 标题 4 + 黑色 左侧:  -0.01 厘米 首行缩进:  0.01 厘米"/>
    <w:basedOn w:val="6"/>
    <w:qFormat/>
    <w:uiPriority w:val="99"/>
    <w:pPr>
      <w:numPr>
        <w:ilvl w:val="0"/>
        <w:numId w:val="0"/>
      </w:numPr>
      <w:tabs>
        <w:tab w:val="left" w:pos="864"/>
        <w:tab w:val="left" w:pos="1680"/>
        <w:tab w:val="left" w:pos="2240"/>
      </w:tabs>
      <w:adjustRightInd/>
      <w:spacing w:before="280" w:after="290" w:line="324" w:lineRule="auto"/>
      <w:ind w:left="864" w:hanging="420"/>
    </w:pPr>
    <w:rPr>
      <w:rFonts w:ascii="仿宋_GB2312" w:hAnsi="宋体" w:eastAsia="仿宋_GB2312" w:cs="Arial"/>
      <w:bCs w:val="0"/>
      <w:color w:val="000000"/>
      <w:kern w:val="24"/>
      <w:sz w:val="28"/>
      <w:szCs w:val="20"/>
    </w:rPr>
  </w:style>
  <w:style w:type="paragraph" w:customStyle="1" w:styleId="407">
    <w:name w:val="二级条标题"/>
    <w:basedOn w:val="408"/>
    <w:next w:val="1"/>
    <w:qFormat/>
    <w:uiPriority w:val="99"/>
    <w:pPr>
      <w:tabs>
        <w:tab w:val="left" w:pos="360"/>
        <w:tab w:val="left" w:pos="1260"/>
        <w:tab w:val="left" w:pos="1680"/>
      </w:tabs>
      <w:ind w:left="1680"/>
    </w:pPr>
  </w:style>
  <w:style w:type="paragraph" w:customStyle="1" w:styleId="408">
    <w:name w:val="一级条标题"/>
    <w:basedOn w:val="2"/>
    <w:next w:val="1"/>
    <w:qFormat/>
    <w:uiPriority w:val="99"/>
    <w:pPr>
      <w:keepNext w:val="0"/>
      <w:keepLines w:val="0"/>
      <w:widowControl/>
      <w:numPr>
        <w:numId w:val="0"/>
      </w:numPr>
      <w:tabs>
        <w:tab w:val="left" w:pos="360"/>
        <w:tab w:val="left" w:pos="1260"/>
      </w:tabs>
      <w:adjustRightInd/>
      <w:snapToGrid/>
      <w:spacing w:line="240" w:lineRule="auto"/>
      <w:ind w:left="1260" w:hanging="420"/>
      <w:outlineLvl w:val="9"/>
    </w:pPr>
    <w:rPr>
      <w:rFonts w:ascii="黑体"/>
      <w:bCs w:val="0"/>
      <w:kern w:val="0"/>
      <w:sz w:val="21"/>
      <w:szCs w:val="20"/>
    </w:rPr>
  </w:style>
  <w:style w:type="paragraph" w:customStyle="1" w:styleId="409">
    <w:name w:val="三级条标题"/>
    <w:basedOn w:val="407"/>
    <w:next w:val="1"/>
    <w:qFormat/>
    <w:uiPriority w:val="99"/>
    <w:pPr>
      <w:tabs>
        <w:tab w:val="left" w:pos="2100"/>
        <w:tab w:val="clear" w:pos="1680"/>
      </w:tabs>
      <w:ind w:left="2100"/>
    </w:pPr>
  </w:style>
  <w:style w:type="paragraph" w:customStyle="1" w:styleId="410">
    <w:name w:val="宏福4"/>
    <w:basedOn w:val="1"/>
    <w:qFormat/>
    <w:uiPriority w:val="99"/>
    <w:pPr>
      <w:snapToGrid w:val="0"/>
      <w:spacing w:line="400" w:lineRule="atLeast"/>
      <w:ind w:firstLine="567"/>
    </w:pPr>
    <w:rPr>
      <w:sz w:val="28"/>
    </w:rPr>
  </w:style>
  <w:style w:type="paragraph" w:customStyle="1" w:styleId="411">
    <w:name w:val="正文(黑体)"/>
    <w:basedOn w:val="1"/>
    <w:qFormat/>
    <w:uiPriority w:val="99"/>
    <w:pPr>
      <w:autoSpaceDE w:val="0"/>
      <w:autoSpaceDN w:val="0"/>
      <w:adjustRightInd w:val="0"/>
      <w:spacing w:line="288" w:lineRule="auto"/>
      <w:ind w:firstLine="482"/>
      <w:textAlignment w:val="baseline"/>
    </w:pPr>
    <w:rPr>
      <w:rFonts w:ascii="黑体"/>
      <w:kern w:val="0"/>
      <w:sz w:val="24"/>
    </w:rPr>
  </w:style>
  <w:style w:type="paragraph" w:customStyle="1" w:styleId="412">
    <w:name w:val="Char13"/>
    <w:basedOn w:val="1"/>
    <w:qFormat/>
    <w:uiPriority w:val="99"/>
    <w:rPr>
      <w:sz w:val="24"/>
    </w:rPr>
  </w:style>
  <w:style w:type="paragraph" w:customStyle="1" w:styleId="413">
    <w:name w:val="样式 标题 3 + 黑色 段前: 0行 段后: 0 行"/>
    <w:basedOn w:val="5"/>
    <w:qFormat/>
    <w:uiPriority w:val="99"/>
    <w:pPr>
      <w:numPr>
        <w:ilvl w:val="0"/>
        <w:numId w:val="0"/>
      </w:numPr>
      <w:tabs>
        <w:tab w:val="left" w:pos="426"/>
        <w:tab w:val="left" w:pos="540"/>
        <w:tab w:val="left" w:pos="1080"/>
      </w:tabs>
      <w:spacing w:before="120" w:line="324" w:lineRule="auto"/>
    </w:pPr>
    <w:rPr>
      <w:rFonts w:ascii="仿宋_GB2312" w:eastAsia="仿宋_GB2312"/>
      <w:b/>
      <w:bCs w:val="0"/>
      <w:color w:val="000000"/>
      <w:szCs w:val="20"/>
    </w:rPr>
  </w:style>
  <w:style w:type="paragraph" w:customStyle="1" w:styleId="414">
    <w:name w:val="纯文本2"/>
    <w:basedOn w:val="1"/>
    <w:qFormat/>
    <w:uiPriority w:val="99"/>
    <w:pPr>
      <w:adjustRightInd w:val="0"/>
      <w:textAlignment w:val="baseline"/>
    </w:pPr>
    <w:rPr>
      <w:rFonts w:ascii="宋体" w:hAnsi="Courier New"/>
      <w:sz w:val="21"/>
    </w:rPr>
  </w:style>
  <w:style w:type="paragraph" w:customStyle="1" w:styleId="415">
    <w:name w:val="公式样式1"/>
    <w:basedOn w:val="1"/>
    <w:qFormat/>
    <w:uiPriority w:val="99"/>
    <w:pPr>
      <w:adjustRightInd w:val="0"/>
      <w:snapToGrid w:val="0"/>
      <w:jc w:val="center"/>
    </w:pPr>
    <w:rPr>
      <w:rFonts w:ascii="仿宋_GB2312" w:eastAsia="仿宋_GB2312"/>
      <w:b/>
      <w:sz w:val="21"/>
    </w:rPr>
  </w:style>
  <w:style w:type="paragraph" w:customStyle="1" w:styleId="416">
    <w:name w:val="标准"/>
    <w:basedOn w:val="1"/>
    <w:qFormat/>
    <w:uiPriority w:val="99"/>
    <w:pPr>
      <w:adjustRightInd w:val="0"/>
      <w:spacing w:line="360" w:lineRule="auto"/>
      <w:textAlignment w:val="baseline"/>
    </w:pPr>
    <w:rPr>
      <w:rFonts w:ascii="宋体"/>
      <w:kern w:val="0"/>
      <w:sz w:val="28"/>
    </w:rPr>
  </w:style>
  <w:style w:type="paragraph" w:customStyle="1" w:styleId="417">
    <w:name w:val="h"/>
    <w:basedOn w:val="1"/>
    <w:qFormat/>
    <w:uiPriority w:val="99"/>
    <w:pPr>
      <w:spacing w:before="60"/>
      <w:ind w:firstLine="482"/>
    </w:pPr>
    <w:rPr>
      <w:rFonts w:ascii="Arial" w:hAnsi="Arial" w:eastAsia="仿宋_GB2312"/>
      <w:sz w:val="24"/>
    </w:rPr>
  </w:style>
  <w:style w:type="paragraph" w:customStyle="1" w:styleId="418">
    <w:name w:val="框图"/>
    <w:basedOn w:val="1"/>
    <w:qFormat/>
    <w:uiPriority w:val="99"/>
    <w:pPr>
      <w:adjustRightInd w:val="0"/>
      <w:snapToGrid w:val="0"/>
      <w:ind w:left="2" w:leftChars="-38" w:right="-106" w:hanging="108" w:hangingChars="54"/>
      <w:jc w:val="center"/>
    </w:pPr>
    <w:rPr>
      <w:rFonts w:ascii="仿宋_GB2312" w:eastAsia="仿宋_GB2312"/>
    </w:rPr>
  </w:style>
  <w:style w:type="paragraph" w:customStyle="1" w:styleId="419">
    <w:name w:val="环标3"/>
    <w:basedOn w:val="5"/>
    <w:qFormat/>
    <w:uiPriority w:val="99"/>
    <w:pPr>
      <w:keepNext w:val="0"/>
      <w:keepLines w:val="0"/>
      <w:numPr>
        <w:numId w:val="0"/>
      </w:numPr>
      <w:tabs>
        <w:tab w:val="left" w:pos="180"/>
        <w:tab w:val="left" w:pos="540"/>
        <w:tab w:val="left" w:pos="1021"/>
      </w:tabs>
      <w:snapToGrid/>
      <w:spacing w:line="240" w:lineRule="auto"/>
      <w:ind w:left="1156" w:hanging="1145"/>
      <w:jc w:val="left"/>
      <w:textAlignment w:val="baseline"/>
    </w:pPr>
    <w:rPr>
      <w:rFonts w:ascii="宋体" w:hAnsi="宋体"/>
      <w:b/>
      <w:bCs w:val="0"/>
      <w:szCs w:val="20"/>
    </w:rPr>
  </w:style>
  <w:style w:type="paragraph" w:customStyle="1" w:styleId="420">
    <w:name w:val="3xi1"/>
    <w:basedOn w:val="1"/>
    <w:qFormat/>
    <w:uiPriority w:val="99"/>
    <w:pPr>
      <w:widowControl/>
      <w:spacing w:before="100" w:beforeAutospacing="1" w:after="100" w:afterAutospacing="1"/>
      <w:jc w:val="left"/>
    </w:pPr>
    <w:rPr>
      <w:rFonts w:ascii="宋体" w:hAnsi="宋体"/>
      <w:kern w:val="0"/>
      <w:sz w:val="24"/>
    </w:rPr>
  </w:style>
  <w:style w:type="paragraph" w:customStyle="1" w:styleId="421">
    <w:name w:val="环正文"/>
    <w:basedOn w:val="1"/>
    <w:qFormat/>
    <w:uiPriority w:val="99"/>
    <w:pPr>
      <w:tabs>
        <w:tab w:val="left" w:pos="1620"/>
        <w:tab w:val="left" w:pos="5187"/>
      </w:tabs>
      <w:adjustRightInd w:val="0"/>
      <w:snapToGrid w:val="0"/>
      <w:spacing w:line="324" w:lineRule="auto"/>
      <w:ind w:firstLine="560" w:firstLineChars="200"/>
      <w:textAlignment w:val="baseline"/>
    </w:pPr>
    <w:rPr>
      <w:rFonts w:ascii="仿宋_GB2312" w:hAnsi="宋体" w:eastAsia="仿宋_GB2312"/>
      <w:kern w:val="0"/>
      <w:sz w:val="28"/>
    </w:rPr>
  </w:style>
  <w:style w:type="paragraph" w:customStyle="1" w:styleId="422">
    <w:name w:val="新正文"/>
    <w:basedOn w:val="1"/>
    <w:qFormat/>
    <w:uiPriority w:val="99"/>
    <w:pPr>
      <w:spacing w:line="480" w:lineRule="exact"/>
      <w:ind w:firstLine="567"/>
    </w:pPr>
    <w:rPr>
      <w:rFonts w:ascii="仿宋_GB2312" w:eastAsia="仿宋_GB2312"/>
      <w:kern w:val="0"/>
      <w:sz w:val="28"/>
    </w:rPr>
  </w:style>
  <w:style w:type="paragraph" w:customStyle="1" w:styleId="423">
    <w:name w:val="五级条标题"/>
    <w:basedOn w:val="424"/>
    <w:next w:val="1"/>
    <w:qFormat/>
    <w:uiPriority w:val="99"/>
    <w:pPr>
      <w:tabs>
        <w:tab w:val="left" w:pos="360"/>
        <w:tab w:val="left" w:pos="1260"/>
        <w:tab w:val="left" w:pos="2520"/>
        <w:tab w:val="left" w:pos="2940"/>
      </w:tabs>
      <w:ind w:left="2940"/>
    </w:pPr>
  </w:style>
  <w:style w:type="paragraph" w:customStyle="1" w:styleId="424">
    <w:name w:val="四级条标题"/>
    <w:basedOn w:val="409"/>
    <w:next w:val="1"/>
    <w:qFormat/>
    <w:uiPriority w:val="99"/>
    <w:pPr>
      <w:tabs>
        <w:tab w:val="left" w:pos="2520"/>
        <w:tab w:val="clear" w:pos="2100"/>
      </w:tabs>
      <w:ind w:left="2520"/>
    </w:pPr>
  </w:style>
  <w:style w:type="paragraph" w:customStyle="1" w:styleId="425">
    <w:name w:val="00000000000000"/>
    <w:basedOn w:val="4"/>
    <w:qFormat/>
    <w:uiPriority w:val="99"/>
    <w:pPr>
      <w:keepNext w:val="0"/>
      <w:keepLines w:val="0"/>
      <w:numPr>
        <w:numId w:val="0"/>
      </w:numPr>
      <w:tabs>
        <w:tab w:val="left" w:pos="0"/>
        <w:tab w:val="left" w:pos="360"/>
        <w:tab w:val="left" w:pos="540"/>
        <w:tab w:val="left" w:pos="720"/>
      </w:tabs>
      <w:ind w:left="397" w:hanging="397"/>
      <w:jc w:val="left"/>
    </w:pPr>
    <w:rPr>
      <w:rFonts w:ascii="宋体" w:hAnsi="宋体" w:eastAsia="宋体"/>
      <w:bCs w:val="0"/>
      <w:kern w:val="18"/>
      <w:szCs w:val="20"/>
    </w:rPr>
  </w:style>
  <w:style w:type="paragraph" w:customStyle="1" w:styleId="426">
    <w:name w:val="z-Bottom of Form1"/>
    <w:basedOn w:val="1"/>
    <w:next w:val="1"/>
    <w:link w:val="427"/>
    <w:qFormat/>
    <w:uiPriority w:val="99"/>
    <w:pPr>
      <w:pBdr>
        <w:top w:val="single" w:color="auto" w:sz="6" w:space="1"/>
      </w:pBdr>
      <w:adjustRightInd w:val="0"/>
      <w:snapToGrid w:val="0"/>
      <w:spacing w:line="300" w:lineRule="auto"/>
      <w:jc w:val="center"/>
    </w:pPr>
    <w:rPr>
      <w:rFonts w:ascii="Arial" w:hAnsi="Arial" w:eastAsia="仿宋_GB2312"/>
      <w:vanish/>
      <w:kern w:val="0"/>
      <w:sz w:val="16"/>
    </w:rPr>
  </w:style>
  <w:style w:type="character" w:customStyle="1" w:styleId="427">
    <w:name w:val="z-窗体底端 Char"/>
    <w:link w:val="426"/>
    <w:qFormat/>
    <w:locked/>
    <w:uiPriority w:val="99"/>
    <w:rPr>
      <w:rFonts w:ascii="Arial" w:hAnsi="Arial" w:eastAsia="仿宋_GB2312"/>
      <w:vanish/>
      <w:sz w:val="16"/>
    </w:rPr>
  </w:style>
  <w:style w:type="paragraph" w:customStyle="1" w:styleId="428">
    <w:name w:val="表格1"/>
    <w:basedOn w:val="1"/>
    <w:qFormat/>
    <w:uiPriority w:val="99"/>
    <w:pPr>
      <w:adjustRightInd w:val="0"/>
      <w:spacing w:line="360" w:lineRule="atLeast"/>
      <w:jc w:val="center"/>
      <w:textAlignment w:val="baseline"/>
    </w:pPr>
    <w:rPr>
      <w:rFonts w:ascii="CG Times (WN)"/>
      <w:kern w:val="0"/>
      <w:sz w:val="21"/>
    </w:rPr>
  </w:style>
  <w:style w:type="paragraph" w:customStyle="1" w:styleId="429">
    <w:name w:val="表序号"/>
    <w:basedOn w:val="7"/>
    <w:qFormat/>
    <w:uiPriority w:val="99"/>
    <w:pPr>
      <w:numPr>
        <w:ilvl w:val="0"/>
        <w:numId w:val="0"/>
      </w:numPr>
      <w:tabs>
        <w:tab w:val="left" w:pos="360"/>
      </w:tabs>
      <w:spacing w:before="0"/>
      <w:jc w:val="center"/>
    </w:pPr>
    <w:rPr>
      <w:rFonts w:ascii="宋体" w:hAnsi="宋体"/>
      <w:b/>
      <w:bCs w:val="0"/>
      <w:szCs w:val="20"/>
    </w:rPr>
  </w:style>
  <w:style w:type="paragraph" w:customStyle="1" w:styleId="430">
    <w:name w:val="1表格"/>
    <w:basedOn w:val="1"/>
    <w:qFormat/>
    <w:uiPriority w:val="99"/>
    <w:pPr>
      <w:adjustRightInd w:val="0"/>
      <w:snapToGrid w:val="0"/>
      <w:jc w:val="center"/>
      <w:textAlignment w:val="baseline"/>
    </w:pPr>
    <w:rPr>
      <w:rFonts w:ascii="宋体" w:hAnsi="宋体"/>
      <w:spacing w:val="4"/>
      <w:sz w:val="24"/>
    </w:rPr>
  </w:style>
  <w:style w:type="paragraph" w:customStyle="1" w:styleId="431">
    <w:name w:val="图注"/>
    <w:basedOn w:val="1"/>
    <w:next w:val="1"/>
    <w:qFormat/>
    <w:uiPriority w:val="99"/>
    <w:pPr>
      <w:tabs>
        <w:tab w:val="left" w:pos="2625"/>
        <w:tab w:val="left" w:pos="2835"/>
      </w:tabs>
      <w:spacing w:line="360" w:lineRule="auto"/>
      <w:jc w:val="center"/>
    </w:pPr>
    <w:rPr>
      <w:rFonts w:ascii="宋体" w:hAnsi="宋体"/>
      <w:color w:val="000000"/>
      <w:sz w:val="24"/>
    </w:rPr>
  </w:style>
  <w:style w:type="paragraph" w:customStyle="1" w:styleId="432">
    <w:name w:val="样式 标题 2节 + 段前: 1 行 段后: 0.5 行1"/>
    <w:basedOn w:val="1"/>
    <w:qFormat/>
    <w:uiPriority w:val="99"/>
    <w:pPr>
      <w:tabs>
        <w:tab w:val="left" w:pos="720"/>
        <w:tab w:val="left" w:pos="1320"/>
      </w:tabs>
      <w:ind w:left="1320" w:hanging="420"/>
    </w:pPr>
    <w:rPr>
      <w:sz w:val="21"/>
    </w:rPr>
  </w:style>
  <w:style w:type="paragraph" w:customStyle="1" w:styleId="433">
    <w:name w:val="宏福3"/>
    <w:basedOn w:val="5"/>
    <w:qFormat/>
    <w:uiPriority w:val="99"/>
    <w:pPr>
      <w:numPr>
        <w:ilvl w:val="0"/>
        <w:numId w:val="0"/>
      </w:numPr>
      <w:tabs>
        <w:tab w:val="left" w:pos="540"/>
      </w:tabs>
      <w:adjustRightInd/>
      <w:spacing w:before="240" w:line="240" w:lineRule="auto"/>
    </w:pPr>
    <w:rPr>
      <w:b/>
      <w:bCs w:val="0"/>
      <w:szCs w:val="20"/>
    </w:rPr>
  </w:style>
  <w:style w:type="paragraph" w:customStyle="1" w:styleId="434">
    <w:name w:val="AAAAAAAAAAAA"/>
    <w:basedOn w:val="1"/>
    <w:qFormat/>
    <w:uiPriority w:val="99"/>
    <w:pPr>
      <w:jc w:val="center"/>
    </w:pPr>
    <w:rPr>
      <w:rFonts w:hAnsi="宋体"/>
      <w:sz w:val="21"/>
    </w:rPr>
  </w:style>
  <w:style w:type="paragraph" w:customStyle="1" w:styleId="435">
    <w:name w:val="前言、引言标题"/>
    <w:next w:val="1"/>
    <w:qFormat/>
    <w:uiPriority w:val="99"/>
    <w:pPr>
      <w:shd w:val="clear" w:color="FFFFFF" w:fill="FFFFFF"/>
      <w:tabs>
        <w:tab w:val="left" w:pos="360"/>
        <w:tab w:val="left" w:pos="903"/>
      </w:tabs>
      <w:spacing w:before="640" w:after="560"/>
      <w:ind w:left="903" w:hanging="315"/>
      <w:jc w:val="center"/>
    </w:pPr>
    <w:rPr>
      <w:rFonts w:ascii="黑体" w:hAnsi="Times New Roman" w:eastAsia="黑体" w:cs="Times New Roman"/>
      <w:kern w:val="0"/>
      <w:sz w:val="32"/>
      <w:szCs w:val="20"/>
      <w:lang w:val="en-US" w:eastAsia="zh-CN" w:bidi="ar-SA"/>
    </w:rPr>
  </w:style>
  <w:style w:type="paragraph" w:customStyle="1" w:styleId="436">
    <w:name w:val="yz"/>
    <w:basedOn w:val="25"/>
    <w:qFormat/>
    <w:uiPriority w:val="99"/>
    <w:pPr>
      <w:tabs>
        <w:tab w:val="left" w:pos="900"/>
      </w:tabs>
      <w:adjustRightInd w:val="0"/>
      <w:ind w:firstLine="200" w:firstLineChars="200"/>
      <w:textAlignment w:val="baseline"/>
    </w:pPr>
    <w:rPr>
      <w:rFonts w:ascii="宋体" w:hAnsi="宋体"/>
      <w:sz w:val="24"/>
    </w:rPr>
  </w:style>
  <w:style w:type="paragraph" w:customStyle="1" w:styleId="437">
    <w:name w:val="表字1"/>
    <w:basedOn w:val="1"/>
    <w:qFormat/>
    <w:uiPriority w:val="99"/>
    <w:pPr>
      <w:adjustRightInd w:val="0"/>
      <w:spacing w:line="360" w:lineRule="auto"/>
      <w:jc w:val="center"/>
      <w:textAlignment w:val="baseline"/>
    </w:pPr>
    <w:rPr>
      <w:rFonts w:ascii="宋体"/>
      <w:kern w:val="0"/>
      <w:sz w:val="21"/>
    </w:rPr>
  </w:style>
  <w:style w:type="paragraph" w:customStyle="1" w:styleId="438">
    <w:name w:val="font9"/>
    <w:basedOn w:val="1"/>
    <w:qFormat/>
    <w:uiPriority w:val="99"/>
    <w:pPr>
      <w:widowControl/>
      <w:spacing w:before="100" w:beforeAutospacing="1" w:after="100" w:afterAutospacing="1"/>
      <w:jc w:val="left"/>
    </w:pPr>
    <w:rPr>
      <w:rFonts w:ascii="楷体_GB2312" w:hAnsi="Arial Unicode MS" w:eastAsia="楷体_GB2312"/>
      <w:kern w:val="0"/>
      <w:sz w:val="16"/>
    </w:rPr>
  </w:style>
  <w:style w:type="paragraph" w:customStyle="1" w:styleId="439">
    <w:name w:val="样式 样式 标题 4 + 黑色 左侧:  -0.01 厘米 首行缩进:  0.01 厘米 + 左侧:  0 厘米 首行缩进: ..."/>
    <w:basedOn w:val="406"/>
    <w:qFormat/>
    <w:uiPriority w:val="99"/>
    <w:pPr>
      <w:tabs>
        <w:tab w:val="left" w:pos="851"/>
        <w:tab w:val="left" w:pos="2160"/>
        <w:tab w:val="clear" w:pos="864"/>
        <w:tab w:val="clear" w:pos="1680"/>
      </w:tabs>
      <w:ind w:left="2160"/>
    </w:pPr>
  </w:style>
  <w:style w:type="paragraph" w:customStyle="1" w:styleId="440">
    <w:name w:val="新正文样式"/>
    <w:basedOn w:val="1"/>
    <w:qFormat/>
    <w:uiPriority w:val="99"/>
    <w:pPr>
      <w:tabs>
        <w:tab w:val="left" w:pos="567"/>
      </w:tabs>
      <w:spacing w:line="360" w:lineRule="auto"/>
      <w:ind w:firstLine="567"/>
    </w:pPr>
    <w:rPr>
      <w:spacing w:val="20"/>
      <w:sz w:val="24"/>
    </w:rPr>
  </w:style>
  <w:style w:type="paragraph" w:customStyle="1" w:styleId="441">
    <w:name w:val="BBBBBBBBBB"/>
    <w:basedOn w:val="1"/>
    <w:qFormat/>
    <w:uiPriority w:val="99"/>
    <w:pPr>
      <w:spacing w:line="324" w:lineRule="auto"/>
      <w:jc w:val="center"/>
    </w:pPr>
    <w:rPr>
      <w:rFonts w:hAnsi="宋体"/>
      <w:b/>
      <w:sz w:val="21"/>
    </w:rPr>
  </w:style>
  <w:style w:type="paragraph" w:customStyle="1" w:styleId="442">
    <w:name w:val="font8"/>
    <w:basedOn w:val="1"/>
    <w:qFormat/>
    <w:uiPriority w:val="99"/>
    <w:pPr>
      <w:widowControl/>
      <w:spacing w:before="100" w:beforeAutospacing="1" w:after="100" w:afterAutospacing="1"/>
      <w:jc w:val="left"/>
    </w:pPr>
    <w:rPr>
      <w:kern w:val="0"/>
      <w:sz w:val="12"/>
    </w:rPr>
  </w:style>
  <w:style w:type="paragraph" w:customStyle="1" w:styleId="443">
    <w:name w:val="Char Char Char1"/>
    <w:basedOn w:val="1"/>
    <w:qFormat/>
    <w:uiPriority w:val="99"/>
    <w:rPr>
      <w:sz w:val="24"/>
    </w:rPr>
  </w:style>
  <w:style w:type="paragraph" w:customStyle="1" w:styleId="444">
    <w:name w:val="y表格"/>
    <w:basedOn w:val="25"/>
    <w:qFormat/>
    <w:uiPriority w:val="99"/>
    <w:pPr>
      <w:widowControl/>
      <w:adjustRightInd w:val="0"/>
      <w:snapToGrid w:val="0"/>
      <w:jc w:val="center"/>
      <w:textAlignment w:val="baseline"/>
    </w:pPr>
    <w:rPr>
      <w:rFonts w:ascii="宋体" w:hAnsi="宋体"/>
      <w:kern w:val="0"/>
      <w:sz w:val="24"/>
    </w:rPr>
  </w:style>
  <w:style w:type="paragraph" w:customStyle="1" w:styleId="445">
    <w:name w:val="z-Top of Form1"/>
    <w:basedOn w:val="1"/>
    <w:next w:val="1"/>
    <w:link w:val="446"/>
    <w:qFormat/>
    <w:uiPriority w:val="99"/>
    <w:pPr>
      <w:pBdr>
        <w:bottom w:val="single" w:color="auto" w:sz="6" w:space="1"/>
      </w:pBdr>
      <w:adjustRightInd w:val="0"/>
      <w:snapToGrid w:val="0"/>
      <w:spacing w:line="300" w:lineRule="auto"/>
      <w:jc w:val="center"/>
    </w:pPr>
    <w:rPr>
      <w:rFonts w:ascii="Arial" w:hAnsi="Arial" w:eastAsia="仿宋_GB2312"/>
      <w:vanish/>
      <w:kern w:val="0"/>
      <w:sz w:val="16"/>
    </w:rPr>
  </w:style>
  <w:style w:type="character" w:customStyle="1" w:styleId="446">
    <w:name w:val="z-窗体顶端 Char"/>
    <w:link w:val="445"/>
    <w:qFormat/>
    <w:locked/>
    <w:uiPriority w:val="99"/>
    <w:rPr>
      <w:rFonts w:ascii="Arial" w:hAnsi="Arial" w:eastAsia="仿宋_GB2312"/>
      <w:vanish/>
      <w:sz w:val="16"/>
    </w:rPr>
  </w:style>
  <w:style w:type="paragraph" w:customStyle="1" w:styleId="447">
    <w:name w:val="样式11"/>
    <w:basedOn w:val="1"/>
    <w:qFormat/>
    <w:uiPriority w:val="99"/>
    <w:pPr>
      <w:tabs>
        <w:tab w:val="left" w:pos="720"/>
      </w:tabs>
      <w:adjustRightInd w:val="0"/>
      <w:snapToGrid w:val="0"/>
      <w:spacing w:line="312" w:lineRule="auto"/>
      <w:ind w:left="734" w:hanging="720"/>
    </w:pPr>
    <w:rPr>
      <w:rFonts w:ascii="仿宋_GB2312" w:eastAsia="仿宋_GB2312"/>
      <w:sz w:val="28"/>
    </w:rPr>
  </w:style>
  <w:style w:type="paragraph" w:customStyle="1" w:styleId="448">
    <w:name w:val="表居中（中文）"/>
    <w:basedOn w:val="1"/>
    <w:qFormat/>
    <w:uiPriority w:val="99"/>
    <w:pPr>
      <w:adjustRightInd w:val="0"/>
      <w:spacing w:line="380" w:lineRule="atLeast"/>
      <w:jc w:val="center"/>
      <w:textAlignment w:val="baseline"/>
    </w:pPr>
    <w:rPr>
      <w:rFonts w:eastAsia="楷体_GB2312"/>
      <w:kern w:val="0"/>
      <w:sz w:val="24"/>
    </w:rPr>
  </w:style>
  <w:style w:type="paragraph" w:customStyle="1" w:styleId="449">
    <w:name w:val="表中文字1"/>
    <w:qFormat/>
    <w:uiPriority w:val="99"/>
    <w:pPr>
      <w:widowControl w:val="0"/>
      <w:adjustRightInd w:val="0"/>
      <w:snapToGrid w:val="0"/>
      <w:jc w:val="center"/>
    </w:pPr>
    <w:rPr>
      <w:rFonts w:ascii="仿宋_GB2312" w:hAnsi="Times New Roman" w:eastAsia="仿宋_GB2312" w:cs="Times New Roman"/>
      <w:kern w:val="2"/>
      <w:sz w:val="24"/>
      <w:szCs w:val="20"/>
      <w:lang w:val="en-US" w:eastAsia="zh-CN" w:bidi="ar-SA"/>
    </w:rPr>
  </w:style>
  <w:style w:type="paragraph" w:customStyle="1" w:styleId="450">
    <w:name w:val="Char1 Char Char Char Char Char Char"/>
    <w:basedOn w:val="1"/>
    <w:qFormat/>
    <w:uiPriority w:val="99"/>
    <w:rPr>
      <w:sz w:val="24"/>
    </w:rPr>
  </w:style>
  <w:style w:type="paragraph" w:customStyle="1" w:styleId="451">
    <w:name w:val="Body Text 21"/>
    <w:basedOn w:val="1"/>
    <w:qFormat/>
    <w:uiPriority w:val="99"/>
    <w:pPr>
      <w:adjustRightInd w:val="0"/>
      <w:textAlignment w:val="baseline"/>
    </w:pPr>
    <w:rPr>
      <w:rFonts w:eastAsia="仿宋体"/>
      <w:sz w:val="24"/>
    </w:rPr>
  </w:style>
  <w:style w:type="paragraph" w:customStyle="1" w:styleId="452">
    <w:name w:val="文本框"/>
    <w:basedOn w:val="1"/>
    <w:next w:val="1"/>
    <w:qFormat/>
    <w:uiPriority w:val="99"/>
    <w:pPr>
      <w:widowControl/>
      <w:spacing w:line="320" w:lineRule="exact"/>
      <w:ind w:firstLine="200" w:firstLineChars="200"/>
      <w:jc w:val="center"/>
    </w:pPr>
    <w:rPr>
      <w:rFonts w:ascii="仿宋_GB2312" w:eastAsia="仿宋_GB2312"/>
      <w:kern w:val="0"/>
      <w:sz w:val="24"/>
    </w:rPr>
  </w:style>
  <w:style w:type="paragraph" w:customStyle="1" w:styleId="453">
    <w:name w:val="IDC A-Head (2nd Line)"/>
    <w:basedOn w:val="1"/>
    <w:next w:val="1"/>
    <w:qFormat/>
    <w:uiPriority w:val="99"/>
    <w:pPr>
      <w:widowControl/>
      <w:jc w:val="center"/>
    </w:pPr>
    <w:rPr>
      <w:caps/>
      <w:kern w:val="0"/>
      <w:sz w:val="24"/>
    </w:rPr>
  </w:style>
  <w:style w:type="paragraph" w:customStyle="1" w:styleId="454">
    <w:name w:val="图框"/>
    <w:basedOn w:val="1"/>
    <w:qFormat/>
    <w:uiPriority w:val="99"/>
    <w:pPr>
      <w:jc w:val="center"/>
    </w:pPr>
    <w:rPr>
      <w:sz w:val="21"/>
    </w:rPr>
  </w:style>
  <w:style w:type="paragraph" w:customStyle="1" w:styleId="455">
    <w:name w:val="样式2"/>
    <w:basedOn w:val="1"/>
    <w:qFormat/>
    <w:uiPriority w:val="99"/>
    <w:pPr>
      <w:adjustRightInd w:val="0"/>
      <w:snapToGrid w:val="0"/>
      <w:spacing w:before="312" w:after="312" w:line="300" w:lineRule="auto"/>
    </w:pPr>
    <w:rPr>
      <w:rFonts w:hAnsi="Arial" w:eastAsia="仿宋_GB2312"/>
      <w:b/>
      <w:sz w:val="30"/>
    </w:rPr>
  </w:style>
  <w:style w:type="paragraph" w:customStyle="1" w:styleId="456">
    <w:name w:val="heading"/>
    <w:basedOn w:val="1"/>
    <w:next w:val="1"/>
    <w:qFormat/>
    <w:uiPriority w:val="99"/>
    <w:pPr>
      <w:keepNext/>
      <w:keepLines/>
      <w:spacing w:line="360" w:lineRule="auto"/>
    </w:pPr>
    <w:rPr>
      <w:rFonts w:ascii="宋体" w:hAnsi="Arial Black"/>
      <w:sz w:val="24"/>
    </w:rPr>
  </w:style>
  <w:style w:type="paragraph" w:customStyle="1" w:styleId="45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458">
    <w:name w:val="封面标准号2"/>
    <w:basedOn w:val="1"/>
    <w:qFormat/>
    <w:uiPriority w:val="99"/>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rPr>
  </w:style>
  <w:style w:type="paragraph" w:customStyle="1" w:styleId="459">
    <w:name w:val="Char Char Char Char Char Char Char Char Char"/>
    <w:basedOn w:val="1"/>
    <w:qFormat/>
    <w:uiPriority w:val="99"/>
    <w:rPr>
      <w:sz w:val="24"/>
      <w:szCs w:val="24"/>
    </w:rPr>
  </w:style>
  <w:style w:type="paragraph" w:customStyle="1" w:styleId="460">
    <w:name w:val="Char Char Char Char Char Char Char Char Char1"/>
    <w:basedOn w:val="1"/>
    <w:qFormat/>
    <w:uiPriority w:val="99"/>
    <w:rPr>
      <w:sz w:val="24"/>
      <w:szCs w:val="24"/>
    </w:rPr>
  </w:style>
  <w:style w:type="paragraph" w:customStyle="1" w:styleId="461">
    <w:name w:val="Char1 Char Char Char1"/>
    <w:basedOn w:val="1"/>
    <w:qFormat/>
    <w:uiPriority w:val="99"/>
    <w:rPr>
      <w:sz w:val="24"/>
      <w:szCs w:val="24"/>
    </w:rPr>
  </w:style>
  <w:style w:type="paragraph" w:customStyle="1" w:styleId="462">
    <w:name w:val="Char Char Char Char Char Char Char Char Char1 Char Char Char Char"/>
    <w:basedOn w:val="1"/>
    <w:qFormat/>
    <w:uiPriority w:val="99"/>
    <w:rPr>
      <w:sz w:val="21"/>
      <w:szCs w:val="21"/>
    </w:rPr>
  </w:style>
  <w:style w:type="paragraph" w:customStyle="1" w:styleId="463">
    <w:name w:val="环表头"/>
    <w:basedOn w:val="421"/>
    <w:next w:val="1"/>
    <w:qFormat/>
    <w:uiPriority w:val="99"/>
    <w:pPr>
      <w:widowControl/>
      <w:tabs>
        <w:tab w:val="clear" w:pos="1620"/>
        <w:tab w:val="clear" w:pos="5187"/>
      </w:tabs>
      <w:suppressAutoHyphens/>
      <w:spacing w:before="60" w:after="60" w:line="240" w:lineRule="auto"/>
      <w:ind w:right="28" w:firstLine="0" w:firstLineChars="0"/>
      <w:jc w:val="center"/>
    </w:pPr>
    <w:rPr>
      <w:rFonts w:ascii="宋体" w:eastAsia="宋体"/>
      <w:b/>
      <w:bCs/>
      <w:kern w:val="2"/>
      <w:sz w:val="24"/>
      <w:szCs w:val="24"/>
    </w:rPr>
  </w:style>
  <w:style w:type="character" w:customStyle="1" w:styleId="464">
    <w:name w:val="标题 3 Char Char Char Char Char Char Char Char"/>
    <w:qFormat/>
    <w:uiPriority w:val="99"/>
    <w:rPr>
      <w:rFonts w:ascii="宋体" w:hAnsi="宋体" w:eastAsia="宋体"/>
      <w:b/>
      <w:snapToGrid w:val="0"/>
      <w:color w:val="000000"/>
      <w:kern w:val="28"/>
      <w:sz w:val="24"/>
      <w:lang w:val="en-US" w:eastAsia="zh-CN"/>
    </w:rPr>
  </w:style>
  <w:style w:type="paragraph" w:customStyle="1" w:styleId="465">
    <w:name w:val="正文首行缩进1"/>
    <w:qFormat/>
    <w:uiPriority w:val="99"/>
    <w:pPr>
      <w:widowControl w:val="0"/>
      <w:snapToGrid w:val="0"/>
      <w:spacing w:line="360" w:lineRule="auto"/>
      <w:ind w:firstLine="200" w:firstLineChars="200"/>
    </w:pPr>
    <w:rPr>
      <w:rFonts w:ascii="Times New Roman" w:hAnsi="Times New Roman" w:eastAsia="宋体" w:cs="Times New Roman"/>
      <w:kern w:val="28"/>
      <w:sz w:val="26"/>
      <w:szCs w:val="20"/>
      <w:lang w:val="en-US" w:eastAsia="zh-CN" w:bidi="ar-SA"/>
    </w:rPr>
  </w:style>
  <w:style w:type="paragraph" w:customStyle="1" w:styleId="466">
    <w:name w:val="1文章"/>
    <w:basedOn w:val="1"/>
    <w:qFormat/>
    <w:uiPriority w:val="99"/>
    <w:pPr>
      <w:snapToGrid w:val="0"/>
      <w:spacing w:line="360" w:lineRule="auto"/>
      <w:ind w:firstLine="573"/>
    </w:pPr>
    <w:rPr>
      <w:rFonts w:eastAsia="仿宋_GB2312"/>
      <w:sz w:val="28"/>
    </w:rPr>
  </w:style>
  <w:style w:type="paragraph" w:customStyle="1" w:styleId="467">
    <w:name w:val="默认段落字体 Para Char"/>
    <w:basedOn w:val="1"/>
    <w:qFormat/>
    <w:uiPriority w:val="99"/>
    <w:rPr>
      <w:sz w:val="24"/>
      <w:szCs w:val="24"/>
    </w:rPr>
  </w:style>
  <w:style w:type="paragraph" w:customStyle="1" w:styleId="468">
    <w:name w:val="XYF1"/>
    <w:basedOn w:val="1"/>
    <w:qFormat/>
    <w:uiPriority w:val="99"/>
    <w:pPr>
      <w:tabs>
        <w:tab w:val="left" w:pos="1080"/>
      </w:tabs>
      <w:spacing w:line="440" w:lineRule="exact"/>
      <w:ind w:firstLine="195" w:firstLineChars="195"/>
    </w:pPr>
    <w:rPr>
      <w:sz w:val="24"/>
      <w:szCs w:val="24"/>
    </w:rPr>
  </w:style>
  <w:style w:type="paragraph" w:customStyle="1" w:styleId="469">
    <w:name w:val="XYF表格"/>
    <w:basedOn w:val="468"/>
    <w:qFormat/>
    <w:uiPriority w:val="99"/>
    <w:pPr>
      <w:ind w:firstLine="0" w:firstLineChars="0"/>
    </w:pPr>
  </w:style>
  <w:style w:type="character" w:customStyle="1" w:styleId="470">
    <w:name w:val="style211"/>
    <w:qFormat/>
    <w:uiPriority w:val="99"/>
    <w:rPr>
      <w:color w:val="000000"/>
    </w:rPr>
  </w:style>
  <w:style w:type="paragraph" w:customStyle="1" w:styleId="471">
    <w:name w:val="正文1-1"/>
    <w:basedOn w:val="1"/>
    <w:link w:val="472"/>
    <w:qFormat/>
    <w:uiPriority w:val="99"/>
    <w:pPr>
      <w:overflowPunct w:val="0"/>
      <w:autoSpaceDE w:val="0"/>
      <w:autoSpaceDN w:val="0"/>
      <w:adjustRightInd w:val="0"/>
      <w:snapToGrid w:val="0"/>
      <w:spacing w:before="120" w:after="120"/>
      <w:ind w:firstLine="480" w:firstLineChars="200"/>
      <w:textAlignment w:val="baseline"/>
    </w:pPr>
    <w:rPr>
      <w:kern w:val="0"/>
      <w:sz w:val="24"/>
      <w:szCs w:val="24"/>
    </w:rPr>
  </w:style>
  <w:style w:type="character" w:customStyle="1" w:styleId="472">
    <w:name w:val="正文1-1 Char"/>
    <w:link w:val="471"/>
    <w:qFormat/>
    <w:locked/>
    <w:uiPriority w:val="99"/>
    <w:rPr>
      <w:sz w:val="24"/>
    </w:rPr>
  </w:style>
  <w:style w:type="paragraph" w:customStyle="1" w:styleId="473">
    <w:name w:val="2级标题"/>
    <w:basedOn w:val="1"/>
    <w:link w:val="474"/>
    <w:qFormat/>
    <w:uiPriority w:val="99"/>
    <w:pPr>
      <w:spacing w:beforeLines="50" w:afterLines="50"/>
    </w:pPr>
    <w:rPr>
      <w:rFonts w:ascii="宋体" w:hAnsi="宋体"/>
      <w:b/>
      <w:bCs/>
      <w:color w:val="000000"/>
      <w:kern w:val="0"/>
      <w:sz w:val="24"/>
      <w:szCs w:val="24"/>
    </w:rPr>
  </w:style>
  <w:style w:type="character" w:customStyle="1" w:styleId="474">
    <w:name w:val="2级标题 Char"/>
    <w:link w:val="473"/>
    <w:qFormat/>
    <w:locked/>
    <w:uiPriority w:val="99"/>
    <w:rPr>
      <w:rFonts w:ascii="宋体" w:eastAsia="宋体"/>
      <w:b/>
      <w:color w:val="000000"/>
      <w:sz w:val="24"/>
    </w:rPr>
  </w:style>
  <w:style w:type="paragraph" w:customStyle="1" w:styleId="475">
    <w:name w:val="3级标题"/>
    <w:basedOn w:val="473"/>
    <w:link w:val="476"/>
    <w:qFormat/>
    <w:uiPriority w:val="99"/>
    <w:pPr>
      <w:spacing w:before="156" w:after="156"/>
    </w:pPr>
  </w:style>
  <w:style w:type="character" w:customStyle="1" w:styleId="476">
    <w:name w:val="3级标题 Char"/>
    <w:link w:val="475"/>
    <w:qFormat/>
    <w:locked/>
    <w:uiPriority w:val="99"/>
    <w:rPr>
      <w:rFonts w:ascii="宋体" w:eastAsia="宋体"/>
      <w:b/>
      <w:color w:val="000000"/>
      <w:sz w:val="24"/>
    </w:rPr>
  </w:style>
  <w:style w:type="paragraph" w:customStyle="1" w:styleId="477">
    <w:name w:val="编号"/>
    <w:basedOn w:val="3"/>
    <w:link w:val="478"/>
    <w:qFormat/>
    <w:uiPriority w:val="99"/>
    <w:pPr>
      <w:ind w:firstLine="480"/>
    </w:pPr>
  </w:style>
  <w:style w:type="character" w:customStyle="1" w:styleId="478">
    <w:name w:val="编号 Char"/>
    <w:link w:val="477"/>
    <w:qFormat/>
    <w:locked/>
    <w:uiPriority w:val="99"/>
    <w:rPr>
      <w:rFonts w:eastAsia="宋体"/>
      <w:sz w:val="24"/>
      <w:lang w:val="en-US" w:eastAsia="zh-CN"/>
    </w:rPr>
  </w:style>
  <w:style w:type="character" w:customStyle="1" w:styleId="479">
    <w:name w:val="Char Char7"/>
    <w:qFormat/>
    <w:uiPriority w:val="99"/>
    <w:rPr>
      <w:rFonts w:eastAsia="宋体"/>
      <w:sz w:val="28"/>
      <w:lang w:val="en-US" w:eastAsia="zh-CN"/>
    </w:rPr>
  </w:style>
  <w:style w:type="paragraph" w:customStyle="1" w:styleId="480">
    <w:name w:val="编号2"/>
    <w:basedOn w:val="477"/>
    <w:link w:val="481"/>
    <w:qFormat/>
    <w:uiPriority w:val="99"/>
    <w:pPr>
      <w:tabs>
        <w:tab w:val="left" w:pos="1440"/>
      </w:tabs>
    </w:pPr>
  </w:style>
  <w:style w:type="character" w:customStyle="1" w:styleId="481">
    <w:name w:val="编号2 Char"/>
    <w:basedOn w:val="478"/>
    <w:link w:val="480"/>
    <w:qFormat/>
    <w:locked/>
    <w:uiPriority w:val="99"/>
    <w:rPr>
      <w:rFonts w:cs="Times New Roman"/>
      <w:lang w:bidi="ar-SA"/>
    </w:rPr>
  </w:style>
  <w:style w:type="paragraph" w:customStyle="1" w:styleId="482">
    <w:name w:val="样式 宋体 小四 黑色1"/>
    <w:basedOn w:val="1"/>
    <w:next w:val="25"/>
    <w:link w:val="483"/>
    <w:qFormat/>
    <w:uiPriority w:val="99"/>
    <w:pPr>
      <w:framePr w:hSpace="180" w:wrap="around" w:vAnchor="page" w:hAnchor="margin" w:y="1909"/>
      <w:spacing w:line="360" w:lineRule="auto"/>
    </w:pPr>
    <w:rPr>
      <w:rFonts w:ascii="宋体" w:hAnsi="宋体"/>
      <w:color w:val="000000"/>
      <w:kern w:val="0"/>
      <w:sz w:val="24"/>
      <w:szCs w:val="24"/>
    </w:rPr>
  </w:style>
  <w:style w:type="character" w:customStyle="1" w:styleId="483">
    <w:name w:val="样式 宋体 小四 黑色1 Char"/>
    <w:link w:val="482"/>
    <w:qFormat/>
    <w:locked/>
    <w:uiPriority w:val="99"/>
    <w:rPr>
      <w:rFonts w:ascii="宋体" w:eastAsia="宋体"/>
      <w:color w:val="000000"/>
      <w:sz w:val="24"/>
    </w:rPr>
  </w:style>
  <w:style w:type="paragraph" w:customStyle="1" w:styleId="484">
    <w:name w:val="样式 纯文本表内文字普通文字 Char普通文字 Char Char Char普通文字 Char Char Char Ch...2"/>
    <w:basedOn w:val="25"/>
    <w:next w:val="1"/>
    <w:link w:val="485"/>
    <w:qFormat/>
    <w:uiPriority w:val="99"/>
    <w:pPr>
      <w:widowControl/>
      <w:spacing w:line="360" w:lineRule="auto"/>
    </w:pPr>
    <w:rPr>
      <w:rFonts w:ascii="楷体_GB2312" w:hAnsi="楷体_GB2312"/>
      <w:kern w:val="0"/>
      <w:sz w:val="24"/>
      <w:szCs w:val="18"/>
    </w:rPr>
  </w:style>
  <w:style w:type="character" w:customStyle="1" w:styleId="485">
    <w:name w:val="样式 纯文本表内文字普通文字 Char普通文字 Char Char Char普通文字 Char Char Char Ch...2 Char"/>
    <w:link w:val="484"/>
    <w:qFormat/>
    <w:locked/>
    <w:uiPriority w:val="99"/>
    <w:rPr>
      <w:rFonts w:ascii="楷体_GB2312" w:eastAsia="楷体_GB2312"/>
      <w:kern w:val="0"/>
      <w:sz w:val="18"/>
    </w:rPr>
  </w:style>
  <w:style w:type="paragraph" w:customStyle="1" w:styleId="486">
    <w:name w:val="样式 正文文本 + 楷体_GB2312"/>
    <w:basedOn w:val="25"/>
    <w:next w:val="1"/>
    <w:link w:val="487"/>
    <w:qFormat/>
    <w:uiPriority w:val="99"/>
    <w:pPr>
      <w:widowControl/>
      <w:spacing w:line="360" w:lineRule="auto"/>
      <w:ind w:firstLine="580" w:firstLineChars="207"/>
      <w:jc w:val="left"/>
    </w:pPr>
    <w:rPr>
      <w:rFonts w:ascii="楷体_GB2312" w:hAnsi="楷体_GB2312"/>
      <w:kern w:val="0"/>
      <w:sz w:val="28"/>
    </w:rPr>
  </w:style>
  <w:style w:type="character" w:customStyle="1" w:styleId="487">
    <w:name w:val="样式 正文文本 + 楷体_GB2312 Char"/>
    <w:link w:val="486"/>
    <w:qFormat/>
    <w:locked/>
    <w:uiPriority w:val="99"/>
    <w:rPr>
      <w:rFonts w:ascii="楷体_GB2312" w:eastAsia="楷体_GB2312"/>
      <w:sz w:val="28"/>
    </w:rPr>
  </w:style>
  <w:style w:type="paragraph" w:customStyle="1" w:styleId="488">
    <w:name w:val="样式 正文文本 + 楷体_GB2312 小四 Char"/>
    <w:basedOn w:val="25"/>
    <w:next w:val="1"/>
    <w:link w:val="489"/>
    <w:qFormat/>
    <w:uiPriority w:val="99"/>
    <w:pPr>
      <w:widowControl/>
      <w:spacing w:line="360" w:lineRule="auto"/>
      <w:ind w:firstLine="458" w:firstLineChars="191"/>
    </w:pPr>
    <w:rPr>
      <w:rFonts w:ascii="楷体_GB2312" w:hAnsi="楷体_GB2312"/>
      <w:kern w:val="0"/>
      <w:sz w:val="24"/>
    </w:rPr>
  </w:style>
  <w:style w:type="character" w:customStyle="1" w:styleId="489">
    <w:name w:val="样式 正文文本 + 楷体_GB2312 小四 Char Char"/>
    <w:link w:val="488"/>
    <w:qFormat/>
    <w:locked/>
    <w:uiPriority w:val="99"/>
    <w:rPr>
      <w:rFonts w:ascii="楷体_GB2312" w:eastAsia="楷体_GB2312"/>
      <w:kern w:val="0"/>
      <w:sz w:val="24"/>
    </w:rPr>
  </w:style>
  <w:style w:type="paragraph" w:customStyle="1" w:styleId="490">
    <w:name w:val="样式 楷体_GB2312 小四1"/>
    <w:basedOn w:val="1"/>
    <w:next w:val="1"/>
    <w:link w:val="491"/>
    <w:qFormat/>
    <w:uiPriority w:val="99"/>
    <w:pPr>
      <w:spacing w:line="360" w:lineRule="auto"/>
      <w:ind w:firstLine="200" w:firstLineChars="200"/>
    </w:pPr>
    <w:rPr>
      <w:rFonts w:ascii="楷体_GB2312"/>
      <w:kern w:val="0"/>
      <w:sz w:val="24"/>
      <w:szCs w:val="24"/>
    </w:rPr>
  </w:style>
  <w:style w:type="character" w:customStyle="1" w:styleId="491">
    <w:name w:val="样式 楷体_GB2312 小四1 Char"/>
    <w:link w:val="490"/>
    <w:qFormat/>
    <w:locked/>
    <w:uiPriority w:val="99"/>
    <w:rPr>
      <w:rFonts w:ascii="楷体_GB2312"/>
      <w:kern w:val="0"/>
      <w:sz w:val="24"/>
    </w:rPr>
  </w:style>
  <w:style w:type="paragraph" w:customStyle="1" w:styleId="492">
    <w:name w:val="样式 楷体_GB2312 小四 红色"/>
    <w:basedOn w:val="1"/>
    <w:next w:val="1"/>
    <w:link w:val="493"/>
    <w:qFormat/>
    <w:uiPriority w:val="99"/>
    <w:pPr>
      <w:spacing w:line="360" w:lineRule="auto"/>
      <w:ind w:firstLine="200" w:firstLineChars="200"/>
    </w:pPr>
    <w:rPr>
      <w:rFonts w:ascii="楷体_GB2312"/>
      <w:color w:val="FF0000"/>
      <w:kern w:val="0"/>
      <w:sz w:val="24"/>
      <w:szCs w:val="24"/>
    </w:rPr>
  </w:style>
  <w:style w:type="character" w:customStyle="1" w:styleId="493">
    <w:name w:val="样式 楷体_GB2312 小四 红色 Char"/>
    <w:link w:val="492"/>
    <w:qFormat/>
    <w:locked/>
    <w:uiPriority w:val="99"/>
    <w:rPr>
      <w:rFonts w:ascii="楷体_GB2312"/>
      <w:color w:val="FF0000"/>
      <w:kern w:val="0"/>
      <w:sz w:val="24"/>
    </w:rPr>
  </w:style>
  <w:style w:type="paragraph" w:customStyle="1" w:styleId="494">
    <w:name w:val="Char Char Char Char Char Char Char Char Char Char Char Char Char Char Char Char Char Char Char Char Char Char Char Char Char Char Char Char Char Char Char Char Char Char Char Char Char Char Char Char"/>
    <w:basedOn w:val="1"/>
    <w:qFormat/>
    <w:uiPriority w:val="99"/>
    <w:rPr>
      <w:sz w:val="21"/>
    </w:rPr>
  </w:style>
  <w:style w:type="paragraph" w:customStyle="1" w:styleId="495">
    <w:name w:val="图名"/>
    <w:basedOn w:val="1"/>
    <w:link w:val="496"/>
    <w:qFormat/>
    <w:uiPriority w:val="99"/>
    <w:pPr>
      <w:tabs>
        <w:tab w:val="left" w:pos="1021"/>
      </w:tabs>
      <w:snapToGrid w:val="0"/>
      <w:jc w:val="center"/>
    </w:pPr>
    <w:rPr>
      <w:rFonts w:eastAsia="黑体"/>
      <w:kern w:val="0"/>
      <w:sz w:val="24"/>
      <w:szCs w:val="24"/>
    </w:rPr>
  </w:style>
  <w:style w:type="character" w:customStyle="1" w:styleId="496">
    <w:name w:val="图名 Char Char"/>
    <w:link w:val="495"/>
    <w:qFormat/>
    <w:locked/>
    <w:uiPriority w:val="99"/>
    <w:rPr>
      <w:rFonts w:eastAsia="黑体"/>
      <w:sz w:val="24"/>
    </w:rPr>
  </w:style>
  <w:style w:type="paragraph" w:customStyle="1" w:styleId="497">
    <w:name w:val="表、图名宋旭峰"/>
    <w:basedOn w:val="216"/>
    <w:qFormat/>
    <w:uiPriority w:val="99"/>
    <w:pPr>
      <w:spacing w:beforeLines="50" w:after="31" w:line="360" w:lineRule="auto"/>
    </w:pPr>
    <w:rPr>
      <w:kern w:val="0"/>
    </w:rPr>
  </w:style>
  <w:style w:type="character" w:customStyle="1" w:styleId="498">
    <w:name w:val="wenzhang1"/>
    <w:qFormat/>
    <w:uiPriority w:val="99"/>
    <w:rPr>
      <w:color w:val="825700"/>
      <w:sz w:val="18"/>
    </w:rPr>
  </w:style>
  <w:style w:type="paragraph" w:customStyle="1" w:styleId="499">
    <w:name w:val="表题151"/>
    <w:basedOn w:val="19"/>
    <w:qFormat/>
    <w:uiPriority w:val="99"/>
    <w:pPr>
      <w:adjustRightInd/>
      <w:snapToGrid/>
      <w:jc w:val="center"/>
    </w:pPr>
    <w:rPr>
      <w:rFonts w:ascii="黑体" w:hAnsi="Arial" w:cs="Arial"/>
      <w:b/>
      <w:szCs w:val="24"/>
    </w:rPr>
  </w:style>
  <w:style w:type="paragraph" w:customStyle="1" w:styleId="500">
    <w:name w:val="正文格式42"/>
    <w:basedOn w:val="1"/>
    <w:qFormat/>
    <w:uiPriority w:val="99"/>
    <w:pPr>
      <w:spacing w:line="360" w:lineRule="auto"/>
      <w:ind w:firstLine="482"/>
    </w:pPr>
    <w:rPr>
      <w:rFonts w:ascii="宋体" w:hAnsi="宋体"/>
      <w:sz w:val="24"/>
      <w:szCs w:val="24"/>
    </w:rPr>
  </w:style>
  <w:style w:type="paragraph" w:customStyle="1" w:styleId="501">
    <w:name w:val="样式 小四 行距: 1.5 倍行距"/>
    <w:basedOn w:val="1"/>
    <w:qFormat/>
    <w:uiPriority w:val="99"/>
    <w:pPr>
      <w:spacing w:line="360" w:lineRule="auto"/>
      <w:ind w:firstLine="200" w:firstLineChars="200"/>
    </w:pPr>
    <w:rPr>
      <w:rFonts w:cs="宋体"/>
      <w:sz w:val="24"/>
    </w:rPr>
  </w:style>
  <w:style w:type="character" w:customStyle="1" w:styleId="502">
    <w:name w:val="段落 Char1"/>
    <w:qFormat/>
    <w:uiPriority w:val="99"/>
    <w:rPr>
      <w:rFonts w:ascii="宋体" w:hAnsi="宋体" w:eastAsia="宋体"/>
      <w:color w:val="000000"/>
      <w:kern w:val="24"/>
      <w:sz w:val="24"/>
      <w:lang w:val="en-US" w:eastAsia="zh-CN"/>
    </w:rPr>
  </w:style>
  <w:style w:type="paragraph" w:customStyle="1" w:styleId="503">
    <w:name w:val="表格内字体21"/>
    <w:basedOn w:val="1"/>
    <w:next w:val="1"/>
    <w:qFormat/>
    <w:uiPriority w:val="99"/>
    <w:pPr>
      <w:adjustRightInd w:val="0"/>
      <w:snapToGrid w:val="0"/>
      <w:jc w:val="center"/>
    </w:pPr>
    <w:rPr>
      <w:rFonts w:ascii="宋体" w:hAnsi="宋体"/>
      <w:sz w:val="21"/>
      <w:szCs w:val="21"/>
    </w:rPr>
  </w:style>
  <w:style w:type="paragraph" w:customStyle="1" w:styleId="504">
    <w:name w:val="样式 小四 首行缩进:  0.85 厘米 行距: 1.5 倍行距"/>
    <w:basedOn w:val="1"/>
    <w:qFormat/>
    <w:uiPriority w:val="99"/>
    <w:pPr>
      <w:spacing w:line="360" w:lineRule="auto"/>
      <w:ind w:firstLine="482"/>
    </w:pPr>
    <w:rPr>
      <w:rFonts w:cs="宋体"/>
      <w:sz w:val="24"/>
      <w:szCs w:val="24"/>
    </w:rPr>
  </w:style>
  <w:style w:type="paragraph" w:customStyle="1" w:styleId="505">
    <w:name w:val="样式 标题 2项目标题4标题 2 Char Char Char Char + 黑色"/>
    <w:basedOn w:val="4"/>
    <w:next w:val="39"/>
    <w:qFormat/>
    <w:uiPriority w:val="99"/>
    <w:pPr>
      <w:keepNext w:val="0"/>
      <w:keepLines w:val="0"/>
      <w:numPr>
        <w:ilvl w:val="0"/>
        <w:numId w:val="0"/>
      </w:numPr>
      <w:tabs>
        <w:tab w:val="left" w:pos="360"/>
        <w:tab w:val="left" w:pos="540"/>
      </w:tabs>
      <w:overflowPunct w:val="0"/>
      <w:autoSpaceDE w:val="0"/>
      <w:autoSpaceDN w:val="0"/>
      <w:adjustRightInd/>
      <w:snapToGrid/>
      <w:spacing w:before="100" w:beforeAutospacing="1" w:after="100" w:afterAutospacing="1"/>
      <w:jc w:val="left"/>
      <w:textAlignment w:val="baseline"/>
    </w:pPr>
    <w:rPr>
      <w:rFonts w:hAnsi="宋体" w:eastAsia="宋体"/>
      <w:b/>
      <w:bCs w:val="0"/>
      <w:color w:val="000000"/>
      <w:w w:val="105"/>
      <w:kern w:val="20"/>
      <w:sz w:val="32"/>
    </w:rPr>
  </w:style>
  <w:style w:type="paragraph" w:customStyle="1" w:styleId="506">
    <w:name w:val="样式 标题 3H3B Head标题 3 Char条标题1.1.1H31H32H33u3H311H321H3..."/>
    <w:basedOn w:val="5"/>
    <w:next w:val="39"/>
    <w:qFormat/>
    <w:uiPriority w:val="99"/>
    <w:pPr>
      <w:widowControl/>
      <w:numPr>
        <w:ilvl w:val="0"/>
        <w:numId w:val="0"/>
      </w:numPr>
      <w:tabs>
        <w:tab w:val="left" w:pos="540"/>
      </w:tabs>
      <w:adjustRightInd/>
      <w:snapToGrid/>
      <w:spacing w:before="240" w:after="240"/>
      <w:jc w:val="left"/>
    </w:pPr>
    <w:rPr>
      <w:rFonts w:eastAsia="黑体"/>
      <w:bCs w:val="0"/>
      <w:color w:val="000000"/>
      <w:w w:val="105"/>
      <w:szCs w:val="24"/>
    </w:rPr>
  </w:style>
  <w:style w:type="paragraph" w:customStyle="1" w:styleId="507">
    <w:name w:val="标题 3 + 黑色 段前: 0.5 行 行距: 多倍行距 1.35 字行3"/>
    <w:basedOn w:val="5"/>
    <w:qFormat/>
    <w:uiPriority w:val="99"/>
    <w:pPr>
      <w:keepLines w:val="0"/>
      <w:numPr>
        <w:ilvl w:val="0"/>
        <w:numId w:val="0"/>
      </w:numPr>
      <w:tabs>
        <w:tab w:val="left" w:pos="540"/>
      </w:tabs>
      <w:suppressAutoHyphens/>
      <w:jc w:val="left"/>
    </w:pPr>
    <w:rPr>
      <w:rFonts w:ascii="宋体"/>
      <w:b/>
      <w:color w:val="000000"/>
      <w:kern w:val="24"/>
      <w:szCs w:val="24"/>
    </w:rPr>
  </w:style>
  <w:style w:type="paragraph" w:customStyle="1" w:styleId="508">
    <w:name w:val="正文表格"/>
    <w:basedOn w:val="1"/>
    <w:qFormat/>
    <w:uiPriority w:val="99"/>
    <w:pPr>
      <w:keepNext/>
      <w:keepLines/>
      <w:tabs>
        <w:tab w:val="center" w:pos="6804"/>
      </w:tabs>
      <w:overflowPunct w:val="0"/>
      <w:adjustRightInd w:val="0"/>
      <w:spacing w:before="80"/>
      <w:jc w:val="center"/>
      <w:textAlignment w:val="bottom"/>
    </w:pPr>
    <w:rPr>
      <w:kern w:val="0"/>
      <w:sz w:val="28"/>
    </w:rPr>
  </w:style>
  <w:style w:type="paragraph" w:customStyle="1" w:styleId="509">
    <w:name w:val="正文(首行缩进)宋旭峰"/>
    <w:basedOn w:val="18"/>
    <w:link w:val="510"/>
    <w:qFormat/>
    <w:uiPriority w:val="99"/>
    <w:pPr>
      <w:snapToGrid w:val="0"/>
      <w:spacing w:line="360" w:lineRule="auto"/>
      <w:ind w:firstLine="200" w:firstLineChars="200"/>
      <w:contextualSpacing/>
    </w:pPr>
    <w:rPr>
      <w:rFonts w:ascii="Times New Roman" w:hAnsi="Times New Roman"/>
      <w:color w:val="000000"/>
      <w:sz w:val="24"/>
      <w:szCs w:val="24"/>
    </w:rPr>
  </w:style>
  <w:style w:type="character" w:customStyle="1" w:styleId="510">
    <w:name w:val="正文(首行缩进)宋旭峰 Char Char"/>
    <w:link w:val="509"/>
    <w:qFormat/>
    <w:locked/>
    <w:uiPriority w:val="99"/>
    <w:rPr>
      <w:snapToGrid w:val="0"/>
      <w:color w:val="000000"/>
      <w:kern w:val="0"/>
      <w:sz w:val="24"/>
    </w:rPr>
  </w:style>
  <w:style w:type="paragraph" w:customStyle="1" w:styleId="511">
    <w:name w:val="正文王"/>
    <w:basedOn w:val="1"/>
    <w:link w:val="512"/>
    <w:qFormat/>
    <w:uiPriority w:val="99"/>
    <w:pPr>
      <w:widowControl/>
      <w:tabs>
        <w:tab w:val="left" w:pos="7080"/>
      </w:tabs>
      <w:adjustRightInd w:val="0"/>
      <w:snapToGrid w:val="0"/>
      <w:spacing w:line="360" w:lineRule="auto"/>
      <w:ind w:firstLine="480" w:firstLineChars="200"/>
      <w:jc w:val="left"/>
    </w:pPr>
    <w:rPr>
      <w:kern w:val="0"/>
      <w:sz w:val="24"/>
      <w:szCs w:val="28"/>
      <w:u w:val="words"/>
    </w:rPr>
  </w:style>
  <w:style w:type="character" w:customStyle="1" w:styleId="512">
    <w:name w:val="正文王 Char"/>
    <w:link w:val="511"/>
    <w:qFormat/>
    <w:locked/>
    <w:uiPriority w:val="99"/>
    <w:rPr>
      <w:snapToGrid w:val="0"/>
      <w:kern w:val="0"/>
      <w:sz w:val="28"/>
      <w:u w:val="words"/>
    </w:rPr>
  </w:style>
  <w:style w:type="paragraph" w:customStyle="1" w:styleId="513">
    <w:name w:val="首行缩进"/>
    <w:basedOn w:val="1"/>
    <w:qFormat/>
    <w:uiPriority w:val="99"/>
    <w:pPr>
      <w:tabs>
        <w:tab w:val="left" w:pos="-4"/>
      </w:tabs>
      <w:adjustRightInd w:val="0"/>
      <w:snapToGrid w:val="0"/>
      <w:jc w:val="center"/>
    </w:pPr>
    <w:rPr>
      <w:color w:val="FF0000"/>
      <w:spacing w:val="-6"/>
      <w:kern w:val="10"/>
      <w:sz w:val="21"/>
      <w:szCs w:val="21"/>
    </w:rPr>
  </w:style>
  <w:style w:type="paragraph" w:customStyle="1" w:styleId="514">
    <w:name w:val="表格居中"/>
    <w:basedOn w:val="1"/>
    <w:qFormat/>
    <w:uiPriority w:val="99"/>
    <w:pPr>
      <w:jc w:val="center"/>
    </w:pPr>
    <w:rPr>
      <w:sz w:val="21"/>
      <w:szCs w:val="21"/>
      <w:u w:color="000000"/>
    </w:rPr>
  </w:style>
  <w:style w:type="paragraph" w:customStyle="1" w:styleId="515">
    <w:name w:val="样式 标题 1章章名 + 段前: 0.5 行"/>
    <w:basedOn w:val="2"/>
    <w:qFormat/>
    <w:uiPriority w:val="99"/>
    <w:pPr>
      <w:pageBreakBefore/>
      <w:numPr>
        <w:ilvl w:val="0"/>
        <w:numId w:val="0"/>
      </w:numPr>
      <w:tabs>
        <w:tab w:val="left" w:pos="360"/>
        <w:tab w:val="left" w:pos="900"/>
      </w:tabs>
      <w:adjustRightInd/>
      <w:snapToGrid/>
      <w:spacing w:beforeLines="50" w:after="120"/>
      <w:ind w:left="360" w:hanging="360"/>
      <w:jc w:val="center"/>
    </w:pPr>
    <w:rPr>
      <w:rFonts w:cs="宋体"/>
      <w:b/>
      <w:kern w:val="2"/>
      <w:sz w:val="32"/>
      <w:szCs w:val="20"/>
    </w:rPr>
  </w:style>
  <w:style w:type="paragraph" w:customStyle="1" w:styleId="516">
    <w:name w:val="样式 标题 3头条标题1.1.13h33rd levelH3l3CT段BSH-3二级节名小标题B He..."/>
    <w:basedOn w:val="5"/>
    <w:qFormat/>
    <w:uiPriority w:val="99"/>
    <w:pPr>
      <w:numPr>
        <w:ilvl w:val="0"/>
        <w:numId w:val="0"/>
      </w:numPr>
      <w:tabs>
        <w:tab w:val="left" w:pos="720"/>
      </w:tabs>
      <w:adjustRightInd/>
      <w:snapToGrid/>
      <w:spacing w:before="260" w:after="260" w:line="416" w:lineRule="auto"/>
      <w:ind w:left="720" w:hanging="720"/>
    </w:pPr>
    <w:rPr>
      <w:rFonts w:eastAsia="黑体"/>
      <w:bCs w:val="0"/>
      <w:sz w:val="28"/>
    </w:rPr>
  </w:style>
  <w:style w:type="character" w:customStyle="1" w:styleId="517">
    <w:name w:val="Char Char6"/>
    <w:qFormat/>
    <w:locked/>
    <w:uiPriority w:val="99"/>
    <w:rPr>
      <w:kern w:val="2"/>
      <w:sz w:val="18"/>
    </w:rPr>
  </w:style>
  <w:style w:type="character" w:customStyle="1" w:styleId="518">
    <w:name w:val="表头1 Char"/>
    <w:qFormat/>
    <w:uiPriority w:val="99"/>
    <w:rPr>
      <w:rFonts w:ascii="黑体" w:hAnsi="Times New Roman" w:eastAsia="黑体"/>
      <w:sz w:val="24"/>
    </w:rPr>
  </w:style>
  <w:style w:type="character" w:customStyle="1" w:styleId="519">
    <w:name w:val="正文首行缩进1 Char"/>
    <w:qFormat/>
    <w:uiPriority w:val="99"/>
    <w:rPr>
      <w:rFonts w:eastAsia="宋体"/>
      <w:kern w:val="2"/>
      <w:sz w:val="24"/>
      <w:lang w:val="en-US" w:eastAsia="zh-CN"/>
    </w:rPr>
  </w:style>
  <w:style w:type="paragraph" w:customStyle="1" w:styleId="520">
    <w:name w:val="样式 四号 首行缩进:  2 字符"/>
    <w:basedOn w:val="1"/>
    <w:qFormat/>
    <w:uiPriority w:val="99"/>
    <w:pPr>
      <w:spacing w:line="480" w:lineRule="atLeast"/>
      <w:ind w:firstLine="200" w:firstLineChars="200"/>
    </w:pPr>
    <w:rPr>
      <w:sz w:val="24"/>
      <w:szCs w:val="24"/>
    </w:rPr>
  </w:style>
  <w:style w:type="paragraph" w:customStyle="1" w:styleId="521">
    <w:name w:val="表字左对齐"/>
    <w:basedOn w:val="1"/>
    <w:link w:val="522"/>
    <w:qFormat/>
    <w:uiPriority w:val="99"/>
    <w:pPr>
      <w:jc w:val="left"/>
    </w:pPr>
    <w:rPr>
      <w:kern w:val="0"/>
      <w:sz w:val="21"/>
      <w:szCs w:val="21"/>
    </w:rPr>
  </w:style>
  <w:style w:type="character" w:customStyle="1" w:styleId="522">
    <w:name w:val="表字左对齐 Char"/>
    <w:link w:val="521"/>
    <w:qFormat/>
    <w:locked/>
    <w:uiPriority w:val="99"/>
    <w:rPr>
      <w:sz w:val="21"/>
    </w:rPr>
  </w:style>
  <w:style w:type="paragraph" w:customStyle="1" w:styleId="523">
    <w:name w:val="文本文字"/>
    <w:basedOn w:val="1"/>
    <w:qFormat/>
    <w:uiPriority w:val="99"/>
    <w:pPr>
      <w:overflowPunct w:val="0"/>
      <w:autoSpaceDE w:val="0"/>
      <w:autoSpaceDN w:val="0"/>
      <w:adjustRightInd w:val="0"/>
      <w:spacing w:line="240" w:lineRule="atLeast"/>
      <w:textAlignment w:val="baseline"/>
    </w:pPr>
    <w:rPr>
      <w:rFonts w:eastAsia="仿宋_GB2312"/>
      <w:kern w:val="0"/>
      <w:sz w:val="28"/>
    </w:rPr>
  </w:style>
  <w:style w:type="paragraph" w:customStyle="1" w:styleId="524">
    <w:name w:val="表格内容格式"/>
    <w:basedOn w:val="1"/>
    <w:qFormat/>
    <w:uiPriority w:val="99"/>
    <w:pPr>
      <w:adjustRightInd w:val="0"/>
      <w:snapToGrid w:val="0"/>
      <w:jc w:val="center"/>
      <w:textAlignment w:val="baseline"/>
    </w:pPr>
    <w:rPr>
      <w:kern w:val="0"/>
      <w:sz w:val="21"/>
      <w:szCs w:val="21"/>
    </w:rPr>
  </w:style>
  <w:style w:type="paragraph" w:customStyle="1" w:styleId="525">
    <w:name w:val="p0"/>
    <w:basedOn w:val="1"/>
    <w:qFormat/>
    <w:uiPriority w:val="99"/>
    <w:pPr>
      <w:widowControl/>
    </w:pPr>
    <w:rPr>
      <w:kern w:val="0"/>
      <w:sz w:val="21"/>
      <w:szCs w:val="21"/>
    </w:rPr>
  </w:style>
  <w:style w:type="paragraph" w:customStyle="1" w:styleId="526">
    <w:name w:val="段落 Char Char2 Char Char"/>
    <w:basedOn w:val="1"/>
    <w:qFormat/>
    <w:uiPriority w:val="99"/>
    <w:pPr>
      <w:tabs>
        <w:tab w:val="left" w:pos="1021"/>
      </w:tabs>
      <w:spacing w:line="360" w:lineRule="auto"/>
      <w:ind w:firstLine="480" w:firstLineChars="200"/>
    </w:pPr>
    <w:rPr>
      <w:sz w:val="24"/>
      <w:szCs w:val="24"/>
    </w:rPr>
  </w:style>
  <w:style w:type="paragraph" w:customStyle="1" w:styleId="527">
    <w:name w:val="Char1 Char Char Char Char Char Char Char Char Char Char Char Char Char Char Char"/>
    <w:basedOn w:val="1"/>
    <w:qFormat/>
    <w:uiPriority w:val="99"/>
    <w:rPr>
      <w:sz w:val="21"/>
    </w:rPr>
  </w:style>
  <w:style w:type="paragraph" w:customStyle="1" w:styleId="528">
    <w:name w:val="Char Char Char Char Char Char Char Char Char Char Char"/>
    <w:basedOn w:val="1"/>
    <w:qFormat/>
    <w:uiPriority w:val="99"/>
    <w:rPr>
      <w:sz w:val="28"/>
      <w:szCs w:val="28"/>
    </w:rPr>
  </w:style>
  <w:style w:type="paragraph" w:customStyle="1" w:styleId="529">
    <w:name w:val="Char Char1 Char Char Char Char Char Char Char"/>
    <w:basedOn w:val="1"/>
    <w:qFormat/>
    <w:uiPriority w:val="99"/>
    <w:rPr>
      <w:sz w:val="21"/>
      <w:szCs w:val="24"/>
    </w:rPr>
  </w:style>
  <w:style w:type="paragraph" w:customStyle="1" w:styleId="530">
    <w:name w:val="样式 行距: 1.5 倍行距"/>
    <w:basedOn w:val="1"/>
    <w:qFormat/>
    <w:uiPriority w:val="99"/>
    <w:pPr>
      <w:spacing w:line="360" w:lineRule="auto"/>
      <w:ind w:firstLine="420" w:firstLineChars="200"/>
    </w:pPr>
    <w:rPr>
      <w:sz w:val="24"/>
      <w:szCs w:val="24"/>
    </w:rPr>
  </w:style>
  <w:style w:type="paragraph" w:customStyle="1" w:styleId="531">
    <w:name w:val="表头 Char Char1"/>
    <w:basedOn w:val="1"/>
    <w:qFormat/>
    <w:uiPriority w:val="99"/>
    <w:pPr>
      <w:tabs>
        <w:tab w:val="left" w:pos="1021"/>
      </w:tabs>
      <w:jc w:val="center"/>
      <w:outlineLvl w:val="5"/>
    </w:pPr>
    <w:rPr>
      <w:rFonts w:eastAsia="黑体"/>
      <w:color w:val="000000"/>
      <w:kern w:val="24"/>
      <w:sz w:val="24"/>
      <w:szCs w:val="24"/>
    </w:rPr>
  </w:style>
  <w:style w:type="paragraph" w:customStyle="1" w:styleId="532">
    <w:name w:val="表格中的文字"/>
    <w:basedOn w:val="1"/>
    <w:link w:val="533"/>
    <w:semiHidden/>
    <w:qFormat/>
    <w:uiPriority w:val="99"/>
    <w:pPr>
      <w:jc w:val="center"/>
    </w:pPr>
    <w:rPr>
      <w:rFonts w:ascii="宋体" w:hAnsi="宋体"/>
      <w:kern w:val="0"/>
      <w:sz w:val="21"/>
    </w:rPr>
  </w:style>
  <w:style w:type="character" w:customStyle="1" w:styleId="533">
    <w:name w:val="表格中的文字 Char"/>
    <w:link w:val="532"/>
    <w:semiHidden/>
    <w:qFormat/>
    <w:locked/>
    <w:uiPriority w:val="99"/>
    <w:rPr>
      <w:rFonts w:ascii="宋体" w:eastAsia="宋体"/>
      <w:kern w:val="0"/>
      <w:sz w:val="21"/>
    </w:rPr>
  </w:style>
  <w:style w:type="paragraph" w:customStyle="1" w:styleId="534">
    <w:name w:val="样式 表头 + 居中 段后: 0.2 行"/>
    <w:basedOn w:val="216"/>
    <w:qFormat/>
    <w:uiPriority w:val="99"/>
    <w:pPr>
      <w:spacing w:beforeLines="50" w:afterLines="10" w:line="240" w:lineRule="auto"/>
    </w:pPr>
    <w:rPr>
      <w:rFonts w:cs="宋体"/>
    </w:rPr>
  </w:style>
  <w:style w:type="paragraph" w:customStyle="1" w:styleId="535">
    <w:name w:val="11正文"/>
    <w:basedOn w:val="1"/>
    <w:qFormat/>
    <w:uiPriority w:val="99"/>
    <w:pPr>
      <w:spacing w:line="360" w:lineRule="auto"/>
      <w:ind w:firstLine="200" w:firstLineChars="200"/>
    </w:pPr>
    <w:rPr>
      <w:sz w:val="24"/>
      <w:szCs w:val="24"/>
    </w:rPr>
  </w:style>
  <w:style w:type="paragraph" w:customStyle="1" w:styleId="536">
    <w:name w:val="文"/>
    <w:basedOn w:val="5"/>
    <w:qFormat/>
    <w:uiPriority w:val="99"/>
    <w:pPr>
      <w:keepNext w:val="0"/>
      <w:keepLines w:val="0"/>
      <w:numPr>
        <w:ilvl w:val="0"/>
        <w:numId w:val="0"/>
      </w:numPr>
      <w:adjustRightInd/>
      <w:snapToGrid/>
      <w:ind w:firstLine="480" w:firstLineChars="200"/>
      <w:outlineLvl w:val="9"/>
    </w:pPr>
    <w:rPr>
      <w:bCs w:val="0"/>
      <w:szCs w:val="24"/>
    </w:rPr>
  </w:style>
  <w:style w:type="paragraph" w:customStyle="1" w:styleId="537">
    <w:name w:val="表内"/>
    <w:basedOn w:val="536"/>
    <w:qFormat/>
    <w:uiPriority w:val="99"/>
    <w:pPr>
      <w:spacing w:line="240" w:lineRule="auto"/>
      <w:ind w:firstLine="0" w:firstLineChars="0"/>
      <w:jc w:val="center"/>
    </w:pPr>
    <w:rPr>
      <w:sz w:val="21"/>
    </w:rPr>
  </w:style>
  <w:style w:type="paragraph" w:customStyle="1" w:styleId="538">
    <w:name w:val="Char15"/>
    <w:basedOn w:val="1"/>
    <w:qFormat/>
    <w:uiPriority w:val="99"/>
    <w:pPr>
      <w:spacing w:line="360" w:lineRule="auto"/>
      <w:ind w:firstLine="200" w:firstLineChars="200"/>
    </w:pPr>
    <w:rPr>
      <w:rFonts w:ascii="宋体" w:hAnsi="宋体" w:cs="宋体"/>
      <w:sz w:val="24"/>
      <w:szCs w:val="24"/>
    </w:rPr>
  </w:style>
  <w:style w:type="paragraph" w:customStyle="1" w:styleId="539">
    <w:name w:val="Char36"/>
    <w:basedOn w:val="1"/>
    <w:qFormat/>
    <w:uiPriority w:val="99"/>
    <w:pPr>
      <w:widowControl/>
      <w:tabs>
        <w:tab w:val="left" w:pos="794"/>
        <w:tab w:val="left" w:pos="1191"/>
        <w:tab w:val="left" w:pos="1588"/>
        <w:tab w:val="left" w:pos="1985"/>
      </w:tabs>
      <w:autoSpaceDE w:val="0"/>
      <w:autoSpaceDN w:val="0"/>
      <w:adjustRightInd w:val="0"/>
      <w:spacing w:before="136"/>
      <w:jc w:val="left"/>
    </w:pPr>
    <w:rPr>
      <w:kern w:val="0"/>
    </w:rPr>
  </w:style>
  <w:style w:type="paragraph" w:customStyle="1" w:styleId="540">
    <w:name w:val="图表头"/>
    <w:basedOn w:val="1"/>
    <w:qFormat/>
    <w:uiPriority w:val="99"/>
    <w:pPr>
      <w:adjustRightInd w:val="0"/>
      <w:spacing w:line="360" w:lineRule="auto"/>
      <w:jc w:val="center"/>
      <w:textAlignment w:val="baseline"/>
    </w:pPr>
    <w:rPr>
      <w:rFonts w:ascii="黑体" w:eastAsia="黑体"/>
      <w:spacing w:val="5"/>
      <w:kern w:val="0"/>
      <w:sz w:val="21"/>
    </w:rPr>
  </w:style>
  <w:style w:type="paragraph" w:customStyle="1" w:styleId="541">
    <w:name w:val="Char35"/>
    <w:basedOn w:val="1"/>
    <w:qFormat/>
    <w:uiPriority w:val="99"/>
    <w:pPr>
      <w:widowControl/>
      <w:tabs>
        <w:tab w:val="left" w:pos="794"/>
        <w:tab w:val="left" w:pos="1191"/>
        <w:tab w:val="left" w:pos="1588"/>
        <w:tab w:val="left" w:pos="1985"/>
      </w:tabs>
      <w:autoSpaceDE w:val="0"/>
      <w:autoSpaceDN w:val="0"/>
      <w:adjustRightInd w:val="0"/>
      <w:spacing w:before="136"/>
      <w:jc w:val="left"/>
    </w:pPr>
    <w:rPr>
      <w:kern w:val="0"/>
    </w:rPr>
  </w:style>
  <w:style w:type="paragraph" w:customStyle="1" w:styleId="542">
    <w:name w:val="Char34"/>
    <w:basedOn w:val="1"/>
    <w:qFormat/>
    <w:uiPriority w:val="99"/>
    <w:pPr>
      <w:widowControl/>
      <w:tabs>
        <w:tab w:val="left" w:pos="794"/>
        <w:tab w:val="left" w:pos="1191"/>
        <w:tab w:val="left" w:pos="1588"/>
        <w:tab w:val="left" w:pos="1985"/>
      </w:tabs>
      <w:autoSpaceDE w:val="0"/>
      <w:autoSpaceDN w:val="0"/>
      <w:adjustRightInd w:val="0"/>
      <w:spacing w:before="136"/>
      <w:jc w:val="left"/>
    </w:pPr>
    <w:rPr>
      <w:kern w:val="0"/>
    </w:rPr>
  </w:style>
  <w:style w:type="paragraph" w:customStyle="1" w:styleId="543">
    <w:name w:val="Char33"/>
    <w:basedOn w:val="1"/>
    <w:qFormat/>
    <w:uiPriority w:val="99"/>
    <w:pPr>
      <w:widowControl/>
      <w:tabs>
        <w:tab w:val="left" w:pos="794"/>
        <w:tab w:val="left" w:pos="1191"/>
        <w:tab w:val="left" w:pos="1588"/>
        <w:tab w:val="left" w:pos="1985"/>
      </w:tabs>
      <w:autoSpaceDE w:val="0"/>
      <w:autoSpaceDN w:val="0"/>
      <w:adjustRightInd w:val="0"/>
      <w:spacing w:before="136"/>
      <w:jc w:val="left"/>
    </w:pPr>
    <w:rPr>
      <w:kern w:val="0"/>
    </w:rPr>
  </w:style>
  <w:style w:type="paragraph" w:customStyle="1" w:styleId="544">
    <w:name w:val="Char32"/>
    <w:basedOn w:val="1"/>
    <w:qFormat/>
    <w:uiPriority w:val="99"/>
    <w:pPr>
      <w:widowControl/>
      <w:tabs>
        <w:tab w:val="left" w:pos="794"/>
        <w:tab w:val="left" w:pos="1191"/>
        <w:tab w:val="left" w:pos="1588"/>
        <w:tab w:val="left" w:pos="1985"/>
      </w:tabs>
      <w:autoSpaceDE w:val="0"/>
      <w:autoSpaceDN w:val="0"/>
      <w:adjustRightInd w:val="0"/>
      <w:spacing w:before="136"/>
      <w:jc w:val="left"/>
    </w:pPr>
    <w:rPr>
      <w:kern w:val="0"/>
    </w:rPr>
  </w:style>
  <w:style w:type="paragraph" w:customStyle="1" w:styleId="545">
    <w:name w:val="Char31"/>
    <w:basedOn w:val="1"/>
    <w:qFormat/>
    <w:uiPriority w:val="99"/>
    <w:pPr>
      <w:widowControl/>
      <w:tabs>
        <w:tab w:val="left" w:pos="794"/>
        <w:tab w:val="left" w:pos="1191"/>
        <w:tab w:val="left" w:pos="1588"/>
        <w:tab w:val="left" w:pos="1985"/>
      </w:tabs>
      <w:autoSpaceDE w:val="0"/>
      <w:autoSpaceDN w:val="0"/>
      <w:adjustRightInd w:val="0"/>
      <w:spacing w:before="136"/>
      <w:jc w:val="left"/>
    </w:pPr>
    <w:rPr>
      <w:kern w:val="0"/>
    </w:rPr>
  </w:style>
  <w:style w:type="paragraph" w:customStyle="1" w:styleId="546">
    <w:name w:val="图头"/>
    <w:basedOn w:val="1"/>
    <w:qFormat/>
    <w:uiPriority w:val="99"/>
    <w:pPr>
      <w:spacing w:afterLines="50" w:line="480" w:lineRule="exact"/>
      <w:jc w:val="center"/>
    </w:pPr>
    <w:rPr>
      <w:rFonts w:ascii="宋体"/>
      <w:b/>
      <w:bCs/>
      <w:sz w:val="24"/>
      <w:szCs w:val="24"/>
    </w:rPr>
  </w:style>
  <w:style w:type="paragraph" w:customStyle="1" w:styleId="547">
    <w:name w:val="Char37"/>
    <w:basedOn w:val="1"/>
    <w:qFormat/>
    <w:uiPriority w:val="99"/>
    <w:pPr>
      <w:widowControl/>
      <w:tabs>
        <w:tab w:val="left" w:pos="794"/>
        <w:tab w:val="left" w:pos="1191"/>
        <w:tab w:val="left" w:pos="1588"/>
        <w:tab w:val="left" w:pos="1985"/>
      </w:tabs>
      <w:autoSpaceDE w:val="0"/>
      <w:autoSpaceDN w:val="0"/>
      <w:adjustRightInd w:val="0"/>
      <w:spacing w:before="136"/>
      <w:jc w:val="left"/>
    </w:pPr>
    <w:rPr>
      <w:kern w:val="0"/>
    </w:rPr>
  </w:style>
  <w:style w:type="character" w:customStyle="1" w:styleId="548">
    <w:name w:val="批注文字 Char1"/>
    <w:qFormat/>
    <w:uiPriority w:val="99"/>
    <w:rPr>
      <w:rFonts w:ascii="Calibri" w:hAnsi="Calibri" w:eastAsia="宋体"/>
      <w:kern w:val="2"/>
      <w:sz w:val="21"/>
    </w:rPr>
  </w:style>
  <w:style w:type="character" w:customStyle="1" w:styleId="549">
    <w:name w:val="副标题 Char1"/>
    <w:qFormat/>
    <w:uiPriority w:val="99"/>
    <w:rPr>
      <w:rFonts w:ascii="Cambria" w:hAnsi="Cambria"/>
      <w:b/>
      <w:kern w:val="28"/>
      <w:sz w:val="32"/>
    </w:rPr>
  </w:style>
  <w:style w:type="character" w:customStyle="1" w:styleId="550">
    <w:name w:val="明显引用 Char1"/>
    <w:qFormat/>
    <w:uiPriority w:val="99"/>
    <w:rPr>
      <w:rFonts w:ascii="Calibri" w:hAnsi="Calibri" w:eastAsia="宋体"/>
      <w:b/>
      <w:i/>
      <w:color w:val="4F81BD"/>
      <w:kern w:val="2"/>
      <w:sz w:val="21"/>
    </w:rPr>
  </w:style>
  <w:style w:type="character" w:customStyle="1" w:styleId="551">
    <w:name w:val="引用 Char1"/>
    <w:qFormat/>
    <w:uiPriority w:val="99"/>
    <w:rPr>
      <w:rFonts w:ascii="Calibri" w:hAnsi="Calibri" w:eastAsia="宋体"/>
      <w:i/>
      <w:color w:val="000000"/>
      <w:kern w:val="2"/>
      <w:sz w:val="21"/>
    </w:rPr>
  </w:style>
  <w:style w:type="paragraph" w:customStyle="1" w:styleId="552">
    <w:name w:val="Char39"/>
    <w:basedOn w:val="1"/>
    <w:qFormat/>
    <w:uiPriority w:val="99"/>
    <w:pPr>
      <w:widowControl/>
      <w:tabs>
        <w:tab w:val="left" w:pos="794"/>
        <w:tab w:val="left" w:pos="1191"/>
        <w:tab w:val="left" w:pos="1588"/>
        <w:tab w:val="left" w:pos="1985"/>
      </w:tabs>
      <w:autoSpaceDE w:val="0"/>
      <w:autoSpaceDN w:val="0"/>
      <w:adjustRightInd w:val="0"/>
      <w:spacing w:before="136"/>
      <w:jc w:val="left"/>
    </w:pPr>
    <w:rPr>
      <w:kern w:val="0"/>
    </w:rPr>
  </w:style>
  <w:style w:type="paragraph" w:customStyle="1" w:styleId="553">
    <w:name w:val="Char38"/>
    <w:basedOn w:val="1"/>
    <w:qFormat/>
    <w:uiPriority w:val="99"/>
    <w:pPr>
      <w:widowControl/>
      <w:tabs>
        <w:tab w:val="left" w:pos="794"/>
        <w:tab w:val="left" w:pos="1191"/>
        <w:tab w:val="left" w:pos="1588"/>
        <w:tab w:val="left" w:pos="1985"/>
      </w:tabs>
      <w:autoSpaceDE w:val="0"/>
      <w:autoSpaceDN w:val="0"/>
      <w:adjustRightInd w:val="0"/>
      <w:spacing w:before="136"/>
      <w:jc w:val="left"/>
    </w:pPr>
    <w:rPr>
      <w:kern w:val="0"/>
    </w:rPr>
  </w:style>
  <w:style w:type="character" w:customStyle="1" w:styleId="554">
    <w:name w:val="图标 Char"/>
    <w:link w:val="555"/>
    <w:qFormat/>
    <w:locked/>
    <w:uiPriority w:val="99"/>
    <w:rPr>
      <w:rFonts w:eastAsia="黑体"/>
      <w:color w:val="000000"/>
      <w:sz w:val="24"/>
    </w:rPr>
  </w:style>
  <w:style w:type="paragraph" w:customStyle="1" w:styleId="555">
    <w:name w:val="图标"/>
    <w:basedOn w:val="18"/>
    <w:link w:val="554"/>
    <w:qFormat/>
    <w:uiPriority w:val="99"/>
    <w:pPr>
      <w:adjustRightInd w:val="0"/>
      <w:snapToGrid w:val="0"/>
      <w:spacing w:after="80" w:line="240" w:lineRule="atLeast"/>
      <w:ind w:firstLine="0"/>
      <w:jc w:val="center"/>
    </w:pPr>
    <w:rPr>
      <w:rFonts w:ascii="Times New Roman" w:hAnsi="Times New Roman" w:eastAsia="黑体"/>
      <w:iCs/>
      <w:color w:val="000000"/>
      <w:sz w:val="24"/>
      <w:szCs w:val="24"/>
    </w:rPr>
  </w:style>
  <w:style w:type="paragraph" w:customStyle="1" w:styleId="556">
    <w:name w:val="正文文本 22"/>
    <w:basedOn w:val="1"/>
    <w:qFormat/>
    <w:uiPriority w:val="99"/>
    <w:pPr>
      <w:adjustRightInd w:val="0"/>
      <w:ind w:firstLine="600"/>
      <w:textAlignment w:val="baseline"/>
    </w:pPr>
    <w:rPr>
      <w:rFonts w:ascii="仿宋_GB2312" w:eastAsia="仿宋_GB2312"/>
      <w:sz w:val="30"/>
    </w:rPr>
  </w:style>
  <w:style w:type="character" w:customStyle="1" w:styleId="557">
    <w:name w:val="地正 Char"/>
    <w:link w:val="558"/>
    <w:qFormat/>
    <w:locked/>
    <w:uiPriority w:val="99"/>
    <w:rPr>
      <w:rFonts w:eastAsia="仿宋_GB2312"/>
      <w:sz w:val="24"/>
    </w:rPr>
  </w:style>
  <w:style w:type="paragraph" w:customStyle="1" w:styleId="558">
    <w:name w:val="地正"/>
    <w:basedOn w:val="1"/>
    <w:link w:val="557"/>
    <w:qFormat/>
    <w:uiPriority w:val="99"/>
    <w:pPr>
      <w:ind w:firstLine="200" w:firstLineChars="200"/>
    </w:pPr>
    <w:rPr>
      <w:rFonts w:eastAsia="仿宋_GB2312"/>
      <w:kern w:val="0"/>
      <w:sz w:val="30"/>
      <w:szCs w:val="24"/>
    </w:rPr>
  </w:style>
  <w:style w:type="character" w:customStyle="1" w:styleId="559">
    <w:name w:val="Ò³Ã¼ Char Char"/>
    <w:qFormat/>
    <w:uiPriority w:val="99"/>
    <w:rPr>
      <w:kern w:val="2"/>
      <w:sz w:val="18"/>
    </w:rPr>
  </w:style>
  <w:style w:type="paragraph" w:customStyle="1" w:styleId="560">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561">
    <w:name w:val="font6"/>
    <w:basedOn w:val="1"/>
    <w:qFormat/>
    <w:uiPriority w:val="99"/>
    <w:pPr>
      <w:widowControl/>
      <w:spacing w:before="100" w:beforeAutospacing="1" w:after="100" w:afterAutospacing="1"/>
      <w:jc w:val="left"/>
    </w:pPr>
    <w:rPr>
      <w:rFonts w:ascii="宋体" w:hAnsi="宋体" w:cs="宋体"/>
      <w:color w:val="000000"/>
      <w:kern w:val="0"/>
    </w:rPr>
  </w:style>
  <w:style w:type="paragraph" w:customStyle="1" w:styleId="562">
    <w:name w:val="font7"/>
    <w:basedOn w:val="1"/>
    <w:qFormat/>
    <w:uiPriority w:val="99"/>
    <w:pPr>
      <w:widowControl/>
      <w:spacing w:before="100" w:beforeAutospacing="1" w:after="100" w:afterAutospacing="1"/>
      <w:jc w:val="left"/>
    </w:pPr>
    <w:rPr>
      <w:rFonts w:ascii="宋体" w:hAnsi="宋体" w:cs="宋体"/>
      <w:color w:val="000000"/>
      <w:kern w:val="0"/>
    </w:rPr>
  </w:style>
  <w:style w:type="paragraph" w:customStyle="1" w:styleId="563">
    <w:name w:val="xl65"/>
    <w:basedOn w:val="1"/>
    <w:qFormat/>
    <w:uiPriority w:val="99"/>
    <w:pPr>
      <w:widowControl/>
      <w:spacing w:before="100" w:beforeAutospacing="1" w:after="100" w:afterAutospacing="1"/>
      <w:jc w:val="center"/>
      <w:textAlignment w:val="center"/>
    </w:pPr>
    <w:rPr>
      <w:rFonts w:ascii="宋体" w:hAnsi="宋体" w:cs="宋体"/>
      <w:kern w:val="0"/>
    </w:rPr>
  </w:style>
  <w:style w:type="paragraph" w:customStyle="1" w:styleId="564">
    <w:name w:val="xl66"/>
    <w:basedOn w:val="1"/>
    <w:qFormat/>
    <w:uiPriority w:val="99"/>
    <w:pPr>
      <w:widowControl/>
      <w:spacing w:before="100" w:beforeAutospacing="1" w:after="100" w:afterAutospacing="1"/>
      <w:jc w:val="center"/>
      <w:textAlignment w:val="center"/>
    </w:pPr>
    <w:rPr>
      <w:rFonts w:ascii="宋体" w:hAnsi="宋体" w:cs="宋体"/>
      <w:kern w:val="0"/>
      <w:sz w:val="24"/>
      <w:szCs w:val="24"/>
    </w:rPr>
  </w:style>
  <w:style w:type="paragraph" w:customStyle="1" w:styleId="565">
    <w:name w:val="xl67"/>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66">
    <w:name w:val="xl68"/>
    <w:basedOn w:val="1"/>
    <w:qFormat/>
    <w:uiPriority w:val="99"/>
    <w:pPr>
      <w:widowControl/>
      <w:pBdr>
        <w:left w:val="single" w:color="auto" w:sz="4" w:space="0"/>
      </w:pBdr>
      <w:spacing w:before="100" w:beforeAutospacing="1" w:after="100" w:afterAutospacing="1"/>
      <w:jc w:val="left"/>
      <w:textAlignment w:val="center"/>
    </w:pPr>
    <w:rPr>
      <w:rFonts w:ascii="宋体" w:hAnsi="宋体" w:cs="宋体"/>
      <w:color w:val="000000"/>
      <w:kern w:val="0"/>
    </w:rPr>
  </w:style>
  <w:style w:type="paragraph" w:customStyle="1" w:styleId="567">
    <w:name w:val="xl69"/>
    <w:basedOn w:val="1"/>
    <w:qFormat/>
    <w:uiPriority w:val="99"/>
    <w:pPr>
      <w:widowControl/>
      <w:pBdr>
        <w:right w:val="single" w:color="auto" w:sz="4" w:space="0"/>
      </w:pBdr>
      <w:spacing w:before="100" w:beforeAutospacing="1" w:after="100" w:afterAutospacing="1"/>
      <w:jc w:val="left"/>
      <w:textAlignment w:val="center"/>
    </w:pPr>
    <w:rPr>
      <w:rFonts w:ascii="宋体" w:hAnsi="宋体" w:cs="宋体"/>
      <w:color w:val="000000"/>
      <w:kern w:val="0"/>
    </w:rPr>
  </w:style>
  <w:style w:type="paragraph" w:customStyle="1" w:styleId="568">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69">
    <w:name w:val="xl71"/>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70">
    <w:name w:val="xl7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71">
    <w:name w:val="xl73"/>
    <w:basedOn w:val="1"/>
    <w:qFormat/>
    <w:uiPriority w:val="99"/>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72">
    <w:name w:val="xl74"/>
    <w:basedOn w:val="1"/>
    <w:qFormat/>
    <w:uiPriority w:val="99"/>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73">
    <w:name w:val="xl75"/>
    <w:basedOn w:val="1"/>
    <w:qFormat/>
    <w:uiPriority w:val="99"/>
    <w:pPr>
      <w:widowControl/>
      <w:pBdr>
        <w:top w:val="single" w:color="auto" w:sz="8" w:space="0"/>
        <w:left w:val="single" w:color="auto" w:sz="4" w:space="0"/>
      </w:pBdr>
      <w:spacing w:before="100" w:beforeAutospacing="1" w:after="100" w:afterAutospacing="1"/>
      <w:jc w:val="left"/>
      <w:textAlignment w:val="center"/>
    </w:pPr>
    <w:rPr>
      <w:rFonts w:ascii="宋体" w:hAnsi="宋体" w:cs="宋体"/>
      <w:color w:val="000000"/>
      <w:kern w:val="0"/>
    </w:rPr>
  </w:style>
  <w:style w:type="paragraph" w:customStyle="1" w:styleId="574">
    <w:name w:val="xl76"/>
    <w:basedOn w:val="1"/>
    <w:qFormat/>
    <w:uiPriority w:val="99"/>
    <w:pPr>
      <w:widowControl/>
      <w:pBdr>
        <w:top w:val="single" w:color="auto" w:sz="8" w:space="0"/>
        <w:right w:val="single" w:color="auto" w:sz="4" w:space="0"/>
      </w:pBdr>
      <w:spacing w:before="100" w:beforeAutospacing="1" w:after="100" w:afterAutospacing="1"/>
      <w:jc w:val="left"/>
      <w:textAlignment w:val="center"/>
    </w:pPr>
    <w:rPr>
      <w:rFonts w:ascii="宋体" w:hAnsi="宋体" w:cs="宋体"/>
      <w:color w:val="000000"/>
      <w:kern w:val="0"/>
    </w:rPr>
  </w:style>
  <w:style w:type="paragraph" w:customStyle="1" w:styleId="575">
    <w:name w:val="xl77"/>
    <w:basedOn w:val="1"/>
    <w:qFormat/>
    <w:uiPriority w:val="99"/>
    <w:pPr>
      <w:widowControl/>
      <w:pBdr>
        <w:left w:val="single" w:color="auto" w:sz="8"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76">
    <w:name w:val="xl78"/>
    <w:basedOn w:val="1"/>
    <w:qFormat/>
    <w:uiPriority w:val="99"/>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77">
    <w:name w:val="xl79"/>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78">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579">
    <w:name w:val="xl81"/>
    <w:basedOn w:val="1"/>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80">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581">
    <w:name w:val="xl83"/>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582">
    <w:name w:val="xl84"/>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rPr>
  </w:style>
  <w:style w:type="paragraph" w:customStyle="1" w:styleId="583">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rPr>
  </w:style>
  <w:style w:type="paragraph" w:customStyle="1" w:styleId="584">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585">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rPr>
  </w:style>
  <w:style w:type="paragraph" w:customStyle="1" w:styleId="586">
    <w:name w:val="xl88"/>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rPr>
  </w:style>
  <w:style w:type="paragraph" w:customStyle="1" w:styleId="587">
    <w:name w:val="xl89"/>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rPr>
  </w:style>
  <w:style w:type="paragraph" w:customStyle="1" w:styleId="588">
    <w:name w:val="xl90"/>
    <w:basedOn w:val="1"/>
    <w:qFormat/>
    <w:uiPriority w:val="99"/>
    <w:pPr>
      <w:widowControl/>
      <w:pBdr>
        <w:top w:val="single" w:color="auto" w:sz="4" w:space="0"/>
        <w:bottom w:val="single" w:color="auto" w:sz="4" w:space="0"/>
      </w:pBdr>
      <w:spacing w:before="100" w:beforeAutospacing="1" w:after="100" w:afterAutospacing="1"/>
      <w:jc w:val="center"/>
    </w:pPr>
    <w:rPr>
      <w:rFonts w:ascii="宋体" w:hAnsi="宋体" w:cs="宋体"/>
      <w:b/>
      <w:bCs/>
      <w:kern w:val="0"/>
    </w:rPr>
  </w:style>
  <w:style w:type="paragraph" w:customStyle="1" w:styleId="589">
    <w:name w:val="xl91"/>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rPr>
  </w:style>
  <w:style w:type="paragraph" w:customStyle="1" w:styleId="590">
    <w:name w:val="xl92"/>
    <w:basedOn w:val="1"/>
    <w:qFormat/>
    <w:uiPriority w:val="99"/>
    <w:pPr>
      <w:widowControl/>
      <w:pBdr>
        <w:top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591">
    <w:name w:val="xl9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92">
    <w:name w:val="xl94"/>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93">
    <w:name w:val="xl95"/>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rPr>
  </w:style>
  <w:style w:type="paragraph" w:customStyle="1" w:styleId="594">
    <w:name w:val="xl96"/>
    <w:basedOn w:val="1"/>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rPr>
  </w:style>
  <w:style w:type="character" w:customStyle="1" w:styleId="595">
    <w:name w:val="正文文字 Char Char"/>
    <w:qFormat/>
    <w:uiPriority w:val="99"/>
    <w:rPr>
      <w:rFonts w:eastAsia="宋体"/>
      <w:kern w:val="2"/>
      <w:sz w:val="24"/>
      <w:lang w:val="en-US" w:eastAsia="zh-CN"/>
    </w:rPr>
  </w:style>
  <w:style w:type="character" w:customStyle="1" w:styleId="596">
    <w:name w:val="Char Char Char Char Char"/>
    <w:qFormat/>
    <w:uiPriority w:val="99"/>
    <w:rPr>
      <w:rFonts w:ascii="Times New Roman" w:hAnsi="Times New Roman" w:eastAsia="宋体"/>
      <w:sz w:val="24"/>
    </w:rPr>
  </w:style>
  <w:style w:type="paragraph" w:customStyle="1" w:styleId="597">
    <w:name w:val="正文 New"/>
    <w:qFormat/>
    <w:uiPriority w:val="99"/>
    <w:pPr>
      <w:widowControl w:val="0"/>
      <w:adjustRightInd w:val="0"/>
      <w:spacing w:line="360" w:lineRule="auto"/>
      <w:ind w:firstLine="200" w:firstLineChars="200"/>
      <w:textAlignment w:val="baseline"/>
    </w:pPr>
    <w:rPr>
      <w:rFonts w:ascii="Times New Roman" w:hAnsi="Times New Roman" w:eastAsia="宋体" w:cs="Times New Roman"/>
      <w:kern w:val="0"/>
      <w:sz w:val="24"/>
      <w:szCs w:val="20"/>
      <w:lang w:val="en-US" w:eastAsia="zh-CN" w:bidi="ar-SA"/>
    </w:rPr>
  </w:style>
  <w:style w:type="paragraph" w:customStyle="1" w:styleId="598">
    <w:name w:val="正文 New New New New New New New New New New New New New New New New New New New New New New New New New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599">
    <w:name w:val="报告书正文 Char Char Char Char Char"/>
    <w:qFormat/>
    <w:uiPriority w:val="99"/>
    <w:rPr>
      <w:rFonts w:eastAsia="宋体"/>
      <w:kern w:val="2"/>
      <w:sz w:val="24"/>
      <w:lang w:val="en-US" w:eastAsia="zh-CN"/>
    </w:rPr>
  </w:style>
  <w:style w:type="character" w:customStyle="1" w:styleId="600">
    <w:name w:val="报告书正文 Char Char"/>
    <w:qFormat/>
    <w:uiPriority w:val="99"/>
    <w:rPr>
      <w:rFonts w:eastAsia="宋体"/>
      <w:kern w:val="2"/>
      <w:sz w:val="24"/>
      <w:lang w:val="en-US" w:eastAsia="zh-CN"/>
    </w:rPr>
  </w:style>
  <w:style w:type="paragraph" w:customStyle="1" w:styleId="601">
    <w:name w:val="Char Char13 Char Char"/>
    <w:basedOn w:val="2"/>
    <w:qFormat/>
    <w:uiPriority w:val="99"/>
    <w:pPr>
      <w:keepLines w:val="0"/>
      <w:numPr>
        <w:ilvl w:val="0"/>
        <w:numId w:val="0"/>
      </w:numPr>
      <w:autoSpaceDE w:val="0"/>
      <w:autoSpaceDN w:val="0"/>
      <w:snapToGrid/>
      <w:ind w:left="360" w:hanging="360"/>
      <w:jc w:val="center"/>
    </w:pPr>
    <w:rPr>
      <w:rFonts w:ascii="宋体" w:hAnsi="宋体" w:cs="宋体"/>
      <w:b/>
      <w:kern w:val="0"/>
      <w:sz w:val="28"/>
      <w:szCs w:val="21"/>
    </w:rPr>
  </w:style>
  <w:style w:type="paragraph" w:customStyle="1" w:styleId="602">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603">
    <w:name w:val="reader-word-layer reader-word-s5-4"/>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604">
    <w:name w:val="Char Char Char Char11"/>
    <w:basedOn w:val="1"/>
    <w:next w:val="1"/>
    <w:qFormat/>
    <w:uiPriority w:val="99"/>
    <w:rPr>
      <w:sz w:val="21"/>
      <w:szCs w:val="24"/>
    </w:rPr>
  </w:style>
  <w:style w:type="paragraph" w:customStyle="1" w:styleId="605">
    <w:name w:val="Char Char Char Char1"/>
    <w:basedOn w:val="1"/>
    <w:next w:val="1"/>
    <w:qFormat/>
    <w:uiPriority w:val="99"/>
    <w:rPr>
      <w:sz w:val="21"/>
      <w:szCs w:val="24"/>
    </w:rPr>
  </w:style>
  <w:style w:type="character" w:customStyle="1" w:styleId="606">
    <w:name w:val="lemmatitleh1"/>
    <w:basedOn w:val="57"/>
    <w:qFormat/>
    <w:uiPriority w:val="99"/>
    <w:rPr>
      <w:rFonts w:cs="Times New Roman"/>
    </w:rPr>
  </w:style>
  <w:style w:type="paragraph" w:customStyle="1" w:styleId="607">
    <w:name w:val="Char Char Char Char121"/>
    <w:basedOn w:val="1"/>
    <w:next w:val="1"/>
    <w:qFormat/>
    <w:uiPriority w:val="99"/>
    <w:rPr>
      <w:sz w:val="21"/>
      <w:szCs w:val="24"/>
    </w:rPr>
  </w:style>
  <w:style w:type="paragraph" w:customStyle="1" w:styleId="608">
    <w:name w:val="_Style 241"/>
    <w:basedOn w:val="1"/>
    <w:qFormat/>
    <w:uiPriority w:val="99"/>
    <w:pPr>
      <w:tabs>
        <w:tab w:val="left" w:pos="360"/>
      </w:tabs>
      <w:spacing w:afterLines="20" w:line="324" w:lineRule="auto"/>
      <w:ind w:firstLine="200" w:firstLineChars="200"/>
    </w:pPr>
    <w:rPr>
      <w:sz w:val="21"/>
    </w:rPr>
  </w:style>
  <w:style w:type="character" w:customStyle="1" w:styleId="609">
    <w:name w:val="legend"/>
    <w:qFormat/>
    <w:uiPriority w:val="99"/>
    <w:rPr>
      <w:color w:val="73B304"/>
      <w:shd w:val="clear" w:color="auto" w:fill="FFFFFF"/>
    </w:rPr>
  </w:style>
  <w:style w:type="paragraph" w:customStyle="1" w:styleId="610">
    <w:name w:val="Char Char Char Char131"/>
    <w:basedOn w:val="1"/>
    <w:next w:val="1"/>
    <w:qFormat/>
    <w:uiPriority w:val="99"/>
    <w:rPr>
      <w:sz w:val="21"/>
      <w:szCs w:val="24"/>
    </w:rPr>
  </w:style>
  <w:style w:type="character" w:customStyle="1" w:styleId="611">
    <w:name w:val="表格 Char"/>
    <w:qFormat/>
    <w:uiPriority w:val="99"/>
    <w:rPr>
      <w:rFonts w:eastAsia="宋体"/>
      <w:sz w:val="24"/>
      <w:lang w:val="en-US" w:eastAsia="zh-CN"/>
    </w:rPr>
  </w:style>
  <w:style w:type="character" w:customStyle="1" w:styleId="612">
    <w:name w:val="样式 样式 样式 标题 1 + 黑体 三号 黑色 居中 段前: 0.5 行 段后: 0 磅 行距: 单倍行距 + 居中 + Ti... Char"/>
    <w:qFormat/>
    <w:uiPriority w:val="99"/>
    <w:rPr>
      <w:rFonts w:eastAsia="黑体"/>
      <w:color w:val="000000"/>
      <w:sz w:val="32"/>
      <w:lang w:val="en-US" w:eastAsia="zh-CN"/>
    </w:rPr>
  </w:style>
  <w:style w:type="paragraph" w:customStyle="1" w:styleId="613">
    <w:name w:val="报告格式-正文"/>
    <w:basedOn w:val="1"/>
    <w:qFormat/>
    <w:uiPriority w:val="99"/>
    <w:pPr>
      <w:spacing w:line="360" w:lineRule="auto"/>
      <w:ind w:firstLine="200" w:firstLineChars="200"/>
    </w:pPr>
    <w:rPr>
      <w:sz w:val="28"/>
      <w:szCs w:val="36"/>
    </w:rPr>
  </w:style>
  <w:style w:type="paragraph" w:customStyle="1" w:styleId="614">
    <w:name w:val="Char Char Char Char141"/>
    <w:basedOn w:val="1"/>
    <w:next w:val="1"/>
    <w:qFormat/>
    <w:uiPriority w:val="99"/>
    <w:rPr>
      <w:sz w:val="21"/>
      <w:szCs w:val="24"/>
    </w:rPr>
  </w:style>
  <w:style w:type="character" w:customStyle="1" w:styleId="615">
    <w:name w:val="页眉 Char1"/>
    <w:qFormat/>
    <w:locked/>
    <w:uiPriority w:val="99"/>
    <w:rPr>
      <w:rFonts w:eastAsia="宋体"/>
      <w:kern w:val="2"/>
      <w:sz w:val="18"/>
      <w:lang w:val="en-US" w:eastAsia="zh-CN"/>
    </w:rPr>
  </w:style>
  <w:style w:type="paragraph" w:customStyle="1" w:styleId="616">
    <w:name w:val="样式 样式 行距: 1.5 倍行距 + 首行缩进:  2 字符"/>
    <w:basedOn w:val="1"/>
    <w:link w:val="617"/>
    <w:qFormat/>
    <w:uiPriority w:val="99"/>
    <w:pPr>
      <w:adjustRightInd w:val="0"/>
      <w:snapToGrid w:val="0"/>
      <w:spacing w:line="360" w:lineRule="auto"/>
      <w:ind w:firstLine="480" w:firstLineChars="200"/>
    </w:pPr>
    <w:rPr>
      <w:sz w:val="24"/>
    </w:rPr>
  </w:style>
  <w:style w:type="character" w:customStyle="1" w:styleId="617">
    <w:name w:val="样式 样式 行距: 1.5 倍行距 + 首行缩进:  2 字符 Char"/>
    <w:link w:val="616"/>
    <w:qFormat/>
    <w:locked/>
    <w:uiPriority w:val="99"/>
    <w:rPr>
      <w:kern w:val="2"/>
      <w:sz w:val="24"/>
    </w:rPr>
  </w:style>
  <w:style w:type="paragraph" w:customStyle="1" w:styleId="618">
    <w:name w:val="小节标题"/>
    <w:basedOn w:val="1"/>
    <w:next w:val="1"/>
    <w:qFormat/>
    <w:uiPriority w:val="99"/>
    <w:pPr>
      <w:widowControl/>
      <w:spacing w:before="175" w:after="102" w:line="351" w:lineRule="atLeast"/>
      <w:textAlignment w:val="baseline"/>
    </w:pPr>
    <w:rPr>
      <w:rFonts w:eastAsia="黑体"/>
      <w:color w:val="000000"/>
      <w:kern w:val="0"/>
      <w:sz w:val="21"/>
      <w:u w:color="000000"/>
    </w:rPr>
  </w:style>
  <w:style w:type="paragraph" w:customStyle="1" w:styleId="619">
    <w:name w:val="ff6 Char Char Char"/>
    <w:basedOn w:val="25"/>
    <w:qFormat/>
    <w:uiPriority w:val="99"/>
    <w:pPr>
      <w:adjustRightInd w:val="0"/>
      <w:snapToGrid w:val="0"/>
      <w:spacing w:line="360" w:lineRule="auto"/>
      <w:ind w:firstLine="480" w:firstLineChars="200"/>
    </w:pPr>
    <w:rPr>
      <w:rFonts w:ascii="宋体" w:hAnsi="宋体" w:cs="宋体"/>
      <w:sz w:val="24"/>
      <w:szCs w:val="24"/>
    </w:rPr>
  </w:style>
  <w:style w:type="paragraph" w:customStyle="1" w:styleId="620">
    <w:name w:val="A正文"/>
    <w:basedOn w:val="1"/>
    <w:link w:val="621"/>
    <w:qFormat/>
    <w:uiPriority w:val="99"/>
    <w:pPr>
      <w:spacing w:line="360" w:lineRule="auto"/>
      <w:ind w:firstLine="200" w:firstLineChars="200"/>
    </w:pPr>
    <w:rPr>
      <w:sz w:val="24"/>
      <w:szCs w:val="24"/>
    </w:rPr>
  </w:style>
  <w:style w:type="character" w:customStyle="1" w:styleId="621">
    <w:name w:val="A正文 Char Char"/>
    <w:link w:val="620"/>
    <w:qFormat/>
    <w:locked/>
    <w:uiPriority w:val="99"/>
    <w:rPr>
      <w:kern w:val="2"/>
      <w:sz w:val="24"/>
    </w:rPr>
  </w:style>
  <w:style w:type="character" w:customStyle="1" w:styleId="622">
    <w:name w:val="样式 样式 样式 (中文) 黑体 小三 行距: 1.5 倍行距 + 段前: 0 磅 段后: 0 磅 + 非加粗 Char"/>
    <w:link w:val="623"/>
    <w:qFormat/>
    <w:locked/>
    <w:uiPriority w:val="99"/>
    <w:rPr>
      <w:rFonts w:eastAsia="黑体"/>
      <w:b/>
      <w:sz w:val="32"/>
    </w:rPr>
  </w:style>
  <w:style w:type="paragraph" w:customStyle="1" w:styleId="623">
    <w:name w:val="样式 样式 样式 (中文) 黑体 小三 行距: 1.5 倍行距 + 段前: 0 磅 段后: 0 磅 + 非加粗"/>
    <w:basedOn w:val="1"/>
    <w:link w:val="622"/>
    <w:qFormat/>
    <w:uiPriority w:val="99"/>
    <w:pPr>
      <w:keepNext/>
      <w:keepLines/>
      <w:spacing w:line="360" w:lineRule="auto"/>
      <w:outlineLvl w:val="2"/>
    </w:pPr>
    <w:rPr>
      <w:rFonts w:eastAsia="黑体"/>
      <w:b/>
      <w:bCs/>
      <w:kern w:val="0"/>
      <w:sz w:val="30"/>
      <w:szCs w:val="32"/>
    </w:rPr>
  </w:style>
  <w:style w:type="paragraph" w:customStyle="1" w:styleId="624">
    <w:name w:val="样式 标题 2 + Times New Roman 非加粗 段前: 0 磅 段后: 0 磅 行距: 1.5 倍行距"/>
    <w:basedOn w:val="4"/>
    <w:qFormat/>
    <w:uiPriority w:val="99"/>
    <w:pPr>
      <w:numPr>
        <w:ilvl w:val="0"/>
        <w:numId w:val="0"/>
      </w:numPr>
      <w:adjustRightInd/>
      <w:snapToGrid/>
    </w:pPr>
    <w:rPr>
      <w:rFonts w:cs="宋体"/>
      <w:bCs w:val="0"/>
      <w:sz w:val="32"/>
      <w:szCs w:val="20"/>
    </w:rPr>
  </w:style>
  <w:style w:type="character" w:customStyle="1" w:styleId="625">
    <w:name w:val="highlight1"/>
    <w:qFormat/>
    <w:uiPriority w:val="99"/>
    <w:rPr>
      <w:sz w:val="21"/>
    </w:rPr>
  </w:style>
  <w:style w:type="paragraph" w:customStyle="1" w:styleId="626">
    <w:name w:val="修订1"/>
    <w:hidden/>
    <w:semiHidden/>
    <w:qFormat/>
    <w:uiPriority w:val="99"/>
    <w:rPr>
      <w:rFonts w:ascii="Calibri" w:hAnsi="Calibri" w:eastAsia="宋体" w:cs="Times New Roman"/>
      <w:kern w:val="2"/>
      <w:sz w:val="21"/>
      <w:szCs w:val="21"/>
      <w:lang w:val="en-US" w:eastAsia="zh-CN" w:bidi="ar-SA"/>
    </w:rPr>
  </w:style>
  <w:style w:type="paragraph" w:customStyle="1" w:styleId="627">
    <w:name w:val="TOC 标题1"/>
    <w:basedOn w:val="2"/>
    <w:next w:val="1"/>
    <w:qFormat/>
    <w:uiPriority w:val="99"/>
    <w:pPr>
      <w:adjustRightInd/>
      <w:snapToGrid/>
      <w:spacing w:before="480" w:line="276" w:lineRule="auto"/>
      <w:outlineLvl w:val="9"/>
    </w:pPr>
    <w:rPr>
      <w:rFonts w:ascii="Cambria" w:hAnsi="Cambria" w:eastAsia="宋体"/>
      <w:b/>
      <w:color w:val="365F91"/>
      <w:kern w:val="0"/>
      <w:sz w:val="28"/>
      <w:szCs w:val="28"/>
    </w:rPr>
  </w:style>
  <w:style w:type="paragraph" w:customStyle="1" w:styleId="628">
    <w:name w:val="明显引用1"/>
    <w:basedOn w:val="1"/>
    <w:next w:val="1"/>
    <w:qFormat/>
    <w:uiPriority w:val="99"/>
    <w:pPr>
      <w:pBdr>
        <w:bottom w:val="single" w:color="4F81BD" w:sz="4" w:space="4"/>
      </w:pBdr>
      <w:spacing w:before="200" w:after="280"/>
      <w:ind w:left="936" w:right="936"/>
    </w:pPr>
    <w:rPr>
      <w:b/>
      <w:bCs/>
      <w:i/>
      <w:iCs/>
      <w:color w:val="4F81BD"/>
      <w:kern w:val="0"/>
    </w:rPr>
  </w:style>
  <w:style w:type="paragraph" w:customStyle="1" w:styleId="629">
    <w:name w:val="引用1"/>
    <w:basedOn w:val="1"/>
    <w:next w:val="1"/>
    <w:qFormat/>
    <w:uiPriority w:val="99"/>
    <w:rPr>
      <w:i/>
      <w:iCs/>
      <w:color w:val="000000"/>
      <w:kern w:val="0"/>
    </w:rPr>
  </w:style>
  <w:style w:type="paragraph" w:customStyle="1" w:styleId="630">
    <w:name w:val="无间隔1"/>
    <w:qFormat/>
    <w:uiPriority w:val="99"/>
    <w:pPr>
      <w:widowControl w:val="0"/>
      <w:jc w:val="both"/>
    </w:pPr>
    <w:rPr>
      <w:rFonts w:ascii="Times New Roman" w:hAnsi="Times New Roman" w:eastAsia="宋体" w:cs="Times New Roman"/>
      <w:kern w:val="2"/>
      <w:sz w:val="20"/>
      <w:szCs w:val="20"/>
      <w:lang w:val="en-US" w:eastAsia="zh-CN" w:bidi="ar-SA"/>
    </w:rPr>
  </w:style>
  <w:style w:type="paragraph" w:customStyle="1" w:styleId="631">
    <w:name w:val="z-窗体底端1"/>
    <w:basedOn w:val="1"/>
    <w:next w:val="1"/>
    <w:qFormat/>
    <w:uiPriority w:val="99"/>
    <w:pPr>
      <w:pBdr>
        <w:top w:val="single" w:color="auto" w:sz="6" w:space="1"/>
      </w:pBdr>
      <w:spacing w:line="300" w:lineRule="auto"/>
      <w:jc w:val="center"/>
    </w:pPr>
    <w:rPr>
      <w:rFonts w:ascii="Arial" w:hAnsi="Arial" w:eastAsia="仿宋_GB2312"/>
      <w:vanish/>
      <w:sz w:val="16"/>
    </w:rPr>
  </w:style>
  <w:style w:type="paragraph" w:customStyle="1" w:styleId="632">
    <w:name w:val="z-窗体顶端1"/>
    <w:basedOn w:val="1"/>
    <w:next w:val="1"/>
    <w:qFormat/>
    <w:uiPriority w:val="99"/>
    <w:pPr>
      <w:pBdr>
        <w:bottom w:val="single" w:color="auto" w:sz="6" w:space="1"/>
      </w:pBdr>
      <w:spacing w:line="300" w:lineRule="auto"/>
      <w:jc w:val="center"/>
    </w:pPr>
    <w:rPr>
      <w:rFonts w:ascii="Arial" w:hAnsi="Arial" w:eastAsia="仿宋_GB2312"/>
      <w:vanish/>
      <w:sz w:val="16"/>
    </w:rPr>
  </w:style>
  <w:style w:type="paragraph" w:customStyle="1" w:styleId="633">
    <w:name w:val="Char Char Char Char12"/>
    <w:basedOn w:val="1"/>
    <w:next w:val="1"/>
    <w:qFormat/>
    <w:uiPriority w:val="99"/>
    <w:rPr>
      <w:szCs w:val="24"/>
    </w:rPr>
  </w:style>
  <w:style w:type="paragraph" w:customStyle="1" w:styleId="634">
    <w:name w:val="标准正文 Char Char Char"/>
    <w:basedOn w:val="1"/>
    <w:link w:val="644"/>
    <w:qFormat/>
    <w:uiPriority w:val="99"/>
    <w:pPr>
      <w:spacing w:line="520" w:lineRule="exact"/>
      <w:ind w:firstLine="480" w:firstLineChars="200"/>
    </w:pPr>
    <w:rPr>
      <w:rFonts w:ascii="宋体" w:hAnsi="Arial"/>
      <w:sz w:val="24"/>
      <w:szCs w:val="24"/>
    </w:rPr>
  </w:style>
  <w:style w:type="paragraph" w:customStyle="1" w:styleId="635">
    <w:name w:val="明显引用2"/>
    <w:basedOn w:val="1"/>
    <w:next w:val="1"/>
    <w:qFormat/>
    <w:uiPriority w:val="99"/>
    <w:pPr>
      <w:pBdr>
        <w:bottom w:val="single" w:color="4F81BD" w:sz="4" w:space="4"/>
      </w:pBdr>
      <w:spacing w:before="200" w:after="280"/>
      <w:ind w:left="936" w:right="936"/>
    </w:pPr>
    <w:rPr>
      <w:b/>
      <w:bCs/>
      <w:i/>
      <w:iCs/>
      <w:color w:val="4F81BD"/>
    </w:rPr>
  </w:style>
  <w:style w:type="paragraph" w:customStyle="1" w:styleId="636">
    <w:name w:val="无间隔2"/>
    <w:qFormat/>
    <w:uiPriority w:val="99"/>
    <w:pPr>
      <w:widowControl w:val="0"/>
      <w:jc w:val="both"/>
    </w:pPr>
    <w:rPr>
      <w:rFonts w:ascii="Times New Roman" w:hAnsi="Times New Roman" w:eastAsia="宋体" w:cs="Times New Roman"/>
      <w:kern w:val="2"/>
      <w:sz w:val="20"/>
      <w:szCs w:val="20"/>
      <w:lang w:val="en-US" w:eastAsia="zh-CN" w:bidi="ar-SA"/>
    </w:rPr>
  </w:style>
  <w:style w:type="paragraph" w:customStyle="1" w:styleId="637">
    <w:name w:val="引用2"/>
    <w:basedOn w:val="1"/>
    <w:next w:val="1"/>
    <w:qFormat/>
    <w:uiPriority w:val="99"/>
    <w:rPr>
      <w:i/>
      <w:iCs/>
      <w:color w:val="000000"/>
    </w:rPr>
  </w:style>
  <w:style w:type="paragraph" w:customStyle="1" w:styleId="638">
    <w:name w:val="修订2"/>
    <w:hidden/>
    <w:qFormat/>
    <w:uiPriority w:val="99"/>
    <w:rPr>
      <w:rFonts w:ascii="Times New Roman" w:hAnsi="Times New Roman" w:eastAsia="宋体" w:cs="Times New Roman"/>
      <w:kern w:val="2"/>
      <w:sz w:val="20"/>
      <w:szCs w:val="20"/>
      <w:lang w:val="en-US" w:eastAsia="zh-CN" w:bidi="ar-SA"/>
    </w:rPr>
  </w:style>
  <w:style w:type="character" w:customStyle="1" w:styleId="639">
    <w:name w:val="明显参考1"/>
    <w:qFormat/>
    <w:uiPriority w:val="99"/>
    <w:rPr>
      <w:b/>
      <w:smallCaps/>
      <w:color w:val="C0504D"/>
      <w:spacing w:val="5"/>
      <w:u w:val="single"/>
    </w:rPr>
  </w:style>
  <w:style w:type="character" w:customStyle="1" w:styleId="640">
    <w:name w:val="明显强调1"/>
    <w:qFormat/>
    <w:uiPriority w:val="99"/>
    <w:rPr>
      <w:b/>
      <w:i/>
      <w:color w:val="4F81BD"/>
    </w:rPr>
  </w:style>
  <w:style w:type="character" w:customStyle="1" w:styleId="641">
    <w:name w:val="书籍标题1"/>
    <w:qFormat/>
    <w:uiPriority w:val="99"/>
    <w:rPr>
      <w:b/>
      <w:smallCaps/>
      <w:spacing w:val="5"/>
    </w:rPr>
  </w:style>
  <w:style w:type="character" w:customStyle="1" w:styleId="642">
    <w:name w:val="不明显参考1"/>
    <w:qFormat/>
    <w:uiPriority w:val="99"/>
    <w:rPr>
      <w:smallCaps/>
      <w:color w:val="C0504D"/>
      <w:u w:val="single"/>
    </w:rPr>
  </w:style>
  <w:style w:type="character" w:customStyle="1" w:styleId="643">
    <w:name w:val="不明显强调1"/>
    <w:qFormat/>
    <w:uiPriority w:val="99"/>
    <w:rPr>
      <w:i/>
      <w:color w:val="808080"/>
    </w:rPr>
  </w:style>
  <w:style w:type="character" w:customStyle="1" w:styleId="644">
    <w:name w:val="标准正文 Char Char Char Char"/>
    <w:link w:val="634"/>
    <w:qFormat/>
    <w:locked/>
    <w:uiPriority w:val="99"/>
    <w:rPr>
      <w:rFonts w:ascii="宋体" w:hAnsi="Arial"/>
      <w:kern w:val="2"/>
      <w:sz w:val="24"/>
    </w:rPr>
  </w:style>
  <w:style w:type="character" w:customStyle="1" w:styleId="645">
    <w:name w:val="占位符文本1"/>
    <w:semiHidden/>
    <w:qFormat/>
    <w:uiPriority w:val="99"/>
    <w:rPr>
      <w:color w:val="808080"/>
    </w:rPr>
  </w:style>
  <w:style w:type="character" w:customStyle="1" w:styleId="646">
    <w:name w:val="font21"/>
    <w:qFormat/>
    <w:uiPriority w:val="99"/>
    <w:rPr>
      <w:rFonts w:ascii="Times New Roman" w:hAnsi="Times New Roman"/>
      <w:color w:val="000000"/>
      <w:sz w:val="16"/>
      <w:u w:val="none"/>
    </w:rPr>
  </w:style>
  <w:style w:type="character" w:customStyle="1" w:styleId="647">
    <w:name w:val="不明显参考2"/>
    <w:qFormat/>
    <w:uiPriority w:val="99"/>
    <w:rPr>
      <w:smallCaps/>
      <w:color w:val="C0504D"/>
      <w:u w:val="single"/>
    </w:rPr>
  </w:style>
  <w:style w:type="character" w:customStyle="1" w:styleId="648">
    <w:name w:val="不明显强调2"/>
    <w:qFormat/>
    <w:uiPriority w:val="99"/>
    <w:rPr>
      <w:i/>
      <w:color w:val="808080"/>
    </w:rPr>
  </w:style>
  <w:style w:type="character" w:customStyle="1" w:styleId="649">
    <w:name w:val="明显参考2"/>
    <w:qFormat/>
    <w:uiPriority w:val="99"/>
    <w:rPr>
      <w:b/>
      <w:smallCaps/>
      <w:color w:val="C0504D"/>
      <w:spacing w:val="5"/>
      <w:u w:val="single"/>
    </w:rPr>
  </w:style>
  <w:style w:type="character" w:customStyle="1" w:styleId="650">
    <w:name w:val="明显强调2"/>
    <w:qFormat/>
    <w:uiPriority w:val="99"/>
    <w:rPr>
      <w:b/>
      <w:i/>
      <w:color w:val="4F81BD"/>
    </w:rPr>
  </w:style>
  <w:style w:type="character" w:customStyle="1" w:styleId="651">
    <w:name w:val="明显引用 Char2"/>
    <w:semiHidden/>
    <w:qFormat/>
    <w:uiPriority w:val="99"/>
    <w:rPr>
      <w:b/>
      <w:i/>
      <w:color w:val="4F81BD"/>
      <w:kern w:val="2"/>
    </w:rPr>
  </w:style>
  <w:style w:type="character" w:customStyle="1" w:styleId="652">
    <w:name w:val="书籍标题2"/>
    <w:qFormat/>
    <w:uiPriority w:val="99"/>
    <w:rPr>
      <w:b/>
      <w:smallCaps/>
      <w:spacing w:val="5"/>
    </w:rPr>
  </w:style>
  <w:style w:type="character" w:customStyle="1" w:styleId="653">
    <w:name w:val="引用 Char2"/>
    <w:semiHidden/>
    <w:qFormat/>
    <w:uiPriority w:val="99"/>
    <w:rPr>
      <w:i/>
      <w:color w:val="000000"/>
      <w:kern w:val="2"/>
    </w:rPr>
  </w:style>
  <w:style w:type="paragraph" w:customStyle="1" w:styleId="654">
    <w:name w:val="Heading 11"/>
    <w:basedOn w:val="1"/>
    <w:qFormat/>
    <w:uiPriority w:val="99"/>
    <w:pPr>
      <w:autoSpaceDE w:val="0"/>
      <w:autoSpaceDN w:val="0"/>
      <w:adjustRightInd w:val="0"/>
      <w:jc w:val="left"/>
      <w:outlineLvl w:val="0"/>
    </w:pPr>
    <w:rPr>
      <w:rFonts w:ascii="黑体" w:eastAsia="黑体" w:cs="黑体"/>
      <w:kern w:val="0"/>
      <w:sz w:val="36"/>
      <w:szCs w:val="36"/>
    </w:rPr>
  </w:style>
  <w:style w:type="paragraph" w:customStyle="1" w:styleId="655">
    <w:name w:val="Heading 21"/>
    <w:basedOn w:val="1"/>
    <w:qFormat/>
    <w:uiPriority w:val="99"/>
    <w:pPr>
      <w:autoSpaceDE w:val="0"/>
      <w:autoSpaceDN w:val="0"/>
      <w:adjustRightInd w:val="0"/>
      <w:ind w:left="102"/>
      <w:jc w:val="left"/>
      <w:outlineLvl w:val="1"/>
    </w:pPr>
    <w:rPr>
      <w:rFonts w:ascii="黑体" w:eastAsia="黑体" w:cs="黑体"/>
      <w:kern w:val="0"/>
      <w:sz w:val="30"/>
      <w:szCs w:val="30"/>
    </w:rPr>
  </w:style>
  <w:style w:type="paragraph" w:customStyle="1" w:styleId="656">
    <w:name w:val="Heading 31"/>
    <w:basedOn w:val="1"/>
    <w:qFormat/>
    <w:uiPriority w:val="99"/>
    <w:pPr>
      <w:autoSpaceDE w:val="0"/>
      <w:autoSpaceDN w:val="0"/>
      <w:adjustRightInd w:val="0"/>
      <w:ind w:left="102"/>
      <w:jc w:val="left"/>
      <w:outlineLvl w:val="2"/>
    </w:pPr>
    <w:rPr>
      <w:b/>
      <w:bCs/>
      <w:kern w:val="0"/>
      <w:sz w:val="28"/>
      <w:szCs w:val="28"/>
    </w:rPr>
  </w:style>
  <w:style w:type="paragraph" w:customStyle="1" w:styleId="657">
    <w:name w:val="Char Char Char Char15"/>
    <w:basedOn w:val="1"/>
    <w:next w:val="1"/>
    <w:qFormat/>
    <w:uiPriority w:val="99"/>
    <w:rPr>
      <w:sz w:val="21"/>
      <w:szCs w:val="24"/>
    </w:rPr>
  </w:style>
  <w:style w:type="paragraph" w:customStyle="1" w:styleId="658">
    <w:name w:val="Char Char Char Char14"/>
    <w:basedOn w:val="1"/>
    <w:next w:val="1"/>
    <w:qFormat/>
    <w:uiPriority w:val="99"/>
    <w:rPr>
      <w:sz w:val="21"/>
      <w:szCs w:val="24"/>
    </w:rPr>
  </w:style>
  <w:style w:type="paragraph" w:customStyle="1" w:styleId="659">
    <w:name w:val="Char Char Char Char13"/>
    <w:basedOn w:val="1"/>
    <w:next w:val="1"/>
    <w:qFormat/>
    <w:uiPriority w:val="99"/>
    <w:rPr>
      <w:sz w:val="21"/>
      <w:szCs w:val="24"/>
    </w:rPr>
  </w:style>
  <w:style w:type="paragraph" w:customStyle="1" w:styleId="660">
    <w:name w:val="正文LD"/>
    <w:basedOn w:val="661"/>
    <w:link w:val="662"/>
    <w:qFormat/>
    <w:uiPriority w:val="99"/>
    <w:pPr>
      <w:tabs>
        <w:tab w:val="left" w:pos="0"/>
      </w:tabs>
      <w:ind w:firstLine="200"/>
    </w:pPr>
    <w:rPr>
      <w:rFonts w:ascii="宋体" w:hAnsi="Times New Roman"/>
    </w:rPr>
  </w:style>
  <w:style w:type="paragraph" w:customStyle="1" w:styleId="661">
    <w:name w:val="样式 Century Gothic 小四 行距: 1.5 倍行距"/>
    <w:basedOn w:val="1"/>
    <w:qFormat/>
    <w:uiPriority w:val="99"/>
    <w:pPr>
      <w:tabs>
        <w:tab w:val="left" w:pos="0"/>
      </w:tabs>
      <w:spacing w:line="360" w:lineRule="auto"/>
      <w:ind w:firstLine="480" w:firstLineChars="200"/>
    </w:pPr>
    <w:rPr>
      <w:rFonts w:ascii="Century Gothic" w:hAnsi="Century Gothic"/>
      <w:sz w:val="24"/>
    </w:rPr>
  </w:style>
  <w:style w:type="character" w:customStyle="1" w:styleId="662">
    <w:name w:val="正文LD Char"/>
    <w:link w:val="660"/>
    <w:qFormat/>
    <w:locked/>
    <w:uiPriority w:val="99"/>
    <w:rPr>
      <w:rFonts w:ascii="宋体"/>
      <w:kern w:val="2"/>
      <w:sz w:val="24"/>
    </w:rPr>
  </w:style>
  <w:style w:type="paragraph" w:customStyle="1" w:styleId="663">
    <w:name w:val="样式 小四 行距: 固定值 23 磅"/>
    <w:basedOn w:val="1"/>
    <w:qFormat/>
    <w:uiPriority w:val="99"/>
    <w:pPr>
      <w:spacing w:line="460" w:lineRule="exact"/>
      <w:ind w:firstLine="48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9.jpe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wmf"/><Relationship Id="rId5" Type="http://schemas.openxmlformats.org/officeDocument/2006/relationships/header" Target="header2.xml"/><Relationship Id="rId49" Type="http://schemas.openxmlformats.org/officeDocument/2006/relationships/image" Target="media/image33.wmf"/><Relationship Id="rId48" Type="http://schemas.openxmlformats.org/officeDocument/2006/relationships/image" Target="media/image32.wmf"/><Relationship Id="rId47" Type="http://schemas.openxmlformats.org/officeDocument/2006/relationships/image" Target="media/image31.wmf"/><Relationship Id="rId46" Type="http://schemas.openxmlformats.org/officeDocument/2006/relationships/image" Target="media/image30.wmf"/><Relationship Id="rId45" Type="http://schemas.openxmlformats.org/officeDocument/2006/relationships/image" Target="media/image29.png"/><Relationship Id="rId44" Type="http://schemas.openxmlformats.org/officeDocument/2006/relationships/image" Target="media/image28.wmf"/><Relationship Id="rId43" Type="http://schemas.openxmlformats.org/officeDocument/2006/relationships/image" Target="media/image27.wmf"/><Relationship Id="rId42" Type="http://schemas.openxmlformats.org/officeDocument/2006/relationships/image" Target="media/image26.wmf"/><Relationship Id="rId41" Type="http://schemas.openxmlformats.org/officeDocument/2006/relationships/image" Target="media/image25.wmf"/><Relationship Id="rId40" Type="http://schemas.openxmlformats.org/officeDocument/2006/relationships/image" Target="media/image24.wmf"/><Relationship Id="rId4" Type="http://schemas.openxmlformats.org/officeDocument/2006/relationships/header" Target="header1.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pn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wmf"/><Relationship Id="rId30" Type="http://schemas.openxmlformats.org/officeDocument/2006/relationships/oleObject" Target="embeddings/oleObject2.bin"/><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1.bin"/><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39"/>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0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Sky123.Org</Company>
  <Pages>145</Pages>
  <Words>16488</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2016-03-18T05:58:00Z</dcterms:created>
  <dc:creator>2013</dc:creator>
  <cp:lastModifiedBy>lenovo</cp:lastModifiedBy>
  <cp:lastPrinted>2017-03-08T09:04:00Z</cp:lastPrinted>
  <dcterms:modified xsi:type="dcterms:W3CDTF">2017-04-07T08:34:50Z</dcterms:modified>
  <cp:revision>233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