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right" w:leader="middleDot" w:pos="8296"/>
        </w:tabs>
        <w:spacing w:line="500" w:lineRule="exact"/>
        <w:ind w:right="560" w:firstLine="560"/>
        <w:rPr>
          <w:rFonts w:eastAsia="仿宋_GB2312"/>
          <w:bCs/>
          <w:kern w:val="0"/>
          <w:sz w:val="28"/>
          <w:szCs w:val="28"/>
        </w:rPr>
      </w:pPr>
    </w:p>
    <w:p/>
    <w:p/>
    <w:p/>
    <w:p/>
    <w:p/>
    <w:p/>
    <w:p>
      <w:pPr>
        <w:pStyle w:val="2"/>
        <w:jc w:val="left"/>
        <w:rPr>
          <w:rFonts w:ascii="仿宋_GB2312" w:hAnsi="仿宋_GB2312" w:eastAsia="仿宋_GB2312" w:cs="仿宋_GB2312"/>
          <w:b w:val="0"/>
        </w:rPr>
      </w:pPr>
      <w:r>
        <w:rPr>
          <w:rFonts w:hint="eastAsia" w:ascii="仿宋_GB2312" w:hAnsi="仿宋_GB2312" w:eastAsia="仿宋_GB2312" w:cs="仿宋_GB2312"/>
          <w:b w:val="0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</w:rPr>
        <w:t xml:space="preserve"> 岳汨环评〔202</w:t>
      </w:r>
      <w:r>
        <w:rPr>
          <w:rFonts w:hint="eastAsia" w:ascii="仿宋_GB2312" w:hAnsi="仿宋_GB2312" w:eastAsia="仿宋_GB2312" w:cs="仿宋_GB2312"/>
          <w:b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</w:rPr>
        <w:t>〕</w:t>
      </w:r>
      <w:r>
        <w:rPr>
          <w:rFonts w:hint="eastAsia" w:ascii="仿宋_GB2312" w:hAnsi="仿宋_GB2312" w:eastAsia="仿宋_GB2312" w:cs="仿宋_GB2312"/>
          <w:b w:val="0"/>
          <w:lang w:eastAsia="zh-CN"/>
        </w:rPr>
        <w:t>07</w:t>
      </w:r>
      <w:r>
        <w:rPr>
          <w:rFonts w:hint="eastAsia" w:ascii="仿宋_GB2312" w:hAnsi="仿宋_GB2312" w:eastAsia="仿宋_GB2312" w:cs="仿宋_GB2312"/>
          <w:b w:val="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</w:rPr>
        <w:t>号</w:t>
      </w:r>
    </w:p>
    <w:p/>
    <w:p>
      <w:pPr>
        <w:pStyle w:val="2"/>
        <w:jc w:val="center"/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</w:pPr>
      <w:r>
        <w:rPr>
          <w:rFonts w:ascii="黑体" w:hAnsi="黑体" w:eastAsia="黑体"/>
          <w:b w:val="0"/>
          <w:bCs/>
          <w:sz w:val="36"/>
          <w:szCs w:val="36"/>
        </w:rPr>
        <w:t>关于</w:t>
      </w:r>
      <w:r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  <w:t>汨罗市高能新型环保建材有限公司</w:t>
      </w:r>
    </w:p>
    <w:p>
      <w:pPr>
        <w:pStyle w:val="2"/>
        <w:jc w:val="center"/>
        <w:rPr>
          <w:rFonts w:ascii="黑体" w:hAnsi="黑体" w:eastAsia="黑体"/>
          <w:b w:val="0"/>
          <w:bCs/>
          <w:sz w:val="36"/>
          <w:szCs w:val="36"/>
        </w:rPr>
      </w:pPr>
      <w:r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  <w:t>年产7万立方米水泥砌块建设项目</w:t>
      </w:r>
      <w:r>
        <w:rPr>
          <w:rFonts w:ascii="黑体" w:hAnsi="黑体" w:eastAsia="黑体"/>
          <w:b w:val="0"/>
          <w:bCs/>
          <w:sz w:val="36"/>
          <w:szCs w:val="36"/>
        </w:rPr>
        <w:t>环境影响报告表的批复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汨罗市高能新型环保建材有限公司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你公司《关于申请批复&lt;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汨罗市高能新型环保建材有限公司年产7万立方米水泥砌块建设项目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环境影响报告表&gt;的报告》及有关附件收悉。经研究，批复如下：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一、你公司拟投资</w:t>
      </w:r>
      <w:r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万元（其中环保投资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租赁位于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汨罗市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川山坪镇高家坊村的原高家坊老政府前坪闲置场地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年产7万立方米水泥砌块项目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该</w:t>
      </w:r>
      <w:r>
        <w:rPr>
          <w:rFonts w:hint="eastAsia" w:ascii="仿宋_GB2312" w:eastAsia="仿宋_GB2312"/>
          <w:color w:val="000000"/>
          <w:sz w:val="32"/>
          <w:szCs w:val="32"/>
        </w:rPr>
        <w:t>项目主要以</w:t>
      </w:r>
      <w:r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边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石材厂沉淀池沉渣、光学仪器厂废渣、砂石骨料厂洗砂泥浆、机制砂、粉煤灰、水泥</w:t>
      </w:r>
      <w:r>
        <w:rPr>
          <w:rFonts w:hint="eastAsia" w:ascii="仿宋_GB2312" w:eastAsia="仿宋_GB2312"/>
          <w:color w:val="000000"/>
          <w:sz w:val="32"/>
          <w:szCs w:val="32"/>
        </w:rPr>
        <w:t>等为原材料，通过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上料、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混合搅拌、压制成型、养护、打包等工序生产不同规格的装饰用水泥砌块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用地面积约</w:t>
      </w:r>
      <w:r>
        <w:rPr>
          <w:rFonts w:hint="eastAsia" w:ascii="仿宋_GB2312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3890.56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平方米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根据你公司委托</w:t>
      </w:r>
      <w:r>
        <w:rPr>
          <w:rFonts w:hint="eastAsia" w:ascii="仿宋_GB2312" w:eastAsia="仿宋_GB2312"/>
          <w:color w:val="auto"/>
          <w:sz w:val="32"/>
          <w:szCs w:val="32"/>
        </w:rPr>
        <w:t>湖南德顺环境服务有限公司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汨罗市高能新型环保建材有限公司年产7万立方米水泥砌块建设项目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环境影响报告表（报批稿）》的结论、建议及专家评审意见，该项目符合现行产业政策，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从环境保护的角度考虑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，项目建设可行。我局原则同意你公司按照该项目环境影响报告表确定的性质、规模、工艺、地点、防治污染及防止生态破坏的措施进行建设。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二、你公司在该项目设计、施工和运营过程中必须严格执行环境保护“三同时”制度，全面落实项目环境影响报告表及本批复提出的各项生态保护、污染防治和风险防范措施，着重做好以下几项工作：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加强施工期</w:t>
      </w:r>
      <w:r>
        <w:rPr>
          <w:rFonts w:hint="eastAsia" w:ascii="仿宋_GB2312" w:hAnsi="Calibri" w:eastAsia="仿宋_GB2312"/>
          <w:sz w:val="32"/>
          <w:szCs w:val="32"/>
        </w:rPr>
        <w:t>生态</w:t>
      </w:r>
      <w:r>
        <w:rPr>
          <w:rFonts w:hint="eastAsia" w:ascii="仿宋_GB2312" w:hAnsi="宋体" w:eastAsia="仿宋_GB2312"/>
          <w:sz w:val="32"/>
          <w:szCs w:val="32"/>
        </w:rPr>
        <w:t>环境</w:t>
      </w:r>
      <w:r>
        <w:rPr>
          <w:rFonts w:hint="eastAsia" w:ascii="仿宋_GB2312" w:hAnsi="Calibri" w:eastAsia="仿宋_GB2312"/>
          <w:sz w:val="32"/>
          <w:szCs w:val="32"/>
        </w:rPr>
        <w:t>保护。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施工场地落实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易产尘物料围挡覆盖、</w:t>
      </w:r>
      <w:r>
        <w:rPr>
          <w:rFonts w:hint="eastAsia" w:ascii="仿宋_GB2312" w:hAnsi="仿宋_GB2312" w:eastAsia="仿宋_GB2312" w:cs="仿宋_GB2312"/>
          <w:sz w:val="32"/>
          <w:szCs w:val="32"/>
        </w:rPr>
        <w:t>洒水抑尘、冲洗地面和车辆等防尘抑尘措施，防止扬尘污染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使用符合国家排放标准的非道路移动机械和机动车，防止尾气污染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选用低噪声施工设备，合理安排施工时间，</w:t>
      </w:r>
      <w:r>
        <w:rPr>
          <w:rFonts w:hint="eastAsia" w:ascii="仿宋_GB2312" w:eastAsia="仿宋_GB2312"/>
          <w:sz w:val="32"/>
          <w:szCs w:val="32"/>
        </w:rPr>
        <w:t>高噪</w:t>
      </w:r>
      <w:r>
        <w:rPr>
          <w:rFonts w:hint="eastAsia" w:ascii="仿宋_GB2312" w:eastAsia="仿宋_GB2312"/>
          <w:sz w:val="32"/>
          <w:szCs w:val="32"/>
          <w:lang w:eastAsia="zh-CN"/>
        </w:rPr>
        <w:t>声</w:t>
      </w:r>
      <w:r>
        <w:rPr>
          <w:rFonts w:hint="eastAsia" w:ascii="仿宋_GB2312" w:eastAsia="仿宋_GB2312"/>
          <w:sz w:val="32"/>
          <w:szCs w:val="32"/>
        </w:rPr>
        <w:t>设备减振降噪，建筑施工噪声执行《建筑施工场界环境噪声排放标准》（GB 12523-2011）。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施工废水经隔油沉淀处理后回用于车辆冲洗和洒水抑尘，不外排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生活污水经化粪池处理后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就近作农肥利用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，不外排。工程建设使用商品混凝土和装配式建筑，土建完成后及时跟进绿化，防止水土流失。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建筑垃圾按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行业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管理部门要求统一处置，生活垃圾交环境卫生管理部门及时清运。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2、认真做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好水污染防治工作。严格按照“雨污分流、污污分流”原则设计建设厂区雨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污水管网</w:t>
      </w:r>
      <w:r>
        <w:rPr>
          <w:rFonts w:hint="eastAsia" w:ascii="仿宋_GB2312" w:eastAsia="仿宋_GB2312"/>
          <w:sz w:val="32"/>
          <w:szCs w:val="32"/>
          <w:lang w:eastAsia="zh-CN"/>
        </w:rPr>
        <w:t>及处理设施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。本项目运营期无生产性废水排放，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设备清洗废水经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</w:rPr>
        <w:t>絮凝沉淀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处理、初期雨水经沉淀处理后均回用于生产，不外排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生活污水经化粪池处理后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就近作农肥利用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，不外排。</w:t>
      </w:r>
      <w:r>
        <w:rPr>
          <w:rFonts w:hint="eastAsia" w:ascii="仿宋_GB2312" w:eastAsia="仿宋_GB2312"/>
          <w:sz w:val="32"/>
          <w:szCs w:val="32"/>
          <w:lang w:eastAsia="zh-CN"/>
        </w:rPr>
        <w:t>加强涉污区域的生产管理，</w:t>
      </w:r>
      <w:r>
        <w:rPr>
          <w:rFonts w:hint="eastAsia" w:ascii="仿宋_GB2312" w:eastAsia="仿宋_GB2312"/>
          <w:sz w:val="32"/>
          <w:szCs w:val="32"/>
        </w:rPr>
        <w:t>物料及固体废物堆存场所、污水处理设施及管网须防雨防渗防漏，防止废水溢排漏排。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3、切实做好大气污染防治工作。</w:t>
      </w:r>
      <w:r>
        <w:rPr>
          <w:rFonts w:hint="eastAsia" w:ascii="仿宋_GB2312" w:eastAsia="仿宋_GB2312"/>
          <w:kern w:val="0"/>
          <w:sz w:val="32"/>
          <w:szCs w:val="32"/>
        </w:rPr>
        <w:t>作业场地硬化，非作业区域绿化，定时洒水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抑</w:t>
      </w:r>
      <w:r>
        <w:rPr>
          <w:rFonts w:hint="eastAsia" w:ascii="仿宋_GB2312" w:eastAsia="仿宋_GB2312"/>
          <w:kern w:val="0"/>
          <w:sz w:val="32"/>
          <w:szCs w:val="32"/>
        </w:rPr>
        <w:t>尘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，及时清扫地面积尘和沉降物料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运输车辆货厢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覆盖</w:t>
      </w:r>
      <w:r>
        <w:rPr>
          <w:rFonts w:hint="eastAsia" w:ascii="仿宋_GB2312" w:eastAsia="仿宋_GB2312"/>
          <w:color w:val="000000"/>
          <w:sz w:val="32"/>
          <w:szCs w:val="32"/>
        </w:rPr>
        <w:t>限载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限速行驶。原料贮存区采取固定式防雨顶棚、防风围挡、雾化喷淋等防尘抑尘措施，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水泥筒仓配套脉冲袋式除尘器处理粉尘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上料、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皮带运输等产尘工序喷雾抑尘，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搅拌设备密闭作业。大气污染物</w:t>
      </w:r>
      <w:r>
        <w:rPr>
          <w:rFonts w:hint="eastAsia" w:ascii="仿宋_GB2312" w:eastAsia="仿宋_GB2312"/>
          <w:kern w:val="0"/>
          <w:sz w:val="32"/>
          <w:szCs w:val="32"/>
        </w:rPr>
        <w:t>无组织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排放执行</w:t>
      </w:r>
      <w:r>
        <w:rPr>
          <w:rFonts w:hint="eastAsia" w:ascii="仿宋_GB2312" w:eastAsia="仿宋_GB2312"/>
          <w:kern w:val="0"/>
          <w:sz w:val="32"/>
          <w:szCs w:val="32"/>
        </w:rPr>
        <w:t>《水泥工业大</w:t>
      </w:r>
      <w:r>
        <w:rPr>
          <w:rFonts w:hint="eastAsia" w:ascii="仿宋_GB2312" w:eastAsia="仿宋_GB2312"/>
          <w:sz w:val="32"/>
          <w:szCs w:val="32"/>
        </w:rPr>
        <w:t>气污染物排放标准》</w:t>
      </w:r>
      <w:r>
        <w:rPr>
          <w:rFonts w:hint="eastAsia" w:ascii="仿宋_GB2312" w:hAnsi="Calibri" w:eastAsia="仿宋_GB2312"/>
          <w:sz w:val="32"/>
          <w:szCs w:val="32"/>
        </w:rPr>
        <w:t>（GB 4915-2013）</w:t>
      </w:r>
      <w:r>
        <w:rPr>
          <w:rFonts w:hint="eastAsia" w:ascii="仿宋_GB2312" w:eastAsia="仿宋_GB2312"/>
          <w:kern w:val="0"/>
          <w:sz w:val="32"/>
          <w:szCs w:val="32"/>
        </w:rPr>
        <w:t>无组织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排放控制</w:t>
      </w:r>
      <w:r>
        <w:rPr>
          <w:rFonts w:hint="eastAsia" w:ascii="仿宋_GB2312" w:eastAsia="仿宋_GB2312"/>
          <w:sz w:val="32"/>
          <w:szCs w:val="32"/>
        </w:rPr>
        <w:t>要求。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4、采取措施防止噪声污染扰民。</w:t>
      </w:r>
      <w:r>
        <w:rPr>
          <w:rFonts w:hint="eastAsia" w:ascii="仿宋_GB2312" w:eastAsia="仿宋_GB2312"/>
          <w:bCs/>
          <w:kern w:val="0"/>
          <w:sz w:val="32"/>
          <w:szCs w:val="32"/>
        </w:rPr>
        <w:t>尽量选用低噪设备并加强保养，高噪设备须配置消声、减振、隔音设施，对产生噪声的设备和工序合理布局。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西</w:t>
      </w:r>
      <w:r>
        <w:rPr>
          <w:rFonts w:hint="eastAsia" w:ascii="仿宋_GB2312" w:eastAsia="仿宋_GB2312"/>
          <w:bCs/>
          <w:kern w:val="0"/>
          <w:sz w:val="32"/>
          <w:szCs w:val="32"/>
        </w:rPr>
        <w:t>厂界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和其余厂界</w:t>
      </w:r>
      <w:r>
        <w:rPr>
          <w:rFonts w:hint="eastAsia" w:ascii="仿宋_GB2312" w:eastAsia="仿宋_GB2312"/>
          <w:bCs/>
          <w:kern w:val="0"/>
          <w:sz w:val="32"/>
          <w:szCs w:val="32"/>
        </w:rPr>
        <w:t>环境噪声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eastAsia="仿宋_GB2312"/>
          <w:bCs/>
          <w:kern w:val="0"/>
          <w:sz w:val="32"/>
          <w:szCs w:val="32"/>
        </w:rPr>
        <w:t>执行《工业企业厂界环境噪声排放标准》(GB 12348-2008)表1中的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kern w:val="0"/>
          <w:sz w:val="32"/>
          <w:szCs w:val="32"/>
        </w:rPr>
        <w:t>类区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kern w:val="0"/>
          <w:sz w:val="32"/>
          <w:szCs w:val="32"/>
        </w:rPr>
        <w:t>2类区排放限值。合理安排生产作业和运输装卸时间，</w:t>
      </w:r>
      <w:r>
        <w:rPr>
          <w:rFonts w:hint="eastAsia" w:ascii="仿宋_GB2312" w:eastAsia="仿宋_GB2312"/>
          <w:color w:val="000000"/>
          <w:sz w:val="32"/>
          <w:szCs w:val="32"/>
        </w:rPr>
        <w:t>夜间和午间不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得</w:t>
      </w:r>
      <w:r>
        <w:rPr>
          <w:rFonts w:hint="eastAsia" w:ascii="仿宋_GB2312" w:eastAsia="仿宋_GB2312"/>
          <w:color w:val="000000"/>
          <w:sz w:val="32"/>
          <w:szCs w:val="32"/>
        </w:rPr>
        <w:t>生产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，确保不会对周边居民的正常生产生活造成影响。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5、规范固体废物的暂存处置。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建立健全固体废物产生、转运、处置管理台帐，一般工业固体废物贮存须采取防渗漏、防雨淋、防扬尘等环保措施，不得擅自倾倒、堆放、丢弃、遗撒。</w:t>
      </w:r>
      <w:r>
        <w:rPr>
          <w:rFonts w:hint="eastAsia" w:ascii="仿宋_GB2312" w:eastAsia="仿宋_GB2312"/>
          <w:color w:val="000000"/>
          <w:sz w:val="32"/>
          <w:szCs w:val="32"/>
        </w:rPr>
        <w:t>生活垃圾交当地环境卫生管理部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门</w:t>
      </w:r>
      <w:r>
        <w:rPr>
          <w:rFonts w:hint="eastAsia" w:ascii="仿宋_GB2312" w:eastAsia="仿宋_GB2312"/>
          <w:color w:val="000000"/>
          <w:sz w:val="32"/>
          <w:szCs w:val="32"/>
        </w:rPr>
        <w:t>及时清运处置。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6、加强环境管理和风险防范。切实加强内部环境管理，实行清洁生产，</w:t>
      </w:r>
      <w:r>
        <w:rPr>
          <w:rFonts w:hint="eastAsia" w:ascii="仿宋_GB2312" w:eastAsia="仿宋_GB2312"/>
          <w:sz w:val="32"/>
          <w:szCs w:val="32"/>
        </w:rPr>
        <w:t>制定环境保护相关制度并严格执行，确保污染防治设施正常运行，各类污染物稳定达标排放。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严把原材料关，禁止使用无合法来源的原材料，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禁止私采烂挖土砂石等矿产资源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加强安全生产管理，防范安全事故发生。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</w:t>
      </w:r>
      <w:r>
        <w:rPr>
          <w:rFonts w:hint="eastAsia" w:ascii="仿宋_GB2312" w:eastAsia="仿宋_GB2312"/>
          <w:color w:val="auto"/>
          <w:sz w:val="32"/>
          <w:szCs w:val="32"/>
        </w:rPr>
        <w:t>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项目竣工后，你公司须按照</w:t>
      </w:r>
      <w:r>
        <w:rPr>
          <w:rFonts w:hint="eastAsia" w:ascii="仿宋_GB2312" w:eastAsia="仿宋_GB2312"/>
          <w:color w:val="auto"/>
          <w:sz w:val="32"/>
          <w:szCs w:val="32"/>
        </w:rPr>
        <w:t>《建设项目环境保护管理条例》</w:t>
      </w:r>
      <w:r>
        <w:rPr>
          <w:rStyle w:val="10"/>
          <w:rFonts w:hint="eastAsia" w:ascii="仿宋_GB2312" w:hAnsi="Times New Roman" w:eastAsia="仿宋_GB2312" w:cs="Times New Roman"/>
          <w:b w:val="0"/>
          <w:color w:val="auto"/>
          <w:sz w:val="32"/>
          <w:szCs w:val="32"/>
        </w:rPr>
        <w:t>等相关法律法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规要求，对配套建设的</w:t>
      </w:r>
      <w:r>
        <w:rPr>
          <w:rFonts w:hint="eastAsia" w:ascii="仿宋_GB2312" w:eastAsia="仿宋_GB2312"/>
          <w:color w:val="auto"/>
          <w:sz w:val="32"/>
          <w:szCs w:val="32"/>
        </w:rPr>
        <w:t>环境保护设施进行验收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，经验收合格后,建设项目方可投入生产或使用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四、如你公司在报批该项目环境影响报告表过程中存在瞒报、谎报等欺骗行为，依据《中华人民共和国行政许可法》第六十九条的规定，我局有权撤销本批复，由此造成的一切后果由你公司承担。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center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spacing w:line="600" w:lineRule="exact"/>
        <w:ind w:right="640"/>
        <w:rPr>
          <w:rFonts w:ascii="仿宋_GB2312" w:eastAsia="仿宋_GB2312"/>
          <w:color w:val="0000FF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FF"/>
          <w:kern w:val="0"/>
          <w:sz w:val="32"/>
          <w:szCs w:val="32"/>
        </w:rPr>
        <w:pict>
          <v:shape id="Straight Connector 2" o:spid="_x0000_s2050" o:spt="32" type="#_x0000_t32" style="position:absolute;left:0pt;flip:y;margin-left:2.4pt;margin-top:27.05pt;height:1.5pt;width:441.75pt;z-index:251659264;mso-width-relative:page;mso-height-relative:page;" o:connectortype="straight" filled="f" o:preferrelative="t" coordsize="21600,21600">
            <v:path arrowok="t"/>
            <v:fill on="f" focussize="0,0"/>
            <v:stroke weight="0.5pt" miterlimit="2"/>
            <v:imagedata o:title=""/>
            <o:lock v:ext="edit"/>
          </v:shape>
        </w:pict>
      </w:r>
    </w:p>
    <w:p>
      <w:pPr>
        <w:spacing w:line="600" w:lineRule="exact"/>
        <w:ind w:left="960" w:hanging="960" w:hangingChars="300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pict>
          <v:shape id="Straight Connector 1026" o:spid="_x0000_s2051" o:spt="32" type="#_x0000_t32" style="position:absolute;left:0pt;flip:y;margin-left:8.4pt;margin-top:61.4pt;height:1.5pt;width:441.75pt;z-index:251659264;mso-width-relative:page;mso-height-relative:page;" o:connectortype="straight" filled="f" o:preferrelative="t" coordsize="21600,21600">
            <v:path arrowok="t"/>
            <v:fill on="f" focussize="0,0"/>
            <v:stroke weight="0.5pt" miterlimit="2"/>
            <v:imagedata o:title=""/>
            <o:lock v:ext="edit"/>
          </v:shape>
        </w:pic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抄送：</w:t>
      </w:r>
      <w:r>
        <w:rPr>
          <w:rFonts w:hint="eastAsia" w:ascii="仿宋_GB2312" w:eastAsia="仿宋_GB2312"/>
          <w:sz w:val="32"/>
          <w:szCs w:val="32"/>
        </w:rPr>
        <w:t>岳阳市汨罗生态环境保护综合行政执法大队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、汨罗市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川山坪</w:t>
      </w:r>
      <w:r>
        <w:rPr>
          <w:rFonts w:hint="eastAsia" w:ascii="仿宋_GB2312" w:eastAsia="仿宋_GB2312"/>
          <w:bCs/>
          <w:kern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环境保护站、</w:t>
      </w:r>
      <w:r>
        <w:rPr>
          <w:rFonts w:hint="eastAsia" w:ascii="仿宋_GB2312" w:eastAsia="仿宋_GB2312"/>
          <w:bCs/>
          <w:kern w:val="0"/>
          <w:sz w:val="32"/>
          <w:szCs w:val="32"/>
        </w:rPr>
        <w:t>湖南</w:t>
      </w:r>
      <w:r>
        <w:rPr>
          <w:rFonts w:hint="eastAsia" w:ascii="仿宋_GB2312" w:eastAsia="仿宋_GB2312"/>
          <w:color w:val="auto"/>
          <w:sz w:val="32"/>
          <w:szCs w:val="32"/>
        </w:rPr>
        <w:t>德顺环境服务有限公司</w:t>
      </w:r>
    </w:p>
    <w:sectPr>
      <w:footerReference r:id="rId3" w:type="default"/>
      <w:pgSz w:w="11906" w:h="16838"/>
      <w:pgMar w:top="1247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I1YTI0MGE0ODkxOTFiNWI1OWZjZjlkZmM2ZjRmODUifQ=="/>
  </w:docVars>
  <w:rsids>
    <w:rsidRoot w:val="00CE7DD1"/>
    <w:rsid w:val="00041484"/>
    <w:rsid w:val="00121B88"/>
    <w:rsid w:val="001471EB"/>
    <w:rsid w:val="001D0706"/>
    <w:rsid w:val="002557F6"/>
    <w:rsid w:val="00280E5F"/>
    <w:rsid w:val="0029661D"/>
    <w:rsid w:val="003C482D"/>
    <w:rsid w:val="0042354A"/>
    <w:rsid w:val="004500EA"/>
    <w:rsid w:val="0067140D"/>
    <w:rsid w:val="006D54E8"/>
    <w:rsid w:val="0072386F"/>
    <w:rsid w:val="00763327"/>
    <w:rsid w:val="007C5E93"/>
    <w:rsid w:val="008168BC"/>
    <w:rsid w:val="008C6C1A"/>
    <w:rsid w:val="00A20B09"/>
    <w:rsid w:val="00B25341"/>
    <w:rsid w:val="00B50231"/>
    <w:rsid w:val="00BA256B"/>
    <w:rsid w:val="00BF50CB"/>
    <w:rsid w:val="00C04B51"/>
    <w:rsid w:val="00C56E29"/>
    <w:rsid w:val="00C81413"/>
    <w:rsid w:val="00CE7DD1"/>
    <w:rsid w:val="00D05C5B"/>
    <w:rsid w:val="00D066A2"/>
    <w:rsid w:val="00D12B1A"/>
    <w:rsid w:val="00D666F1"/>
    <w:rsid w:val="00DF40FC"/>
    <w:rsid w:val="00E21C42"/>
    <w:rsid w:val="00E24650"/>
    <w:rsid w:val="00E425F4"/>
    <w:rsid w:val="00E77E2A"/>
    <w:rsid w:val="00F305D0"/>
    <w:rsid w:val="00F51E8B"/>
    <w:rsid w:val="00F622DB"/>
    <w:rsid w:val="00F65D0B"/>
    <w:rsid w:val="00FE3E2A"/>
    <w:rsid w:val="159002B2"/>
    <w:rsid w:val="16340B86"/>
    <w:rsid w:val="1DCC6136"/>
    <w:rsid w:val="26EA6341"/>
    <w:rsid w:val="2AFE6DF6"/>
    <w:rsid w:val="33E33858"/>
    <w:rsid w:val="365858F5"/>
    <w:rsid w:val="378912C0"/>
    <w:rsid w:val="3B171B1F"/>
    <w:rsid w:val="3DFF5FDB"/>
    <w:rsid w:val="410C7141"/>
    <w:rsid w:val="4E7F4360"/>
    <w:rsid w:val="4EF85249"/>
    <w:rsid w:val="4F891C6B"/>
    <w:rsid w:val="505D5D3B"/>
    <w:rsid w:val="54F661DA"/>
    <w:rsid w:val="5F4858DF"/>
    <w:rsid w:val="645725C6"/>
    <w:rsid w:val="74376B8B"/>
    <w:rsid w:val="7A4A2595"/>
    <w:rsid w:val="7C1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2"/>
        <o:r id="V:Rule2" type="connector" idref="#Straight Connector 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0" w:after="20" w:line="415" w:lineRule="auto"/>
      <w:outlineLvl w:val="1"/>
    </w:pPr>
    <w:rPr>
      <w:rFonts w:ascii="Cambria" w:hAnsi="Cambria"/>
      <w:b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paragraph" w:customStyle="1" w:styleId="11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9"/>
    <w:link w:val="3"/>
    <w:autoRedefine/>
    <w:qFormat/>
    <w:uiPriority w:val="0"/>
    <w:rPr>
      <w:kern w:val="2"/>
      <w:sz w:val="21"/>
    </w:rPr>
  </w:style>
  <w:style w:type="paragraph" w:customStyle="1" w:styleId="15">
    <w:name w:val="正文-易恒"/>
    <w:basedOn w:val="1"/>
    <w:link w:val="16"/>
    <w:autoRedefine/>
    <w:qFormat/>
    <w:uiPriority w:val="0"/>
    <w:pPr>
      <w:spacing w:line="360" w:lineRule="auto"/>
      <w:ind w:firstLine="200" w:firstLineChars="200"/>
    </w:pPr>
    <w:rPr>
      <w:sz w:val="24"/>
      <w:szCs w:val="24"/>
    </w:rPr>
  </w:style>
  <w:style w:type="character" w:customStyle="1" w:styleId="16">
    <w:name w:val="正文-易恒 字符"/>
    <w:basedOn w:val="9"/>
    <w:link w:val="15"/>
    <w:autoRedefine/>
    <w:qFormat/>
    <w:uiPriority w:val="0"/>
    <w:rPr>
      <w:kern w:val="2"/>
      <w:sz w:val="24"/>
      <w:szCs w:val="24"/>
    </w:rPr>
  </w:style>
  <w:style w:type="paragraph" w:customStyle="1" w:styleId="17">
    <w:name w:val="环评正文Z"/>
    <w:basedOn w:val="1"/>
    <w:autoRedefine/>
    <w:qFormat/>
    <w:uiPriority w:val="0"/>
    <w:pPr>
      <w:spacing w:line="360" w:lineRule="auto"/>
      <w:ind w:firstLine="723" w:firstLineChars="200"/>
    </w:pPr>
    <w:rPr>
      <w:sz w:val="24"/>
    </w:rPr>
  </w:style>
  <w:style w:type="paragraph" w:customStyle="1" w:styleId="18">
    <w:name w:val="表格-易恒1"/>
    <w:basedOn w:val="1"/>
    <w:link w:val="19"/>
    <w:autoRedefine/>
    <w:qFormat/>
    <w:uiPriority w:val="0"/>
    <w:pPr>
      <w:jc w:val="center"/>
    </w:pPr>
    <w:rPr>
      <w:szCs w:val="32"/>
    </w:rPr>
  </w:style>
  <w:style w:type="character" w:customStyle="1" w:styleId="19">
    <w:name w:val="表格-易恒1 字符"/>
    <w:link w:val="18"/>
    <w:autoRedefine/>
    <w:qFormat/>
    <w:uiPriority w:val="0"/>
    <w:rPr>
      <w:kern w:val="2"/>
      <w:sz w:val="21"/>
      <w:szCs w:val="32"/>
    </w:rPr>
  </w:style>
  <w:style w:type="paragraph" w:customStyle="1" w:styleId="20">
    <w:name w:val="正文1"/>
    <w:basedOn w:val="1"/>
    <w:next w:val="1"/>
    <w:autoRedefine/>
    <w:qFormat/>
    <w:uiPriority w:val="0"/>
    <w:pPr>
      <w:spacing w:line="360" w:lineRule="auto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2397</Characters>
  <Lines>19</Lines>
  <Paragraphs>5</Paragraphs>
  <TotalTime>3</TotalTime>
  <ScaleCrop>false</ScaleCrop>
  <LinksUpToDate>false</LinksUpToDate>
  <CharactersWithSpaces>2812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2022-08-10T09:01:00Z</dcterms:created>
  <dc:creator>新的一天又开始了是嘛</dc:creator>
  <cp:lastModifiedBy>Zhuo</cp:lastModifiedBy>
  <cp:lastPrinted>2023-08-07T03:14:00Z</cp:lastPrinted>
  <dcterms:modified xsi:type="dcterms:W3CDTF">2024-01-31T02:02:16Z</dcterms:modified>
  <dc:title>岳汨环评〔2023〕号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C71759E6CFB74479A81FAC5C99714EFC</vt:lpwstr>
  </property>
</Properties>
</file>