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hint="eastAsia" w:ascii="方正小标宋简体" w:hAnsi="宋体" w:eastAsia="方正小标宋简体" w:cs="宋体"/>
          <w:bCs/>
          <w:spacing w:val="8"/>
          <w:kern w:val="0"/>
          <w:sz w:val="44"/>
          <w:szCs w:val="44"/>
          <w:lang w:eastAsia="zh-CN"/>
        </w:rPr>
        <w:t>年度部门整体支出绩效评价基础</w:t>
      </w:r>
    </w:p>
    <w:p>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pPr>
        <w:spacing w:line="177" w:lineRule="exact"/>
        <w:ind w:firstLine="420"/>
        <w:jc w:val="left"/>
        <w:rPr>
          <w:kern w:val="0"/>
          <w:lang w:eastAsia="zh-CN"/>
        </w:rPr>
      </w:pPr>
    </w:p>
    <w:tbl>
      <w:tblPr>
        <w:tblStyle w:val="9"/>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年实际在职人数</w:t>
            </w:r>
          </w:p>
        </w:tc>
        <w:tc>
          <w:tcPr>
            <w:tcW w:w="1983" w:type="dxa"/>
            <w:gridSpan w:val="2"/>
            <w:vAlign w:val="center"/>
          </w:tcPr>
          <w:p>
            <w:pPr>
              <w:spacing w:line="240" w:lineRule="auto"/>
              <w:ind w:firstLine="630" w:firstLineChars="300"/>
              <w:jc w:val="center"/>
              <w:rPr>
                <w:rFonts w:ascii="仿宋_GB2312" w:eastAsia="仿宋_GB2312"/>
                <w:kern w:val="0"/>
              </w:rPr>
            </w:pPr>
            <w:r>
              <w:rPr>
                <w:rFonts w:hint="eastAsia" w:ascii="仿宋_GB2312" w:hAnsi="宋体" w:eastAsia="仿宋_GB2312" w:cs="宋体"/>
                <w:kern w:val="0"/>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pPr>
              <w:spacing w:line="240" w:lineRule="auto"/>
              <w:ind w:firstLine="420"/>
              <w:jc w:val="center"/>
              <w:rPr>
                <w:rFonts w:ascii="仿宋_GB2312" w:eastAsia="仿宋_GB2312"/>
                <w:kern w:val="0"/>
              </w:rPr>
            </w:pP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26</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23</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1</w:t>
            </w:r>
            <w:r>
              <w:rPr>
                <w:rFonts w:hint="eastAsia" w:ascii="仿宋_GB2312" w:hAnsi="宋体" w:eastAsia="仿宋_GB2312" w:cs="宋体"/>
                <w:kern w:val="0"/>
              </w:rPr>
              <w:t>年决算数</w:t>
            </w:r>
          </w:p>
        </w:tc>
        <w:tc>
          <w:tcPr>
            <w:tcW w:w="2039"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年预算数</w:t>
            </w:r>
          </w:p>
        </w:tc>
        <w:tc>
          <w:tcPr>
            <w:tcW w:w="1983"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pPr>
              <w:spacing w:line="240" w:lineRule="auto"/>
              <w:ind w:firstLine="840" w:firstLineChars="400"/>
              <w:jc w:val="left"/>
              <w:rPr>
                <w:rFonts w:hint="default" w:ascii="仿宋_GB2312" w:eastAsia="仿宋_GB2312"/>
                <w:kern w:val="0"/>
                <w:lang w:val="en-US" w:eastAsia="zh-CN"/>
              </w:rPr>
            </w:pPr>
            <w:r>
              <w:rPr>
                <w:rFonts w:hint="eastAsia" w:ascii="仿宋_GB2312" w:eastAsia="仿宋_GB2312"/>
                <w:kern w:val="0"/>
                <w:lang w:val="en-US" w:eastAsia="zh-CN"/>
              </w:rPr>
              <w:t>0.1</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4</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pPr>
              <w:spacing w:line="240" w:lineRule="auto"/>
              <w:ind w:firstLine="420"/>
              <w:jc w:val="center"/>
              <w:rPr>
                <w:rFonts w:ascii="仿宋_GB2312" w:eastAsia="仿宋_GB2312"/>
                <w:kern w:val="0"/>
                <w:lang w:eastAsia="zh-CN"/>
              </w:rPr>
            </w:pPr>
          </w:p>
        </w:tc>
        <w:tc>
          <w:tcPr>
            <w:tcW w:w="2039" w:type="dxa"/>
            <w:gridSpan w:val="2"/>
            <w:vAlign w:val="center"/>
          </w:tcPr>
          <w:p>
            <w:pPr>
              <w:spacing w:line="240" w:lineRule="auto"/>
              <w:ind w:firstLine="420"/>
              <w:jc w:val="center"/>
              <w:rPr>
                <w:rFonts w:ascii="仿宋_GB2312" w:eastAsia="仿宋_GB2312"/>
                <w:kern w:val="0"/>
                <w:lang w:eastAsia="zh-CN"/>
              </w:rPr>
            </w:pPr>
          </w:p>
        </w:tc>
        <w:tc>
          <w:tcPr>
            <w:tcW w:w="1983" w:type="dxa"/>
            <w:gridSpan w:val="2"/>
            <w:vAlign w:val="center"/>
          </w:tcPr>
          <w:p>
            <w:pPr>
              <w:spacing w:line="240" w:lineRule="auto"/>
              <w:ind w:firstLine="420"/>
              <w:jc w:val="center"/>
              <w:rPr>
                <w:rFonts w:hint="default" w:ascii="仿宋_GB2312" w:eastAsia="仿宋_GB2312"/>
                <w:kern w:val="0"/>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hint="eastAsia" w:ascii="仿宋_GB2312" w:eastAsia="仿宋_GB2312"/>
                <w:kern w:val="0"/>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pPr>
              <w:spacing w:line="240" w:lineRule="auto"/>
              <w:ind w:firstLine="840" w:firstLineChars="400"/>
              <w:jc w:val="both"/>
              <w:rPr>
                <w:rFonts w:hint="default" w:ascii="仿宋_GB2312" w:eastAsia="仿宋_GB2312"/>
                <w:kern w:val="0"/>
                <w:lang w:val="en-US" w:eastAsia="zh-CN"/>
              </w:rPr>
            </w:pPr>
            <w:r>
              <w:rPr>
                <w:rFonts w:hint="eastAsia" w:ascii="仿宋_GB2312" w:eastAsia="仿宋_GB2312"/>
                <w:kern w:val="0"/>
                <w:lang w:val="en-US" w:eastAsia="zh-CN"/>
              </w:rPr>
              <w:t>0.1</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4</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242.17</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102</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367.91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hint="eastAsia" w:ascii="仿宋_GB2312" w:eastAsia="仿宋_GB2312"/>
                <w:kern w:val="0"/>
                <w:lang w:val="en-US"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、市委大院维护管理费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79.93</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42</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153.61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840" w:firstLineChars="400"/>
              <w:jc w:val="both"/>
              <w:rPr>
                <w:rFonts w:hint="eastAsia" w:ascii="仿宋_GB2312" w:eastAsia="仿宋_GB2312"/>
                <w:kern w:val="0"/>
                <w:lang w:eastAsia="zh-CN"/>
              </w:rPr>
            </w:pPr>
            <w:r>
              <w:rPr>
                <w:rFonts w:hint="eastAsia" w:ascii="仿宋_GB2312" w:eastAsia="仿宋_GB2312"/>
                <w:kern w:val="0"/>
                <w:lang w:eastAsia="zh-CN"/>
              </w:rPr>
              <w:t>市委机关后勤专项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162.24</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60</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214.3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81.25</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32.99</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82.01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5.79</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2.4</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2.59</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1.57</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2</w:t>
            </w: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96.01</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141.8</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128.88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pPr>
              <w:spacing w:line="240" w:lineRule="auto"/>
              <w:ind w:firstLine="420"/>
              <w:jc w:val="center"/>
              <w:rPr>
                <w:rFonts w:ascii="仿宋_GB2312" w:eastAsia="仿宋_GB2312"/>
                <w:kern w:val="0"/>
                <w:lang w:eastAsia="zh-CN"/>
              </w:rPr>
            </w:pPr>
          </w:p>
        </w:tc>
        <w:tc>
          <w:tcPr>
            <w:tcW w:w="2039" w:type="dxa"/>
            <w:gridSpan w:val="2"/>
            <w:vAlign w:val="center"/>
          </w:tcPr>
          <w:p>
            <w:pPr>
              <w:spacing w:line="240" w:lineRule="auto"/>
              <w:ind w:firstLine="420"/>
              <w:jc w:val="center"/>
              <w:rPr>
                <w:rFonts w:ascii="仿宋_GB2312" w:eastAsia="仿宋_GB2312"/>
                <w:kern w:val="0"/>
                <w:lang w:eastAsia="zh-CN"/>
              </w:rPr>
            </w:pPr>
          </w:p>
        </w:tc>
        <w:tc>
          <w:tcPr>
            <w:tcW w:w="1983" w:type="dxa"/>
            <w:gridSpan w:val="2"/>
            <w:vAlign w:val="center"/>
          </w:tcPr>
          <w:p>
            <w:pPr>
              <w:spacing w:line="240" w:lineRule="auto"/>
              <w:ind w:firstLine="420"/>
              <w:jc w:val="center"/>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pPr>
              <w:spacing w:line="240" w:lineRule="auto"/>
              <w:ind w:firstLine="420"/>
              <w:jc w:val="center"/>
              <w:rPr>
                <w:rFonts w:ascii="仿宋_GB2312" w:eastAsia="仿宋_GB2312"/>
                <w:kern w:val="0"/>
                <w:lang w:eastAsia="zh-CN"/>
              </w:rPr>
            </w:pPr>
          </w:p>
          <w:p>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2</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pPr>
              <w:kinsoku w:val="0"/>
              <w:autoSpaceDE w:val="0"/>
              <w:autoSpaceDN w:val="0"/>
              <w:adjustRightInd w:val="0"/>
              <w:snapToGrid w:val="0"/>
              <w:ind w:firstLine="420"/>
              <w:jc w:val="left"/>
              <w:textAlignment w:val="baseline"/>
              <w:rPr>
                <w:rFonts w:hint="eastAsia" w:ascii="Arial" w:hAnsi="Arial" w:eastAsia="宋体" w:cs="Arial"/>
                <w:snapToGrid w:val="0"/>
                <w:color w:val="000000"/>
                <w:sz w:val="21"/>
                <w:szCs w:val="21"/>
                <w:lang w:val="en-US" w:eastAsia="zh-CN" w:bidi="ar-SA"/>
              </w:rPr>
            </w:pPr>
            <w:r>
              <w:rPr>
                <w:rFonts w:hint="eastAsia" w:ascii="仿宋" w:hAnsi="仿宋" w:eastAsia="仿宋" w:cs="仿宋"/>
                <w:snapToGrid w:val="0"/>
                <w:color w:val="000000"/>
                <w:sz w:val="21"/>
                <w:szCs w:val="21"/>
                <w:lang w:val="en-US" w:eastAsia="zh-CN" w:bidi="ar-SA"/>
              </w:rPr>
              <w:t>牢固树立过紧日子的思想，为了实现资源的高效利用，降低成本并提升整体效益，要求确保厉行节约的八项要求落到实处，取得实在的效果，明确任务的分工，量化经费缩减指标，健全完善制度，杜绝耗费公款的形式主义现象，严控三公经费，加强公务接待管理，严格执行各项经费的审批制度，各部门把厉行节约作为一项政治任务，同时弘扬勤俭节约的精神。</w:t>
            </w:r>
          </w:p>
        </w:tc>
      </w:tr>
    </w:tbl>
    <w:p>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pPr>
        <w:kinsoku w:val="0"/>
        <w:autoSpaceDE w:val="0"/>
        <w:autoSpaceDN w:val="0"/>
        <w:adjustRightInd w:val="0"/>
        <w:snapToGrid w:val="0"/>
        <w:spacing w:before="65" w:line="228" w:lineRule="auto"/>
        <w:ind w:firstLine="102" w:firstLineChars="49"/>
        <w:textAlignment w:val="baseline"/>
        <w:rPr>
          <w:rFonts w:eastAsiaTheme="minorEastAsia"/>
          <w:sz w:val="20"/>
          <w:szCs w:val="20"/>
          <w:lang w:eastAsia="zh-CN"/>
        </w:rPr>
        <w:sectPr>
          <w:footerReference r:id="rId5" w:type="default"/>
          <w:footerReference r:id="rId6" w:type="even"/>
          <w:pgSz w:w="11907" w:h="16839"/>
          <w:pgMar w:top="2098" w:right="1474" w:bottom="1985" w:left="1474" w:header="0" w:footer="1588" w:gutter="0"/>
          <w:pgBorders>
            <w:top w:val="none" w:sz="0" w:space="0"/>
            <w:left w:val="none" w:sz="0" w:space="0"/>
            <w:bottom w:val="none" w:sz="0" w:space="0"/>
            <w:right w:val="none" w:sz="0" w:space="0"/>
          </w:pgBorders>
          <w:pgNumType w:fmt="numberInDash"/>
          <w:cols w:space="720" w:num="1"/>
          <w:titlePg/>
          <w:docGrid w:linePitch="286" w:charSpace="0"/>
        </w:sect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胡阳</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6月2日</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15292006926</w:t>
      </w:r>
      <w:r>
        <w:rPr>
          <w:rFonts w:ascii="仿宋_GB2312" w:hAnsi="宋体" w:eastAsia="仿宋_GB2312" w:cs="宋体"/>
          <w:snapToGrid w:val="0"/>
          <w:color w:val="000000"/>
          <w:sz w:val="21"/>
          <w:szCs w:val="21"/>
          <w:lang w:val="en-US" w:eastAsia="zh-CN" w:bidi="ar-SA"/>
        </w:rPr>
        <w:t xml:space="preserve">    单位负责人签字：</w:t>
      </w:r>
      <w:r>
        <w:rPr>
          <w:rFonts w:hint="eastAsia" w:ascii="仿宋" w:hAnsi="仿宋" w:eastAsia="仿宋" w:cs="仿宋"/>
          <w:sz w:val="20"/>
          <w:szCs w:val="20"/>
          <w:lang w:eastAsia="zh-CN"/>
        </w:rPr>
        <w:t>刘赞</w:t>
      </w:r>
    </w:p>
    <w:p>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ascii="方正小标宋简体" w:hAnsi="宋体" w:eastAsia="方正小标宋简体" w:cs="宋体"/>
          <w:bCs/>
          <w:spacing w:val="8"/>
          <w:kern w:val="0"/>
          <w:sz w:val="44"/>
          <w:szCs w:val="44"/>
          <w:lang w:eastAsia="zh-CN"/>
        </w:rPr>
        <w:t>年度部门整体支出绩效自评表</w:t>
      </w:r>
    </w:p>
    <w:p>
      <w:pPr>
        <w:spacing w:line="237" w:lineRule="exact"/>
        <w:ind w:firstLine="420"/>
        <w:jc w:val="left"/>
        <w:rPr>
          <w:kern w:val="0"/>
          <w:lang w:eastAsia="zh-CN"/>
        </w:rPr>
      </w:pPr>
    </w:p>
    <w:tbl>
      <w:tblPr>
        <w:tblStyle w:val="9"/>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Layout w:type="fixed"/>
        <w:tblCellMar>
          <w:top w:w="0" w:type="dxa"/>
          <w:left w:w="0" w:type="dxa"/>
          <w:bottom w:w="0" w:type="dxa"/>
          <w:right w:w="0" w:type="dxa"/>
        </w:tblCellMar>
      </w:tblPr>
      <w:tblGrid>
        <w:gridCol w:w="969"/>
        <w:gridCol w:w="1017"/>
        <w:gridCol w:w="1117"/>
        <w:gridCol w:w="1318"/>
        <w:gridCol w:w="1548"/>
        <w:gridCol w:w="1151"/>
        <w:gridCol w:w="783"/>
        <w:gridCol w:w="653"/>
        <w:gridCol w:w="14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CellMar>
            <w:top w:w="0" w:type="dxa"/>
            <w:left w:w="0" w:type="dxa"/>
            <w:bottom w:w="0" w:type="dxa"/>
            <w:right w:w="0" w:type="dxa"/>
          </w:tblCellMar>
        </w:tblPrEx>
        <w:trPr>
          <w:trHeight w:val="484" w:hRule="atLeast"/>
        </w:trPr>
        <w:tc>
          <w:tcPr>
            <w:tcW w:w="969" w:type="dxa"/>
            <w:shd w:val="clear" w:color="auto" w:fill="FFFFFF" w:themeFill="background1"/>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9010" w:type="dxa"/>
            <w:gridSpan w:val="8"/>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eastAsia="zh-CN"/>
              </w:rPr>
              <w:t>汨罗市机关事务服务中心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969" w:type="dxa"/>
            <w:vMerge w:val="restart"/>
            <w:tcBorders>
              <w:bottom w:val="nil"/>
            </w:tcBorders>
            <w:shd w:val="clear" w:color="auto" w:fill="FFFFFF" w:themeFill="background1"/>
            <w:vAlign w:val="center"/>
          </w:tcPr>
          <w:p>
            <w:pPr>
              <w:spacing w:line="240" w:lineRule="auto"/>
              <w:ind w:firstLine="420"/>
              <w:jc w:val="center"/>
              <w:rPr>
                <w:rFonts w:ascii="仿宋_GB2312" w:eastAsia="仿宋_GB2312"/>
                <w:kern w:val="0"/>
              </w:rPr>
            </w:pP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34" w:type="dxa"/>
            <w:gridSpan w:val="2"/>
            <w:shd w:val="clear" w:color="auto" w:fill="FFFFFF" w:themeFill="background1"/>
            <w:vAlign w:val="center"/>
          </w:tcPr>
          <w:p>
            <w:pPr>
              <w:spacing w:line="240" w:lineRule="auto"/>
              <w:ind w:firstLine="420"/>
              <w:jc w:val="center"/>
              <w:rPr>
                <w:rFonts w:ascii="仿宋_GB2312" w:eastAsia="仿宋_GB2312"/>
                <w:kern w:val="0"/>
              </w:rPr>
            </w:pPr>
          </w:p>
        </w:tc>
        <w:tc>
          <w:tcPr>
            <w:tcW w:w="1318" w:type="dxa"/>
            <w:shd w:val="clear" w:color="auto" w:fill="FFFFFF" w:themeFill="background1"/>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548" w:type="dxa"/>
            <w:shd w:val="clear" w:color="auto" w:fill="FFFFFF" w:themeFill="background1"/>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151" w:type="dxa"/>
            <w:shd w:val="clear" w:color="auto" w:fill="FFFFFF" w:themeFill="background1"/>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783"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653"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969"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2134" w:type="dxa"/>
            <w:gridSpan w:val="2"/>
            <w:shd w:val="clear" w:color="auto" w:fill="FFFFFF" w:themeFill="background1"/>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318"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318.26</w:t>
            </w:r>
          </w:p>
        </w:tc>
        <w:tc>
          <w:tcPr>
            <w:tcW w:w="1548"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726.26</w:t>
            </w:r>
          </w:p>
        </w:tc>
        <w:tc>
          <w:tcPr>
            <w:tcW w:w="1151" w:type="dxa"/>
            <w:shd w:val="clear" w:color="auto" w:fill="FFFFFF" w:themeFill="background1"/>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726.26</w:t>
            </w:r>
          </w:p>
        </w:tc>
        <w:tc>
          <w:tcPr>
            <w:tcW w:w="783" w:type="dxa"/>
            <w:shd w:val="clear" w:color="auto" w:fill="FFFFFF" w:themeFill="background1"/>
            <w:vAlign w:val="center"/>
          </w:tcPr>
          <w:p>
            <w:pPr>
              <w:spacing w:line="240" w:lineRule="auto"/>
              <w:jc w:val="center"/>
              <w:rPr>
                <w:rFonts w:ascii="仿宋_GB2312" w:eastAsia="仿宋_GB2312"/>
                <w:kern w:val="0"/>
              </w:rPr>
            </w:pPr>
            <w:r>
              <w:rPr>
                <w:rFonts w:hint="eastAsia" w:ascii="仿宋_GB2312" w:eastAsia="仿宋_GB2312"/>
                <w:kern w:val="0"/>
              </w:rPr>
              <w:t>10</w:t>
            </w:r>
          </w:p>
        </w:tc>
        <w:tc>
          <w:tcPr>
            <w:tcW w:w="653" w:type="dxa"/>
            <w:shd w:val="clear" w:color="auto" w:fill="FFFFFF" w:themeFill="background1"/>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100.0%</w:t>
            </w:r>
          </w:p>
        </w:tc>
        <w:tc>
          <w:tcPr>
            <w:tcW w:w="142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969"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5000" w:type="dxa"/>
            <w:gridSpan w:val="4"/>
            <w:shd w:val="clear" w:color="auto" w:fill="FFFFFF" w:themeFill="background1"/>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010" w:type="dxa"/>
            <w:gridSpan w:val="4"/>
            <w:shd w:val="clear" w:color="auto" w:fill="FFFFFF" w:themeFill="background1"/>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969"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5000" w:type="dxa"/>
            <w:gridSpan w:val="4"/>
            <w:shd w:val="clear" w:color="auto" w:fill="FFFFFF" w:themeFill="background1"/>
            <w:vAlign w:val="center"/>
          </w:tcPr>
          <w:p>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726.26</w:t>
            </w:r>
          </w:p>
        </w:tc>
        <w:tc>
          <w:tcPr>
            <w:tcW w:w="4010" w:type="dxa"/>
            <w:gridSpan w:val="4"/>
            <w:shd w:val="clear" w:color="auto" w:fill="FFFFFF" w:themeFill="background1"/>
            <w:vAlign w:val="center"/>
          </w:tcPr>
          <w:p>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w:t>
            </w:r>
            <w:r>
              <w:rPr>
                <w:rFonts w:hint="eastAsia" w:ascii="仿宋_GB2312" w:hAnsi="宋体" w:eastAsia="仿宋_GB2312" w:cs="宋体"/>
                <w:kern w:val="0"/>
                <w:lang w:val="en-US" w:eastAsia="zh-CN"/>
              </w:rPr>
              <w:t>358.35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969"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5000" w:type="dxa"/>
            <w:gridSpan w:val="4"/>
            <w:shd w:val="clear" w:color="auto" w:fill="FFFFFF" w:themeFill="background1"/>
            <w:vAlign w:val="center"/>
          </w:tcPr>
          <w:p>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010" w:type="dxa"/>
            <w:gridSpan w:val="4"/>
            <w:shd w:val="clear" w:color="auto" w:fill="FFFFFF" w:themeFill="background1"/>
            <w:vAlign w:val="center"/>
          </w:tcPr>
          <w:p>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367.91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969"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5000" w:type="dxa"/>
            <w:gridSpan w:val="4"/>
            <w:shd w:val="clear" w:color="auto" w:fill="FFFFFF" w:themeFill="background1"/>
            <w:vAlign w:val="center"/>
          </w:tcPr>
          <w:p>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010" w:type="dxa"/>
            <w:gridSpan w:val="4"/>
            <w:shd w:val="clear" w:color="auto" w:fill="FFFFFF" w:themeFill="background1"/>
            <w:vAlign w:val="center"/>
          </w:tcPr>
          <w:p>
            <w:pPr>
              <w:spacing w:line="240" w:lineRule="auto"/>
              <w:ind w:firstLine="420"/>
              <w:jc w:val="left"/>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969" w:type="dxa"/>
            <w:vMerge w:val="continue"/>
            <w:tcBorders>
              <w:top w:val="nil"/>
            </w:tcBorders>
            <w:shd w:val="clear" w:color="auto" w:fill="FFFFFF" w:themeFill="background1"/>
            <w:vAlign w:val="center"/>
          </w:tcPr>
          <w:p>
            <w:pPr>
              <w:spacing w:line="240" w:lineRule="auto"/>
              <w:ind w:firstLine="420"/>
              <w:jc w:val="center"/>
              <w:rPr>
                <w:rFonts w:ascii="仿宋_GB2312" w:eastAsia="仿宋_GB2312"/>
                <w:kern w:val="0"/>
                <w:lang w:eastAsia="zh-CN"/>
              </w:rPr>
            </w:pPr>
          </w:p>
        </w:tc>
        <w:tc>
          <w:tcPr>
            <w:tcW w:w="5000" w:type="dxa"/>
            <w:gridSpan w:val="4"/>
            <w:shd w:val="clear" w:color="auto" w:fill="FFFFFF" w:themeFill="background1"/>
            <w:vAlign w:val="center"/>
          </w:tcPr>
          <w:p>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010" w:type="dxa"/>
            <w:gridSpan w:val="4"/>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969" w:type="dxa"/>
            <w:vMerge w:val="restart"/>
            <w:tcBorders>
              <w:bottom w:val="nil"/>
            </w:tcBorders>
            <w:shd w:val="clear" w:color="auto" w:fill="FFFFFF" w:themeFill="background1"/>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5000" w:type="dxa"/>
            <w:gridSpan w:val="4"/>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010" w:type="dxa"/>
            <w:gridSpan w:val="4"/>
            <w:shd w:val="clear" w:color="auto" w:fill="FFFFFF" w:themeFill="background1"/>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969" w:type="dxa"/>
            <w:vMerge w:val="continue"/>
            <w:tcBorders>
              <w:top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5000" w:type="dxa"/>
            <w:gridSpan w:val="4"/>
            <w:shd w:val="clear" w:color="auto" w:fill="FFFFFF" w:themeFill="background1"/>
            <w:vAlign w:val="center"/>
          </w:tcPr>
          <w:p>
            <w:pPr>
              <w:spacing w:line="240" w:lineRule="auto"/>
              <w:ind w:firstLine="420"/>
              <w:jc w:val="left"/>
              <w:rPr>
                <w:rFonts w:hint="eastAsia" w:ascii="仿宋_GB2312" w:eastAsia="仿宋_GB2312"/>
                <w:kern w:val="0"/>
                <w:lang w:val="en-US" w:eastAsia="zh-CN"/>
              </w:rPr>
            </w:pPr>
            <w:r>
              <w:rPr>
                <w:rFonts w:hint="eastAsia" w:ascii="仿宋_GB2312" w:eastAsia="仿宋_GB2312"/>
                <w:kern w:val="0"/>
              </w:rPr>
              <w:t>1：代缴水费；2：代缴电费；3：保洁；4：绿化养护</w:t>
            </w:r>
            <w:r>
              <w:rPr>
                <w:rFonts w:hint="eastAsia" w:ascii="仿宋_GB2312" w:eastAsia="仿宋_GB2312"/>
                <w:kern w:val="0"/>
                <w:lang w:val="en-US" w:eastAsia="zh-CN"/>
              </w:rPr>
              <w:t xml:space="preserve">; </w:t>
            </w:r>
            <w:r>
              <w:rPr>
                <w:rFonts w:hint="eastAsia" w:ascii="仿宋_GB2312" w:eastAsia="仿宋_GB2312"/>
                <w:kern w:val="0"/>
              </w:rPr>
              <w:t>5：水电及路灯景观灯监控维修；6：垃圾处理；7：电梯维护；8：保安；9：市委机关食堂后勤服务；10：市委机关大院基础设施维修、11：完成好市委市政府</w:t>
            </w:r>
            <w:r>
              <w:rPr>
                <w:rFonts w:hint="eastAsia" w:ascii="仿宋_GB2312" w:eastAsia="仿宋_GB2312"/>
                <w:kern w:val="0"/>
                <w:lang w:eastAsia="zh-CN"/>
              </w:rPr>
              <w:t>交办</w:t>
            </w:r>
            <w:r>
              <w:rPr>
                <w:rFonts w:hint="eastAsia" w:ascii="仿宋_GB2312" w:eastAsia="仿宋_GB2312"/>
                <w:kern w:val="0"/>
              </w:rPr>
              <w:t>的接待工作；12：做好市委周转房运营工作</w:t>
            </w:r>
            <w:r>
              <w:rPr>
                <w:rFonts w:hint="eastAsia" w:ascii="仿宋_GB2312" w:eastAsia="仿宋_GB2312"/>
                <w:kern w:val="0"/>
                <w:lang w:eastAsia="zh-CN"/>
              </w:rPr>
              <w:t>。</w:t>
            </w:r>
          </w:p>
        </w:tc>
        <w:tc>
          <w:tcPr>
            <w:tcW w:w="4010" w:type="dxa"/>
            <w:gridSpan w:val="4"/>
            <w:shd w:val="clear" w:color="auto" w:fill="FFFFFF" w:themeFill="background1"/>
            <w:vAlign w:val="center"/>
          </w:tcPr>
          <w:p>
            <w:pPr>
              <w:spacing w:line="240" w:lineRule="auto"/>
              <w:ind w:firstLine="420"/>
              <w:jc w:val="left"/>
              <w:rPr>
                <w:rFonts w:hint="default" w:ascii="仿宋_GB2312" w:eastAsia="仿宋_GB2312"/>
                <w:kern w:val="0"/>
                <w:lang w:val="en-US" w:eastAsia="zh-CN"/>
              </w:rPr>
            </w:pPr>
            <w:r>
              <w:rPr>
                <w:rFonts w:hint="eastAsia" w:ascii="仿宋_GB2312" w:eastAsia="仿宋_GB2312"/>
                <w:kern w:val="0"/>
                <w:lang w:val="en-US" w:eastAsia="zh-CN"/>
              </w:rPr>
              <w:t>确保市委大院公共区域水电费缴纳到位，水电路及路灯景观灯及时检修，确保畅通；确保市委办公大楼清洁卫生，垃圾日产日清，保洁人员工资发放到位；绿化养护，灭四害工作开展顺畅；确保基础设施维修维护，定期检查；保证食堂正常运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969" w:type="dxa"/>
            <w:vMerge w:val="restart"/>
            <w:shd w:val="clear" w:color="auto" w:fill="FFFFFF" w:themeFill="background1"/>
            <w:textDirection w:val="tbRlV"/>
            <w:vAlign w:val="center"/>
          </w:tcPr>
          <w:p>
            <w:pPr>
              <w:spacing w:line="240" w:lineRule="auto"/>
              <w:ind w:firstLine="420"/>
              <w:jc w:val="center"/>
              <w:rPr>
                <w:rFonts w:ascii="仿宋_GB2312" w:eastAsia="仿宋_GB2312"/>
                <w:kern w:val="0"/>
              </w:rPr>
            </w:pPr>
          </w:p>
          <w:p>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pPr>
              <w:spacing w:line="240" w:lineRule="auto"/>
              <w:ind w:firstLine="420"/>
              <w:jc w:val="center"/>
              <w:rPr>
                <w:rFonts w:ascii="仿宋_GB2312" w:eastAsia="仿宋_GB2312"/>
                <w:kern w:val="0"/>
              </w:rPr>
            </w:pPr>
          </w:p>
          <w:p>
            <w:pPr>
              <w:spacing w:line="240" w:lineRule="auto"/>
              <w:ind w:firstLine="420"/>
              <w:jc w:val="center"/>
              <w:rPr>
                <w:rFonts w:ascii="仿宋_GB2312" w:eastAsia="仿宋_GB2312"/>
                <w:kern w:val="0"/>
              </w:rPr>
            </w:pPr>
          </w:p>
        </w:tc>
        <w:tc>
          <w:tcPr>
            <w:tcW w:w="1017"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117"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318"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548"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151"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783"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653" w:type="dxa"/>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shd w:val="clear" w:color="auto" w:fill="FFFFFF" w:themeFill="background1"/>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lang w:eastAsia="zh-CN"/>
              </w:rPr>
            </w:pPr>
          </w:p>
        </w:tc>
        <w:tc>
          <w:tcPr>
            <w:tcW w:w="1017" w:type="dxa"/>
            <w:vMerge w:val="restart"/>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产出指标</w:t>
            </w:r>
          </w:p>
          <w:p>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117" w:type="dxa"/>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318" w:type="dxa"/>
            <w:shd w:val="clear" w:color="auto" w:fill="FFFFFF" w:themeFill="background1"/>
            <w:vAlign w:val="center"/>
          </w:tcPr>
          <w:p>
            <w:r>
              <w:rPr>
                <w:rFonts w:hint="eastAsia" w:ascii="仿宋" w:hAnsi="仿宋" w:eastAsia="仿宋" w:cs="仿宋"/>
              </w:rPr>
              <w:t>13栋宿舍、6栋办公楼、1栋市委周转房、2个机关食堂、电梯3台、垃圾桶2只。</w:t>
            </w:r>
          </w:p>
        </w:tc>
        <w:tc>
          <w:tcPr>
            <w:tcW w:w="1548" w:type="dxa"/>
            <w:shd w:val="clear" w:color="auto" w:fill="FFFFFF" w:themeFill="background1"/>
            <w:vAlign w:val="center"/>
          </w:tcPr>
          <w:p>
            <w:pPr>
              <w:spacing w:line="240" w:lineRule="auto"/>
              <w:ind w:firstLine="420"/>
              <w:jc w:val="center"/>
              <w:rPr>
                <w:rFonts w:ascii="仿宋_GB2312" w:eastAsia="仿宋_GB2312"/>
                <w:kern w:val="0"/>
              </w:rPr>
            </w:pPr>
            <w:r>
              <w:rPr>
                <w:rFonts w:hint="eastAsia" w:ascii="仿宋_GB2312" w:eastAsia="仿宋_GB2312"/>
                <w:kern w:val="0"/>
              </w:rPr>
              <w:t>房屋及土地完整，无安全隐患。各单位公共区域公共设施维修维护到位，对各项定期检修。</w:t>
            </w:r>
          </w:p>
        </w:tc>
        <w:tc>
          <w:tcPr>
            <w:tcW w:w="1151" w:type="dxa"/>
            <w:shd w:val="clear" w:color="auto" w:fill="FFFFFF" w:themeFill="background1"/>
            <w:vAlign w:val="center"/>
          </w:tcPr>
          <w:p>
            <w:pPr>
              <w:spacing w:line="240" w:lineRule="auto"/>
              <w:jc w:val="both"/>
              <w:rPr>
                <w:rFonts w:hint="default" w:ascii="仿宋_GB2312" w:eastAsia="仿宋_GB2312"/>
                <w:kern w:val="0"/>
                <w:lang w:val="en-US" w:eastAsia="zh-CN"/>
              </w:rPr>
            </w:pPr>
            <w:r>
              <w:rPr>
                <w:rFonts w:hint="eastAsia" w:ascii="宋体" w:hAnsi="宋体" w:eastAsia="宋体" w:cs="宋体"/>
                <w:kern w:val="0"/>
                <w:lang w:eastAsia="zh-CN"/>
              </w:rPr>
              <w:t>≧</w:t>
            </w:r>
            <w:r>
              <w:rPr>
                <w:rFonts w:hint="eastAsia" w:ascii="仿宋_GB2312" w:eastAsia="仿宋_GB2312"/>
                <w:kern w:val="0"/>
                <w:lang w:val="en-US" w:eastAsia="zh-CN"/>
              </w:rPr>
              <w:t>100.0%</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65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1117" w:type="dxa"/>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318" w:type="dxa"/>
            <w:shd w:val="clear" w:color="auto" w:fill="FFFFFF" w:themeFill="background1"/>
            <w:vAlign w:val="center"/>
          </w:tcPr>
          <w:p>
            <w:pPr>
              <w:spacing w:line="240" w:lineRule="auto"/>
              <w:jc w:val="both"/>
              <w:rPr>
                <w:rFonts w:ascii="仿宋_GB2312" w:eastAsia="仿宋_GB2312"/>
                <w:kern w:val="0"/>
              </w:rPr>
            </w:pPr>
            <w:r>
              <w:rPr>
                <w:rFonts w:hint="eastAsia" w:ascii="仿宋_GB2312" w:eastAsia="仿宋_GB2312"/>
                <w:kern w:val="0"/>
              </w:rPr>
              <w:t>机关大院水电费、安保、基础设施维修维护</w:t>
            </w:r>
            <w:r>
              <w:rPr>
                <w:rFonts w:hint="eastAsia" w:ascii="仿宋_GB2312" w:eastAsia="仿宋_GB2312"/>
                <w:kern w:val="0"/>
                <w:lang w:val="en-US" w:eastAsia="zh-CN"/>
              </w:rPr>
              <w:t>;</w:t>
            </w:r>
            <w:r>
              <w:rPr>
                <w:rFonts w:hint="eastAsia" w:ascii="仿宋_GB2312" w:eastAsia="仿宋_GB2312"/>
                <w:kern w:val="0"/>
              </w:rPr>
              <w:t>绿化宜民环境优美</w:t>
            </w:r>
          </w:p>
        </w:tc>
        <w:tc>
          <w:tcPr>
            <w:tcW w:w="1548" w:type="dxa"/>
            <w:shd w:val="clear" w:color="auto" w:fill="FFFFFF" w:themeFill="background1"/>
            <w:vAlign w:val="center"/>
          </w:tcPr>
          <w:p>
            <w:pPr>
              <w:spacing w:line="240" w:lineRule="auto"/>
              <w:ind w:firstLine="420"/>
              <w:jc w:val="center"/>
              <w:rPr>
                <w:rFonts w:ascii="仿宋_GB2312" w:eastAsia="仿宋_GB2312"/>
                <w:kern w:val="0"/>
              </w:rPr>
            </w:pPr>
            <w:r>
              <w:rPr>
                <w:rFonts w:hint="eastAsia" w:ascii="仿宋_GB2312" w:eastAsia="仿宋_GB2312"/>
                <w:kern w:val="0"/>
              </w:rPr>
              <w:t>确保水、电路畅通，无欠缴情况。确保大院安全、消防，无隐患。对基础设施定期检修，道路无破损。绿植养护秀美，环境优雅</w:t>
            </w:r>
          </w:p>
        </w:tc>
        <w:tc>
          <w:tcPr>
            <w:tcW w:w="1151" w:type="dxa"/>
            <w:shd w:val="clear" w:color="auto" w:fill="FFFFFF" w:themeFill="background1"/>
            <w:vAlign w:val="center"/>
          </w:tcPr>
          <w:p>
            <w:pPr>
              <w:spacing w:line="240" w:lineRule="auto"/>
              <w:jc w:val="both"/>
              <w:rPr>
                <w:rFonts w:ascii="仿宋_GB2312" w:eastAsia="仿宋_GB2312"/>
                <w:kern w:val="0"/>
              </w:rPr>
            </w:pPr>
            <w:r>
              <w:rPr>
                <w:rFonts w:hint="eastAsia" w:ascii="宋体" w:hAnsi="宋体" w:eastAsia="宋体" w:cs="宋体"/>
                <w:kern w:val="0"/>
                <w:lang w:eastAsia="zh-CN"/>
              </w:rPr>
              <w:t>≧</w:t>
            </w:r>
            <w:r>
              <w:rPr>
                <w:rFonts w:hint="eastAsia" w:ascii="仿宋_GB2312" w:eastAsia="仿宋_GB2312"/>
                <w:kern w:val="0"/>
                <w:lang w:val="en-US" w:eastAsia="zh-CN"/>
              </w:rPr>
              <w:t>100.0%</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65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1117" w:type="dxa"/>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318" w:type="dxa"/>
            <w:shd w:val="clear" w:color="auto" w:fill="FFFFFF" w:themeFill="background1"/>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2022年全年</w:t>
            </w:r>
          </w:p>
        </w:tc>
        <w:tc>
          <w:tcPr>
            <w:tcW w:w="1548" w:type="dxa"/>
            <w:shd w:val="clear" w:color="auto" w:fill="FFFFFF" w:themeFill="background1"/>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2022年全年</w:t>
            </w:r>
          </w:p>
        </w:tc>
        <w:tc>
          <w:tcPr>
            <w:tcW w:w="1151"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全年</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65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restart"/>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117" w:type="dxa"/>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318" w:type="dxa"/>
            <w:shd w:val="clear" w:color="auto" w:fill="FFFFFF" w:themeFill="background1"/>
            <w:vAlign w:val="center"/>
          </w:tcPr>
          <w:p>
            <w:pPr>
              <w:spacing w:line="240" w:lineRule="auto"/>
              <w:jc w:val="both"/>
              <w:rPr>
                <w:rFonts w:hint="eastAsia" w:ascii="仿宋_GB2312" w:eastAsia="仿宋_GB2312"/>
                <w:kern w:val="0"/>
                <w:lang w:val="en-US" w:eastAsia="zh-CN"/>
              </w:rPr>
            </w:pPr>
            <w:r>
              <w:rPr>
                <w:rFonts w:hint="eastAsia" w:ascii="仿宋_GB2312" w:eastAsia="仿宋_GB2312"/>
                <w:kern w:val="0"/>
              </w:rPr>
              <w:t>确保市委机关大院正常运转确保政治经营决策</w:t>
            </w:r>
            <w:r>
              <w:rPr>
                <w:rFonts w:hint="eastAsia" w:ascii="仿宋_GB2312" w:eastAsia="仿宋_GB2312"/>
                <w:kern w:val="0"/>
                <w:lang w:val="en-US" w:eastAsia="zh-CN"/>
              </w:rPr>
              <w:t>;</w:t>
            </w:r>
          </w:p>
          <w:p>
            <w:pPr>
              <w:spacing w:line="240" w:lineRule="auto"/>
              <w:jc w:val="both"/>
              <w:rPr>
                <w:rFonts w:ascii="仿宋_GB2312" w:eastAsia="仿宋_GB2312"/>
                <w:kern w:val="0"/>
              </w:rPr>
            </w:pPr>
            <w:r>
              <w:rPr>
                <w:rFonts w:hint="eastAsia" w:ascii="仿宋_GB2312" w:eastAsia="仿宋_GB2312"/>
                <w:kern w:val="0"/>
              </w:rPr>
              <w:t>做好全市机关单位的表率</w:t>
            </w:r>
          </w:p>
        </w:tc>
        <w:tc>
          <w:tcPr>
            <w:tcW w:w="1548" w:type="dxa"/>
            <w:shd w:val="clear" w:color="auto" w:fill="FFFFFF" w:themeFill="background1"/>
            <w:vAlign w:val="center"/>
          </w:tcPr>
          <w:p>
            <w:pPr>
              <w:spacing w:line="240" w:lineRule="auto"/>
              <w:jc w:val="both"/>
              <w:rPr>
                <w:rFonts w:ascii="仿宋_GB2312" w:eastAsia="仿宋_GB2312"/>
                <w:kern w:val="0"/>
              </w:rPr>
            </w:pPr>
            <w:r>
              <w:rPr>
                <w:rFonts w:hint="eastAsia" w:ascii="仿宋_GB2312" w:eastAsia="仿宋_GB2312"/>
                <w:kern w:val="0"/>
              </w:rPr>
              <w:t>保证市委大院和机关后勤正常运转，保证刚性支出，不虚增开支，确保每笔费用流程手续合规，节约成本。</w:t>
            </w:r>
          </w:p>
        </w:tc>
        <w:tc>
          <w:tcPr>
            <w:tcW w:w="1151" w:type="dxa"/>
            <w:shd w:val="clear" w:color="auto" w:fill="FFFFFF" w:themeFill="background1"/>
            <w:vAlign w:val="center"/>
          </w:tcPr>
          <w:p>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达到一定满意度</w:t>
            </w:r>
          </w:p>
        </w:tc>
        <w:tc>
          <w:tcPr>
            <w:tcW w:w="783" w:type="dxa"/>
            <w:shd w:val="clear" w:color="auto" w:fill="FFFFFF" w:themeFill="background1"/>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653" w:type="dxa"/>
            <w:shd w:val="clear" w:color="auto" w:fill="FFFFFF" w:themeFill="background1"/>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1117" w:type="dxa"/>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31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rPr>
              <w:t>确保市委机关大院正常运转，确保政治经营决策、做好全市机关单位的表率</w:t>
            </w:r>
            <w:r>
              <w:rPr>
                <w:rFonts w:hint="eastAsia" w:ascii="仿宋_GB2312" w:eastAsia="仿宋_GB2312"/>
                <w:kern w:val="0"/>
                <w:lang w:eastAsia="zh-CN"/>
              </w:rPr>
              <w:t>。</w:t>
            </w:r>
          </w:p>
        </w:tc>
        <w:tc>
          <w:tcPr>
            <w:tcW w:w="154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进一步提升</w:t>
            </w:r>
          </w:p>
        </w:tc>
        <w:tc>
          <w:tcPr>
            <w:tcW w:w="1151" w:type="dxa"/>
            <w:shd w:val="clear" w:color="auto" w:fill="FFFFFF" w:themeFill="background1"/>
            <w:vAlign w:val="center"/>
          </w:tcPr>
          <w:p>
            <w:pPr>
              <w:spacing w:line="240" w:lineRule="auto"/>
              <w:jc w:val="both"/>
              <w:rPr>
                <w:rFonts w:ascii="仿宋_GB2312" w:eastAsia="仿宋_GB2312"/>
                <w:kern w:val="0"/>
              </w:rPr>
            </w:pPr>
            <w:r>
              <w:rPr>
                <w:rFonts w:hint="eastAsia" w:ascii="仿宋_GB2312" w:eastAsia="仿宋_GB2312"/>
                <w:kern w:val="0"/>
                <w:lang w:eastAsia="zh-CN"/>
              </w:rPr>
              <w:t>进一步提升</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65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1117" w:type="dxa"/>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31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rPr>
              <w:t>为市委大院创造良好的工作和生活环境</w:t>
            </w:r>
            <w:r>
              <w:rPr>
                <w:rFonts w:hint="eastAsia" w:ascii="仿宋_GB2312" w:eastAsia="仿宋_GB2312"/>
                <w:kern w:val="0"/>
                <w:lang w:eastAsia="zh-CN"/>
              </w:rPr>
              <w:t>。</w:t>
            </w:r>
          </w:p>
        </w:tc>
        <w:tc>
          <w:tcPr>
            <w:tcW w:w="154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进一步改善</w:t>
            </w:r>
          </w:p>
        </w:tc>
        <w:tc>
          <w:tcPr>
            <w:tcW w:w="1151" w:type="dxa"/>
            <w:shd w:val="clear" w:color="auto" w:fill="FFFFFF" w:themeFill="background1"/>
            <w:vAlign w:val="center"/>
          </w:tcPr>
          <w:p>
            <w:pPr>
              <w:spacing w:line="240" w:lineRule="auto"/>
              <w:jc w:val="both"/>
              <w:rPr>
                <w:rFonts w:ascii="仿宋_GB2312" w:eastAsia="仿宋_GB2312"/>
                <w:kern w:val="0"/>
              </w:rPr>
            </w:pPr>
            <w:r>
              <w:rPr>
                <w:rFonts w:hint="eastAsia" w:ascii="仿宋_GB2312" w:eastAsia="仿宋_GB2312"/>
                <w:kern w:val="0"/>
                <w:lang w:eastAsia="zh-CN"/>
              </w:rPr>
              <w:t>进一步改善</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65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continue"/>
            <w:tcBorders>
              <w:top w:val="nil"/>
              <w:bottom w:val="nil"/>
            </w:tcBorders>
            <w:shd w:val="clear" w:color="auto" w:fill="FFFFFF" w:themeFill="background1"/>
            <w:vAlign w:val="center"/>
          </w:tcPr>
          <w:p>
            <w:pPr>
              <w:spacing w:line="240" w:lineRule="auto"/>
              <w:ind w:firstLine="420"/>
              <w:jc w:val="center"/>
              <w:rPr>
                <w:rFonts w:ascii="仿宋_GB2312" w:eastAsia="仿宋_GB2312"/>
                <w:kern w:val="0"/>
              </w:rPr>
            </w:pPr>
          </w:p>
        </w:tc>
        <w:tc>
          <w:tcPr>
            <w:tcW w:w="1117" w:type="dxa"/>
            <w:tcBorders>
              <w:bottom w:val="nil"/>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31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可持续性</w:t>
            </w:r>
          </w:p>
        </w:tc>
        <w:tc>
          <w:tcPr>
            <w:tcW w:w="154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持续</w:t>
            </w:r>
          </w:p>
        </w:tc>
        <w:tc>
          <w:tcPr>
            <w:tcW w:w="1151"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持续</w:t>
            </w:r>
          </w:p>
        </w:tc>
        <w:tc>
          <w:tcPr>
            <w:tcW w:w="783" w:type="dxa"/>
            <w:shd w:val="clear" w:color="auto" w:fill="FFFFFF" w:themeFill="background1"/>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653" w:type="dxa"/>
            <w:shd w:val="clear" w:color="auto" w:fill="FFFFFF" w:themeFill="background1"/>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tcBorders>
              <w:bottom w:val="single" w:color="auto" w:sz="4" w:space="0"/>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满意度指标</w:t>
            </w:r>
          </w:p>
          <w:p>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117" w:type="dxa"/>
            <w:tcBorders>
              <w:bottom w:val="single" w:color="auto" w:sz="4" w:space="0"/>
            </w:tcBorders>
            <w:shd w:val="clear" w:color="auto" w:fill="FFFFFF" w:themeFill="background1"/>
            <w:vAlign w:val="center"/>
          </w:tcPr>
          <w:p>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31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受益对象满意</w:t>
            </w:r>
          </w:p>
        </w:tc>
        <w:tc>
          <w:tcPr>
            <w:tcW w:w="1548" w:type="dxa"/>
            <w:shd w:val="clear" w:color="auto" w:fill="FFFFFF" w:themeFill="background1"/>
            <w:vAlign w:val="center"/>
          </w:tcPr>
          <w:p>
            <w:pPr>
              <w:spacing w:line="240" w:lineRule="auto"/>
              <w:jc w:val="both"/>
              <w:rPr>
                <w:rFonts w:hint="default" w:ascii="仿宋_GB2312" w:eastAsia="仿宋_GB2312"/>
                <w:kern w:val="0"/>
                <w:lang w:val="en-US" w:eastAsia="zh-CN"/>
              </w:rPr>
            </w:pPr>
            <w:r>
              <w:rPr>
                <w:rFonts w:hint="eastAsia" w:ascii="宋体" w:hAnsi="宋体" w:eastAsia="宋体" w:cs="宋体"/>
                <w:kern w:val="0"/>
              </w:rPr>
              <w:t>≧</w:t>
            </w:r>
            <w:r>
              <w:rPr>
                <w:rFonts w:hint="eastAsia" w:ascii="仿宋_GB2312" w:eastAsia="仿宋_GB2312"/>
                <w:kern w:val="0"/>
                <w:lang w:val="en-US" w:eastAsia="zh-CN"/>
              </w:rPr>
              <w:t>99%</w:t>
            </w:r>
          </w:p>
        </w:tc>
        <w:tc>
          <w:tcPr>
            <w:tcW w:w="1151" w:type="dxa"/>
            <w:shd w:val="clear" w:color="auto" w:fill="FFFFFF" w:themeFill="background1"/>
            <w:vAlign w:val="center"/>
          </w:tcPr>
          <w:p>
            <w:pPr>
              <w:spacing w:line="240" w:lineRule="auto"/>
              <w:jc w:val="both"/>
              <w:rPr>
                <w:rFonts w:ascii="仿宋_GB2312" w:eastAsia="仿宋_GB2312"/>
                <w:kern w:val="0"/>
              </w:rPr>
            </w:pPr>
            <w:r>
              <w:rPr>
                <w:rFonts w:hint="eastAsia" w:ascii="宋体" w:hAnsi="宋体" w:eastAsia="宋体" w:cs="宋体"/>
                <w:kern w:val="0"/>
              </w:rPr>
              <w:t>≧</w:t>
            </w:r>
            <w:r>
              <w:rPr>
                <w:rFonts w:hint="eastAsia" w:ascii="仿宋_GB2312" w:eastAsia="仿宋_GB2312"/>
                <w:kern w:val="0"/>
                <w:lang w:val="en-US" w:eastAsia="zh-CN"/>
              </w:rPr>
              <w:t>99.0%</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65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restart"/>
            <w:tcBorders>
              <w:top w:val="single" w:color="auto" w:sz="4" w:space="0"/>
            </w:tcBorders>
            <w:shd w:val="clear" w:color="auto" w:fill="FFFFFF" w:themeFill="background1"/>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117" w:type="dxa"/>
            <w:tcBorders>
              <w:top w:val="single" w:color="auto" w:sz="4" w:space="0"/>
            </w:tcBorders>
            <w:shd w:val="clear" w:color="auto" w:fill="FFFFFF" w:themeFill="background1"/>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31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预算批复金额</w:t>
            </w:r>
          </w:p>
        </w:tc>
        <w:tc>
          <w:tcPr>
            <w:tcW w:w="1548"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318.26万元</w:t>
            </w:r>
          </w:p>
        </w:tc>
        <w:tc>
          <w:tcPr>
            <w:tcW w:w="1151" w:type="dxa"/>
            <w:shd w:val="clear" w:color="auto" w:fill="FFFFFF" w:themeFill="background1"/>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726.26万元</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w:t>
            </w:r>
          </w:p>
        </w:tc>
        <w:tc>
          <w:tcPr>
            <w:tcW w:w="65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w:t>
            </w:r>
          </w:p>
        </w:tc>
        <w:tc>
          <w:tcPr>
            <w:tcW w:w="1423"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年初预算不足，年底追加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continue"/>
            <w:shd w:val="clear" w:color="auto" w:fill="FFFFFF" w:themeFill="background1"/>
            <w:vAlign w:val="center"/>
          </w:tcPr>
          <w:p>
            <w:pPr>
              <w:spacing w:line="240" w:lineRule="auto"/>
              <w:ind w:firstLine="420"/>
              <w:jc w:val="center"/>
              <w:rPr>
                <w:rFonts w:ascii="仿宋_GB2312" w:eastAsia="仿宋_GB2312"/>
                <w:kern w:val="0"/>
              </w:rPr>
            </w:pPr>
          </w:p>
        </w:tc>
        <w:tc>
          <w:tcPr>
            <w:tcW w:w="1117" w:type="dxa"/>
            <w:tcBorders>
              <w:top w:val="nil"/>
            </w:tcBorders>
            <w:shd w:val="clear" w:color="auto" w:fill="FFFFFF" w:themeFill="background1"/>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31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构成良好的社会文明形象，无负面影响</w:t>
            </w:r>
          </w:p>
        </w:tc>
        <w:tc>
          <w:tcPr>
            <w:tcW w:w="1548" w:type="dxa"/>
            <w:shd w:val="clear" w:color="auto" w:fill="FFFFFF" w:themeFill="background1"/>
            <w:vAlign w:val="center"/>
          </w:tcPr>
          <w:p>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无</w:t>
            </w:r>
          </w:p>
        </w:tc>
        <w:tc>
          <w:tcPr>
            <w:tcW w:w="1151" w:type="dxa"/>
            <w:shd w:val="clear" w:color="auto" w:fill="FFFFFF" w:themeFill="background1"/>
            <w:vAlign w:val="center"/>
          </w:tcPr>
          <w:p>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无</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w:t>
            </w:r>
          </w:p>
        </w:tc>
        <w:tc>
          <w:tcPr>
            <w:tcW w:w="653" w:type="dxa"/>
            <w:shd w:val="clear" w:color="auto" w:fill="FFFFFF" w:themeFill="background1"/>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969" w:type="dxa"/>
            <w:vMerge w:val="continue"/>
            <w:shd w:val="clear" w:color="auto" w:fill="FFFFFF" w:themeFill="background1"/>
            <w:textDirection w:val="tbRlV"/>
            <w:vAlign w:val="center"/>
          </w:tcPr>
          <w:p>
            <w:pPr>
              <w:spacing w:line="240" w:lineRule="auto"/>
              <w:ind w:firstLine="420"/>
              <w:jc w:val="center"/>
              <w:rPr>
                <w:rFonts w:ascii="仿宋_GB2312" w:eastAsia="仿宋_GB2312"/>
                <w:kern w:val="0"/>
              </w:rPr>
            </w:pPr>
          </w:p>
        </w:tc>
        <w:tc>
          <w:tcPr>
            <w:tcW w:w="1017" w:type="dxa"/>
            <w:vMerge w:val="continue"/>
            <w:shd w:val="clear" w:color="auto" w:fill="FFFFFF" w:themeFill="background1"/>
            <w:vAlign w:val="center"/>
          </w:tcPr>
          <w:p>
            <w:pPr>
              <w:spacing w:line="240" w:lineRule="auto"/>
              <w:ind w:firstLine="420"/>
              <w:jc w:val="center"/>
              <w:rPr>
                <w:rFonts w:ascii="仿宋_GB2312" w:eastAsia="仿宋_GB2312"/>
                <w:kern w:val="0"/>
              </w:rPr>
            </w:pPr>
          </w:p>
        </w:tc>
        <w:tc>
          <w:tcPr>
            <w:tcW w:w="1117" w:type="dxa"/>
            <w:tcBorders>
              <w:top w:val="nil"/>
            </w:tcBorders>
            <w:shd w:val="clear" w:color="auto" w:fill="FFFFFF" w:themeFill="background1"/>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318" w:type="dxa"/>
            <w:shd w:val="clear" w:color="auto" w:fill="FFFFFF" w:themeFill="background1"/>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对自然环境无负面影响</w:t>
            </w:r>
          </w:p>
        </w:tc>
        <w:tc>
          <w:tcPr>
            <w:tcW w:w="1548" w:type="dxa"/>
            <w:shd w:val="clear" w:color="auto" w:fill="FFFFFF" w:themeFill="background1"/>
            <w:vAlign w:val="center"/>
          </w:tcPr>
          <w:p>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无</w:t>
            </w:r>
          </w:p>
        </w:tc>
        <w:tc>
          <w:tcPr>
            <w:tcW w:w="1151" w:type="dxa"/>
            <w:shd w:val="clear" w:color="auto" w:fill="FFFFFF" w:themeFill="background1"/>
            <w:vAlign w:val="center"/>
          </w:tcPr>
          <w:p>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无</w:t>
            </w:r>
          </w:p>
        </w:tc>
        <w:tc>
          <w:tcPr>
            <w:tcW w:w="78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w:t>
            </w:r>
          </w:p>
        </w:tc>
        <w:tc>
          <w:tcPr>
            <w:tcW w:w="653" w:type="dxa"/>
            <w:shd w:val="clear" w:color="auto" w:fill="FFFFFF" w:themeFill="background1"/>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7</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7120" w:type="dxa"/>
            <w:gridSpan w:val="6"/>
            <w:shd w:val="clear" w:color="auto" w:fill="FFFFFF" w:themeFill="background1"/>
            <w:vAlign w:val="center"/>
          </w:tcPr>
          <w:p>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783" w:type="dxa"/>
            <w:shd w:val="clear" w:color="auto" w:fill="FFFFFF" w:themeFill="background1"/>
            <w:vAlign w:val="center"/>
          </w:tcPr>
          <w:p>
            <w:pPr>
              <w:spacing w:line="240" w:lineRule="auto"/>
              <w:jc w:val="center"/>
              <w:rPr>
                <w:rFonts w:ascii="仿宋_GB2312" w:eastAsia="仿宋_GB2312"/>
                <w:kern w:val="0"/>
              </w:rPr>
            </w:pPr>
            <w:r>
              <w:rPr>
                <w:rFonts w:hint="eastAsia" w:ascii="仿宋_GB2312" w:eastAsia="仿宋_GB2312"/>
                <w:kern w:val="0"/>
              </w:rPr>
              <w:t>100</w:t>
            </w:r>
          </w:p>
        </w:tc>
        <w:tc>
          <w:tcPr>
            <w:tcW w:w="653" w:type="dxa"/>
            <w:shd w:val="clear" w:color="auto" w:fill="FFFFFF" w:themeFill="background1"/>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98</w:t>
            </w:r>
          </w:p>
        </w:tc>
        <w:tc>
          <w:tcPr>
            <w:tcW w:w="1423" w:type="dxa"/>
            <w:shd w:val="clear" w:color="auto" w:fill="FFFFFF" w:themeFill="background1"/>
            <w:vAlign w:val="center"/>
          </w:tcPr>
          <w:p>
            <w:pPr>
              <w:spacing w:line="240" w:lineRule="auto"/>
              <w:ind w:firstLine="420"/>
              <w:jc w:val="center"/>
              <w:rPr>
                <w:rFonts w:ascii="仿宋_GB2312" w:eastAsia="仿宋_GB2312"/>
                <w:kern w:val="0"/>
              </w:rPr>
            </w:pPr>
          </w:p>
        </w:tc>
      </w:tr>
    </w:tbl>
    <w:tbl>
      <w:tblPr>
        <w:tblStyle w:val="7"/>
        <w:tblpPr w:leftFromText="180" w:rightFromText="180" w:vertAnchor="text" w:tblpX="10428" w:tblpY="-2702"/>
        <w:tblOverlap w:val="never"/>
        <w:tblW w:w="34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422" w:type="dxa"/>
          </w:tcPr>
          <w:p>
            <w:pPr>
              <w:widowControl w:val="0"/>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21"/>
                <w:szCs w:val="21"/>
                <w:vertAlign w:val="baseline"/>
                <w:lang w:val="en-US" w:eastAsia="zh-CN" w:bidi="ar-SA"/>
              </w:rPr>
            </w:pPr>
          </w:p>
        </w:tc>
      </w:tr>
    </w:tbl>
    <w:p>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胡阳</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6月2日</w:t>
      </w:r>
      <w:r>
        <w:rPr>
          <w:rFonts w:ascii="仿宋_GB2312" w:hAnsi="宋体" w:eastAsia="仿宋_GB2312" w:cs="宋体"/>
          <w:snapToGrid w:val="0"/>
          <w:color w:val="000000"/>
          <w:sz w:val="21"/>
          <w:szCs w:val="21"/>
          <w:lang w:val="en-US" w:eastAsia="zh-CN" w:bidi="ar-SA"/>
        </w:rPr>
        <w:t xml:space="preserve">  联系电话： </w:t>
      </w:r>
      <w:r>
        <w:rPr>
          <w:rFonts w:hint="eastAsia" w:ascii="仿宋_GB2312" w:hAnsi="宋体" w:eastAsia="仿宋_GB2312" w:cs="宋体"/>
          <w:snapToGrid w:val="0"/>
          <w:color w:val="000000"/>
          <w:sz w:val="21"/>
          <w:szCs w:val="21"/>
          <w:lang w:val="en-US" w:eastAsia="zh-CN" w:bidi="ar-SA"/>
        </w:rPr>
        <w:t>15292006926</w:t>
      </w:r>
      <w:r>
        <w:rPr>
          <w:rFonts w:ascii="仿宋_GB2312" w:hAnsi="宋体" w:eastAsia="仿宋_GB2312" w:cs="宋体"/>
          <w:snapToGrid w:val="0"/>
          <w:color w:val="000000"/>
          <w:sz w:val="21"/>
          <w:szCs w:val="21"/>
          <w:lang w:val="en-US" w:eastAsia="zh-CN" w:bidi="ar-SA"/>
        </w:rPr>
        <w:t xml:space="preserve">  单位负责人签字： </w:t>
      </w:r>
      <w:r>
        <w:rPr>
          <w:rFonts w:hint="eastAsia" w:ascii="仿宋_GB2312" w:hAnsi="宋体" w:eastAsia="仿宋_GB2312" w:cs="宋体"/>
          <w:snapToGrid w:val="0"/>
          <w:color w:val="000000"/>
          <w:sz w:val="21"/>
          <w:szCs w:val="21"/>
          <w:lang w:val="en-US" w:eastAsia="zh-CN" w:bidi="ar-SA"/>
        </w:rPr>
        <w:t>刘赞</w:t>
      </w: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ascii="方正小标宋简体" w:hAnsi="宋体" w:eastAsia="方正小标宋简体" w:cs="宋体"/>
          <w:bCs/>
          <w:spacing w:val="8"/>
          <w:kern w:val="0"/>
          <w:sz w:val="44"/>
          <w:szCs w:val="44"/>
          <w:lang w:eastAsia="zh-CN"/>
        </w:rPr>
        <w:t>年度项目支出绩效自评表</w:t>
      </w:r>
    </w:p>
    <w:p>
      <w:pPr>
        <w:spacing w:line="95" w:lineRule="exact"/>
        <w:ind w:firstLine="420"/>
        <w:jc w:val="left"/>
        <w:rPr>
          <w:kern w:val="0"/>
          <w:lang w:eastAsia="zh-CN"/>
        </w:rPr>
      </w:pPr>
    </w:p>
    <w:tbl>
      <w:tblPr>
        <w:tblStyle w:val="9"/>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市委大院维护管理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汨罗市机关事务服务中心</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汨罗市机关事务服务中心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pPr>
              <w:spacing w:line="240" w:lineRule="auto"/>
              <w:ind w:firstLine="420"/>
              <w:jc w:val="center"/>
              <w:rPr>
                <w:rFonts w:ascii="仿宋_GB2312" w:hAnsi="宋体" w:eastAsia="仿宋_GB2312" w:cs="宋体"/>
                <w:kern w:val="0"/>
                <w:lang w:eastAsia="zh-CN"/>
              </w:rPr>
            </w:pPr>
          </w:p>
        </w:tc>
        <w:tc>
          <w:tcPr>
            <w:tcW w:w="102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42</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153.61</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153.61</w:t>
            </w:r>
          </w:p>
        </w:tc>
        <w:tc>
          <w:tcPr>
            <w:tcW w:w="809" w:type="dxa"/>
            <w:vAlign w:val="center"/>
          </w:tcPr>
          <w:p>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38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 xml:space="preserve">10分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42</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153.61</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153.61</w:t>
            </w: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439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1、负责市委大院办公楼、宿舍水电路等其他基础设施的维护维修；2、负责代缴市委大院公共区水电费；3、负责保安保洁，4、保证机关食堂正常运转；5、绿化维护；保证机关办公及生活的正常运转</w:t>
            </w:r>
          </w:p>
        </w:tc>
        <w:tc>
          <w:tcPr>
            <w:tcW w:w="414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1、负责市委大院办公楼、宿舍水电路等其他基础设施的维护维修；2、负责代缴市委大院公共区水电费；3、负责保安保洁，4、保证机关食堂正常运转；5、绿化维护；保证机关办公及生活的正常运转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pPr>
              <w:spacing w:line="240" w:lineRule="auto"/>
              <w:ind w:firstLine="420"/>
              <w:jc w:val="center"/>
              <w:rPr>
                <w:rFonts w:ascii="仿宋_GB2312" w:hAnsi="宋体" w:eastAsia="仿宋_GB2312" w:cs="宋体"/>
                <w:kern w:val="0"/>
              </w:rPr>
            </w:pPr>
          </w:p>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13栋宿舍、6栋办公楼、1栋市委周转房、1栋机关食堂、电梯2台、3立方垃圾桶2只、塑料垃圾桶4只。</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w:t>
            </w:r>
            <w:r>
              <w:rPr>
                <w:rFonts w:hint="eastAsia" w:ascii="仿宋_GB2312" w:hAnsi="宋体" w:eastAsia="仿宋_GB2312" w:cs="宋体"/>
                <w:kern w:val="0"/>
                <w:lang w:val="en-US" w:eastAsia="zh-CN"/>
              </w:rPr>
              <w:t>98.0</w:t>
            </w:r>
            <w:r>
              <w:rPr>
                <w:rFonts w:hint="eastAsia" w:ascii="仿宋_GB2312" w:hAnsi="宋体" w:eastAsia="仿宋_GB2312" w:cs="宋体"/>
                <w:kern w:val="0"/>
              </w:rPr>
              <w:t>%</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w:t>
            </w:r>
            <w:r>
              <w:rPr>
                <w:rFonts w:hint="eastAsia" w:ascii="仿宋_GB2312" w:hAnsi="宋体" w:eastAsia="仿宋_GB2312" w:cs="宋体"/>
                <w:kern w:val="0"/>
                <w:lang w:val="en-US" w:eastAsia="zh-CN"/>
              </w:rPr>
              <w:t>98.0</w:t>
            </w:r>
            <w:r>
              <w:rPr>
                <w:rFonts w:hint="eastAsia" w:ascii="仿宋_GB2312" w:hAnsi="宋体" w:eastAsia="仿宋_GB2312" w:cs="宋体"/>
                <w:kern w:val="0"/>
              </w:rPr>
              <w:t>%</w:t>
            </w:r>
          </w:p>
        </w:tc>
        <w:tc>
          <w:tcPr>
            <w:tcW w:w="80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实现机关大院环境秀美</w:t>
            </w:r>
            <w:r>
              <w:rPr>
                <w:rFonts w:hint="eastAsia" w:ascii="仿宋_GB2312" w:hAnsi="宋体" w:eastAsia="仿宋_GB2312" w:cs="宋体"/>
                <w:kern w:val="0"/>
                <w:lang w:eastAsia="zh-CN"/>
              </w:rPr>
              <w:t>；</w:t>
            </w:r>
            <w:r>
              <w:rPr>
                <w:rFonts w:hint="eastAsia" w:ascii="仿宋_GB2312" w:hAnsi="宋体" w:eastAsia="仿宋_GB2312" w:cs="宋体"/>
                <w:kern w:val="0"/>
              </w:rPr>
              <w:t>创造良好的工作生活学习环境</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w:t>
            </w:r>
            <w:r>
              <w:rPr>
                <w:rFonts w:hint="eastAsia" w:ascii="仿宋_GB2312" w:hAnsi="宋体" w:eastAsia="仿宋_GB2312" w:cs="宋体"/>
                <w:kern w:val="0"/>
                <w:lang w:val="en-US" w:eastAsia="zh-CN"/>
              </w:rPr>
              <w:t>100.0</w:t>
            </w:r>
            <w:r>
              <w:rPr>
                <w:rFonts w:hint="eastAsia" w:ascii="仿宋_GB2312" w:hAnsi="宋体" w:eastAsia="仿宋_GB2312" w:cs="宋体"/>
                <w:kern w:val="0"/>
              </w:rPr>
              <w:t>%</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w:t>
            </w:r>
            <w:r>
              <w:rPr>
                <w:rFonts w:hint="eastAsia" w:ascii="仿宋_GB2312" w:hAnsi="宋体" w:eastAsia="仿宋_GB2312" w:cs="宋体"/>
                <w:kern w:val="0"/>
                <w:lang w:val="en-US" w:eastAsia="zh-CN"/>
              </w:rPr>
              <w:t>100.0</w:t>
            </w:r>
            <w:r>
              <w:rPr>
                <w:rFonts w:hint="eastAsia" w:ascii="仿宋_GB2312" w:hAnsi="宋体" w:eastAsia="仿宋_GB2312" w:cs="宋体"/>
                <w:kern w:val="0"/>
              </w:rPr>
              <w:t>%</w:t>
            </w:r>
          </w:p>
        </w:tc>
        <w:tc>
          <w:tcPr>
            <w:tcW w:w="80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2022年全年</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lang w:val="en-US" w:eastAsia="zh-CN"/>
              </w:rPr>
              <w:t>2022年全年</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lang w:val="en-US" w:eastAsia="zh-CN"/>
              </w:rPr>
              <w:t>2022年全年</w:t>
            </w:r>
          </w:p>
        </w:tc>
        <w:tc>
          <w:tcPr>
            <w:tcW w:w="80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Merge w:val="restart"/>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确保市委机关大院正常运转确保政治经营决策</w:t>
            </w:r>
            <w:r>
              <w:rPr>
                <w:rFonts w:hint="eastAsia" w:ascii="仿宋_GB2312" w:hAnsi="宋体" w:eastAsia="仿宋_GB2312" w:cs="宋体"/>
                <w:kern w:val="0"/>
                <w:lang w:eastAsia="zh-CN"/>
              </w:rPr>
              <w:t>；</w:t>
            </w:r>
            <w:r>
              <w:rPr>
                <w:rFonts w:hint="eastAsia" w:ascii="仿宋_GB2312" w:hAnsi="宋体" w:eastAsia="仿宋_GB2312" w:cs="宋体"/>
                <w:kern w:val="0"/>
              </w:rPr>
              <w:t>做好全市机关单位的表率</w:t>
            </w:r>
          </w:p>
        </w:tc>
        <w:tc>
          <w:tcPr>
            <w:tcW w:w="1099"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rPr>
              <w:t>≥</w:t>
            </w:r>
            <w:r>
              <w:rPr>
                <w:rFonts w:hint="eastAsia" w:ascii="仿宋_GB2312" w:hAnsi="宋体" w:eastAsia="仿宋_GB2312" w:cs="宋体"/>
                <w:kern w:val="0"/>
                <w:lang w:val="en-US" w:eastAsia="zh-CN"/>
              </w:rPr>
              <w:t>95.0</w:t>
            </w:r>
            <w:r>
              <w:rPr>
                <w:rFonts w:hint="eastAsia" w:ascii="仿宋_GB2312" w:hAnsi="宋体" w:eastAsia="仿宋_GB2312" w:cs="宋体"/>
                <w:kern w:val="0"/>
              </w:rPr>
              <w:t>%</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w:t>
            </w:r>
            <w:r>
              <w:rPr>
                <w:rFonts w:hint="eastAsia" w:ascii="仿宋_GB2312" w:hAnsi="宋体" w:eastAsia="仿宋_GB2312" w:cs="宋体"/>
                <w:kern w:val="0"/>
                <w:lang w:val="en-US" w:eastAsia="zh-CN"/>
              </w:rPr>
              <w:t>95.0</w:t>
            </w:r>
            <w:r>
              <w:rPr>
                <w:rFonts w:hint="eastAsia" w:ascii="仿宋_GB2312" w:hAnsi="宋体" w:eastAsia="仿宋_GB2312" w:cs="宋体"/>
                <w:kern w:val="0"/>
              </w:rPr>
              <w:t>%</w:t>
            </w:r>
          </w:p>
        </w:tc>
        <w:tc>
          <w:tcPr>
            <w:tcW w:w="80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Merge w:val="restart"/>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确保市委机关大院正常运转，确保政治经营决策、做好全市机关单位的表率</w:t>
            </w:r>
          </w:p>
        </w:tc>
        <w:tc>
          <w:tcPr>
            <w:tcW w:w="1099"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进一步提升</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lang w:eastAsia="zh-CN"/>
              </w:rPr>
              <w:t>进一步提升</w:t>
            </w:r>
          </w:p>
        </w:tc>
        <w:tc>
          <w:tcPr>
            <w:tcW w:w="80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Merge w:val="restart"/>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为市委大院创造良好的工作和生活环境</w:t>
            </w:r>
          </w:p>
        </w:tc>
        <w:tc>
          <w:tcPr>
            <w:tcW w:w="1099"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进一步改善</w:t>
            </w:r>
          </w:p>
        </w:tc>
        <w:tc>
          <w:tcPr>
            <w:tcW w:w="1099"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eastAsia="zh-CN"/>
              </w:rPr>
              <w:t>进一步改善</w:t>
            </w:r>
          </w:p>
        </w:tc>
        <w:tc>
          <w:tcPr>
            <w:tcW w:w="80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Merge w:val="restart"/>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可持续性</w:t>
            </w:r>
          </w:p>
        </w:tc>
        <w:tc>
          <w:tcPr>
            <w:tcW w:w="1099" w:type="dxa"/>
            <w:vAlign w:val="center"/>
          </w:tcPr>
          <w:p>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持续</w:t>
            </w:r>
          </w:p>
        </w:tc>
        <w:tc>
          <w:tcPr>
            <w:tcW w:w="1099" w:type="dxa"/>
            <w:vAlign w:val="center"/>
          </w:tcPr>
          <w:p>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持续</w:t>
            </w:r>
          </w:p>
        </w:tc>
        <w:tc>
          <w:tcPr>
            <w:tcW w:w="809"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tcBorders>
              <w:bottom w:val="single" w:color="auto" w:sz="4" w:space="0"/>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single" w:color="auto" w:sz="4" w:space="0"/>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服务对象满意</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w:t>
            </w:r>
            <w:r>
              <w:rPr>
                <w:rFonts w:hint="eastAsia" w:ascii="仿宋_GB2312" w:hAnsi="宋体" w:eastAsia="仿宋_GB2312" w:cs="宋体"/>
                <w:kern w:val="0"/>
                <w:lang w:val="en-US" w:eastAsia="zh-CN"/>
              </w:rPr>
              <w:t>98.0</w:t>
            </w:r>
            <w:r>
              <w:rPr>
                <w:rFonts w:hint="eastAsia" w:ascii="仿宋_GB2312" w:hAnsi="宋体" w:eastAsia="仿宋_GB2312" w:cs="宋体"/>
                <w:kern w:val="0"/>
              </w:rPr>
              <w:t>%</w:t>
            </w:r>
          </w:p>
        </w:tc>
        <w:tc>
          <w:tcPr>
            <w:tcW w:w="1099"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w:t>
            </w:r>
            <w:r>
              <w:rPr>
                <w:rFonts w:hint="eastAsia" w:ascii="仿宋_GB2312" w:hAnsi="宋体" w:eastAsia="仿宋_GB2312" w:cs="宋体"/>
                <w:kern w:val="0"/>
                <w:lang w:val="en-US" w:eastAsia="zh-CN"/>
              </w:rPr>
              <w:t>98.0</w:t>
            </w:r>
            <w:r>
              <w:rPr>
                <w:rFonts w:hint="eastAsia" w:ascii="仿宋_GB2312" w:hAnsi="宋体" w:eastAsia="仿宋_GB2312" w:cs="宋体"/>
                <w:kern w:val="0"/>
              </w:rPr>
              <w:t>%</w:t>
            </w:r>
          </w:p>
        </w:tc>
        <w:tc>
          <w:tcPr>
            <w:tcW w:w="80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预算批复金额</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42万元</w:t>
            </w:r>
          </w:p>
        </w:tc>
        <w:tc>
          <w:tcPr>
            <w:tcW w:w="1099"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153.61万元</w:t>
            </w:r>
          </w:p>
        </w:tc>
        <w:tc>
          <w:tcPr>
            <w:tcW w:w="809"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849"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4</w:t>
            </w:r>
          </w:p>
        </w:tc>
        <w:tc>
          <w:tcPr>
            <w:tcW w:w="1383"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年初预算不足，年底追加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对社会发展可能成造成负面影响</w:t>
            </w:r>
          </w:p>
        </w:tc>
        <w:tc>
          <w:tcPr>
            <w:tcW w:w="1099" w:type="dxa"/>
            <w:vAlign w:val="center"/>
          </w:tcPr>
          <w:p>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c>
          <w:tcPr>
            <w:tcW w:w="1099" w:type="dxa"/>
            <w:vAlign w:val="center"/>
          </w:tcPr>
          <w:p>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c>
          <w:tcPr>
            <w:tcW w:w="809"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对自然生态环境可能造成负面影响</w:t>
            </w:r>
          </w:p>
        </w:tc>
        <w:tc>
          <w:tcPr>
            <w:tcW w:w="1099" w:type="dxa"/>
            <w:vAlign w:val="center"/>
          </w:tcPr>
          <w:p>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c>
          <w:tcPr>
            <w:tcW w:w="1099" w:type="dxa"/>
            <w:vAlign w:val="center"/>
          </w:tcPr>
          <w:p>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无</w:t>
            </w:r>
          </w:p>
        </w:tc>
        <w:tc>
          <w:tcPr>
            <w:tcW w:w="809"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849"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7</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pPr>
              <w:spacing w:line="240" w:lineRule="auto"/>
              <w:ind w:firstLine="420"/>
              <w:jc w:val="center"/>
              <w:rPr>
                <w:rFonts w:ascii="仿宋_GB2312" w:hAnsi="宋体" w:eastAsia="仿宋_GB2312" w:cs="宋体"/>
                <w:kern w:val="0"/>
              </w:rPr>
            </w:pPr>
          </w:p>
        </w:tc>
      </w:tr>
    </w:tbl>
    <w:p>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pPr>
        <w:spacing w:line="240" w:lineRule="auto"/>
        <w:ind w:firstLine="420"/>
        <w:jc w:val="left"/>
        <w:rPr>
          <w:rFonts w:ascii="宋体" w:hAnsi="宋体" w:eastAsia="宋体" w:cs="宋体"/>
          <w:kern w:val="0"/>
          <w:lang w:eastAsia="zh-CN"/>
        </w:rPr>
      </w:pPr>
    </w:p>
    <w:p>
      <w:pPr>
        <w:rPr>
          <w:rFonts w:ascii="仿宋_GB2312" w:hAnsi="宋体" w:eastAsia="仿宋_GB2312" w:cs="宋体"/>
          <w:lang w:eastAsia="zh-CN"/>
        </w:rPr>
        <w:sectPr>
          <w:footerReference r:id="rId7" w:type="default"/>
          <w:pgSz w:w="11907" w:h="16839"/>
          <w:pgMar w:top="1531" w:right="1474" w:bottom="1531" w:left="1587" w:header="0" w:footer="1588" w:gutter="0"/>
          <w:pgBorders>
            <w:top w:val="none" w:sz="0" w:space="0"/>
            <w:left w:val="none" w:sz="0" w:space="0"/>
            <w:bottom w:val="none" w:sz="0" w:space="0"/>
            <w:right w:val="none" w:sz="0" w:space="0"/>
          </w:pgBorders>
          <w:pgNumType w:fmt="numberInDash"/>
          <w:cols w:space="720" w:num="1"/>
          <w:docGrid w:linePitch="286" w:charSpace="0"/>
        </w:sectPr>
      </w:pPr>
      <w:r>
        <w:rPr>
          <w:rFonts w:hint="eastAsia" w:ascii="仿宋_GB2312" w:hAnsi="宋体" w:eastAsia="仿宋_GB2312" w:cs="宋体"/>
          <w:kern w:val="0"/>
          <w:lang w:eastAsia="zh-CN"/>
        </w:rPr>
        <w:t>填表人：胡阳</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6月2日</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15292006926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单位负责人签字:刘赞</w:t>
      </w:r>
    </w:p>
    <w:p>
      <w:pPr>
        <w:spacing w:line="267" w:lineRule="auto"/>
        <w:ind w:firstLine="552"/>
        <w:jc w:val="both"/>
        <w:rPr>
          <w:rFonts w:hint="eastAsia" w:ascii="宋体" w:hAnsi="宋体" w:eastAsia="宋体" w:cs="宋体"/>
          <w:bCs/>
          <w:spacing w:val="-4"/>
          <w:kern w:val="0"/>
          <w:sz w:val="28"/>
          <w:szCs w:val="28"/>
          <w:lang w:eastAsia="zh-CN"/>
        </w:rPr>
      </w:pPr>
    </w:p>
    <w:p>
      <w:pPr>
        <w:spacing w:line="267" w:lineRule="auto"/>
        <w:ind w:firstLine="552"/>
        <w:jc w:val="both"/>
        <w:rPr>
          <w:rFonts w:hint="eastAsia" w:ascii="宋体" w:hAnsi="宋体" w:eastAsia="宋体" w:cs="宋体"/>
          <w:bCs/>
          <w:spacing w:val="-4"/>
          <w:kern w:val="0"/>
          <w:sz w:val="28"/>
          <w:szCs w:val="28"/>
          <w:lang w:eastAsia="zh-CN"/>
        </w:rPr>
      </w:pPr>
    </w:p>
    <w:p>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ascii="方正小标宋简体" w:hAnsi="宋体" w:eastAsia="方正小标宋简体" w:cs="宋体"/>
          <w:bCs/>
          <w:spacing w:val="8"/>
          <w:kern w:val="0"/>
          <w:sz w:val="44"/>
          <w:szCs w:val="44"/>
          <w:lang w:eastAsia="zh-CN"/>
        </w:rPr>
        <w:t>年度项目支出绩效自评表</w:t>
      </w:r>
    </w:p>
    <w:p>
      <w:pPr>
        <w:spacing w:line="95" w:lineRule="exact"/>
        <w:ind w:firstLine="420"/>
        <w:jc w:val="left"/>
        <w:rPr>
          <w:kern w:val="0"/>
          <w:lang w:eastAsia="zh-CN"/>
        </w:rPr>
      </w:pPr>
    </w:p>
    <w:tbl>
      <w:tblPr>
        <w:tblStyle w:val="9"/>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182"/>
        <w:gridCol w:w="1117"/>
        <w:gridCol w:w="1150"/>
        <w:gridCol w:w="800"/>
        <w:gridCol w:w="733"/>
        <w:gridCol w:w="127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市委机关后勤专项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576" w:type="dxa"/>
            <w:gridSpan w:val="4"/>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汨罗市机关事务服务中心</w:t>
            </w:r>
          </w:p>
        </w:tc>
        <w:tc>
          <w:tcPr>
            <w:tcW w:w="115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810" w:type="dxa"/>
            <w:gridSpan w:val="3"/>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汨罗市机关事务服务中心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pPr>
              <w:spacing w:line="240" w:lineRule="auto"/>
              <w:ind w:firstLine="420"/>
              <w:jc w:val="center"/>
              <w:rPr>
                <w:rFonts w:ascii="仿宋_GB2312" w:hAnsi="宋体" w:eastAsia="仿宋_GB2312" w:cs="宋体"/>
                <w:kern w:val="0"/>
                <w:lang w:eastAsia="zh-CN"/>
              </w:rPr>
            </w:pPr>
          </w:p>
        </w:tc>
        <w:tc>
          <w:tcPr>
            <w:tcW w:w="1182"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117"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15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0"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733"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277" w:type="dxa"/>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182"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60</w:t>
            </w:r>
          </w:p>
        </w:tc>
        <w:tc>
          <w:tcPr>
            <w:tcW w:w="1117"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214.3</w:t>
            </w:r>
          </w:p>
        </w:tc>
        <w:tc>
          <w:tcPr>
            <w:tcW w:w="1150"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214.3</w:t>
            </w:r>
          </w:p>
        </w:tc>
        <w:tc>
          <w:tcPr>
            <w:tcW w:w="800" w:type="dxa"/>
            <w:vAlign w:val="center"/>
          </w:tcPr>
          <w:p>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733"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277"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182" w:type="dxa"/>
            <w:vAlign w:val="center"/>
          </w:tcPr>
          <w:p>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60</w:t>
            </w:r>
          </w:p>
        </w:tc>
        <w:tc>
          <w:tcPr>
            <w:tcW w:w="1117" w:type="dxa"/>
            <w:vAlign w:val="center"/>
          </w:tcPr>
          <w:p>
            <w:pPr>
              <w:spacing w:line="240" w:lineRule="auto"/>
              <w:jc w:val="both"/>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214.3</w:t>
            </w:r>
          </w:p>
        </w:tc>
        <w:tc>
          <w:tcPr>
            <w:tcW w:w="1150" w:type="dxa"/>
            <w:vAlign w:val="center"/>
          </w:tcPr>
          <w:p>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214.3</w:t>
            </w:r>
          </w:p>
        </w:tc>
        <w:tc>
          <w:tcPr>
            <w:tcW w:w="800" w:type="dxa"/>
            <w:vAlign w:val="center"/>
          </w:tcPr>
          <w:p>
            <w:pPr>
              <w:spacing w:line="240" w:lineRule="auto"/>
              <w:ind w:firstLine="420"/>
              <w:jc w:val="center"/>
              <w:rPr>
                <w:rFonts w:ascii="仿宋_GB2312" w:hAnsi="宋体" w:eastAsia="仿宋_GB2312" w:cs="宋体"/>
                <w:kern w:val="0"/>
                <w:lang w:eastAsia="zh-CN"/>
              </w:rPr>
            </w:pPr>
          </w:p>
        </w:tc>
        <w:tc>
          <w:tcPr>
            <w:tcW w:w="733" w:type="dxa"/>
            <w:vAlign w:val="center"/>
          </w:tcPr>
          <w:p>
            <w:pPr>
              <w:spacing w:line="240" w:lineRule="auto"/>
              <w:ind w:firstLine="420"/>
              <w:jc w:val="center"/>
              <w:rPr>
                <w:rFonts w:ascii="仿宋_GB2312" w:hAnsi="宋体" w:eastAsia="仿宋_GB2312" w:cs="宋体"/>
                <w:kern w:val="0"/>
                <w:lang w:eastAsia="zh-CN"/>
              </w:rPr>
            </w:pPr>
          </w:p>
        </w:tc>
        <w:tc>
          <w:tcPr>
            <w:tcW w:w="1277"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182" w:type="dxa"/>
            <w:vAlign w:val="center"/>
          </w:tcPr>
          <w:p>
            <w:pPr>
              <w:spacing w:line="240" w:lineRule="auto"/>
              <w:ind w:firstLine="420"/>
              <w:jc w:val="center"/>
              <w:rPr>
                <w:rFonts w:ascii="仿宋_GB2312" w:hAnsi="宋体" w:eastAsia="仿宋_GB2312" w:cs="宋体"/>
                <w:kern w:val="0"/>
                <w:lang w:eastAsia="zh-CN"/>
              </w:rPr>
            </w:pPr>
          </w:p>
        </w:tc>
        <w:tc>
          <w:tcPr>
            <w:tcW w:w="1117" w:type="dxa"/>
            <w:vAlign w:val="center"/>
          </w:tcPr>
          <w:p>
            <w:pPr>
              <w:spacing w:line="240" w:lineRule="auto"/>
              <w:ind w:firstLine="420"/>
              <w:jc w:val="center"/>
              <w:rPr>
                <w:rFonts w:ascii="仿宋_GB2312" w:hAnsi="宋体" w:eastAsia="仿宋_GB2312" w:cs="宋体"/>
                <w:kern w:val="0"/>
                <w:lang w:eastAsia="zh-CN"/>
              </w:rPr>
            </w:pPr>
          </w:p>
        </w:tc>
        <w:tc>
          <w:tcPr>
            <w:tcW w:w="1150" w:type="dxa"/>
            <w:vAlign w:val="center"/>
          </w:tcPr>
          <w:p>
            <w:pPr>
              <w:spacing w:line="240" w:lineRule="auto"/>
              <w:ind w:firstLine="420"/>
              <w:jc w:val="center"/>
              <w:rPr>
                <w:rFonts w:ascii="仿宋_GB2312" w:hAnsi="宋体" w:eastAsia="仿宋_GB2312" w:cs="宋体"/>
                <w:kern w:val="0"/>
                <w:lang w:eastAsia="zh-CN"/>
              </w:rPr>
            </w:pPr>
          </w:p>
        </w:tc>
        <w:tc>
          <w:tcPr>
            <w:tcW w:w="800" w:type="dxa"/>
            <w:vAlign w:val="center"/>
          </w:tcPr>
          <w:p>
            <w:pPr>
              <w:spacing w:line="240" w:lineRule="auto"/>
              <w:ind w:firstLine="420"/>
              <w:jc w:val="center"/>
              <w:rPr>
                <w:rFonts w:ascii="仿宋_GB2312" w:hAnsi="宋体" w:eastAsia="仿宋_GB2312" w:cs="宋体"/>
                <w:kern w:val="0"/>
                <w:lang w:eastAsia="zh-CN"/>
              </w:rPr>
            </w:pPr>
          </w:p>
        </w:tc>
        <w:tc>
          <w:tcPr>
            <w:tcW w:w="733" w:type="dxa"/>
            <w:vAlign w:val="center"/>
          </w:tcPr>
          <w:p>
            <w:pPr>
              <w:spacing w:line="240" w:lineRule="auto"/>
              <w:ind w:firstLine="420"/>
              <w:jc w:val="center"/>
              <w:rPr>
                <w:rFonts w:ascii="仿宋_GB2312" w:hAnsi="宋体" w:eastAsia="仿宋_GB2312" w:cs="宋体"/>
                <w:kern w:val="0"/>
                <w:lang w:eastAsia="zh-CN"/>
              </w:rPr>
            </w:pPr>
          </w:p>
        </w:tc>
        <w:tc>
          <w:tcPr>
            <w:tcW w:w="1277"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182" w:type="dxa"/>
            <w:vAlign w:val="center"/>
          </w:tcPr>
          <w:p>
            <w:pPr>
              <w:spacing w:line="240" w:lineRule="auto"/>
              <w:ind w:firstLine="420"/>
              <w:jc w:val="center"/>
              <w:rPr>
                <w:rFonts w:ascii="仿宋_GB2312" w:hAnsi="宋体" w:eastAsia="仿宋_GB2312" w:cs="宋体"/>
                <w:kern w:val="0"/>
              </w:rPr>
            </w:pPr>
          </w:p>
        </w:tc>
        <w:tc>
          <w:tcPr>
            <w:tcW w:w="1117" w:type="dxa"/>
            <w:vAlign w:val="center"/>
          </w:tcPr>
          <w:p>
            <w:pPr>
              <w:spacing w:line="240" w:lineRule="auto"/>
              <w:ind w:firstLine="420"/>
              <w:jc w:val="center"/>
              <w:rPr>
                <w:rFonts w:ascii="仿宋_GB2312" w:hAnsi="宋体" w:eastAsia="仿宋_GB2312" w:cs="宋体"/>
                <w:kern w:val="0"/>
              </w:rPr>
            </w:pPr>
          </w:p>
        </w:tc>
        <w:tc>
          <w:tcPr>
            <w:tcW w:w="1150" w:type="dxa"/>
            <w:vAlign w:val="center"/>
          </w:tcPr>
          <w:p>
            <w:pPr>
              <w:spacing w:line="240" w:lineRule="auto"/>
              <w:ind w:firstLine="420"/>
              <w:jc w:val="center"/>
              <w:rPr>
                <w:rFonts w:ascii="仿宋_GB2312" w:hAnsi="宋体" w:eastAsia="仿宋_GB2312" w:cs="宋体"/>
                <w:kern w:val="0"/>
              </w:rPr>
            </w:pPr>
          </w:p>
        </w:tc>
        <w:tc>
          <w:tcPr>
            <w:tcW w:w="800" w:type="dxa"/>
            <w:vAlign w:val="center"/>
          </w:tcPr>
          <w:p>
            <w:pPr>
              <w:spacing w:line="240" w:lineRule="auto"/>
              <w:ind w:firstLine="420"/>
              <w:jc w:val="center"/>
              <w:rPr>
                <w:rFonts w:ascii="仿宋_GB2312" w:hAnsi="宋体" w:eastAsia="仿宋_GB2312" w:cs="宋体"/>
                <w:kern w:val="0"/>
              </w:rPr>
            </w:pPr>
          </w:p>
        </w:tc>
        <w:tc>
          <w:tcPr>
            <w:tcW w:w="733" w:type="dxa"/>
            <w:vAlign w:val="center"/>
          </w:tcPr>
          <w:p>
            <w:pPr>
              <w:spacing w:line="240" w:lineRule="auto"/>
              <w:ind w:firstLine="420"/>
              <w:jc w:val="center"/>
              <w:rPr>
                <w:rFonts w:ascii="仿宋_GB2312" w:hAnsi="宋体" w:eastAsia="仿宋_GB2312" w:cs="宋体"/>
                <w:kern w:val="0"/>
              </w:rPr>
            </w:pP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57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396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4576" w:type="dxa"/>
            <w:gridSpan w:val="4"/>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保证市委大院20家单位工作人员在干净、整洁、明亮、卫生的环境下就餐，保证食材新鲜、卫生，更好的开展工作。</w:t>
            </w:r>
          </w:p>
        </w:tc>
        <w:tc>
          <w:tcPr>
            <w:tcW w:w="3960" w:type="dxa"/>
            <w:gridSpan w:val="4"/>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保证市委大院20家单位工作人员在干净、整洁、明亮、卫生的环境下就餐，保证食材新鲜、卫生，更好的开展工作。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pPr>
              <w:spacing w:line="240" w:lineRule="auto"/>
              <w:ind w:firstLine="420"/>
              <w:jc w:val="center"/>
              <w:rPr>
                <w:rFonts w:ascii="仿宋_GB2312" w:hAnsi="宋体" w:eastAsia="仿宋_GB2312" w:cs="宋体"/>
                <w:kern w:val="0"/>
              </w:rPr>
            </w:pPr>
          </w:p>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182"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117"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15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733"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277"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lang w:eastAsia="zh-CN"/>
              </w:rPr>
            </w:pPr>
          </w:p>
        </w:tc>
        <w:tc>
          <w:tcPr>
            <w:tcW w:w="1059" w:type="dxa"/>
            <w:vMerge w:val="restart"/>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182"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市委食堂</w:t>
            </w:r>
            <w:r>
              <w:rPr>
                <w:rFonts w:hint="eastAsia" w:ascii="仿宋_GB2312" w:hAnsi="宋体" w:eastAsia="仿宋_GB2312" w:cs="宋体"/>
                <w:kern w:val="0"/>
                <w:lang w:val="en-US" w:eastAsia="zh-CN"/>
              </w:rPr>
              <w:t>2</w:t>
            </w:r>
            <w:r>
              <w:rPr>
                <w:rFonts w:hint="eastAsia" w:ascii="仿宋_GB2312" w:hAnsi="宋体" w:eastAsia="仿宋_GB2312" w:cs="宋体"/>
                <w:kern w:val="0"/>
              </w:rPr>
              <w:t>个；电梯1台；食堂卫生每天保洁次数</w:t>
            </w:r>
          </w:p>
        </w:tc>
        <w:tc>
          <w:tcPr>
            <w:tcW w:w="1117" w:type="dxa"/>
            <w:vAlign w:val="center"/>
          </w:tcPr>
          <w:p>
            <w:pPr>
              <w:spacing w:line="240" w:lineRule="auto"/>
              <w:ind w:firstLine="210" w:firstLineChars="100"/>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snapToGrid w:val="0"/>
                <w:color w:val="000000"/>
                <w:kern w:val="0"/>
                <w:sz w:val="21"/>
                <w:szCs w:val="21"/>
                <w:lang w:val="en-US" w:eastAsia="en-US" w:bidi="ar-SA"/>
              </w:rPr>
              <w:t>≧3次</w:t>
            </w:r>
          </w:p>
          <w:p>
            <w:pPr>
              <w:spacing w:line="240" w:lineRule="auto"/>
              <w:ind w:firstLine="420"/>
              <w:jc w:val="center"/>
              <w:rPr>
                <w:rFonts w:ascii="仿宋_GB2312" w:hAnsi="宋体" w:eastAsia="仿宋_GB2312" w:cs="宋体"/>
                <w:kern w:val="0"/>
              </w:rPr>
            </w:pPr>
          </w:p>
        </w:tc>
        <w:tc>
          <w:tcPr>
            <w:tcW w:w="1150" w:type="dxa"/>
            <w:vAlign w:val="center"/>
          </w:tcPr>
          <w:p>
            <w:pPr>
              <w:spacing w:line="240" w:lineRule="auto"/>
              <w:ind w:firstLine="420"/>
              <w:jc w:val="left"/>
              <w:rPr>
                <w:rFonts w:ascii="仿宋_GB2312" w:hAnsi="宋体" w:eastAsia="仿宋_GB2312" w:cs="宋体"/>
                <w:kern w:val="0"/>
              </w:rPr>
            </w:pPr>
            <w:r>
              <w:rPr>
                <w:rFonts w:hint="eastAsia" w:ascii="仿宋_GB2312" w:hAnsi="宋体" w:eastAsia="仿宋_GB2312" w:cs="宋体"/>
                <w:kern w:val="0"/>
              </w:rPr>
              <w:t>≧3次</w:t>
            </w:r>
          </w:p>
        </w:tc>
        <w:tc>
          <w:tcPr>
            <w:tcW w:w="800"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733"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277" w:type="dxa"/>
            <w:tcBorders>
              <w:bottom w:val="single" w:color="auto" w:sz="4" w:space="0"/>
            </w:tcBorders>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jc w:val="center"/>
        </w:trPr>
        <w:tc>
          <w:tcPr>
            <w:tcW w:w="1054" w:type="dxa"/>
            <w:vMerge w:val="continue"/>
            <w:textDirection w:val="tbRlV"/>
            <w:vAlign w:val="center"/>
          </w:tcPr>
          <w:p>
            <w:pPr>
              <w:spacing w:line="240" w:lineRule="auto"/>
              <w:ind w:firstLine="420"/>
              <w:jc w:val="center"/>
            </w:pPr>
          </w:p>
        </w:tc>
        <w:tc>
          <w:tcPr>
            <w:tcW w:w="1059" w:type="dxa"/>
            <w:vMerge w:val="continue"/>
            <w:tcBorders>
              <w:bottom w:val="nil"/>
            </w:tcBorders>
            <w:vAlign w:val="center"/>
          </w:tcPr>
          <w:p>
            <w:pPr>
              <w:spacing w:line="240" w:lineRule="auto"/>
              <w:ind w:firstLine="420"/>
              <w:jc w:val="center"/>
            </w:pPr>
          </w:p>
        </w:tc>
        <w:tc>
          <w:tcPr>
            <w:tcW w:w="1218" w:type="dxa"/>
            <w:vMerge w:val="continue"/>
            <w:tcBorders>
              <w:bottom w:val="nil"/>
            </w:tcBorders>
            <w:vAlign w:val="center"/>
          </w:tcPr>
          <w:p>
            <w:pPr>
              <w:spacing w:line="240" w:lineRule="auto"/>
              <w:ind w:firstLine="420"/>
              <w:jc w:val="center"/>
            </w:pPr>
          </w:p>
        </w:tc>
        <w:tc>
          <w:tcPr>
            <w:tcW w:w="1182"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5天时间供应早、中餐，每天出餐次数</w:t>
            </w:r>
          </w:p>
        </w:tc>
        <w:tc>
          <w:tcPr>
            <w:tcW w:w="1117" w:type="dxa"/>
            <w:vAlign w:val="center"/>
          </w:tcPr>
          <w:p>
            <w:pPr>
              <w:spacing w:line="240" w:lineRule="auto"/>
              <w:ind w:firstLine="210" w:firstLineChars="100"/>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snapToGrid w:val="0"/>
                <w:color w:val="000000"/>
                <w:kern w:val="0"/>
                <w:sz w:val="21"/>
                <w:szCs w:val="21"/>
                <w:lang w:val="en-US" w:eastAsia="en-US" w:bidi="ar-SA"/>
              </w:rPr>
              <w:t>≧2次</w:t>
            </w:r>
          </w:p>
        </w:tc>
        <w:tc>
          <w:tcPr>
            <w:tcW w:w="1150" w:type="dxa"/>
            <w:vAlign w:val="center"/>
          </w:tcPr>
          <w:p>
            <w:pPr>
              <w:spacing w:line="240" w:lineRule="auto"/>
              <w:ind w:firstLine="420"/>
              <w:jc w:val="both"/>
              <w:rPr>
                <w:rFonts w:ascii="仿宋_GB2312" w:hAnsi="宋体" w:eastAsia="仿宋_GB2312" w:cs="宋体"/>
                <w:kern w:val="0"/>
              </w:rPr>
            </w:pPr>
            <w:r>
              <w:rPr>
                <w:rFonts w:hint="eastAsia" w:ascii="仿宋_GB2312" w:hAnsi="宋体" w:eastAsia="仿宋_GB2312" w:cs="宋体"/>
                <w:kern w:val="0"/>
              </w:rPr>
              <w:t>≧2次</w:t>
            </w:r>
          </w:p>
        </w:tc>
        <w:tc>
          <w:tcPr>
            <w:tcW w:w="800"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733"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277" w:type="dxa"/>
            <w:tcBorders>
              <w:top w:val="single" w:color="auto" w:sz="4" w:space="0"/>
            </w:tcBorders>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182"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1、厨师及帮厨人员身体健康，有健康证，经过食品专业培训；2、就餐环境舒适、干净、整洁；3、食堂食材卫生、健康，食品质量安全保障</w:t>
            </w:r>
          </w:p>
        </w:tc>
        <w:tc>
          <w:tcPr>
            <w:tcW w:w="1117"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≧100</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1150" w:type="dxa"/>
            <w:vAlign w:val="center"/>
          </w:tcPr>
          <w:p>
            <w:pPr>
              <w:spacing w:line="240" w:lineRule="auto"/>
              <w:ind w:firstLine="210" w:firstLineChars="100"/>
              <w:jc w:val="both"/>
              <w:rPr>
                <w:rFonts w:ascii="仿宋_GB2312" w:hAnsi="宋体" w:eastAsia="仿宋_GB2312" w:cs="宋体"/>
                <w:kern w:val="0"/>
              </w:rPr>
            </w:pPr>
            <w:r>
              <w:rPr>
                <w:rFonts w:hint="eastAsia" w:ascii="仿宋_GB2312" w:hAnsi="宋体" w:eastAsia="仿宋_GB2312" w:cs="宋体"/>
                <w:kern w:val="0"/>
              </w:rPr>
              <w:t>≧100</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800"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73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182" w:type="dxa"/>
            <w:vAlign w:val="center"/>
          </w:tcPr>
          <w:p>
            <w:pPr>
              <w:spacing w:line="240" w:lineRule="auto"/>
              <w:jc w:val="both"/>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完成时间</w:t>
            </w:r>
          </w:p>
        </w:tc>
        <w:tc>
          <w:tcPr>
            <w:tcW w:w="1117"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2022年全年</w:t>
            </w:r>
          </w:p>
        </w:tc>
        <w:tc>
          <w:tcPr>
            <w:tcW w:w="1150"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lang w:val="en-US" w:eastAsia="zh-CN"/>
              </w:rPr>
              <w:t>2022年全年</w:t>
            </w:r>
          </w:p>
        </w:tc>
        <w:tc>
          <w:tcPr>
            <w:tcW w:w="800"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73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182"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节约成本，拒绝浪费</w:t>
            </w:r>
          </w:p>
        </w:tc>
        <w:tc>
          <w:tcPr>
            <w:tcW w:w="1117"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≧97</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1150"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≧97</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800"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733"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182"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1、为市委工作人员创造良好的就餐环境；2、购买新鲜食材，做出原汁原味、可口的饭菜</w:t>
            </w:r>
          </w:p>
        </w:tc>
        <w:tc>
          <w:tcPr>
            <w:tcW w:w="1117"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≧100</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1150"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≧100</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800"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73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182"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1、为市委机关工作人员创造良好的工作和生活环境；2、维护社会稳定</w:t>
            </w:r>
          </w:p>
        </w:tc>
        <w:tc>
          <w:tcPr>
            <w:tcW w:w="1117" w:type="dxa"/>
            <w:vAlign w:val="center"/>
          </w:tcPr>
          <w:p>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1150" w:type="dxa"/>
            <w:vAlign w:val="center"/>
          </w:tcPr>
          <w:p>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800"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73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182"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可持续性</w:t>
            </w:r>
          </w:p>
        </w:tc>
        <w:tc>
          <w:tcPr>
            <w:tcW w:w="1117" w:type="dxa"/>
            <w:vAlign w:val="center"/>
          </w:tcPr>
          <w:p>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持续</w:t>
            </w:r>
          </w:p>
        </w:tc>
        <w:tc>
          <w:tcPr>
            <w:tcW w:w="1150" w:type="dxa"/>
            <w:vAlign w:val="center"/>
          </w:tcPr>
          <w:p>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持续</w:t>
            </w:r>
          </w:p>
        </w:tc>
        <w:tc>
          <w:tcPr>
            <w:tcW w:w="800"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733"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tcBorders>
              <w:bottom w:val="single" w:color="auto" w:sz="4" w:space="0"/>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single" w:color="auto" w:sz="4" w:space="0"/>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182"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受益群众满意度</w:t>
            </w:r>
          </w:p>
        </w:tc>
        <w:tc>
          <w:tcPr>
            <w:tcW w:w="1117" w:type="dxa"/>
            <w:vAlign w:val="center"/>
          </w:tcPr>
          <w:p>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1150" w:type="dxa"/>
            <w:vAlign w:val="center"/>
          </w:tcPr>
          <w:p>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r>
              <w:rPr>
                <w:rFonts w:hint="eastAsia" w:ascii="仿宋_GB2312" w:hAnsi="宋体" w:eastAsia="仿宋_GB2312" w:cs="宋体"/>
                <w:kern w:val="0"/>
                <w:lang w:val="en-US" w:eastAsia="zh-CN"/>
              </w:rPr>
              <w:t>.0</w:t>
            </w:r>
            <w:r>
              <w:rPr>
                <w:rFonts w:hint="eastAsia" w:ascii="仿宋_GB2312" w:hAnsi="宋体" w:eastAsia="仿宋_GB2312" w:cs="宋体"/>
                <w:kern w:val="0"/>
              </w:rPr>
              <w:t>%</w:t>
            </w:r>
          </w:p>
        </w:tc>
        <w:tc>
          <w:tcPr>
            <w:tcW w:w="800"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73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182" w:type="dxa"/>
            <w:vAlign w:val="center"/>
          </w:tcPr>
          <w:p>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预算批复金额</w:t>
            </w:r>
          </w:p>
        </w:tc>
        <w:tc>
          <w:tcPr>
            <w:tcW w:w="1117"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60万元</w:t>
            </w:r>
          </w:p>
        </w:tc>
        <w:tc>
          <w:tcPr>
            <w:tcW w:w="1150"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214.3万元</w:t>
            </w:r>
          </w:p>
        </w:tc>
        <w:tc>
          <w:tcPr>
            <w:tcW w:w="800"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733"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277" w:type="dxa"/>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lang w:eastAsia="zh-CN"/>
              </w:rPr>
              <w:t>年初预算不足，年底追加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182" w:type="dxa"/>
            <w:vAlign w:val="center"/>
          </w:tcPr>
          <w:p>
            <w:pPr>
              <w:spacing w:line="240" w:lineRule="auto"/>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对社会发展可能成造成负面影响</w:t>
            </w:r>
          </w:p>
        </w:tc>
        <w:tc>
          <w:tcPr>
            <w:tcW w:w="1117" w:type="dxa"/>
            <w:vAlign w:val="center"/>
          </w:tcPr>
          <w:p>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无</w:t>
            </w:r>
          </w:p>
        </w:tc>
        <w:tc>
          <w:tcPr>
            <w:tcW w:w="1150" w:type="dxa"/>
            <w:vAlign w:val="center"/>
          </w:tcPr>
          <w:p>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无</w:t>
            </w:r>
          </w:p>
        </w:tc>
        <w:tc>
          <w:tcPr>
            <w:tcW w:w="800"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733"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182" w:type="dxa"/>
            <w:vAlign w:val="center"/>
          </w:tcPr>
          <w:p>
            <w:pPr>
              <w:spacing w:line="240" w:lineRule="auto"/>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对自然生态环境可能造成负面影响</w:t>
            </w:r>
          </w:p>
        </w:tc>
        <w:tc>
          <w:tcPr>
            <w:tcW w:w="1117" w:type="dxa"/>
            <w:vAlign w:val="center"/>
          </w:tcPr>
          <w:p>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无</w:t>
            </w:r>
          </w:p>
        </w:tc>
        <w:tc>
          <w:tcPr>
            <w:tcW w:w="1150" w:type="dxa"/>
            <w:vAlign w:val="center"/>
          </w:tcPr>
          <w:p>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无</w:t>
            </w:r>
          </w:p>
        </w:tc>
        <w:tc>
          <w:tcPr>
            <w:tcW w:w="800"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733" w:type="dxa"/>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6</w:t>
            </w:r>
          </w:p>
        </w:tc>
        <w:tc>
          <w:tcPr>
            <w:tcW w:w="1277"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780" w:type="dxa"/>
            <w:gridSpan w:val="6"/>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0" w:type="dxa"/>
            <w:vAlign w:val="center"/>
          </w:tcPr>
          <w:p>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73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97</w:t>
            </w:r>
          </w:p>
        </w:tc>
        <w:tc>
          <w:tcPr>
            <w:tcW w:w="1277" w:type="dxa"/>
            <w:vAlign w:val="center"/>
          </w:tcPr>
          <w:p>
            <w:pPr>
              <w:spacing w:line="240" w:lineRule="auto"/>
              <w:ind w:firstLine="420"/>
              <w:jc w:val="center"/>
              <w:rPr>
                <w:rFonts w:ascii="仿宋_GB2312" w:hAnsi="宋体" w:eastAsia="仿宋_GB2312" w:cs="宋体"/>
                <w:kern w:val="0"/>
              </w:rPr>
            </w:pPr>
          </w:p>
        </w:tc>
      </w:tr>
    </w:tbl>
    <w:p>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pPr>
        <w:spacing w:line="240" w:lineRule="auto"/>
        <w:ind w:firstLine="420"/>
        <w:jc w:val="left"/>
        <w:rPr>
          <w:rFonts w:ascii="宋体" w:hAnsi="宋体" w:eastAsia="宋体" w:cs="宋体"/>
          <w:kern w:val="0"/>
          <w:lang w:eastAsia="zh-CN"/>
        </w:rPr>
      </w:pPr>
    </w:p>
    <w:p>
      <w:pPr>
        <w:rPr>
          <w:rFonts w:ascii="仿宋_GB2312" w:hAnsi="宋体" w:eastAsia="仿宋_GB2312" w:cs="宋体"/>
          <w:lang w:eastAsia="zh-CN"/>
        </w:rPr>
        <w:sectPr>
          <w:footerReference r:id="rId8" w:type="default"/>
          <w:pgSz w:w="11907" w:h="16839"/>
          <w:pgMar w:top="1531" w:right="1474" w:bottom="1531" w:left="1587" w:header="0" w:footer="1588" w:gutter="0"/>
          <w:pgBorders>
            <w:top w:val="none" w:sz="0" w:space="0"/>
            <w:left w:val="none" w:sz="0" w:space="0"/>
            <w:bottom w:val="none" w:sz="0" w:space="0"/>
            <w:right w:val="none" w:sz="0" w:space="0"/>
          </w:pgBorders>
          <w:pgNumType w:fmt="numberInDash"/>
          <w:cols w:space="720" w:num="1"/>
          <w:docGrid w:linePitch="286" w:charSpace="0"/>
        </w:sectPr>
      </w:pPr>
      <w:r>
        <w:rPr>
          <w:rFonts w:hint="eastAsia" w:ascii="仿宋_GB2312" w:hAnsi="宋体" w:eastAsia="仿宋_GB2312" w:cs="宋体"/>
          <w:kern w:val="0"/>
          <w:lang w:eastAsia="zh-CN"/>
        </w:rPr>
        <w:t>填表人：胡阳</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6月2日</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15292006926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单位负责人签字:刘赞</w:t>
      </w:r>
    </w:p>
    <w:p>
      <w:pPr>
        <w:spacing w:line="267" w:lineRule="auto"/>
        <w:ind w:firstLine="552"/>
        <w:jc w:val="both"/>
        <w:rPr>
          <w:rFonts w:hint="eastAsia" w:ascii="宋体" w:hAnsi="宋体" w:eastAsia="宋体" w:cs="宋体"/>
          <w:bCs/>
          <w:spacing w:val="-4"/>
          <w:kern w:val="0"/>
          <w:sz w:val="28"/>
          <w:szCs w:val="28"/>
          <w:lang w:eastAsia="zh-CN"/>
        </w:rPr>
      </w:pPr>
    </w:p>
    <w:p>
      <w:pPr>
        <w:spacing w:line="267" w:lineRule="auto"/>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pPr>
        <w:spacing w:line="240" w:lineRule="auto"/>
        <w:ind w:firstLine="880"/>
        <w:jc w:val="center"/>
        <w:rPr>
          <w:rFonts w:hint="eastAsia" w:ascii="方正小标宋简体" w:eastAsia="方正小标宋简体"/>
          <w:kern w:val="0"/>
          <w:sz w:val="44"/>
          <w:szCs w:val="44"/>
          <w:lang w:eastAsia="zh-CN"/>
        </w:rPr>
      </w:pPr>
    </w:p>
    <w:p>
      <w:pPr>
        <w:spacing w:line="240" w:lineRule="auto"/>
        <w:ind w:firstLine="880"/>
        <w:jc w:val="center"/>
        <w:rPr>
          <w:rFonts w:hint="eastAsia" w:ascii="方正小标宋简体" w:eastAsia="方正小标宋简体"/>
          <w:kern w:val="0"/>
          <w:sz w:val="44"/>
          <w:szCs w:val="44"/>
          <w:lang w:eastAsia="zh-CN"/>
        </w:rPr>
      </w:pPr>
    </w:p>
    <w:p>
      <w:pPr>
        <w:spacing w:line="240" w:lineRule="auto"/>
        <w:ind w:firstLine="880"/>
        <w:jc w:val="center"/>
        <w:rPr>
          <w:rFonts w:hint="eastAsia"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2</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汨罗市机关事务服务中心</w:t>
      </w:r>
    </w:p>
    <w:p>
      <w:pPr>
        <w:spacing w:line="240" w:lineRule="auto"/>
        <w:ind w:firstLine="880"/>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kern w:val="0"/>
          <w:sz w:val="44"/>
          <w:szCs w:val="44"/>
          <w:lang w:eastAsia="zh-CN"/>
        </w:rPr>
        <w:t>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整体支出</w:t>
      </w:r>
    </w:p>
    <w:p>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2022</w:t>
      </w: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b/>
          <w:bCs/>
          <w:spacing w:val="-13"/>
          <w:kern w:val="0"/>
          <w:sz w:val="32"/>
          <w:szCs w:val="32"/>
          <w:lang w:val="en-US" w:eastAsia="zh-CN"/>
        </w:rPr>
        <w:t>6</w:t>
      </w:r>
      <w:r>
        <w:rPr>
          <w:rFonts w:hint="eastAsia" w:ascii="楷体_GB2312" w:hAnsi="楷体" w:eastAsia="楷体_GB2312" w:cs="楷体"/>
          <w:b/>
          <w:bCs/>
          <w:spacing w:val="-13"/>
          <w:kern w:val="0"/>
          <w:sz w:val="32"/>
          <w:szCs w:val="32"/>
          <w:lang w:eastAsia="zh-CN"/>
        </w:rPr>
        <w:t xml:space="preserve">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spacing w:val="-13"/>
          <w:kern w:val="0"/>
          <w:sz w:val="32"/>
          <w:szCs w:val="32"/>
          <w:lang w:val="en-US" w:eastAsia="zh-CN"/>
        </w:rPr>
        <w:t>2</w:t>
      </w:r>
      <w:r>
        <w:rPr>
          <w:rFonts w:hint="eastAsia" w:ascii="楷体_GB2312" w:hAnsi="楷体" w:eastAsia="楷体_GB2312" w:cs="楷体"/>
          <w:spacing w:val="-13"/>
          <w:kern w:val="0"/>
          <w:sz w:val="32"/>
          <w:szCs w:val="32"/>
          <w:lang w:eastAsia="zh-CN"/>
        </w:rPr>
        <w:t xml:space="preserve"> </w:t>
      </w:r>
      <w:r>
        <w:rPr>
          <w:rFonts w:hint="eastAsia" w:ascii="楷体_GB2312" w:hAnsi="楷体" w:eastAsia="楷体_GB2312" w:cs="楷体"/>
          <w:b/>
          <w:bCs/>
          <w:spacing w:val="-13"/>
          <w:kern w:val="0"/>
          <w:sz w:val="32"/>
          <w:szCs w:val="32"/>
          <w:lang w:eastAsia="zh-CN"/>
        </w:rPr>
        <w:t>日</w:t>
      </w: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ind w:firstLine="360"/>
            <w:jc w:val="left"/>
            <w:rPr>
              <w:rFonts w:asciiTheme="minorEastAsia" w:hAnsiTheme="minorEastAsia" w:eastAsiaTheme="minorEastAsia"/>
              <w:kern w:val="0"/>
              <w:lang w:eastAsia="zh-CN"/>
            </w:rPr>
          </w:pPr>
        </w:p>
      </w:sdtContent>
    </w:sdt>
    <w:p>
      <w:pPr>
        <w:spacing w:before="130" w:line="221" w:lineRule="auto"/>
        <w:jc w:val="center"/>
        <w:rPr>
          <w:rFonts w:hint="eastAsia" w:ascii="黑体" w:hAnsi="黑体" w:eastAsia="黑体" w:cs="黑体"/>
          <w:spacing w:val="16"/>
          <w:sz w:val="40"/>
          <w:szCs w:val="40"/>
          <w:lang w:eastAsia="zh-CN"/>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2</w:t>
      </w:r>
      <w:r>
        <w:rPr>
          <w:rFonts w:ascii="黑体" w:hAnsi="黑体" w:eastAsia="黑体" w:cs="黑体"/>
          <w:spacing w:val="16"/>
          <w:sz w:val="40"/>
          <w:szCs w:val="40"/>
        </w:rPr>
        <w:t>年度</w:t>
      </w:r>
      <w:r>
        <w:rPr>
          <w:rFonts w:hint="eastAsia" w:ascii="黑体" w:hAnsi="黑体" w:eastAsia="黑体" w:cs="黑体"/>
          <w:spacing w:val="16"/>
          <w:sz w:val="40"/>
          <w:szCs w:val="40"/>
          <w:lang w:eastAsia="zh-CN"/>
        </w:rPr>
        <w:t>汨罗市机关事务服务中心</w:t>
      </w:r>
    </w:p>
    <w:p>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部门整体支出绩效</w:t>
      </w:r>
    </w:p>
    <w:p>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11" w:line="500" w:lineRule="exact"/>
        <w:ind w:firstLine="320" w:firstLineChars="10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一、部门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pPr>
        <w:pStyle w:val="11"/>
        <w:keepNext w:val="0"/>
        <w:keepLines w:val="0"/>
        <w:pageBreakBefore w:val="0"/>
        <w:widowControl/>
        <w:numPr>
          <w:ilvl w:val="0"/>
          <w:numId w:val="0"/>
        </w:numPr>
        <w:kinsoku/>
        <w:wordWrap/>
        <w:overflowPunct/>
        <w:topLinePunct w:val="0"/>
        <w:autoSpaceDE/>
        <w:autoSpaceDN/>
        <w:bidi w:val="0"/>
        <w:adjustRightInd/>
        <w:snapToGrid/>
        <w:spacing w:line="500" w:lineRule="exact"/>
        <w:ind w:firstLine="280" w:firstLineChars="100"/>
        <w:jc w:val="left"/>
        <w:textAlignment w:val="auto"/>
        <w:rPr>
          <w:rFonts w:hint="eastAsia" w:ascii="仿宋" w:hAnsi="仿宋" w:eastAsia="仿宋" w:cs="仿宋"/>
          <w:b w:val="0"/>
          <w:bCs w:val="0"/>
          <w:sz w:val="28"/>
          <w:szCs w:val="28"/>
        </w:rPr>
      </w:pPr>
      <w:r>
        <w:rPr>
          <w:rFonts w:hint="eastAsia" w:ascii="仿宋" w:hAnsi="仿宋" w:eastAsia="仿宋" w:cs="仿宋"/>
          <w:snapToGrid w:val="0"/>
          <w:color w:val="000000"/>
          <w:sz w:val="28"/>
          <w:szCs w:val="28"/>
          <w:lang w:val="en-US" w:eastAsia="zh-CN" w:bidi="ar-SA"/>
        </w:rPr>
        <w:t>（一）、</w:t>
      </w:r>
      <w:r>
        <w:rPr>
          <w:rFonts w:hint="eastAsia" w:ascii="仿宋" w:hAnsi="仿宋" w:eastAsia="仿宋" w:cs="仿宋"/>
          <w:b w:val="0"/>
          <w:bCs w:val="0"/>
          <w:sz w:val="28"/>
          <w:szCs w:val="28"/>
        </w:rPr>
        <w:t>部门职责</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right="0"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汨罗市机关事务服务中心主要负责全市“四公一中心”工作，即公务接待、公共节能、办公用房、公车管理和后勤服务中心等工作。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left="0" w:right="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w:t>
      </w:r>
      <w:r>
        <w:rPr>
          <w:rFonts w:hint="eastAsia" w:ascii="仿宋" w:hAnsi="仿宋" w:eastAsia="仿宋" w:cs="仿宋"/>
          <w:i w:val="0"/>
          <w:iCs w:val="0"/>
          <w:caps w:val="0"/>
          <w:color w:val="000000" w:themeColor="text1"/>
          <w:spacing w:val="0"/>
          <w:sz w:val="28"/>
          <w:szCs w:val="28"/>
          <w:shd w:val="clear" w:fill="FFFFFF"/>
          <w:lang w:val="en-US" w:eastAsia="zh-CN"/>
          <w14:textFill>
            <w14:solidFill>
              <w14:schemeClr w14:val="tx1"/>
            </w14:solidFill>
          </w14:textFill>
        </w:rPr>
        <w:t xml:space="preserve">  </w:t>
      </w: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1、主要指导全市机关事务工作。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left="0" w:right="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2、负责市直机关后勤保障、管理和服务工作。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left="0" w:right="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3、负责市委、市政府公务接待服务工作。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left="0" w:right="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4、对市直行政事业单位的办公用房实施管理，制订相关管理制度监督执行。</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left="0" w:right="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5、负责全市公共机构节能的事务性工作，推进、统筹、协调全市各市直单位创建公共机构节能节约型机关工作。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left="0" w:right="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w:t>
      </w:r>
      <w:r>
        <w:rPr>
          <w:rFonts w:hint="eastAsia" w:ascii="仿宋" w:hAnsi="仿宋" w:eastAsia="仿宋" w:cs="仿宋"/>
          <w:i w:val="0"/>
          <w:iCs w:val="0"/>
          <w:caps w:val="0"/>
          <w:color w:val="000000" w:themeColor="text1"/>
          <w:spacing w:val="0"/>
          <w:sz w:val="28"/>
          <w:szCs w:val="28"/>
          <w:shd w:val="clear" w:fill="FFFFFF"/>
          <w:lang w:val="en-US" w:eastAsia="zh-CN"/>
          <w14:textFill>
            <w14:solidFill>
              <w14:schemeClr w14:val="tx1"/>
            </w14:solidFill>
          </w14:textFill>
        </w:rPr>
        <w:t xml:space="preserve">  </w:t>
      </w: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6、负责市委办公大楼内召开的各类会议的会务、后勤工作；配合市级大型重要会议和重大活动的有关事项。</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left="0" w:right="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7、负责市委机关大院房屋和基础设施设备的维护维修管理、安全保卫、消防、绿化、卫生保洁等保障工作。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wordWrap/>
        <w:overflowPunct/>
        <w:topLinePunct w:val="0"/>
        <w:bidi w:val="0"/>
        <w:spacing w:before="0" w:beforeAutospacing="0" w:after="0" w:afterAutospacing="0" w:line="500" w:lineRule="exact"/>
        <w:ind w:left="0" w:right="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　　8、负责市委、市政府等有关非汨罗籍领导领导在周转房的生活服务和管理工作。</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9、完成市委、市政府交的其它事项。</w:t>
      </w:r>
    </w:p>
    <w:p>
      <w:pPr>
        <w:keepNext w:val="0"/>
        <w:keepLines w:val="0"/>
        <w:pageBreakBefore w:val="0"/>
        <w:widowControl/>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b w:val="0"/>
          <w:bCs/>
          <w:kern w:val="0"/>
          <w:sz w:val="28"/>
          <w:szCs w:val="28"/>
          <w:lang w:eastAsia="zh-CN"/>
        </w:rPr>
      </w:pPr>
      <w:r>
        <w:rPr>
          <w:rFonts w:hint="eastAsia" w:ascii="仿宋" w:hAnsi="仿宋" w:eastAsia="仿宋" w:cs="仿宋"/>
          <w:b w:val="0"/>
          <w:bCs/>
          <w:kern w:val="0"/>
          <w:sz w:val="28"/>
          <w:szCs w:val="28"/>
          <w:lang w:eastAsia="zh-CN"/>
        </w:rPr>
        <w:t>（二）、</w:t>
      </w:r>
      <w:r>
        <w:rPr>
          <w:rFonts w:hint="eastAsia" w:ascii="仿宋" w:hAnsi="仿宋" w:eastAsia="仿宋" w:cs="仿宋"/>
          <w:b w:val="0"/>
          <w:bCs/>
          <w:kern w:val="0"/>
          <w:sz w:val="28"/>
          <w:szCs w:val="28"/>
        </w:rPr>
        <w:t>机构设置</w:t>
      </w:r>
      <w:r>
        <w:rPr>
          <w:rFonts w:hint="eastAsia" w:ascii="仿宋" w:hAnsi="仿宋" w:eastAsia="仿宋" w:cs="仿宋"/>
          <w:b w:val="0"/>
          <w:bCs/>
          <w:kern w:val="0"/>
          <w:sz w:val="28"/>
          <w:szCs w:val="28"/>
          <w:lang w:eastAsia="zh-CN"/>
        </w:rPr>
        <w:t>情况</w:t>
      </w:r>
    </w:p>
    <w:p>
      <w:pPr>
        <w:keepNext w:val="0"/>
        <w:keepLines w:val="0"/>
        <w:pageBreakBefore w:val="0"/>
        <w:widowControl/>
        <w:kinsoku/>
        <w:wordWrap/>
        <w:overflowPunct/>
        <w:topLinePunct w:val="0"/>
        <w:autoSpaceDE/>
        <w:autoSpaceDN/>
        <w:bidi w:val="0"/>
        <w:adjustRightInd/>
        <w:snapToGrid/>
        <w:spacing w:line="500" w:lineRule="exact"/>
        <w:ind w:left="0" w:leftChars="0" w:firstLine="560" w:firstLineChars="200"/>
        <w:jc w:val="left"/>
        <w:textAlignment w:val="auto"/>
        <w:rPr>
          <w:rFonts w:hint="default" w:ascii="方正黑体_GBK" w:hAnsi="仿宋" w:eastAsia="方正黑体_GBK" w:cs="仿宋"/>
          <w:snapToGrid w:val="0"/>
          <w:color w:val="000000"/>
          <w:sz w:val="28"/>
          <w:szCs w:val="28"/>
          <w:lang w:val="en-US" w:eastAsia="zh-CN" w:bidi="ar-SA"/>
        </w:rPr>
      </w:pPr>
      <w:r>
        <w:rPr>
          <w:rFonts w:hint="eastAsia" w:ascii="仿宋" w:hAnsi="仿宋" w:eastAsia="仿宋" w:cs="仿宋"/>
          <w:i w:val="0"/>
          <w:iCs w:val="0"/>
          <w:caps w:val="0"/>
          <w:color w:val="000000" w:themeColor="text1"/>
          <w:spacing w:val="0"/>
          <w:sz w:val="28"/>
          <w:szCs w:val="28"/>
          <w:shd w:val="clear" w:fill="FFFFFF"/>
          <w14:textFill>
            <w14:solidFill>
              <w14:schemeClr w14:val="tx1"/>
            </w14:solidFill>
          </w14:textFill>
        </w:rPr>
        <w:t>汨罗市机关事务服务中心单位内设机构包括：1、办公室；2、接待服务股；3、财务股；4、办公用房管理和基建维修股；5、公共机构节能股；6、人事股。现有在职在岗职工23人，退休职工45人。</w:t>
      </w:r>
    </w:p>
    <w:p>
      <w:pPr>
        <w:keepNext w:val="0"/>
        <w:keepLines w:val="0"/>
        <w:pageBreakBefore w:val="0"/>
        <w:widowControl/>
        <w:wordWrap/>
        <w:overflowPunct/>
        <w:topLinePunct w:val="0"/>
        <w:bidi w:val="0"/>
        <w:spacing w:line="5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pPr>
        <w:pStyle w:val="11"/>
        <w:keepNext w:val="0"/>
        <w:keepLines w:val="0"/>
        <w:pageBreakBefore w:val="0"/>
        <w:widowControl/>
        <w:wordWrap/>
        <w:overflowPunct/>
        <w:topLinePunct w:val="0"/>
        <w:bidi w:val="0"/>
        <w:spacing w:line="5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（一）基本支出情况</w:t>
      </w:r>
    </w:p>
    <w:p>
      <w:pPr>
        <w:pStyle w:val="11"/>
        <w:keepNext w:val="0"/>
        <w:keepLines w:val="0"/>
        <w:pageBreakBefore w:val="0"/>
        <w:widowControl/>
        <w:kinsoku w:val="0"/>
        <w:wordWrap/>
        <w:overflowPunct/>
        <w:topLinePunct w:val="0"/>
        <w:autoSpaceDE w:val="0"/>
        <w:autoSpaceDN w:val="0"/>
        <w:bidi w:val="0"/>
        <w:adjustRightInd w:val="0"/>
        <w:snapToGrid w:val="0"/>
        <w:spacing w:line="500" w:lineRule="exact"/>
        <w:ind w:firstLine="643"/>
        <w:jc w:val="both"/>
        <w:textAlignment w:val="baseline"/>
        <w:rPr>
          <w:rFonts w:hint="eastAsia" w:ascii="Times New Roman" w:hAnsi="Times New Roman" w:eastAsia="仿宋_GB2312"/>
          <w:kern w:val="0"/>
          <w:sz w:val="28"/>
          <w:szCs w:val="28"/>
          <w:lang w:eastAsia="zh-CN"/>
        </w:rPr>
      </w:pPr>
      <w:r>
        <w:rPr>
          <w:rFonts w:hint="eastAsia" w:ascii="仿宋" w:hAnsi="仿宋" w:eastAsia="仿宋" w:cs="宋体"/>
          <w:color w:val="auto"/>
          <w:kern w:val="0"/>
          <w:sz w:val="28"/>
          <w:szCs w:val="28"/>
          <w:shd w:val="clear" w:color="auto" w:fill="FFFFFF"/>
          <w:lang w:bidi="ar"/>
        </w:rPr>
        <w:t>基本支出是指为保障单位机构正常运转、完成日常工作任务而发生的各项支出，包括用于基本工资、津贴补贴等人员经费以及办公费、印刷费、水电费、差旅费等日常公用经费，202</w:t>
      </w:r>
      <w:r>
        <w:rPr>
          <w:rFonts w:hint="eastAsia" w:ascii="仿宋" w:hAnsi="仿宋" w:eastAsia="仿宋" w:cs="宋体"/>
          <w:color w:val="auto"/>
          <w:kern w:val="0"/>
          <w:sz w:val="28"/>
          <w:szCs w:val="28"/>
          <w:shd w:val="clear" w:color="auto" w:fill="FFFFFF"/>
          <w:lang w:val="en-US" w:eastAsia="zh-CN" w:bidi="ar"/>
        </w:rPr>
        <w:t>2</w:t>
      </w:r>
      <w:r>
        <w:rPr>
          <w:rFonts w:hint="eastAsia" w:ascii="仿宋" w:hAnsi="仿宋" w:eastAsia="仿宋" w:cs="宋体"/>
          <w:color w:val="auto"/>
          <w:kern w:val="0"/>
          <w:sz w:val="28"/>
          <w:szCs w:val="28"/>
          <w:shd w:val="clear" w:color="auto" w:fill="FFFFFF"/>
          <w:lang w:bidi="ar"/>
        </w:rPr>
        <w:t>年</w:t>
      </w:r>
      <w:r>
        <w:rPr>
          <w:rFonts w:hint="eastAsia" w:ascii="仿宋" w:hAnsi="仿宋" w:eastAsia="仿宋" w:cs="宋体"/>
          <w:color w:val="auto"/>
          <w:kern w:val="0"/>
          <w:sz w:val="28"/>
          <w:szCs w:val="28"/>
          <w:shd w:val="clear" w:color="auto" w:fill="FFFFFF"/>
          <w:lang w:eastAsia="zh-CN" w:bidi="ar"/>
        </w:rPr>
        <w:t>度</w:t>
      </w:r>
      <w:r>
        <w:rPr>
          <w:rFonts w:hint="eastAsia" w:ascii="仿宋" w:hAnsi="仿宋" w:eastAsia="仿宋" w:cs="宋体"/>
          <w:color w:val="auto"/>
          <w:kern w:val="0"/>
          <w:sz w:val="28"/>
          <w:szCs w:val="28"/>
        </w:rPr>
        <w:t>基本支出</w:t>
      </w:r>
      <w:r>
        <w:rPr>
          <w:rFonts w:hint="eastAsia" w:ascii="仿宋" w:hAnsi="仿宋" w:eastAsia="仿宋" w:cs="宋体"/>
          <w:color w:val="auto"/>
          <w:kern w:val="0"/>
          <w:sz w:val="28"/>
          <w:szCs w:val="28"/>
          <w:shd w:val="clear" w:color="auto" w:fill="FFFFFF"/>
          <w:lang w:bidi="ar"/>
        </w:rPr>
        <w:t>年初预算数为</w:t>
      </w:r>
      <w:r>
        <w:rPr>
          <w:rFonts w:hint="eastAsia" w:ascii="仿宋" w:hAnsi="仿宋" w:eastAsia="仿宋" w:cs="宋体"/>
          <w:color w:val="auto"/>
          <w:kern w:val="0"/>
          <w:sz w:val="28"/>
          <w:szCs w:val="28"/>
          <w:shd w:val="clear" w:color="auto" w:fill="FFFFFF"/>
          <w:lang w:val="en-US" w:eastAsia="zh-CN" w:bidi="ar"/>
        </w:rPr>
        <w:t>216.26</w:t>
      </w:r>
      <w:r>
        <w:rPr>
          <w:rFonts w:hint="eastAsia" w:ascii="仿宋" w:hAnsi="仿宋" w:eastAsia="仿宋" w:cs="宋体"/>
          <w:color w:val="auto"/>
          <w:kern w:val="0"/>
          <w:sz w:val="28"/>
          <w:szCs w:val="28"/>
          <w:shd w:val="clear" w:color="auto" w:fill="FFFFFF"/>
          <w:lang w:bidi="ar"/>
        </w:rPr>
        <w:t>万元，</w:t>
      </w:r>
      <w:r>
        <w:rPr>
          <w:rFonts w:hint="eastAsia" w:ascii="仿宋" w:hAnsi="仿宋" w:eastAsia="仿宋" w:cs="宋体"/>
          <w:kern w:val="0"/>
          <w:sz w:val="28"/>
          <w:szCs w:val="28"/>
        </w:rPr>
        <w:t>决算为</w:t>
      </w:r>
      <w:r>
        <w:rPr>
          <w:rFonts w:hint="eastAsia" w:ascii="仿宋" w:hAnsi="仿宋" w:eastAsia="仿宋" w:cs="宋体"/>
          <w:kern w:val="0"/>
          <w:sz w:val="28"/>
          <w:szCs w:val="28"/>
          <w:lang w:val="en-US" w:eastAsia="zh-CN"/>
        </w:rPr>
        <w:t>358.35</w:t>
      </w:r>
      <w:r>
        <w:rPr>
          <w:rFonts w:hint="eastAsia" w:ascii="仿宋" w:hAnsi="仿宋" w:eastAsia="仿宋" w:cs="宋体"/>
          <w:kern w:val="0"/>
          <w:sz w:val="28"/>
          <w:szCs w:val="28"/>
        </w:rPr>
        <w:t>万元，其中：人员经费</w:t>
      </w:r>
      <w:r>
        <w:rPr>
          <w:rFonts w:hint="eastAsia" w:ascii="仿宋" w:hAnsi="仿宋" w:eastAsia="仿宋" w:cs="宋体"/>
          <w:kern w:val="0"/>
          <w:sz w:val="28"/>
          <w:szCs w:val="28"/>
          <w:lang w:val="en-US" w:eastAsia="zh-CN"/>
        </w:rPr>
        <w:t>276.34</w:t>
      </w:r>
      <w:r>
        <w:rPr>
          <w:rFonts w:hint="eastAsia" w:ascii="仿宋" w:hAnsi="仿宋" w:eastAsia="仿宋" w:cs="宋体"/>
          <w:kern w:val="0"/>
          <w:sz w:val="28"/>
          <w:szCs w:val="28"/>
        </w:rPr>
        <w:t>万元，主要用于人员工资及社保公积金缴纳等；日常公用经费</w:t>
      </w:r>
      <w:r>
        <w:rPr>
          <w:rFonts w:hint="eastAsia" w:ascii="仿宋" w:hAnsi="仿宋" w:eastAsia="仿宋" w:cs="宋体"/>
          <w:kern w:val="0"/>
          <w:sz w:val="28"/>
          <w:szCs w:val="28"/>
          <w:lang w:val="en-US" w:eastAsia="zh-CN"/>
        </w:rPr>
        <w:t>82.01</w:t>
      </w:r>
      <w:r>
        <w:rPr>
          <w:rFonts w:hint="eastAsia" w:ascii="仿宋" w:hAnsi="仿宋" w:eastAsia="仿宋" w:cs="宋体"/>
          <w:kern w:val="0"/>
          <w:sz w:val="28"/>
          <w:szCs w:val="28"/>
        </w:rPr>
        <w:t>万元，主要用于日常办公开支。202</w:t>
      </w:r>
      <w:r>
        <w:rPr>
          <w:rFonts w:hint="eastAsia" w:ascii="仿宋" w:hAnsi="仿宋" w:eastAsia="仿宋" w:cs="宋体"/>
          <w:kern w:val="0"/>
          <w:sz w:val="28"/>
          <w:szCs w:val="28"/>
          <w:lang w:val="en-US" w:eastAsia="zh-CN"/>
        </w:rPr>
        <w:t>2</w:t>
      </w:r>
      <w:r>
        <w:rPr>
          <w:rFonts w:hint="eastAsia" w:ascii="仿宋" w:hAnsi="仿宋" w:eastAsia="仿宋" w:cs="宋体"/>
          <w:kern w:val="0"/>
          <w:sz w:val="28"/>
          <w:szCs w:val="28"/>
        </w:rPr>
        <w:t>年</w:t>
      </w:r>
      <w:r>
        <w:rPr>
          <w:rFonts w:hint="eastAsia" w:ascii="仿宋" w:hAnsi="仿宋" w:eastAsia="仿宋" w:cs="宋体"/>
          <w:kern w:val="0"/>
          <w:sz w:val="28"/>
          <w:szCs w:val="28"/>
          <w:lang w:eastAsia="zh-CN"/>
        </w:rPr>
        <w:t>度</w:t>
      </w:r>
      <w:r>
        <w:rPr>
          <w:rFonts w:hint="eastAsia" w:ascii="仿宋" w:hAnsi="仿宋" w:eastAsia="仿宋" w:cs="宋体"/>
          <w:kern w:val="0"/>
          <w:sz w:val="28"/>
          <w:szCs w:val="28"/>
        </w:rPr>
        <w:t>市机关事务中心一般公共预算财政拨款“三公”经费支出年初预算为</w:t>
      </w:r>
      <w:r>
        <w:rPr>
          <w:rFonts w:hint="eastAsia" w:ascii="仿宋" w:hAnsi="仿宋" w:eastAsia="仿宋" w:cs="宋体"/>
          <w:kern w:val="0"/>
          <w:sz w:val="28"/>
          <w:szCs w:val="28"/>
          <w:lang w:val="en-US" w:eastAsia="zh-CN"/>
        </w:rPr>
        <w:t>4</w:t>
      </w:r>
      <w:r>
        <w:rPr>
          <w:rFonts w:hint="eastAsia" w:ascii="仿宋" w:hAnsi="仿宋" w:eastAsia="仿宋" w:cs="宋体"/>
          <w:kern w:val="0"/>
          <w:sz w:val="28"/>
          <w:szCs w:val="28"/>
        </w:rPr>
        <w:t>万元，决算支出为</w:t>
      </w:r>
      <w:r>
        <w:rPr>
          <w:rFonts w:hint="eastAsia" w:ascii="仿宋" w:hAnsi="仿宋" w:eastAsia="仿宋" w:cs="宋体"/>
          <w:kern w:val="0"/>
          <w:sz w:val="28"/>
          <w:szCs w:val="28"/>
          <w:lang w:val="en-US" w:eastAsia="zh-CN"/>
        </w:rPr>
        <w:t>1.1</w:t>
      </w:r>
      <w:r>
        <w:rPr>
          <w:rFonts w:hint="eastAsia" w:ascii="仿宋" w:hAnsi="仿宋" w:eastAsia="仿宋" w:cs="宋体"/>
          <w:kern w:val="0"/>
          <w:sz w:val="28"/>
          <w:szCs w:val="28"/>
        </w:rPr>
        <w:t>万元。其中：公务用车运行维护费0万元，出国经费0万元，公务接待费</w:t>
      </w:r>
      <w:r>
        <w:rPr>
          <w:rFonts w:hint="eastAsia" w:ascii="仿宋" w:hAnsi="仿宋" w:eastAsia="仿宋" w:cs="宋体"/>
          <w:kern w:val="0"/>
          <w:sz w:val="28"/>
          <w:szCs w:val="28"/>
          <w:lang w:val="en-US" w:eastAsia="zh-CN"/>
        </w:rPr>
        <w:t>1.1</w:t>
      </w:r>
      <w:r>
        <w:rPr>
          <w:rFonts w:hint="eastAsia" w:ascii="仿宋" w:hAnsi="仿宋" w:eastAsia="仿宋" w:cs="宋体"/>
          <w:kern w:val="0"/>
          <w:sz w:val="28"/>
          <w:szCs w:val="28"/>
        </w:rPr>
        <w:t>万元，未购置公务用车。202</w:t>
      </w:r>
      <w:r>
        <w:rPr>
          <w:rFonts w:hint="eastAsia" w:ascii="仿宋" w:hAnsi="仿宋" w:eastAsia="仿宋" w:cs="宋体"/>
          <w:kern w:val="0"/>
          <w:sz w:val="28"/>
          <w:szCs w:val="28"/>
          <w:lang w:val="en-US" w:eastAsia="zh-CN"/>
        </w:rPr>
        <w:t>2</w:t>
      </w:r>
      <w:r>
        <w:rPr>
          <w:rFonts w:hint="eastAsia" w:ascii="仿宋" w:hAnsi="仿宋" w:eastAsia="仿宋" w:cs="宋体"/>
          <w:kern w:val="0"/>
          <w:sz w:val="28"/>
          <w:szCs w:val="28"/>
        </w:rPr>
        <w:t>年度无因公出国（境）费支出及团组数和人</w:t>
      </w:r>
      <w:r>
        <w:rPr>
          <w:rFonts w:hint="eastAsia" w:ascii="仿宋" w:hAnsi="仿宋" w:eastAsia="仿宋" w:cs="宋体"/>
          <w:kern w:val="0"/>
          <w:sz w:val="28"/>
          <w:szCs w:val="28"/>
          <w:lang w:eastAsia="zh-CN"/>
        </w:rPr>
        <w:t>数</w:t>
      </w:r>
      <w:r>
        <w:rPr>
          <w:rFonts w:hint="eastAsia" w:ascii="仿宋" w:hAnsi="仿宋" w:eastAsia="仿宋" w:cs="宋体"/>
          <w:kern w:val="0"/>
          <w:sz w:val="28"/>
          <w:szCs w:val="28"/>
        </w:rPr>
        <w:t>；公务接待</w:t>
      </w:r>
      <w:r>
        <w:rPr>
          <w:rFonts w:hint="eastAsia" w:ascii="仿宋" w:hAnsi="仿宋" w:eastAsia="仿宋" w:cs="宋体"/>
          <w:kern w:val="0"/>
          <w:sz w:val="28"/>
          <w:szCs w:val="28"/>
          <w:lang w:val="en-US" w:eastAsia="zh-CN"/>
        </w:rPr>
        <w:t>4</w:t>
      </w:r>
      <w:r>
        <w:rPr>
          <w:rFonts w:hint="eastAsia" w:ascii="仿宋" w:hAnsi="仿宋" w:eastAsia="仿宋" w:cs="宋体"/>
          <w:kern w:val="0"/>
          <w:sz w:val="28"/>
          <w:szCs w:val="28"/>
        </w:rPr>
        <w:t>批次</w:t>
      </w:r>
      <w:r>
        <w:rPr>
          <w:rFonts w:hint="eastAsia" w:ascii="仿宋" w:hAnsi="仿宋" w:eastAsia="仿宋" w:cs="宋体"/>
          <w:kern w:val="0"/>
          <w:sz w:val="28"/>
          <w:szCs w:val="28"/>
          <w:lang w:val="en-US" w:eastAsia="zh-CN"/>
        </w:rPr>
        <w:t>86</w:t>
      </w:r>
      <w:r>
        <w:rPr>
          <w:rFonts w:hint="eastAsia" w:ascii="仿宋" w:hAnsi="仿宋" w:eastAsia="仿宋" w:cs="宋体"/>
          <w:kern w:val="0"/>
          <w:sz w:val="28"/>
          <w:szCs w:val="28"/>
        </w:rPr>
        <w:t>人次。</w:t>
      </w:r>
    </w:p>
    <w:p>
      <w:pPr>
        <w:pStyle w:val="11"/>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320" w:firstLineChars="100"/>
        <w:jc w:val="both"/>
        <w:textAlignment w:val="baseline"/>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（二）项目支出情况</w:t>
      </w:r>
    </w:p>
    <w:p>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仿宋" w:hAnsi="仿宋" w:eastAsia="仿宋" w:cs="宋体"/>
          <w:color w:val="000000"/>
          <w:kern w:val="0"/>
          <w:sz w:val="28"/>
          <w:szCs w:val="28"/>
          <w:shd w:val="clear" w:color="auto" w:fill="FFFFFF"/>
          <w:lang w:bidi="ar"/>
        </w:rPr>
      </w:pPr>
      <w:r>
        <w:rPr>
          <w:rFonts w:hint="eastAsia" w:ascii="仿宋" w:hAnsi="仿宋" w:eastAsia="仿宋" w:cs="宋体"/>
          <w:color w:val="000000"/>
          <w:kern w:val="0"/>
          <w:sz w:val="28"/>
          <w:szCs w:val="28"/>
          <w:shd w:val="clear" w:color="auto" w:fill="FFFFFF"/>
          <w:lang w:bidi="ar"/>
        </w:rPr>
        <w:t xml:space="preserve"> </w:t>
      </w:r>
      <w:r>
        <w:rPr>
          <w:rFonts w:hint="eastAsia" w:ascii="仿宋" w:hAnsi="仿宋" w:eastAsia="仿宋" w:cs="宋体"/>
          <w:color w:val="000000"/>
          <w:kern w:val="0"/>
          <w:sz w:val="28"/>
          <w:szCs w:val="28"/>
          <w:shd w:val="clear" w:color="auto" w:fill="FFFFFF"/>
          <w:lang w:val="en-US" w:eastAsia="zh-CN" w:bidi="ar"/>
        </w:rPr>
        <w:t xml:space="preserve"> </w:t>
      </w:r>
      <w:r>
        <w:rPr>
          <w:rFonts w:hint="eastAsia" w:ascii="仿宋" w:hAnsi="仿宋" w:eastAsia="仿宋" w:cs="宋体"/>
          <w:color w:val="000000"/>
          <w:kern w:val="0"/>
          <w:sz w:val="32"/>
          <w:szCs w:val="32"/>
          <w:shd w:val="clear" w:color="auto" w:fill="FFFFFF"/>
          <w:lang w:val="en-US" w:eastAsia="zh-CN" w:bidi="ar"/>
        </w:rPr>
        <w:t xml:space="preserve"> </w:t>
      </w:r>
      <w:r>
        <w:rPr>
          <w:rFonts w:hint="eastAsia" w:ascii="仿宋" w:hAnsi="仿宋" w:eastAsia="仿宋" w:cs="宋体"/>
          <w:color w:val="000000"/>
          <w:kern w:val="0"/>
          <w:sz w:val="28"/>
          <w:szCs w:val="28"/>
          <w:shd w:val="clear" w:color="auto" w:fill="FFFFFF"/>
          <w:lang w:val="en-US" w:eastAsia="zh-CN" w:bidi="ar"/>
        </w:rPr>
        <w:t xml:space="preserve"> </w:t>
      </w:r>
      <w:r>
        <w:rPr>
          <w:rFonts w:hint="eastAsia" w:ascii="仿宋" w:hAnsi="仿宋" w:eastAsia="仿宋" w:cs="宋体"/>
          <w:color w:val="000000"/>
          <w:kern w:val="0"/>
          <w:sz w:val="28"/>
          <w:szCs w:val="28"/>
          <w:shd w:val="clear" w:color="auto" w:fill="FFFFFF"/>
          <w:lang w:bidi="ar"/>
        </w:rPr>
        <w:t>项目支出是指单位为完成特定行政工作任务或事业发展目标而发生的支出，包括有关业务工作经费和运行维护经费。年初预算数为102万元，其中：市委大院维护管理项目42万元，市委机关后勤项目60万元。决算数为</w:t>
      </w:r>
      <w:r>
        <w:rPr>
          <w:rFonts w:hint="eastAsia" w:ascii="仿宋" w:hAnsi="仿宋" w:eastAsia="仿宋" w:cs="宋体"/>
          <w:color w:val="000000"/>
          <w:kern w:val="0"/>
          <w:sz w:val="28"/>
          <w:szCs w:val="28"/>
          <w:shd w:val="clear" w:color="auto" w:fill="FFFFFF"/>
          <w:lang w:val="en-US" w:eastAsia="zh-CN" w:bidi="ar"/>
        </w:rPr>
        <w:t>367.91</w:t>
      </w:r>
      <w:r>
        <w:rPr>
          <w:rFonts w:hint="eastAsia" w:ascii="仿宋" w:hAnsi="仿宋" w:eastAsia="仿宋" w:cs="宋体"/>
          <w:color w:val="000000"/>
          <w:kern w:val="0"/>
          <w:sz w:val="28"/>
          <w:szCs w:val="28"/>
          <w:shd w:val="clear" w:color="auto" w:fill="FFFFFF"/>
          <w:lang w:bidi="ar"/>
        </w:rPr>
        <w:t>万元，其中：市委大院维护管理项目</w:t>
      </w:r>
      <w:r>
        <w:rPr>
          <w:rFonts w:hint="eastAsia" w:ascii="仿宋" w:hAnsi="仿宋" w:eastAsia="仿宋" w:cs="宋体"/>
          <w:color w:val="000000"/>
          <w:kern w:val="0"/>
          <w:sz w:val="28"/>
          <w:szCs w:val="28"/>
          <w:shd w:val="clear" w:color="auto" w:fill="FFFFFF"/>
          <w:lang w:val="en-US" w:eastAsia="zh-CN" w:bidi="ar"/>
        </w:rPr>
        <w:t>153.61</w:t>
      </w:r>
      <w:r>
        <w:rPr>
          <w:rFonts w:hint="eastAsia" w:ascii="仿宋" w:hAnsi="仿宋" w:eastAsia="仿宋" w:cs="宋体"/>
          <w:color w:val="000000"/>
          <w:kern w:val="0"/>
          <w:sz w:val="28"/>
          <w:szCs w:val="28"/>
          <w:shd w:val="clear" w:color="auto" w:fill="FFFFFF"/>
          <w:lang w:bidi="ar"/>
        </w:rPr>
        <w:t>万元，市委机关后勤项目</w:t>
      </w:r>
      <w:r>
        <w:rPr>
          <w:rFonts w:hint="eastAsia" w:ascii="仿宋" w:hAnsi="仿宋" w:eastAsia="仿宋" w:cs="宋体"/>
          <w:color w:val="000000"/>
          <w:kern w:val="0"/>
          <w:sz w:val="28"/>
          <w:szCs w:val="28"/>
          <w:shd w:val="clear" w:color="auto" w:fill="FFFFFF"/>
          <w:lang w:val="en-US" w:eastAsia="zh-CN" w:bidi="ar"/>
        </w:rPr>
        <w:t>214.3</w:t>
      </w:r>
      <w:r>
        <w:rPr>
          <w:rFonts w:hint="eastAsia" w:ascii="仿宋" w:hAnsi="仿宋" w:eastAsia="仿宋" w:cs="宋体"/>
          <w:color w:val="000000"/>
          <w:kern w:val="0"/>
          <w:sz w:val="28"/>
          <w:szCs w:val="28"/>
          <w:shd w:val="clear" w:color="auto" w:fill="FFFFFF"/>
          <w:lang w:bidi="ar"/>
        </w:rPr>
        <w:t>万元。</w:t>
      </w:r>
    </w:p>
    <w:p>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仿宋" w:hAnsi="仿宋" w:eastAsia="仿宋" w:cs="宋体"/>
          <w:kern w:val="0"/>
          <w:sz w:val="28"/>
          <w:szCs w:val="28"/>
          <w:lang w:eastAsia="zh-CN"/>
        </w:rPr>
      </w:pPr>
      <w:r>
        <w:rPr>
          <w:rFonts w:hint="eastAsia" w:ascii="仿宋" w:hAnsi="仿宋" w:eastAsia="仿宋" w:cs="宋体"/>
          <w:kern w:val="0"/>
          <w:sz w:val="28"/>
          <w:szCs w:val="28"/>
        </w:rPr>
        <w:t xml:space="preserve">   1、专项资金安排落实、总投入等情况分析</w:t>
      </w:r>
    </w:p>
    <w:p>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仿宋" w:hAnsi="仿宋" w:eastAsia="仿宋" w:cs="宋体"/>
          <w:kern w:val="0"/>
          <w:sz w:val="28"/>
          <w:szCs w:val="28"/>
          <w:lang w:eastAsia="zh-CN"/>
        </w:rPr>
      </w:pPr>
      <w:r>
        <w:rPr>
          <w:rFonts w:hint="eastAsia" w:ascii="仿宋" w:hAnsi="仿宋" w:eastAsia="仿宋" w:cs="宋体"/>
          <w:kern w:val="0"/>
          <w:sz w:val="28"/>
          <w:szCs w:val="28"/>
        </w:rPr>
        <w:t xml:space="preserve">   202</w:t>
      </w:r>
      <w:r>
        <w:rPr>
          <w:rFonts w:hint="eastAsia" w:ascii="仿宋" w:hAnsi="仿宋" w:eastAsia="仿宋" w:cs="宋体"/>
          <w:kern w:val="0"/>
          <w:sz w:val="28"/>
          <w:szCs w:val="28"/>
          <w:lang w:val="en-US" w:eastAsia="zh-CN"/>
        </w:rPr>
        <w:t>2</w:t>
      </w:r>
      <w:r>
        <w:rPr>
          <w:rFonts w:hint="eastAsia" w:ascii="仿宋" w:hAnsi="仿宋" w:eastAsia="仿宋" w:cs="宋体"/>
          <w:kern w:val="0"/>
          <w:sz w:val="28"/>
          <w:szCs w:val="28"/>
        </w:rPr>
        <w:t>年</w:t>
      </w:r>
      <w:r>
        <w:rPr>
          <w:rFonts w:hint="eastAsia" w:ascii="仿宋" w:hAnsi="仿宋" w:eastAsia="仿宋" w:cs="宋体"/>
          <w:kern w:val="0"/>
          <w:sz w:val="28"/>
          <w:szCs w:val="28"/>
          <w:lang w:eastAsia="zh-CN"/>
        </w:rPr>
        <w:t>度</w:t>
      </w:r>
      <w:r>
        <w:rPr>
          <w:rFonts w:hint="eastAsia" w:ascii="仿宋" w:hAnsi="仿宋" w:eastAsia="仿宋" w:cs="宋体"/>
          <w:kern w:val="0"/>
          <w:sz w:val="28"/>
          <w:szCs w:val="28"/>
        </w:rPr>
        <w:t>专项资金共投入</w:t>
      </w:r>
      <w:r>
        <w:rPr>
          <w:rFonts w:hint="eastAsia" w:ascii="仿宋" w:hAnsi="仿宋" w:eastAsia="仿宋" w:cs="宋体"/>
          <w:kern w:val="0"/>
          <w:sz w:val="28"/>
          <w:szCs w:val="28"/>
          <w:lang w:val="en-US" w:eastAsia="zh-CN"/>
        </w:rPr>
        <w:t>367.91</w:t>
      </w:r>
      <w:r>
        <w:rPr>
          <w:rFonts w:hint="eastAsia" w:ascii="仿宋" w:hAnsi="仿宋" w:eastAsia="仿宋" w:cs="宋体"/>
          <w:kern w:val="0"/>
          <w:sz w:val="28"/>
          <w:szCs w:val="28"/>
        </w:rPr>
        <w:t>万元，其中年初预算安排102万元，年中追加</w:t>
      </w:r>
      <w:r>
        <w:rPr>
          <w:rFonts w:hint="eastAsia" w:ascii="仿宋" w:hAnsi="仿宋" w:eastAsia="仿宋" w:cs="宋体"/>
          <w:kern w:val="0"/>
          <w:sz w:val="28"/>
          <w:szCs w:val="28"/>
          <w:lang w:val="en-US" w:eastAsia="zh-CN"/>
        </w:rPr>
        <w:t>265.91</w:t>
      </w:r>
      <w:r>
        <w:rPr>
          <w:rFonts w:hint="eastAsia" w:ascii="仿宋" w:hAnsi="仿宋" w:eastAsia="仿宋" w:cs="宋体"/>
          <w:kern w:val="0"/>
          <w:sz w:val="28"/>
          <w:szCs w:val="28"/>
        </w:rPr>
        <w:t>万元。追加的主要原因是年初专项预算不足，每季度以报告形式追加资金，以弥补缺口。</w:t>
      </w:r>
    </w:p>
    <w:p>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仿宋" w:hAnsi="仿宋" w:eastAsia="仿宋" w:cs="宋体"/>
          <w:kern w:val="0"/>
          <w:sz w:val="28"/>
          <w:szCs w:val="28"/>
          <w:lang w:eastAsia="zh-CN"/>
        </w:rPr>
      </w:pPr>
      <w:r>
        <w:rPr>
          <w:rFonts w:hint="eastAsia" w:ascii="仿宋" w:hAnsi="仿宋" w:eastAsia="仿宋" w:cs="宋体"/>
          <w:kern w:val="0"/>
          <w:sz w:val="28"/>
          <w:szCs w:val="28"/>
        </w:rPr>
        <w:t xml:space="preserve">   2、专项资金实际使用情况分析</w:t>
      </w:r>
    </w:p>
    <w:p>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仿宋" w:hAnsi="仿宋" w:eastAsia="仿宋" w:cs="宋体"/>
          <w:kern w:val="0"/>
          <w:sz w:val="28"/>
          <w:szCs w:val="28"/>
        </w:rPr>
      </w:pPr>
      <w:r>
        <w:rPr>
          <w:rFonts w:hint="eastAsia" w:ascii="仿宋" w:hAnsi="仿宋" w:eastAsia="仿宋" w:cs="宋体"/>
          <w:kern w:val="0"/>
          <w:sz w:val="28"/>
          <w:szCs w:val="28"/>
        </w:rPr>
        <w:t xml:space="preserve">  </w:t>
      </w:r>
      <w:r>
        <w:rPr>
          <w:rFonts w:hint="eastAsia" w:ascii="仿宋" w:hAnsi="仿宋" w:eastAsia="仿宋" w:cs="宋体"/>
          <w:kern w:val="0"/>
          <w:sz w:val="28"/>
          <w:szCs w:val="28"/>
          <w:lang w:val="en-US" w:eastAsia="zh-CN"/>
        </w:rPr>
        <w:t xml:space="preserve"> </w:t>
      </w:r>
      <w:r>
        <w:rPr>
          <w:rFonts w:hint="eastAsia" w:ascii="仿宋" w:hAnsi="仿宋" w:eastAsia="仿宋" w:cs="宋体"/>
          <w:kern w:val="0"/>
          <w:sz w:val="28"/>
          <w:szCs w:val="28"/>
        </w:rPr>
        <w:t>202</w:t>
      </w:r>
      <w:r>
        <w:rPr>
          <w:rFonts w:hint="eastAsia" w:ascii="仿宋" w:hAnsi="仿宋" w:eastAsia="仿宋" w:cs="宋体"/>
          <w:kern w:val="0"/>
          <w:sz w:val="28"/>
          <w:szCs w:val="28"/>
          <w:lang w:val="en-US" w:eastAsia="zh-CN"/>
        </w:rPr>
        <w:t>2</w:t>
      </w:r>
      <w:r>
        <w:rPr>
          <w:rFonts w:hint="eastAsia" w:ascii="仿宋" w:hAnsi="仿宋" w:eastAsia="仿宋" w:cs="宋体"/>
          <w:kern w:val="0"/>
          <w:sz w:val="28"/>
          <w:szCs w:val="28"/>
        </w:rPr>
        <w:t>年</w:t>
      </w:r>
      <w:r>
        <w:rPr>
          <w:rFonts w:hint="eastAsia" w:ascii="仿宋" w:hAnsi="仿宋" w:eastAsia="仿宋" w:cs="宋体"/>
          <w:kern w:val="0"/>
          <w:sz w:val="28"/>
          <w:szCs w:val="28"/>
          <w:lang w:eastAsia="zh-CN"/>
        </w:rPr>
        <w:t>度</w:t>
      </w:r>
      <w:r>
        <w:rPr>
          <w:rFonts w:hint="eastAsia" w:ascii="仿宋" w:hAnsi="仿宋" w:eastAsia="仿宋" w:cs="宋体"/>
          <w:kern w:val="0"/>
          <w:sz w:val="28"/>
          <w:szCs w:val="28"/>
        </w:rPr>
        <w:t>专项资金支出为</w:t>
      </w:r>
      <w:r>
        <w:rPr>
          <w:rFonts w:hint="eastAsia" w:ascii="仿宋" w:hAnsi="仿宋" w:eastAsia="仿宋" w:cs="宋体"/>
          <w:kern w:val="0"/>
          <w:sz w:val="28"/>
          <w:szCs w:val="28"/>
          <w:lang w:val="en-US" w:eastAsia="zh-CN"/>
        </w:rPr>
        <w:t>367.91</w:t>
      </w:r>
      <w:r>
        <w:rPr>
          <w:rFonts w:hint="eastAsia" w:ascii="仿宋" w:hAnsi="仿宋" w:eastAsia="仿宋" w:cs="宋体"/>
          <w:kern w:val="0"/>
          <w:sz w:val="28"/>
          <w:szCs w:val="28"/>
        </w:rPr>
        <w:t>万元，其中预算项目支出为</w:t>
      </w:r>
      <w:r>
        <w:rPr>
          <w:rFonts w:hint="eastAsia" w:ascii="仿宋" w:hAnsi="仿宋" w:eastAsia="仿宋" w:cs="宋体"/>
          <w:kern w:val="0"/>
          <w:sz w:val="28"/>
          <w:szCs w:val="28"/>
          <w:lang w:val="en-US" w:eastAsia="zh-CN"/>
        </w:rPr>
        <w:t>367.91</w:t>
      </w:r>
      <w:r>
        <w:rPr>
          <w:rFonts w:hint="eastAsia" w:ascii="仿宋" w:hAnsi="仿宋" w:eastAsia="仿宋" w:cs="宋体"/>
          <w:kern w:val="0"/>
          <w:sz w:val="28"/>
          <w:szCs w:val="28"/>
        </w:rPr>
        <w:t>万元，主要是用于市委大院后勤食堂运转；非汨罗籍市级领导在汨履职的生活管理；市委大院公共基础设施设备维修维护、水电路畅通、水电费缴纳、安保人员、卫生保洁人员、食堂工作人员工资发放、垃圾处理费、环境卫生整治等支出。</w:t>
      </w:r>
    </w:p>
    <w:p>
      <w:pPr>
        <w:pStyle w:val="11"/>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left="559" w:leftChars="266" w:firstLine="0" w:firstLineChars="0"/>
        <w:jc w:val="both"/>
        <w:textAlignment w:val="baseline"/>
        <w:rPr>
          <w:rFonts w:hint="eastAsia" w:ascii="仿宋" w:hAnsi="仿宋" w:eastAsia="仿宋" w:cs="宋体"/>
          <w:kern w:val="0"/>
          <w:sz w:val="28"/>
          <w:szCs w:val="28"/>
        </w:rPr>
      </w:pPr>
      <w:r>
        <w:rPr>
          <w:rFonts w:hint="eastAsia" w:ascii="仿宋" w:hAnsi="仿宋" w:eastAsia="仿宋" w:cs="宋体"/>
          <w:kern w:val="0"/>
          <w:sz w:val="28"/>
          <w:szCs w:val="28"/>
        </w:rPr>
        <w:t>3、专项资金管理情况分析</w:t>
      </w:r>
    </w:p>
    <w:p>
      <w:pPr>
        <w:pStyle w:val="11"/>
        <w:keepNext w:val="0"/>
        <w:keepLines w:val="0"/>
        <w:pageBreakBefore w:val="0"/>
        <w:widowControl/>
        <w:numPr>
          <w:ilvl w:val="0"/>
          <w:numId w:val="0"/>
        </w:numPr>
        <w:kinsoku w:val="0"/>
        <w:wordWrap/>
        <w:overflowPunct/>
        <w:topLinePunct w:val="0"/>
        <w:autoSpaceDE w:val="0"/>
        <w:autoSpaceDN w:val="0"/>
        <w:bidi w:val="0"/>
        <w:adjustRightInd w:val="0"/>
        <w:snapToGrid w:val="0"/>
        <w:spacing w:line="500" w:lineRule="exact"/>
        <w:ind w:firstLine="560" w:firstLineChars="200"/>
        <w:jc w:val="both"/>
        <w:textAlignment w:val="baseline"/>
        <w:rPr>
          <w:rFonts w:hint="eastAsia" w:ascii="Times New Roman" w:hAnsi="Times New Roman" w:eastAsia="仿宋_GB2312"/>
          <w:kern w:val="0"/>
          <w:sz w:val="28"/>
          <w:szCs w:val="28"/>
          <w:lang w:eastAsia="zh-CN"/>
        </w:rPr>
      </w:pPr>
      <w:r>
        <w:rPr>
          <w:rFonts w:hint="eastAsia" w:ascii="仿宋" w:hAnsi="仿宋" w:eastAsia="仿宋" w:cs="宋体"/>
          <w:kern w:val="0"/>
          <w:sz w:val="28"/>
          <w:szCs w:val="28"/>
        </w:rPr>
        <w:t>各项资金本着专款专用的原则，严格执行项目资金批准的使用计划和项目批复内容，不擅自调项、扩项、缩项，不拆借、挪用、挤占。资金拨付动向按不同专项资金的要求执行。同时对每笔专项资金的支付，严格执行财务制度，落实专项资金审核程序。</w:t>
      </w:r>
    </w:p>
    <w:p>
      <w:pPr>
        <w:keepNext w:val="0"/>
        <w:keepLines w:val="0"/>
        <w:pageBreakBefore w:val="0"/>
        <w:widowControl/>
        <w:wordWrap/>
        <w:overflowPunct/>
        <w:topLinePunct w:val="0"/>
        <w:bidi w:val="0"/>
        <w:spacing w:line="5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pPr>
        <w:keepNext w:val="0"/>
        <w:keepLines w:val="0"/>
        <w:pageBreakBefore w:val="0"/>
        <w:widowControl/>
        <w:wordWrap/>
        <w:overflowPunct/>
        <w:topLinePunct w:val="0"/>
        <w:bidi w:val="0"/>
        <w:spacing w:line="500" w:lineRule="exact"/>
        <w:ind w:firstLine="560" w:firstLineChars="200"/>
        <w:jc w:val="both"/>
        <w:rPr>
          <w:rFonts w:hint="eastAsia" w:ascii="方正黑体_GBK" w:eastAsia="方正黑体_GBK"/>
          <w:kern w:val="0"/>
          <w:sz w:val="28"/>
          <w:szCs w:val="28"/>
          <w:lang w:eastAsia="zh-CN"/>
        </w:rPr>
      </w:pPr>
      <w:r>
        <w:rPr>
          <w:rFonts w:hint="eastAsia" w:ascii="仿宋" w:hAnsi="仿宋" w:eastAsia="仿宋" w:cs="宋体"/>
          <w:kern w:val="0"/>
          <w:sz w:val="28"/>
          <w:szCs w:val="28"/>
        </w:rPr>
        <w:t>202</w:t>
      </w:r>
      <w:r>
        <w:rPr>
          <w:rFonts w:hint="eastAsia" w:ascii="仿宋" w:hAnsi="仿宋" w:eastAsia="仿宋" w:cs="宋体"/>
          <w:kern w:val="0"/>
          <w:sz w:val="28"/>
          <w:szCs w:val="28"/>
          <w:lang w:val="en-US" w:eastAsia="zh-CN"/>
        </w:rPr>
        <w:t>2</w:t>
      </w:r>
      <w:r>
        <w:rPr>
          <w:rFonts w:hint="eastAsia" w:ascii="仿宋" w:hAnsi="仿宋" w:eastAsia="仿宋" w:cs="宋体"/>
          <w:kern w:val="0"/>
          <w:sz w:val="28"/>
          <w:szCs w:val="28"/>
        </w:rPr>
        <w:t>年度汨罗市机关事务中心没有政府性基金预算支出。</w:t>
      </w:r>
    </w:p>
    <w:p>
      <w:pPr>
        <w:keepNext w:val="0"/>
        <w:keepLines w:val="0"/>
        <w:pageBreakBefore w:val="0"/>
        <w:widowControl/>
        <w:numPr>
          <w:ilvl w:val="0"/>
          <w:numId w:val="1"/>
        </w:numPr>
        <w:wordWrap/>
        <w:overflowPunct/>
        <w:topLinePunct w:val="0"/>
        <w:bidi w:val="0"/>
        <w:spacing w:line="5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pPr>
        <w:keepNext w:val="0"/>
        <w:keepLines w:val="0"/>
        <w:pageBreakBefore w:val="0"/>
        <w:widowControl/>
        <w:numPr>
          <w:ilvl w:val="0"/>
          <w:numId w:val="0"/>
        </w:numPr>
        <w:wordWrap/>
        <w:overflowPunct/>
        <w:topLinePunct w:val="0"/>
        <w:bidi w:val="0"/>
        <w:spacing w:line="500" w:lineRule="exact"/>
        <w:jc w:val="both"/>
        <w:rPr>
          <w:rFonts w:hint="eastAsia" w:ascii="方正黑体_GBK" w:eastAsia="方正黑体_GBK"/>
          <w:kern w:val="0"/>
          <w:sz w:val="28"/>
          <w:szCs w:val="28"/>
          <w:lang w:eastAsia="zh-CN"/>
        </w:rPr>
      </w:pPr>
      <w:r>
        <w:rPr>
          <w:rFonts w:hint="eastAsia" w:ascii="仿宋" w:hAnsi="仿宋" w:eastAsia="仿宋" w:cs="宋体"/>
          <w:kern w:val="0"/>
          <w:sz w:val="28"/>
          <w:szCs w:val="28"/>
        </w:rPr>
        <w:t xml:space="preserve"> </w:t>
      </w:r>
      <w:r>
        <w:rPr>
          <w:rFonts w:hint="eastAsia" w:ascii="仿宋" w:hAnsi="仿宋" w:eastAsia="仿宋" w:cs="宋体"/>
          <w:kern w:val="0"/>
          <w:sz w:val="28"/>
          <w:szCs w:val="28"/>
          <w:lang w:val="en-US" w:eastAsia="zh-CN"/>
        </w:rPr>
        <w:t xml:space="preserve">   </w:t>
      </w:r>
      <w:r>
        <w:rPr>
          <w:rFonts w:hint="eastAsia" w:ascii="仿宋" w:hAnsi="仿宋" w:eastAsia="仿宋" w:cs="宋体"/>
          <w:kern w:val="0"/>
          <w:sz w:val="28"/>
          <w:szCs w:val="28"/>
        </w:rPr>
        <w:t>202</w:t>
      </w:r>
      <w:r>
        <w:rPr>
          <w:rFonts w:hint="eastAsia" w:ascii="仿宋" w:hAnsi="仿宋" w:eastAsia="仿宋" w:cs="宋体"/>
          <w:kern w:val="0"/>
          <w:sz w:val="28"/>
          <w:szCs w:val="28"/>
          <w:lang w:val="en-US" w:eastAsia="zh-CN"/>
        </w:rPr>
        <w:t>2</w:t>
      </w:r>
      <w:r>
        <w:rPr>
          <w:rFonts w:hint="eastAsia" w:ascii="仿宋" w:hAnsi="仿宋" w:eastAsia="仿宋" w:cs="宋体"/>
          <w:kern w:val="0"/>
          <w:sz w:val="28"/>
          <w:szCs w:val="28"/>
        </w:rPr>
        <w:t>年度汨罗市机关事务中心没有国有资本经营预算支出。</w:t>
      </w:r>
    </w:p>
    <w:p>
      <w:pPr>
        <w:keepNext w:val="0"/>
        <w:keepLines w:val="0"/>
        <w:pageBreakBefore w:val="0"/>
        <w:widowControl/>
        <w:numPr>
          <w:ilvl w:val="0"/>
          <w:numId w:val="1"/>
        </w:numPr>
        <w:wordWrap/>
        <w:overflowPunct/>
        <w:topLinePunct w:val="0"/>
        <w:bidi w:val="0"/>
        <w:spacing w:line="5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pPr>
        <w:keepNext w:val="0"/>
        <w:keepLines w:val="0"/>
        <w:pageBreakBefore w:val="0"/>
        <w:widowControl/>
        <w:numPr>
          <w:ilvl w:val="0"/>
          <w:numId w:val="0"/>
        </w:numPr>
        <w:wordWrap/>
        <w:overflowPunct/>
        <w:topLinePunct w:val="0"/>
        <w:bidi w:val="0"/>
        <w:spacing w:line="500" w:lineRule="exact"/>
        <w:ind w:leftChars="200"/>
        <w:jc w:val="both"/>
        <w:rPr>
          <w:rFonts w:hint="eastAsia" w:ascii="方正黑体_GBK" w:eastAsia="方正黑体_GBK"/>
          <w:kern w:val="0"/>
          <w:sz w:val="28"/>
          <w:szCs w:val="28"/>
          <w:lang w:eastAsia="zh-CN"/>
        </w:rPr>
      </w:pPr>
      <w:r>
        <w:rPr>
          <w:rFonts w:hint="eastAsia" w:ascii="仿宋" w:hAnsi="仿宋" w:eastAsia="仿宋" w:cs="宋体"/>
          <w:kern w:val="0"/>
          <w:sz w:val="32"/>
          <w:szCs w:val="32"/>
        </w:rPr>
        <w:t xml:space="preserve"> </w:t>
      </w:r>
      <w:r>
        <w:rPr>
          <w:rFonts w:hint="eastAsia" w:ascii="仿宋" w:hAnsi="仿宋" w:eastAsia="仿宋" w:cs="宋体"/>
          <w:kern w:val="0"/>
          <w:sz w:val="28"/>
          <w:szCs w:val="28"/>
        </w:rPr>
        <w:t>202</w:t>
      </w:r>
      <w:r>
        <w:rPr>
          <w:rFonts w:hint="eastAsia" w:ascii="仿宋" w:hAnsi="仿宋" w:eastAsia="仿宋" w:cs="宋体"/>
          <w:kern w:val="0"/>
          <w:sz w:val="28"/>
          <w:szCs w:val="28"/>
          <w:lang w:val="en-US" w:eastAsia="zh-CN"/>
        </w:rPr>
        <w:t>2</w:t>
      </w:r>
      <w:r>
        <w:rPr>
          <w:rFonts w:hint="eastAsia" w:ascii="仿宋" w:hAnsi="仿宋" w:eastAsia="仿宋" w:cs="宋体"/>
          <w:kern w:val="0"/>
          <w:sz w:val="28"/>
          <w:szCs w:val="28"/>
        </w:rPr>
        <w:t>年度汨罗市机关事务中心没有社会保险基金预算支出。</w:t>
      </w:r>
    </w:p>
    <w:p>
      <w:pPr>
        <w:keepNext w:val="0"/>
        <w:keepLines w:val="0"/>
        <w:pageBreakBefore w:val="0"/>
        <w:widowControl/>
        <w:wordWrap/>
        <w:overflowPunct/>
        <w:topLinePunct w:val="0"/>
        <w:bidi w:val="0"/>
        <w:spacing w:line="5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pPr>
        <w:keepNext w:val="0"/>
        <w:keepLines w:val="0"/>
        <w:pageBreakBefore w:val="0"/>
        <w:widowControl/>
        <w:wordWrap/>
        <w:overflowPunct/>
        <w:topLinePunct w:val="0"/>
        <w:bidi w:val="0"/>
        <w:spacing w:line="500" w:lineRule="exact"/>
        <w:ind w:firstLine="560" w:firstLineChars="200"/>
        <w:jc w:val="both"/>
        <w:rPr>
          <w:rFonts w:hint="eastAsia" w:ascii="仿宋" w:hAnsi="仿宋" w:eastAsia="仿宋" w:cs="宋体"/>
          <w:kern w:val="0"/>
          <w:sz w:val="28"/>
          <w:szCs w:val="28"/>
          <w:lang w:eastAsia="zh-CN"/>
        </w:rPr>
      </w:pPr>
      <w:r>
        <w:rPr>
          <w:rFonts w:hint="eastAsia" w:ascii="仿宋" w:hAnsi="仿宋" w:eastAsia="仿宋" w:cs="宋体"/>
          <w:kern w:val="0"/>
          <w:sz w:val="28"/>
          <w:szCs w:val="28"/>
        </w:rPr>
        <w:t>本单位各项项目资金其主要用途是确保单位的正常运转，促进各项工作任务顺利完成。在人员经费支出、公共支出严格执行市委市政府的各项制度；在项目经费的使用上</w:t>
      </w:r>
      <w:r>
        <w:rPr>
          <w:rFonts w:hint="eastAsia" w:ascii="仿宋" w:hAnsi="仿宋" w:eastAsia="仿宋" w:cs="宋体"/>
          <w:kern w:val="0"/>
          <w:sz w:val="28"/>
          <w:szCs w:val="28"/>
          <w:lang w:eastAsia="zh-CN"/>
        </w:rPr>
        <w:t>，</w:t>
      </w:r>
      <w:r>
        <w:rPr>
          <w:rFonts w:hint="eastAsia" w:ascii="仿宋" w:hAnsi="仿宋" w:eastAsia="仿宋" w:cs="宋体"/>
          <w:kern w:val="0"/>
          <w:sz w:val="28"/>
          <w:szCs w:val="28"/>
        </w:rPr>
        <w:t>在保证各项任务顺利完成的同</w:t>
      </w:r>
      <w:r>
        <w:rPr>
          <w:rFonts w:hint="eastAsia" w:ascii="仿宋" w:hAnsi="仿宋" w:eastAsia="仿宋" w:cs="宋体"/>
          <w:kern w:val="0"/>
          <w:sz w:val="28"/>
          <w:szCs w:val="28"/>
          <w:lang w:eastAsia="zh-CN"/>
        </w:rPr>
        <w:t>时</w:t>
      </w:r>
      <w:r>
        <w:rPr>
          <w:rFonts w:hint="eastAsia" w:ascii="仿宋" w:hAnsi="仿宋" w:eastAsia="仿宋" w:cs="宋体"/>
          <w:kern w:val="0"/>
          <w:sz w:val="28"/>
          <w:szCs w:val="28"/>
        </w:rPr>
        <w:t>严格落实厉行节约的原则。</w:t>
      </w:r>
    </w:p>
    <w:p>
      <w:pPr>
        <w:keepNext w:val="0"/>
        <w:keepLines w:val="0"/>
        <w:pageBreakBefore w:val="0"/>
        <w:widowControl/>
        <w:wordWrap/>
        <w:overflowPunct/>
        <w:topLinePunct w:val="0"/>
        <w:bidi w:val="0"/>
        <w:spacing w:line="5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pPr>
        <w:keepNext w:val="0"/>
        <w:keepLines w:val="0"/>
        <w:pageBreakBefore w:val="0"/>
        <w:widowControl/>
        <w:numPr>
          <w:ilvl w:val="0"/>
          <w:numId w:val="0"/>
        </w:numPr>
        <w:wordWrap/>
        <w:overflowPunct/>
        <w:topLinePunct w:val="0"/>
        <w:bidi w:val="0"/>
        <w:spacing w:line="500" w:lineRule="exact"/>
        <w:ind w:firstLine="560" w:firstLineChars="200"/>
        <w:jc w:val="both"/>
        <w:rPr>
          <w:rFonts w:hint="eastAsia" w:ascii="仿宋" w:hAnsi="仿宋" w:eastAsia="仿宋" w:cs="宋体"/>
          <w:kern w:val="0"/>
          <w:sz w:val="28"/>
          <w:szCs w:val="28"/>
          <w:lang w:eastAsia="zh-CN"/>
        </w:rPr>
      </w:pPr>
      <w:r>
        <w:rPr>
          <w:rFonts w:hint="eastAsia" w:ascii="仿宋" w:hAnsi="仿宋" w:eastAsia="仿宋" w:cs="宋体"/>
          <w:kern w:val="0"/>
          <w:sz w:val="28"/>
          <w:szCs w:val="28"/>
          <w:lang w:val="en-US" w:eastAsia="zh-CN"/>
        </w:rPr>
        <w:t>1</w:t>
      </w:r>
      <w:r>
        <w:rPr>
          <w:rFonts w:hint="eastAsia" w:ascii="宋体" w:hAnsi="宋体" w:eastAsia="宋体" w:cs="宋体"/>
          <w:kern w:val="0"/>
          <w:sz w:val="28"/>
          <w:szCs w:val="28"/>
          <w:lang w:val="en-US" w:eastAsia="zh-CN"/>
        </w:rPr>
        <w:t>.</w:t>
      </w:r>
      <w:r>
        <w:rPr>
          <w:rFonts w:hint="eastAsia" w:ascii="仿宋" w:hAnsi="仿宋" w:eastAsia="仿宋" w:cs="宋体"/>
          <w:kern w:val="0"/>
          <w:sz w:val="28"/>
          <w:szCs w:val="28"/>
        </w:rPr>
        <w:t>在固定资产管理方面的制度尚不够健全。</w:t>
      </w:r>
    </w:p>
    <w:p>
      <w:pPr>
        <w:keepNext w:val="0"/>
        <w:keepLines w:val="0"/>
        <w:pageBreakBefore w:val="0"/>
        <w:widowControl/>
        <w:numPr>
          <w:ilvl w:val="0"/>
          <w:numId w:val="0"/>
        </w:numPr>
        <w:wordWrap/>
        <w:overflowPunct/>
        <w:topLinePunct w:val="0"/>
        <w:bidi w:val="0"/>
        <w:spacing w:line="500" w:lineRule="exact"/>
        <w:ind w:firstLine="560" w:firstLineChars="200"/>
        <w:jc w:val="both"/>
        <w:rPr>
          <w:rFonts w:hint="eastAsia" w:ascii="仿宋" w:hAnsi="仿宋" w:eastAsia="仿宋" w:cs="宋体"/>
          <w:kern w:val="0"/>
          <w:sz w:val="28"/>
          <w:szCs w:val="28"/>
          <w:lang w:eastAsia="zh-CN"/>
        </w:rPr>
      </w:pPr>
      <w:r>
        <w:rPr>
          <w:rFonts w:hint="eastAsia" w:ascii="仿宋" w:hAnsi="仿宋" w:eastAsia="仿宋" w:cs="宋体"/>
          <w:kern w:val="0"/>
          <w:sz w:val="28"/>
          <w:szCs w:val="28"/>
        </w:rPr>
        <w:t xml:space="preserve">   </w:t>
      </w:r>
      <w:r>
        <w:rPr>
          <w:rFonts w:hint="eastAsia" w:ascii="仿宋" w:hAnsi="仿宋" w:eastAsia="仿宋" w:cs="宋体"/>
          <w:kern w:val="0"/>
          <w:sz w:val="28"/>
          <w:szCs w:val="28"/>
          <w:lang w:val="en-US" w:eastAsia="zh-CN"/>
        </w:rPr>
        <w:t xml:space="preserve"> </w:t>
      </w:r>
      <w:r>
        <w:rPr>
          <w:rFonts w:hint="eastAsia" w:ascii="仿宋" w:hAnsi="仿宋" w:eastAsia="仿宋" w:cs="宋体"/>
          <w:kern w:val="0"/>
          <w:sz w:val="28"/>
          <w:szCs w:val="28"/>
        </w:rPr>
        <w:t>2</w:t>
      </w:r>
      <w:r>
        <w:rPr>
          <w:rFonts w:hint="eastAsia" w:ascii="宋体" w:hAnsi="宋体" w:eastAsia="宋体" w:cs="宋体"/>
          <w:kern w:val="0"/>
          <w:sz w:val="28"/>
          <w:szCs w:val="28"/>
          <w:lang w:eastAsia="zh-CN"/>
        </w:rPr>
        <w:t>.</w:t>
      </w:r>
      <w:r>
        <w:rPr>
          <w:rFonts w:hint="eastAsia" w:ascii="仿宋" w:hAnsi="仿宋" w:eastAsia="仿宋" w:cs="宋体"/>
          <w:kern w:val="0"/>
          <w:sz w:val="28"/>
          <w:szCs w:val="28"/>
        </w:rPr>
        <w:t>履职时在经济效益和社会效益实现上还有进步空间。</w:t>
      </w:r>
    </w:p>
    <w:p>
      <w:pPr>
        <w:keepNext w:val="0"/>
        <w:keepLines w:val="0"/>
        <w:pageBreakBefore w:val="0"/>
        <w:widowControl/>
        <w:numPr>
          <w:ilvl w:val="0"/>
          <w:numId w:val="0"/>
        </w:numPr>
        <w:wordWrap/>
        <w:overflowPunct/>
        <w:topLinePunct w:val="0"/>
        <w:bidi w:val="0"/>
        <w:spacing w:line="500" w:lineRule="exact"/>
        <w:ind w:firstLine="560" w:firstLineChars="200"/>
        <w:jc w:val="both"/>
        <w:rPr>
          <w:rFonts w:hint="eastAsia" w:ascii="仿宋" w:hAnsi="仿宋" w:eastAsia="仿宋" w:cs="宋体"/>
          <w:kern w:val="0"/>
          <w:sz w:val="28"/>
          <w:szCs w:val="28"/>
        </w:rPr>
      </w:pPr>
      <w:r>
        <w:rPr>
          <w:rFonts w:hint="eastAsia" w:ascii="仿宋" w:hAnsi="仿宋" w:eastAsia="仿宋" w:cs="宋体"/>
          <w:kern w:val="0"/>
          <w:sz w:val="28"/>
          <w:szCs w:val="28"/>
        </w:rPr>
        <w:t xml:space="preserve">   </w:t>
      </w:r>
      <w:r>
        <w:rPr>
          <w:rFonts w:hint="eastAsia" w:ascii="仿宋" w:hAnsi="仿宋" w:eastAsia="仿宋" w:cs="宋体"/>
          <w:kern w:val="0"/>
          <w:sz w:val="28"/>
          <w:szCs w:val="28"/>
          <w:lang w:val="en-US" w:eastAsia="zh-CN"/>
        </w:rPr>
        <w:t xml:space="preserve"> </w:t>
      </w:r>
      <w:r>
        <w:rPr>
          <w:rFonts w:hint="eastAsia" w:ascii="仿宋" w:hAnsi="仿宋" w:eastAsia="仿宋" w:cs="宋体"/>
          <w:kern w:val="0"/>
          <w:sz w:val="28"/>
          <w:szCs w:val="28"/>
        </w:rPr>
        <w:t>3</w:t>
      </w:r>
      <w:r>
        <w:rPr>
          <w:rFonts w:hint="eastAsia" w:ascii="宋体" w:hAnsi="宋体" w:eastAsia="宋体" w:cs="宋体"/>
          <w:kern w:val="0"/>
          <w:sz w:val="28"/>
          <w:szCs w:val="28"/>
          <w:lang w:eastAsia="zh-CN"/>
        </w:rPr>
        <w:t>.</w:t>
      </w:r>
      <w:r>
        <w:rPr>
          <w:rFonts w:hint="eastAsia" w:ascii="仿宋" w:hAnsi="仿宋" w:eastAsia="仿宋" w:cs="宋体"/>
          <w:kern w:val="0"/>
          <w:sz w:val="28"/>
          <w:szCs w:val="28"/>
        </w:rPr>
        <w:t>资金使用效率有待进一步提高。</w:t>
      </w:r>
    </w:p>
    <w:p>
      <w:pPr>
        <w:keepNext w:val="0"/>
        <w:keepLines w:val="0"/>
        <w:pageBreakBefore w:val="0"/>
        <w:widowControl/>
        <w:numPr>
          <w:ilvl w:val="0"/>
          <w:numId w:val="0"/>
        </w:numPr>
        <w:wordWrap/>
        <w:overflowPunct/>
        <w:topLinePunct w:val="0"/>
        <w:bidi w:val="0"/>
        <w:spacing w:line="5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八、一步改进措施</w:t>
      </w:r>
    </w:p>
    <w:p>
      <w:pPr>
        <w:keepNext w:val="0"/>
        <w:keepLines w:val="0"/>
        <w:pageBreakBefore w:val="0"/>
        <w:widowControl/>
        <w:numPr>
          <w:ilvl w:val="0"/>
          <w:numId w:val="0"/>
        </w:numPr>
        <w:wordWrap/>
        <w:overflowPunct/>
        <w:topLinePunct w:val="0"/>
        <w:bidi w:val="0"/>
        <w:spacing w:line="500" w:lineRule="exact"/>
        <w:ind w:firstLine="560" w:firstLineChars="200"/>
        <w:jc w:val="both"/>
        <w:rPr>
          <w:rFonts w:hint="eastAsia" w:ascii="仿宋" w:hAnsi="仿宋" w:eastAsia="仿宋" w:cs="宋体"/>
          <w:kern w:val="0"/>
          <w:sz w:val="28"/>
          <w:szCs w:val="28"/>
        </w:rPr>
      </w:pPr>
      <w:r>
        <w:rPr>
          <w:rFonts w:hint="eastAsia" w:ascii="仿宋" w:hAnsi="仿宋" w:eastAsia="仿宋" w:cs="宋体"/>
          <w:kern w:val="0"/>
          <w:sz w:val="28"/>
          <w:szCs w:val="28"/>
        </w:rPr>
        <w:t>1</w:t>
      </w:r>
      <w:r>
        <w:rPr>
          <w:rFonts w:hint="eastAsia" w:ascii="宋体" w:hAnsi="宋体" w:eastAsia="宋体" w:cs="宋体"/>
          <w:kern w:val="0"/>
          <w:sz w:val="28"/>
          <w:szCs w:val="28"/>
          <w:lang w:eastAsia="zh-CN"/>
        </w:rPr>
        <w:t>.</w:t>
      </w:r>
      <w:r>
        <w:rPr>
          <w:rFonts w:hint="eastAsia" w:ascii="仿宋" w:hAnsi="仿宋" w:eastAsia="仿宋" w:cs="宋体"/>
          <w:kern w:val="0"/>
          <w:sz w:val="28"/>
          <w:szCs w:val="28"/>
        </w:rPr>
        <w:t>进一步完善财务制度，规范财经纪律，加强财务管理，提高财务工作水平。</w:t>
      </w:r>
    </w:p>
    <w:p>
      <w:pPr>
        <w:keepNext w:val="0"/>
        <w:keepLines w:val="0"/>
        <w:pageBreakBefore w:val="0"/>
        <w:widowControl/>
        <w:numPr>
          <w:ilvl w:val="0"/>
          <w:numId w:val="0"/>
        </w:numPr>
        <w:wordWrap/>
        <w:overflowPunct/>
        <w:topLinePunct w:val="0"/>
        <w:bidi w:val="0"/>
        <w:spacing w:line="500" w:lineRule="exact"/>
        <w:ind w:firstLine="560" w:firstLineChars="200"/>
        <w:jc w:val="both"/>
        <w:rPr>
          <w:rFonts w:hint="eastAsia" w:ascii="仿宋" w:hAnsi="仿宋" w:eastAsia="仿宋" w:cs="宋体"/>
          <w:kern w:val="0"/>
          <w:sz w:val="28"/>
          <w:szCs w:val="28"/>
          <w:lang w:eastAsia="zh-CN"/>
        </w:rPr>
      </w:pPr>
      <w:r>
        <w:rPr>
          <w:rFonts w:hint="eastAsia" w:ascii="仿宋" w:hAnsi="仿宋" w:eastAsia="仿宋" w:cs="宋体"/>
          <w:kern w:val="0"/>
          <w:sz w:val="28"/>
          <w:szCs w:val="28"/>
        </w:rPr>
        <w:t>2</w:t>
      </w:r>
      <w:r>
        <w:rPr>
          <w:rFonts w:hint="eastAsia" w:ascii="宋体" w:hAnsi="宋体" w:eastAsia="宋体" w:cs="宋体"/>
          <w:kern w:val="0"/>
          <w:sz w:val="28"/>
          <w:szCs w:val="28"/>
          <w:lang w:eastAsia="zh-CN"/>
        </w:rPr>
        <w:t>.</w:t>
      </w:r>
      <w:r>
        <w:rPr>
          <w:rFonts w:hint="eastAsia" w:ascii="仿宋" w:hAnsi="仿宋" w:eastAsia="仿宋" w:cs="宋体"/>
          <w:kern w:val="0"/>
          <w:sz w:val="28"/>
          <w:szCs w:val="28"/>
        </w:rPr>
        <w:t>充实财务人员，加强财务人员培训，不断提高财务人员素质。</w:t>
      </w:r>
    </w:p>
    <w:p>
      <w:pPr>
        <w:keepNext w:val="0"/>
        <w:keepLines w:val="0"/>
        <w:pageBreakBefore w:val="0"/>
        <w:widowControl/>
        <w:numPr>
          <w:ilvl w:val="0"/>
          <w:numId w:val="0"/>
        </w:numPr>
        <w:wordWrap/>
        <w:overflowPunct/>
        <w:topLinePunct w:val="0"/>
        <w:bidi w:val="0"/>
        <w:spacing w:line="500" w:lineRule="exact"/>
        <w:ind w:firstLine="560" w:firstLineChars="200"/>
        <w:jc w:val="both"/>
        <w:rPr>
          <w:rFonts w:hint="eastAsia" w:ascii="方正黑体_GBK" w:eastAsia="方正黑体_GBK"/>
          <w:kern w:val="0"/>
          <w:sz w:val="32"/>
          <w:szCs w:val="32"/>
          <w:lang w:eastAsia="zh-CN"/>
        </w:rPr>
      </w:pPr>
      <w:r>
        <w:rPr>
          <w:rFonts w:hint="eastAsia" w:ascii="仿宋" w:hAnsi="仿宋" w:eastAsia="仿宋" w:cs="宋体"/>
          <w:kern w:val="0"/>
          <w:sz w:val="28"/>
          <w:szCs w:val="28"/>
        </w:rPr>
        <w:t>3</w:t>
      </w:r>
      <w:r>
        <w:rPr>
          <w:rFonts w:hint="eastAsia" w:ascii="宋体" w:hAnsi="宋体" w:eastAsia="宋体" w:cs="宋体"/>
          <w:kern w:val="0"/>
          <w:sz w:val="28"/>
          <w:szCs w:val="28"/>
          <w:lang w:eastAsia="zh-CN"/>
        </w:rPr>
        <w:t>.</w:t>
      </w:r>
      <w:r>
        <w:rPr>
          <w:rFonts w:hint="eastAsia" w:ascii="仿宋" w:hAnsi="仿宋" w:eastAsia="仿宋" w:cs="宋体"/>
          <w:kern w:val="0"/>
          <w:sz w:val="28"/>
          <w:szCs w:val="28"/>
        </w:rPr>
        <w:t>进一步提高各项内部管理制度执行效率，如预算管理制度、资产管理制度、办案费用管理制度需进一步细化，更贴合单位实际工作，并严格遵守，按要求执行到底。</w:t>
      </w:r>
    </w:p>
    <w:p>
      <w:pPr>
        <w:keepNext w:val="0"/>
        <w:keepLines w:val="0"/>
        <w:pageBreakBefore w:val="0"/>
        <w:widowControl/>
        <w:wordWrap/>
        <w:overflowPunct/>
        <w:topLinePunct w:val="0"/>
        <w:bidi w:val="0"/>
        <w:spacing w:line="5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pPr>
        <w:keepNext w:val="0"/>
        <w:keepLines w:val="0"/>
        <w:pageBreakBefore w:val="0"/>
        <w:widowControl/>
        <w:wordWrap/>
        <w:overflowPunct/>
        <w:topLinePunct w:val="0"/>
        <w:bidi w:val="0"/>
        <w:spacing w:line="500" w:lineRule="exact"/>
        <w:ind w:firstLine="560" w:firstLineChars="200"/>
        <w:rPr>
          <w:rFonts w:hint="eastAsia" w:ascii="仿宋" w:hAnsi="仿宋" w:eastAsia="仿宋" w:cs="宋体"/>
          <w:kern w:val="0"/>
          <w:sz w:val="28"/>
          <w:szCs w:val="28"/>
        </w:rPr>
      </w:pPr>
      <w:r>
        <w:rPr>
          <w:rFonts w:hint="eastAsia" w:ascii="仿宋" w:hAnsi="仿宋" w:eastAsia="仿宋" w:cs="宋体"/>
          <w:kern w:val="0"/>
          <w:sz w:val="28"/>
          <w:szCs w:val="28"/>
        </w:rPr>
        <w:t>绩效自评分数9</w:t>
      </w:r>
      <w:r>
        <w:rPr>
          <w:rFonts w:hint="eastAsia" w:ascii="仿宋" w:hAnsi="仿宋" w:eastAsia="仿宋" w:cs="宋体"/>
          <w:kern w:val="0"/>
          <w:sz w:val="28"/>
          <w:szCs w:val="28"/>
          <w:lang w:val="en-US" w:eastAsia="zh-CN"/>
        </w:rPr>
        <w:t>8</w:t>
      </w:r>
      <w:r>
        <w:rPr>
          <w:rFonts w:hint="eastAsia" w:ascii="仿宋" w:hAnsi="仿宋" w:eastAsia="仿宋" w:cs="宋体"/>
          <w:kern w:val="0"/>
          <w:sz w:val="28"/>
          <w:szCs w:val="28"/>
        </w:rPr>
        <w:t>分，拟于政府网公开并接受社会监督。</w:t>
      </w:r>
    </w:p>
    <w:p>
      <w:pPr>
        <w:keepNext w:val="0"/>
        <w:keepLines w:val="0"/>
        <w:pageBreakBefore w:val="0"/>
        <w:widowControl/>
        <w:numPr>
          <w:ilvl w:val="0"/>
          <w:numId w:val="0"/>
        </w:numPr>
        <w:wordWrap/>
        <w:overflowPunct/>
        <w:topLinePunct w:val="0"/>
        <w:bidi w:val="0"/>
        <w:spacing w:line="500" w:lineRule="exact"/>
        <w:ind w:leftChars="0" w:firstLine="640" w:firstLineChars="200"/>
        <w:jc w:val="both"/>
        <w:rPr>
          <w:rFonts w:hint="eastAsia" w:eastAsia="黑体"/>
          <w:kern w:val="0"/>
          <w:sz w:val="32"/>
          <w:szCs w:val="32"/>
          <w:lang w:eastAsia="zh-CN"/>
        </w:rPr>
      </w:pPr>
      <w:r>
        <w:rPr>
          <w:rFonts w:hint="eastAsia" w:ascii="方正黑体_GBK" w:eastAsia="方正黑体_GBK"/>
          <w:kern w:val="0"/>
          <w:sz w:val="32"/>
          <w:szCs w:val="32"/>
          <w:lang w:eastAsia="zh-CN"/>
        </w:rPr>
        <w:t>十、其他需要说明的情况</w:t>
      </w:r>
    </w:p>
    <w:p>
      <w:pPr>
        <w:keepNext w:val="0"/>
        <w:keepLines w:val="0"/>
        <w:pageBreakBefore w:val="0"/>
        <w:widowControl/>
        <w:numPr>
          <w:ilvl w:val="0"/>
          <w:numId w:val="0"/>
        </w:numPr>
        <w:wordWrap/>
        <w:overflowPunct/>
        <w:topLinePunct w:val="0"/>
        <w:bidi w:val="0"/>
        <w:spacing w:line="500" w:lineRule="exact"/>
        <w:ind w:leftChars="0" w:firstLine="560" w:firstLineChars="200"/>
        <w:jc w:val="both"/>
        <w:rPr>
          <w:rFonts w:hint="eastAsia" w:ascii="仿宋" w:hAnsi="仿宋" w:eastAsia="仿宋" w:cs="仿宋"/>
          <w:kern w:val="0"/>
          <w:sz w:val="28"/>
          <w:szCs w:val="28"/>
          <w:lang w:eastAsia="zh-CN"/>
        </w:rPr>
      </w:pPr>
      <w:r>
        <w:rPr>
          <w:rFonts w:hint="eastAsia" w:ascii="仿宋" w:hAnsi="仿宋" w:eastAsia="仿宋" w:cs="仿宋"/>
          <w:kern w:val="0"/>
          <w:sz w:val="28"/>
          <w:szCs w:val="28"/>
          <w:lang w:eastAsia="zh-CN"/>
        </w:rPr>
        <w:t>无</w:t>
      </w:r>
    </w:p>
    <w:p>
      <w:pPr>
        <w:spacing w:line="600" w:lineRule="exact"/>
        <w:ind w:firstLine="640" w:firstLineChars="200"/>
        <w:jc w:val="both"/>
        <w:rPr>
          <w:rFonts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pPr>
        <w:spacing w:before="201" w:line="578" w:lineRule="exact"/>
        <w:jc w:val="center"/>
        <w:rPr>
          <w:rFonts w:ascii="Times New Roman" w:hAnsi="Times New Roman" w:eastAsia="Times New Roman" w:cs="Times New Roman"/>
          <w:spacing w:val="15"/>
          <w:position w:val="10"/>
          <w:sz w:val="42"/>
          <w:szCs w:val="42"/>
        </w:rPr>
      </w:pPr>
    </w:p>
    <w:p>
      <w:pPr>
        <w:spacing w:before="201" w:line="578" w:lineRule="exact"/>
        <w:jc w:val="center"/>
        <w:rPr>
          <w:rFonts w:ascii="黑体" w:hAnsi="黑体" w:eastAsia="黑体" w:cs="黑体"/>
          <w:spacing w:val="15"/>
          <w:position w:val="10"/>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2</w:t>
      </w:r>
      <w:r>
        <w:rPr>
          <w:rFonts w:ascii="Times New Roman" w:hAnsi="Times New Roman" w:eastAsia="Times New Roman" w:cs="Times New Roman"/>
          <w:spacing w:val="41"/>
          <w:position w:val="10"/>
          <w:sz w:val="42"/>
          <w:szCs w:val="42"/>
        </w:rPr>
        <w:t xml:space="preserve"> </w:t>
      </w:r>
      <w:r>
        <w:rPr>
          <w:rFonts w:ascii="黑体" w:hAnsi="黑体" w:eastAsia="黑体" w:cs="黑体"/>
          <w:spacing w:val="15"/>
          <w:position w:val="10"/>
          <w:sz w:val="42"/>
          <w:szCs w:val="42"/>
        </w:rPr>
        <w:t>年度</w:t>
      </w:r>
      <w:r>
        <w:rPr>
          <w:rFonts w:hint="eastAsia" w:ascii="黑体" w:hAnsi="黑体" w:eastAsia="黑体" w:cs="黑体"/>
          <w:position w:val="10"/>
          <w:sz w:val="42"/>
          <w:szCs w:val="42"/>
          <w:lang w:eastAsia="zh-CN"/>
        </w:rPr>
        <w:t>市委大院维护管理</w:t>
      </w:r>
      <w:r>
        <w:rPr>
          <w:rFonts w:ascii="黑体" w:hAnsi="黑体" w:eastAsia="黑体" w:cs="黑体"/>
          <w:spacing w:val="15"/>
          <w:position w:val="10"/>
          <w:sz w:val="42"/>
          <w:szCs w:val="42"/>
        </w:rPr>
        <w:t>项目支出</w:t>
      </w:r>
    </w:p>
    <w:p>
      <w:pPr>
        <w:spacing w:before="201" w:line="578" w:lineRule="exact"/>
        <w:jc w:val="center"/>
        <w:rPr>
          <w:rFonts w:ascii="黑体" w:hAnsi="黑体" w:eastAsia="黑体" w:cs="黑体"/>
          <w:sz w:val="42"/>
          <w:szCs w:val="42"/>
        </w:rPr>
      </w:pPr>
      <w:r>
        <w:rPr>
          <w:rFonts w:ascii="黑体" w:hAnsi="黑体" w:eastAsia="黑体" w:cs="黑体"/>
          <w:spacing w:val="10"/>
          <w:sz w:val="42"/>
          <w:szCs w:val="42"/>
        </w:rPr>
        <w:t>绩效自评报告</w:t>
      </w: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2"/>
        <w:spacing w:before="89" w:line="221" w:lineRule="auto"/>
        <w:ind w:firstLine="2260" w:firstLineChars="100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pPr>
        <w:pStyle w:val="2"/>
        <w:spacing w:before="289" w:line="610" w:lineRule="exact"/>
        <w:ind w:firstLine="3172" w:firstLineChars="1300"/>
        <w:rPr>
          <w:sz w:val="27"/>
          <w:szCs w:val="27"/>
        </w:rPr>
      </w:pPr>
      <w:r>
        <w:rPr>
          <w:rFonts w:hint="eastAsia"/>
          <w:spacing w:val="-13"/>
          <w:position w:val="26"/>
          <w:sz w:val="27"/>
          <w:szCs w:val="27"/>
          <w:lang w:val="en-US" w:eastAsia="zh-CN"/>
        </w:rPr>
        <w:t>2022</w:t>
      </w:r>
      <w:r>
        <w:rPr>
          <w:spacing w:val="-13"/>
          <w:position w:val="26"/>
          <w:sz w:val="27"/>
          <w:szCs w:val="27"/>
        </w:rPr>
        <w:t xml:space="preserve">年  </w:t>
      </w:r>
      <w:r>
        <w:rPr>
          <w:rFonts w:hint="eastAsia"/>
          <w:spacing w:val="-13"/>
          <w:position w:val="26"/>
          <w:sz w:val="27"/>
          <w:szCs w:val="27"/>
          <w:lang w:val="en-US" w:eastAsia="zh-CN"/>
        </w:rPr>
        <w:t>6</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2</w:t>
      </w:r>
      <w:r>
        <w:rPr>
          <w:spacing w:val="12"/>
          <w:position w:val="26"/>
          <w:sz w:val="27"/>
          <w:szCs w:val="27"/>
        </w:rPr>
        <w:t xml:space="preserve"> </w:t>
      </w:r>
      <w:r>
        <w:rPr>
          <w:spacing w:val="-13"/>
          <w:position w:val="26"/>
          <w:sz w:val="27"/>
          <w:szCs w:val="27"/>
        </w:rPr>
        <w:t>日</w:t>
      </w:r>
    </w:p>
    <w:p>
      <w:pPr>
        <w:spacing w:line="223" w:lineRule="auto"/>
        <w:rPr>
          <w:sz w:val="24"/>
          <w:szCs w:val="24"/>
        </w:rPr>
        <w:sectPr>
          <w:footerReference r:id="rId9" w:type="default"/>
          <w:pgSz w:w="11900" w:h="16820"/>
          <w:pgMar w:top="1429" w:right="1782" w:bottom="1158" w:left="1450" w:header="0" w:footer="850" w:gutter="0"/>
          <w:pgBorders>
            <w:top w:val="none" w:sz="0" w:space="0"/>
            <w:left w:val="none" w:sz="0" w:space="0"/>
            <w:bottom w:val="none" w:sz="0" w:space="0"/>
            <w:right w:val="none" w:sz="0" w:space="0"/>
          </w:pgBorders>
          <w:cols w:space="720" w:num="1"/>
        </w:sectPr>
      </w:pPr>
    </w:p>
    <w:p>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pPr>
        <w:adjustRightInd w:val="0"/>
        <w:snapToGrid w:val="0"/>
        <w:spacing w:line="360" w:lineRule="auto"/>
        <w:ind w:firstLine="562" w:firstLineChars="200"/>
        <w:rPr>
          <w:rFonts w:ascii="Times New Roman" w:hAnsi="Times New Roman"/>
          <w:sz w:val="28"/>
          <w:szCs w:val="28"/>
        </w:rPr>
      </w:pPr>
      <w:r>
        <w:rPr>
          <w:rFonts w:ascii="黑体" w:hAnsi="黑体" w:eastAsia="黑体" w:cs="黑体"/>
          <w:b/>
          <w:bCs/>
          <w:snapToGrid w:val="0"/>
          <w:color w:val="000000"/>
          <w:spacing w:val="-15"/>
          <w:kern w:val="0"/>
          <w:sz w:val="31"/>
          <w:szCs w:val="31"/>
          <w:lang w:val="en-US" w:eastAsia="en-US" w:bidi="ar-SA"/>
        </w:rPr>
        <w:t>(一)项目支出概况。</w:t>
      </w:r>
    </w:p>
    <w:p>
      <w:pPr>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市委机关大院占地面积3.36万㎡，共有办公楼6栋，居民楼1</w:t>
      </w:r>
      <w:r>
        <w:rPr>
          <w:rFonts w:hint="eastAsia" w:ascii="仿宋" w:hAnsi="仿宋" w:eastAsia="仿宋" w:cs="仿宋"/>
          <w:sz w:val="28"/>
          <w:szCs w:val="28"/>
          <w:lang w:val="en-US" w:eastAsia="zh-CN"/>
        </w:rPr>
        <w:t>3</w:t>
      </w:r>
      <w:r>
        <w:rPr>
          <w:rFonts w:hint="eastAsia" w:ascii="仿宋" w:hAnsi="仿宋" w:eastAsia="仿宋" w:cs="仿宋"/>
          <w:sz w:val="28"/>
          <w:szCs w:val="28"/>
        </w:rPr>
        <w:t>栋，食堂1栋，篮球场1个，绿化覆盖率达60%以上，是我市党政机关领导和市委干职工工作生活的主要场所。汨罗市机关事务服务中心始建于1978年，现有编织26人，在编干职工2</w:t>
      </w:r>
      <w:r>
        <w:rPr>
          <w:rFonts w:hint="eastAsia" w:ascii="仿宋" w:hAnsi="仿宋" w:eastAsia="仿宋" w:cs="仿宋"/>
          <w:sz w:val="28"/>
          <w:szCs w:val="28"/>
          <w:lang w:val="en-US" w:eastAsia="zh-CN"/>
        </w:rPr>
        <w:t>3</w:t>
      </w:r>
      <w:r>
        <w:rPr>
          <w:rFonts w:hint="eastAsia" w:ascii="仿宋" w:hAnsi="仿宋" w:eastAsia="仿宋" w:cs="仿宋"/>
          <w:sz w:val="28"/>
          <w:szCs w:val="28"/>
        </w:rPr>
        <w:t>人，退休人员45人。主要负责1、市委机关大院公共区域综合管理，制定并组织实施有关管理规章制度；2、负责市委机关大院及附属用房等建设的财政预算资金和基建工作，3、负责市委办公大楼内召开的各类会议的会务、后勤工作；4、负责市委机关大院的安全保卫、消防、绿化、卫生保洁等后勤保障工作等。202</w:t>
      </w:r>
      <w:r>
        <w:rPr>
          <w:rFonts w:hint="eastAsia" w:ascii="仿宋" w:hAnsi="仿宋" w:eastAsia="仿宋" w:cs="仿宋"/>
          <w:sz w:val="28"/>
          <w:szCs w:val="28"/>
          <w:lang w:val="en-US" w:eastAsia="zh-CN"/>
        </w:rPr>
        <w:t>2</w:t>
      </w:r>
      <w:r>
        <w:rPr>
          <w:rFonts w:hint="eastAsia" w:ascii="仿宋" w:hAnsi="仿宋" w:eastAsia="仿宋" w:cs="仿宋"/>
          <w:sz w:val="28"/>
          <w:szCs w:val="28"/>
        </w:rPr>
        <w:t>年</w:t>
      </w:r>
      <w:r>
        <w:rPr>
          <w:rFonts w:hint="eastAsia" w:ascii="仿宋" w:hAnsi="仿宋" w:eastAsia="仿宋" w:cs="仿宋"/>
          <w:sz w:val="28"/>
          <w:szCs w:val="28"/>
          <w:lang w:eastAsia="zh-CN"/>
        </w:rPr>
        <w:t>度</w:t>
      </w:r>
      <w:r>
        <w:rPr>
          <w:rFonts w:hint="eastAsia" w:ascii="仿宋" w:hAnsi="仿宋" w:eastAsia="仿宋" w:cs="仿宋"/>
          <w:sz w:val="28"/>
          <w:szCs w:val="28"/>
        </w:rPr>
        <w:t>本项目年初预算42万元，决算数为</w:t>
      </w:r>
      <w:r>
        <w:rPr>
          <w:rFonts w:hint="eastAsia" w:ascii="仿宋" w:hAnsi="仿宋" w:eastAsia="仿宋" w:cs="仿宋"/>
          <w:sz w:val="28"/>
          <w:szCs w:val="28"/>
          <w:lang w:val="en-US" w:eastAsia="zh-CN"/>
        </w:rPr>
        <w:t>153.61</w:t>
      </w:r>
      <w:r>
        <w:rPr>
          <w:rFonts w:hint="eastAsia" w:ascii="仿宋" w:hAnsi="仿宋" w:eastAsia="仿宋" w:cs="仿宋"/>
          <w:sz w:val="28"/>
          <w:szCs w:val="28"/>
        </w:rPr>
        <w:t>万元。</w:t>
      </w:r>
    </w:p>
    <w:p>
      <w:pPr>
        <w:adjustRightInd w:val="0"/>
        <w:snapToGrid w:val="0"/>
        <w:spacing w:line="360" w:lineRule="auto"/>
        <w:ind w:firstLine="562" w:firstLineChars="200"/>
        <w:rPr>
          <w:rFonts w:ascii="黑体" w:hAnsi="黑体" w:eastAsia="黑体" w:cs="黑体"/>
          <w:b/>
          <w:bCs/>
          <w:spacing w:val="-15"/>
          <w:sz w:val="31"/>
          <w:szCs w:val="31"/>
        </w:rPr>
      </w:pPr>
      <w:r>
        <w:rPr>
          <w:rFonts w:hint="eastAsia" w:ascii="黑体" w:hAnsi="黑体" w:eastAsia="黑体" w:cs="黑体"/>
          <w:b/>
          <w:bCs/>
          <w:sz w:val="28"/>
          <w:szCs w:val="28"/>
          <w:lang w:eastAsia="zh-CN"/>
        </w:rPr>
        <w:t>（二）</w:t>
      </w:r>
      <w:r>
        <w:rPr>
          <w:rFonts w:ascii="黑体" w:hAnsi="黑体" w:eastAsia="黑体" w:cs="黑体"/>
          <w:b/>
          <w:bCs/>
          <w:spacing w:val="-15"/>
          <w:sz w:val="31"/>
          <w:szCs w:val="31"/>
        </w:rPr>
        <w:t>项目资金使用管理情况。</w:t>
      </w:r>
    </w:p>
    <w:p>
      <w:pPr>
        <w:numPr>
          <w:ilvl w:val="0"/>
          <w:numId w:val="0"/>
        </w:numPr>
        <w:adjustRightInd w:val="0"/>
        <w:snapToGrid w:val="0"/>
        <w:spacing w:line="360" w:lineRule="auto"/>
        <w:ind w:firstLine="560" w:firstLineChars="200"/>
        <w:rPr>
          <w:rFonts w:hint="eastAsia" w:ascii="仿宋" w:hAnsi="仿宋" w:eastAsia="仿宋" w:cs="仿宋"/>
          <w:kern w:val="0"/>
          <w:sz w:val="28"/>
          <w:szCs w:val="28"/>
          <w:lang w:val="en-US" w:eastAsia="en-US"/>
        </w:rPr>
      </w:pPr>
      <w:r>
        <w:rPr>
          <w:rFonts w:hint="eastAsia" w:ascii="仿宋" w:hAnsi="仿宋" w:eastAsia="仿宋" w:cs="仿宋"/>
          <w:sz w:val="28"/>
          <w:szCs w:val="28"/>
        </w:rPr>
        <w:t>坚持财经制度，经费开支坚持做到专款专用，厉行节约，控制成本。</w:t>
      </w:r>
    </w:p>
    <w:p>
      <w:pPr>
        <w:pStyle w:val="2"/>
        <w:keepNext w:val="0"/>
        <w:keepLines w:val="0"/>
        <w:pageBreakBefore w:val="0"/>
        <w:widowControl/>
        <w:numPr>
          <w:numId w:val="0"/>
        </w:numPr>
        <w:kinsoku w:val="0"/>
        <w:wordWrap/>
        <w:overflowPunct/>
        <w:topLinePunct w:val="0"/>
        <w:autoSpaceDE w:val="0"/>
        <w:autoSpaceDN w:val="0"/>
        <w:bidi w:val="0"/>
        <w:adjustRightInd w:val="0"/>
        <w:snapToGrid w:val="0"/>
        <w:spacing w:line="560" w:lineRule="exact"/>
        <w:ind w:leftChars="200" w:right="0" w:rightChars="0"/>
        <w:textAlignment w:val="baseline"/>
        <w:rPr>
          <w:rFonts w:ascii="楷体" w:hAnsi="楷体" w:eastAsia="楷体" w:cs="楷体"/>
          <w:b/>
          <w:bCs/>
          <w:spacing w:val="6"/>
          <w:position w:val="16"/>
          <w:sz w:val="31"/>
          <w:szCs w:val="31"/>
        </w:rPr>
      </w:pPr>
      <w:r>
        <w:rPr>
          <w:rFonts w:hint="eastAsia" w:ascii="黑体" w:hAnsi="黑体" w:eastAsia="黑体" w:cs="黑体"/>
          <w:b/>
          <w:bCs/>
          <w:snapToGrid w:val="0"/>
          <w:color w:val="000000"/>
          <w:spacing w:val="-15"/>
          <w:kern w:val="0"/>
          <w:sz w:val="31"/>
          <w:szCs w:val="31"/>
          <w:lang w:val="en-US" w:eastAsia="zh-CN" w:bidi="ar-SA"/>
        </w:rPr>
        <w:t>（三）</w:t>
      </w:r>
      <w:r>
        <w:rPr>
          <w:rFonts w:ascii="黑体" w:hAnsi="黑体" w:eastAsia="黑体" w:cs="黑体"/>
          <w:b/>
          <w:bCs/>
          <w:snapToGrid w:val="0"/>
          <w:color w:val="000000"/>
          <w:spacing w:val="-15"/>
          <w:kern w:val="0"/>
          <w:sz w:val="31"/>
          <w:szCs w:val="31"/>
          <w:lang w:val="en-US" w:eastAsia="en-US" w:bidi="ar-SA"/>
        </w:rPr>
        <w:t>项目支出绩效目标完成程度</w:t>
      </w:r>
      <w:r>
        <w:rPr>
          <w:rFonts w:ascii="楷体" w:hAnsi="楷体" w:eastAsia="楷体" w:cs="楷体"/>
          <w:b/>
          <w:bCs/>
          <w:spacing w:val="6"/>
          <w:position w:val="16"/>
          <w:sz w:val="31"/>
          <w:szCs w:val="31"/>
        </w:rPr>
        <w:t>。</w:t>
      </w:r>
    </w:p>
    <w:p>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right="0" w:rightChars="0" w:firstLine="560" w:firstLineChars="200"/>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z w:val="28"/>
          <w:szCs w:val="28"/>
        </w:rPr>
        <w:t>202</w:t>
      </w:r>
      <w:r>
        <w:rPr>
          <w:rFonts w:hint="eastAsia" w:cs="仿宋"/>
          <w:sz w:val="28"/>
          <w:szCs w:val="28"/>
          <w:lang w:val="en-US" w:eastAsia="zh-CN"/>
        </w:rPr>
        <w:t>2</w:t>
      </w:r>
      <w:r>
        <w:rPr>
          <w:rFonts w:hint="eastAsia" w:ascii="仿宋" w:hAnsi="仿宋" w:eastAsia="仿宋" w:cs="仿宋"/>
          <w:sz w:val="28"/>
          <w:szCs w:val="28"/>
        </w:rPr>
        <w:t>年</w:t>
      </w:r>
      <w:r>
        <w:rPr>
          <w:rFonts w:hint="eastAsia" w:cs="仿宋"/>
          <w:sz w:val="28"/>
          <w:szCs w:val="28"/>
          <w:lang w:eastAsia="zh-CN"/>
        </w:rPr>
        <w:t>度</w:t>
      </w:r>
      <w:r>
        <w:rPr>
          <w:rFonts w:hint="eastAsia" w:ascii="仿宋" w:hAnsi="仿宋" w:eastAsia="仿宋" w:cs="仿宋"/>
          <w:sz w:val="28"/>
          <w:szCs w:val="28"/>
        </w:rPr>
        <w:t>本项目安排分管领导，按专项资金的用途专款专用，达到预期指标。产出指标、效益指标、满意度指标均达到预期指标。完成情况良好。</w:t>
      </w:r>
    </w:p>
    <w:p>
      <w:pPr>
        <w:keepNext w:val="0"/>
        <w:keepLines w:val="0"/>
        <w:pageBreakBefore w:val="0"/>
        <w:widowControl/>
        <w:numPr>
          <w:numId w:val="0"/>
        </w:numPr>
        <w:kinsoku w:val="0"/>
        <w:wordWrap/>
        <w:overflowPunct/>
        <w:topLinePunct w:val="0"/>
        <w:autoSpaceDE w:val="0"/>
        <w:autoSpaceDN w:val="0"/>
        <w:bidi w:val="0"/>
        <w:adjustRightInd w:val="0"/>
        <w:snapToGrid w:val="0"/>
        <w:spacing w:line="560" w:lineRule="exact"/>
        <w:ind w:left="640" w:leftChars="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二、</w:t>
      </w:r>
      <w:bookmarkStart w:id="0" w:name="_GoBack"/>
      <w:bookmarkEnd w:id="0"/>
      <w:r>
        <w:rPr>
          <w:rFonts w:ascii="黑体" w:hAnsi="黑体" w:eastAsia="黑体" w:cs="黑体"/>
          <w:b/>
          <w:bCs/>
          <w:spacing w:val="-15"/>
          <w:sz w:val="31"/>
          <w:szCs w:val="31"/>
        </w:rPr>
        <w:t>绩效评价工作情况</w:t>
      </w:r>
    </w:p>
    <w:p>
      <w:pPr>
        <w:adjustRightInd w:val="0"/>
        <w:snapToGrid w:val="0"/>
        <w:spacing w:line="360" w:lineRule="auto"/>
        <w:ind w:firstLine="560" w:firstLineChars="200"/>
        <w:rPr>
          <w:rFonts w:ascii="黑体" w:hAnsi="黑体" w:eastAsia="黑体" w:cs="黑体"/>
          <w:b/>
          <w:bCs/>
          <w:spacing w:val="-15"/>
          <w:sz w:val="31"/>
          <w:szCs w:val="31"/>
        </w:rPr>
      </w:pPr>
      <w:r>
        <w:rPr>
          <w:rFonts w:hint="eastAsia" w:ascii="仿宋" w:hAnsi="仿宋" w:eastAsia="仿宋" w:cs="仿宋"/>
          <w:sz w:val="28"/>
          <w:szCs w:val="28"/>
        </w:rPr>
        <w:t>202</w:t>
      </w:r>
      <w:r>
        <w:rPr>
          <w:rFonts w:hint="eastAsia" w:ascii="仿宋" w:hAnsi="仿宋" w:eastAsia="仿宋" w:cs="仿宋"/>
          <w:sz w:val="28"/>
          <w:szCs w:val="28"/>
          <w:lang w:val="en-US" w:eastAsia="zh-CN"/>
        </w:rPr>
        <w:t>2</w:t>
      </w:r>
      <w:r>
        <w:rPr>
          <w:rFonts w:hint="eastAsia" w:ascii="仿宋" w:hAnsi="仿宋" w:eastAsia="仿宋" w:cs="仿宋"/>
          <w:sz w:val="28"/>
          <w:szCs w:val="28"/>
        </w:rPr>
        <w:t>年</w:t>
      </w:r>
      <w:r>
        <w:rPr>
          <w:rFonts w:hint="eastAsia" w:ascii="仿宋" w:hAnsi="仿宋" w:eastAsia="仿宋" w:cs="仿宋"/>
          <w:sz w:val="28"/>
          <w:szCs w:val="28"/>
          <w:lang w:eastAsia="zh-CN"/>
        </w:rPr>
        <w:t>度</w:t>
      </w:r>
      <w:r>
        <w:rPr>
          <w:rFonts w:hint="eastAsia" w:ascii="仿宋" w:hAnsi="仿宋" w:eastAsia="仿宋" w:cs="仿宋"/>
          <w:sz w:val="28"/>
          <w:szCs w:val="28"/>
        </w:rPr>
        <w:t>，以习近平总书记“整体、动态、开放、相对、共同”安全观为指引，推动各项工作更加科学、高效，实现了整体形象的全面提升。及时、准确做好大院公共基础设施设备维修维护工作，优化公共区域环境卫生，生活环境舒适， 获得社会好评，有幸福感。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ascii="黑体" w:hAnsi="黑体" w:eastAsia="黑体" w:cs="黑体"/>
          <w:b/>
          <w:bCs/>
          <w:spacing w:val="-15"/>
          <w:sz w:val="31"/>
          <w:szCs w:val="31"/>
        </w:rPr>
      </w:pPr>
      <w:r>
        <w:rPr>
          <w:rFonts w:hint="eastAsia" w:ascii="仿宋" w:hAnsi="仿宋" w:eastAsia="仿宋" w:cs="仿宋"/>
          <w:sz w:val="28"/>
          <w:szCs w:val="28"/>
        </w:rPr>
        <w:t>202</w:t>
      </w:r>
      <w:r>
        <w:rPr>
          <w:rFonts w:hint="eastAsia" w:ascii="仿宋" w:hAnsi="仿宋" w:eastAsia="仿宋" w:cs="仿宋"/>
          <w:sz w:val="28"/>
          <w:szCs w:val="28"/>
          <w:lang w:val="en-US" w:eastAsia="zh-CN"/>
        </w:rPr>
        <w:t>2</w:t>
      </w:r>
      <w:r>
        <w:rPr>
          <w:rFonts w:hint="eastAsia" w:ascii="仿宋" w:hAnsi="仿宋" w:eastAsia="仿宋" w:cs="仿宋"/>
          <w:sz w:val="28"/>
          <w:szCs w:val="28"/>
        </w:rPr>
        <w:t>年</w:t>
      </w:r>
      <w:r>
        <w:rPr>
          <w:rFonts w:hint="eastAsia" w:ascii="仿宋" w:hAnsi="仿宋" w:eastAsia="仿宋" w:cs="仿宋"/>
          <w:sz w:val="28"/>
          <w:szCs w:val="28"/>
          <w:lang w:eastAsia="zh-CN"/>
        </w:rPr>
        <w:t>度</w:t>
      </w:r>
      <w:r>
        <w:rPr>
          <w:rFonts w:hint="eastAsia" w:ascii="仿宋" w:hAnsi="仿宋" w:eastAsia="仿宋" w:cs="仿宋"/>
          <w:sz w:val="28"/>
          <w:szCs w:val="28"/>
        </w:rPr>
        <w:t>，机关事务中心加强大院管理，确保市委大院安全保卫工作质量，保证各部门单位人员工作有序进行。大院绿化植被维护，确保绿植四季常绿，改善生态环境，提高城市绿化景观。</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pPr>
        <w:widowControl/>
        <w:adjustRightInd w:val="0"/>
        <w:snapToGrid w:val="0"/>
        <w:spacing w:line="360" w:lineRule="auto"/>
        <w:ind w:firstLine="280" w:firstLineChars="100"/>
        <w:rPr>
          <w:rFonts w:hint="eastAsia" w:ascii="仿宋" w:hAnsi="仿宋" w:eastAsia="仿宋" w:cs="仿宋"/>
          <w:sz w:val="28"/>
          <w:szCs w:val="28"/>
        </w:rPr>
      </w:pPr>
      <w:r>
        <w:rPr>
          <w:rFonts w:hint="eastAsia" w:ascii="仿宋" w:hAnsi="仿宋" w:eastAsia="仿宋" w:cs="仿宋"/>
          <w:sz w:val="28"/>
          <w:szCs w:val="28"/>
        </w:rPr>
        <w:t>（一）项目支出决策情况。</w:t>
      </w:r>
    </w:p>
    <w:p>
      <w:pPr>
        <w:widowControl/>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在项目资金的申报、批复及预算调整上，我们严格按程序办理，资金申报上，严格报送审批程序，保证并监管资金落实。</w:t>
      </w:r>
    </w:p>
    <w:p>
      <w:pPr>
        <w:widowControl/>
        <w:adjustRightInd w:val="0"/>
        <w:snapToGrid w:val="0"/>
        <w:spacing w:line="360" w:lineRule="auto"/>
        <w:ind w:firstLine="280" w:firstLineChars="100"/>
        <w:rPr>
          <w:rFonts w:hint="eastAsia" w:ascii="仿宋" w:hAnsi="仿宋" w:eastAsia="仿宋" w:cs="仿宋"/>
          <w:sz w:val="28"/>
          <w:szCs w:val="28"/>
        </w:rPr>
      </w:pPr>
      <w:r>
        <w:rPr>
          <w:rFonts w:hint="eastAsia" w:ascii="仿宋" w:hAnsi="仿宋" w:eastAsia="仿宋" w:cs="仿宋"/>
          <w:sz w:val="28"/>
          <w:szCs w:val="28"/>
        </w:rPr>
        <w:t>（二）项目执行过程情况。</w:t>
      </w:r>
    </w:p>
    <w:p>
      <w:pPr>
        <w:widowControl/>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严格督促项目实施和资金使用，切实发挥好财政资金使用效益，确保财政资金使用依法、规范、安全、高效。</w:t>
      </w:r>
    </w:p>
    <w:p>
      <w:pPr>
        <w:widowControl/>
        <w:adjustRightInd w:val="0"/>
        <w:snapToGrid w:val="0"/>
        <w:spacing w:line="360" w:lineRule="auto"/>
        <w:ind w:firstLine="280" w:firstLineChars="100"/>
        <w:rPr>
          <w:rFonts w:hint="eastAsia" w:ascii="仿宋" w:hAnsi="仿宋" w:eastAsia="仿宋" w:cs="仿宋"/>
          <w:sz w:val="28"/>
          <w:szCs w:val="28"/>
        </w:rPr>
      </w:pPr>
      <w:r>
        <w:rPr>
          <w:rFonts w:hint="eastAsia" w:ascii="仿宋" w:hAnsi="仿宋" w:eastAsia="仿宋" w:cs="仿宋"/>
          <w:sz w:val="28"/>
          <w:szCs w:val="28"/>
        </w:rPr>
        <w:t>（三）项目支出产出情况。</w:t>
      </w:r>
    </w:p>
    <w:p>
      <w:pPr>
        <w:widowControl/>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完成了目标任务。</w:t>
      </w:r>
    </w:p>
    <w:p>
      <w:pPr>
        <w:widowControl/>
        <w:adjustRightInd w:val="0"/>
        <w:snapToGrid w:val="0"/>
        <w:spacing w:line="360" w:lineRule="auto"/>
        <w:ind w:firstLine="280" w:firstLineChars="100"/>
        <w:rPr>
          <w:rFonts w:hint="eastAsia" w:ascii="仿宋" w:hAnsi="仿宋" w:eastAsia="仿宋" w:cs="仿宋"/>
          <w:sz w:val="28"/>
          <w:szCs w:val="28"/>
        </w:rPr>
      </w:pPr>
      <w:r>
        <w:rPr>
          <w:rFonts w:hint="eastAsia" w:ascii="仿宋" w:hAnsi="仿宋" w:eastAsia="仿宋" w:cs="仿宋"/>
          <w:sz w:val="28"/>
          <w:szCs w:val="28"/>
        </w:rPr>
        <w:t>（四）项目支出效益情况。</w:t>
      </w:r>
    </w:p>
    <w:p>
      <w:pPr>
        <w:widowControl/>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专项资金落实到位，严格按照相关财务制度执行。随着城市发展增快，人民群众对生活和工作质量要求的不断提高，现预算资金已不能满意实际经费开支，资金缺口较大。</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pPr>
        <w:adjustRightInd w:val="0"/>
        <w:snapToGrid w:val="0"/>
        <w:spacing w:line="360" w:lineRule="auto"/>
        <w:ind w:firstLine="560" w:firstLineChars="200"/>
        <w:rPr>
          <w:rFonts w:hint="eastAsia" w:ascii="仿宋" w:hAnsi="仿宋" w:eastAsia="仿宋" w:cs="仿宋"/>
          <w:snapToGrid w:val="0"/>
          <w:color w:val="000000"/>
          <w:kern w:val="0"/>
          <w:sz w:val="28"/>
          <w:szCs w:val="28"/>
          <w:lang w:val="en-US" w:eastAsia="zh-CN" w:bidi="ar-SA"/>
        </w:rPr>
      </w:pPr>
      <w:r>
        <w:rPr>
          <w:rFonts w:hint="eastAsia" w:ascii="仿宋" w:hAnsi="仿宋" w:eastAsia="仿宋" w:cs="仿宋"/>
          <w:sz w:val="28"/>
          <w:szCs w:val="28"/>
        </w:rPr>
        <w:t>虽然财政资金使用规范，但也还存在可用财力偏小，不能满足日益增长的纪检工作需要，资金支出的绩效评价还有待加强等问题。</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0" w:leftChars="0"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有关建议</w:t>
      </w:r>
    </w:p>
    <w:p>
      <w:pPr>
        <w:adjustRightInd w:val="0"/>
        <w:snapToGrid w:val="0"/>
        <w:spacing w:line="360" w:lineRule="auto"/>
        <w:ind w:firstLine="560" w:firstLineChars="200"/>
        <w:rPr>
          <w:rFonts w:ascii="Times New Roman" w:hAnsi="Times New Roman" w:eastAsia="黑体"/>
          <w:sz w:val="28"/>
          <w:szCs w:val="28"/>
        </w:rPr>
      </w:pPr>
      <w:r>
        <w:rPr>
          <w:rFonts w:hint="eastAsia" w:ascii="仿宋" w:hAnsi="仿宋" w:eastAsia="仿宋" w:cs="仿宋"/>
          <w:sz w:val="28"/>
          <w:szCs w:val="28"/>
        </w:rPr>
        <w:t>今后，我单位将完善预算绩效管理相关制度，加强项目管理，不断提高预算项目绩效目标设置的科学性，并加大绩效运行监控的力度，及时调整绩效目标设定的偏差，客观公正对绩效结果进行评价，对绩效结果出现的问题及时整改，切实提高项目预算资金的管理水平和能力。同时多措并举，增强对专项工作的经费支持。</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textAlignment w:val="baseline"/>
        <w:outlineLvl w:val="0"/>
        <w:rPr>
          <w:rFonts w:ascii="黑体" w:hAnsi="黑体" w:eastAsia="黑体" w:cs="黑体"/>
          <w:b/>
          <w:bCs/>
          <w:spacing w:val="-15"/>
          <w:sz w:val="31"/>
          <w:szCs w:val="31"/>
        </w:rPr>
      </w:pP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0" w:leftChars="0"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其他需要说明的问题</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firstLine="250" w:firstLineChars="100"/>
        <w:textAlignment w:val="baseline"/>
        <w:outlineLvl w:val="0"/>
        <w:rPr>
          <w:rFonts w:hint="eastAsia" w:ascii="仿宋" w:hAnsi="仿宋" w:eastAsia="仿宋" w:cs="仿宋"/>
          <w:b w:val="0"/>
          <w:bCs w:val="0"/>
          <w:spacing w:val="-15"/>
          <w:sz w:val="28"/>
          <w:szCs w:val="28"/>
          <w:lang w:eastAsia="zh-CN"/>
        </w:rPr>
      </w:pPr>
      <w:r>
        <w:rPr>
          <w:rFonts w:hint="eastAsia" w:ascii="仿宋" w:hAnsi="仿宋" w:eastAsia="仿宋" w:cs="仿宋"/>
          <w:b w:val="0"/>
          <w:bCs w:val="0"/>
          <w:spacing w:val="-15"/>
          <w:sz w:val="28"/>
          <w:szCs w:val="28"/>
          <w:lang w:eastAsia="zh-CN"/>
        </w:rPr>
        <w:t>无</w:t>
      </w: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adjustRightInd w:val="0"/>
        <w:snapToGrid w:val="0"/>
        <w:spacing w:line="360" w:lineRule="auto"/>
        <w:jc w:val="center"/>
        <w:rPr>
          <w:rFonts w:hint="eastAsia" w:ascii="华文中宋" w:hAnsi="华文中宋" w:eastAsia="华文中宋"/>
          <w:sz w:val="36"/>
        </w:rPr>
      </w:pPr>
    </w:p>
    <w:p>
      <w:pPr>
        <w:spacing w:before="201" w:line="578" w:lineRule="exact"/>
        <w:jc w:val="center"/>
        <w:rPr>
          <w:rFonts w:hint="eastAsia" w:ascii="Times New Roman" w:hAnsi="Times New Roman" w:eastAsia="宋体" w:cs="Times New Roman"/>
          <w:spacing w:val="15"/>
          <w:position w:val="10"/>
          <w:sz w:val="42"/>
          <w:szCs w:val="42"/>
          <w:lang w:val="en-US" w:eastAsia="zh-CN"/>
        </w:rPr>
      </w:pPr>
      <w:r>
        <w:rPr>
          <w:rFonts w:hint="eastAsia" w:ascii="Times New Roman" w:hAnsi="Times New Roman" w:eastAsia="宋体" w:cs="Times New Roman"/>
          <w:spacing w:val="15"/>
          <w:position w:val="10"/>
          <w:sz w:val="42"/>
          <w:szCs w:val="42"/>
          <w:lang w:val="en-US" w:eastAsia="zh-CN"/>
        </w:rPr>
        <w:t xml:space="preserve"> </w:t>
      </w:r>
    </w:p>
    <w:p>
      <w:pPr>
        <w:spacing w:before="201" w:line="578" w:lineRule="exact"/>
        <w:jc w:val="center"/>
        <w:rPr>
          <w:rFonts w:ascii="黑体" w:hAnsi="黑体" w:eastAsia="黑体" w:cs="黑体"/>
          <w:spacing w:val="15"/>
          <w:position w:val="10"/>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2</w:t>
      </w:r>
      <w:r>
        <w:rPr>
          <w:rFonts w:ascii="Times New Roman" w:hAnsi="Times New Roman" w:eastAsia="Times New Roman" w:cs="Times New Roman"/>
          <w:spacing w:val="41"/>
          <w:position w:val="10"/>
          <w:sz w:val="42"/>
          <w:szCs w:val="42"/>
        </w:rPr>
        <w:t xml:space="preserve"> </w:t>
      </w:r>
      <w:r>
        <w:rPr>
          <w:rFonts w:ascii="黑体" w:hAnsi="黑体" w:eastAsia="黑体" w:cs="黑体"/>
          <w:spacing w:val="15"/>
          <w:position w:val="10"/>
          <w:sz w:val="42"/>
          <w:szCs w:val="42"/>
        </w:rPr>
        <w:t>年度</w:t>
      </w:r>
      <w:r>
        <w:rPr>
          <w:rFonts w:hint="eastAsia" w:ascii="黑体" w:hAnsi="黑体" w:eastAsia="黑体" w:cs="黑体"/>
          <w:position w:val="10"/>
          <w:sz w:val="42"/>
          <w:szCs w:val="42"/>
          <w:lang w:eastAsia="zh-CN"/>
        </w:rPr>
        <w:t>市委机关后勤</w:t>
      </w:r>
      <w:r>
        <w:rPr>
          <w:rFonts w:ascii="黑体" w:hAnsi="黑体" w:eastAsia="黑体" w:cs="黑体"/>
          <w:spacing w:val="15"/>
          <w:position w:val="10"/>
          <w:sz w:val="42"/>
          <w:szCs w:val="42"/>
        </w:rPr>
        <w:t>项目支出</w:t>
      </w:r>
    </w:p>
    <w:p>
      <w:pPr>
        <w:spacing w:before="201" w:line="578" w:lineRule="exact"/>
        <w:jc w:val="center"/>
        <w:rPr>
          <w:rFonts w:ascii="黑体" w:hAnsi="黑体" w:eastAsia="黑体" w:cs="黑体"/>
          <w:sz w:val="42"/>
          <w:szCs w:val="42"/>
        </w:rPr>
      </w:pPr>
      <w:r>
        <w:rPr>
          <w:rFonts w:ascii="黑体" w:hAnsi="黑体" w:eastAsia="黑体" w:cs="黑体"/>
          <w:spacing w:val="10"/>
          <w:sz w:val="42"/>
          <w:szCs w:val="42"/>
        </w:rPr>
        <w:t>绩效自评报告</w:t>
      </w: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2"/>
        <w:spacing w:before="89" w:line="221" w:lineRule="auto"/>
        <w:ind w:firstLine="2260" w:firstLineChars="100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pPr>
        <w:pStyle w:val="2"/>
        <w:spacing w:before="289" w:line="610" w:lineRule="exact"/>
        <w:ind w:firstLine="3172" w:firstLineChars="1300"/>
        <w:rPr>
          <w:sz w:val="27"/>
          <w:szCs w:val="27"/>
        </w:rPr>
      </w:pPr>
      <w:r>
        <w:rPr>
          <w:rFonts w:hint="eastAsia"/>
          <w:spacing w:val="-13"/>
          <w:position w:val="26"/>
          <w:sz w:val="27"/>
          <w:szCs w:val="27"/>
          <w:lang w:val="en-US" w:eastAsia="zh-CN"/>
        </w:rPr>
        <w:t>2022</w:t>
      </w:r>
      <w:r>
        <w:rPr>
          <w:spacing w:val="-13"/>
          <w:position w:val="26"/>
          <w:sz w:val="27"/>
          <w:szCs w:val="27"/>
        </w:rPr>
        <w:t xml:space="preserve">年  </w:t>
      </w:r>
      <w:r>
        <w:rPr>
          <w:rFonts w:hint="eastAsia"/>
          <w:spacing w:val="-13"/>
          <w:position w:val="26"/>
          <w:sz w:val="27"/>
          <w:szCs w:val="27"/>
          <w:lang w:val="en-US" w:eastAsia="zh-CN"/>
        </w:rPr>
        <w:t>6</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2</w:t>
      </w:r>
      <w:r>
        <w:rPr>
          <w:spacing w:val="12"/>
          <w:position w:val="26"/>
          <w:sz w:val="27"/>
          <w:szCs w:val="27"/>
        </w:rPr>
        <w:t xml:space="preserve"> </w:t>
      </w:r>
      <w:r>
        <w:rPr>
          <w:spacing w:val="-13"/>
          <w:position w:val="26"/>
          <w:sz w:val="27"/>
          <w:szCs w:val="27"/>
        </w:rPr>
        <w:t>日</w:t>
      </w:r>
    </w:p>
    <w:p>
      <w:pPr>
        <w:spacing w:line="223" w:lineRule="auto"/>
        <w:rPr>
          <w:sz w:val="24"/>
          <w:szCs w:val="24"/>
        </w:rPr>
        <w:sectPr>
          <w:footerReference r:id="rId10" w:type="default"/>
          <w:pgSz w:w="11900" w:h="16820"/>
          <w:pgMar w:top="1429" w:right="1782" w:bottom="1158" w:left="1450" w:header="0" w:footer="850" w:gutter="0"/>
          <w:pgBorders>
            <w:top w:val="none" w:sz="0" w:space="0"/>
            <w:left w:val="none" w:sz="0" w:space="0"/>
            <w:bottom w:val="none" w:sz="0" w:space="0"/>
            <w:right w:val="none" w:sz="0" w:space="0"/>
          </w:pgBorders>
          <w:cols w:space="720" w:num="1"/>
        </w:sectPr>
      </w:pPr>
    </w:p>
    <w:p>
      <w:pPr>
        <w:adjustRightInd w:val="0"/>
        <w:snapToGrid w:val="0"/>
        <w:jc w:val="center"/>
        <w:rPr>
          <w:rFonts w:hint="eastAsia"/>
          <w:sz w:val="28"/>
        </w:rPr>
      </w:pPr>
      <w:r>
        <w:rPr>
          <w:rFonts w:ascii="黑体" w:hAnsi="黑体" w:eastAsia="黑体" w:cs="黑体"/>
          <w:b/>
          <w:bCs/>
          <w:spacing w:val="6"/>
          <w:sz w:val="42"/>
          <w:szCs w:val="42"/>
        </w:rPr>
        <w:t>项目支出绩效评价报告</w:t>
      </w:r>
    </w:p>
    <w:p>
      <w:pPr>
        <w:adjustRightInd w:val="0"/>
        <w:snapToGrid w:val="0"/>
        <w:jc w:val="center"/>
        <w:rPr>
          <w:rFonts w:hint="eastAsia"/>
          <w:sz w:val="28"/>
        </w:rPr>
      </w:pPr>
    </w:p>
    <w:p>
      <w:pPr>
        <w:adjustRightInd w:val="0"/>
        <w:snapToGrid w:val="0"/>
        <w:spacing w:line="360" w:lineRule="auto"/>
        <w:rPr>
          <w:rFonts w:hint="eastAsia" w:ascii="黑体" w:hAnsi="黑体" w:eastAsia="黑体" w:cs="黑体"/>
          <w:b/>
          <w:bCs/>
          <w:sz w:val="31"/>
          <w:szCs w:val="31"/>
        </w:rPr>
      </w:pPr>
      <w:r>
        <w:rPr>
          <w:rFonts w:hint="eastAsia" w:ascii="黑体" w:hAnsi="黑体" w:eastAsia="黑体" w:cs="黑体"/>
          <w:b/>
          <w:bCs/>
          <w:sz w:val="31"/>
          <w:szCs w:val="31"/>
        </w:rPr>
        <w:t>一、项目支出基本情况</w:t>
      </w:r>
    </w:p>
    <w:p>
      <w:pPr>
        <w:adjustRightInd w:val="0"/>
        <w:snapToGrid w:val="0"/>
        <w:spacing w:line="360" w:lineRule="auto"/>
        <w:rPr>
          <w:rFonts w:hint="eastAsia" w:ascii="黑体" w:hAnsi="黑体" w:eastAsia="黑体" w:cs="黑体"/>
          <w:b/>
          <w:bCs/>
          <w:sz w:val="31"/>
          <w:szCs w:val="31"/>
        </w:rPr>
      </w:pPr>
      <w:r>
        <w:rPr>
          <w:rFonts w:hint="eastAsia" w:ascii="黑体" w:hAnsi="黑体" w:eastAsia="黑体" w:cs="黑体"/>
          <w:b/>
          <w:bCs/>
          <w:sz w:val="31"/>
          <w:szCs w:val="31"/>
        </w:rPr>
        <w:t>（一）项目支出概况</w:t>
      </w:r>
    </w:p>
    <w:p>
      <w:pPr>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为保障机关后勤工作正常开展，202</w:t>
      </w:r>
      <w:r>
        <w:rPr>
          <w:rFonts w:hint="eastAsia" w:ascii="仿宋" w:hAnsi="仿宋" w:eastAsia="仿宋" w:cs="仿宋"/>
          <w:sz w:val="28"/>
          <w:szCs w:val="28"/>
          <w:lang w:val="en-US" w:eastAsia="zh-CN"/>
        </w:rPr>
        <w:t>2</w:t>
      </w:r>
      <w:r>
        <w:rPr>
          <w:rFonts w:hint="eastAsia" w:ascii="仿宋" w:hAnsi="仿宋" w:eastAsia="仿宋" w:cs="仿宋"/>
          <w:sz w:val="28"/>
          <w:szCs w:val="28"/>
        </w:rPr>
        <w:t>年度市委机关后勤专项年初预算60万元，专项用于市委机关大院食堂综合管理、非汨罗籍异地市级领导履职期间食宿管理及周转房公共基础设施和住房修缮维护管理；制定并组织实施有关管理规章制度；市委机关17家单位近</w:t>
      </w:r>
      <w:r>
        <w:rPr>
          <w:rFonts w:hint="eastAsia" w:ascii="仿宋" w:hAnsi="仿宋" w:eastAsia="仿宋" w:cs="仿宋"/>
          <w:sz w:val="28"/>
          <w:szCs w:val="28"/>
          <w:lang w:val="en-US" w:eastAsia="zh-CN"/>
        </w:rPr>
        <w:t>400</w:t>
      </w:r>
      <w:r>
        <w:rPr>
          <w:rFonts w:hint="eastAsia" w:ascii="仿宋" w:hAnsi="仿宋" w:eastAsia="仿宋" w:cs="仿宋"/>
          <w:sz w:val="28"/>
          <w:szCs w:val="28"/>
        </w:rPr>
        <w:t>多人的工作用餐等；为就餐人员提供舒适的就餐环境和干净、卫生、健康的食材。保障机关后勤正常运转等。</w:t>
      </w:r>
    </w:p>
    <w:p>
      <w:pPr>
        <w:adjustRightInd w:val="0"/>
        <w:snapToGrid w:val="0"/>
        <w:spacing w:line="360" w:lineRule="auto"/>
        <w:rPr>
          <w:rFonts w:hint="eastAsia" w:ascii="黑体" w:hAnsi="黑体" w:eastAsia="黑体" w:cs="黑体"/>
          <w:sz w:val="31"/>
          <w:szCs w:val="31"/>
        </w:rPr>
      </w:pPr>
      <w:r>
        <w:rPr>
          <w:rFonts w:hint="eastAsia" w:ascii="黑体" w:hAnsi="黑体" w:eastAsia="黑体" w:cs="黑体"/>
          <w:b/>
          <w:bCs/>
          <w:sz w:val="31"/>
          <w:szCs w:val="31"/>
        </w:rPr>
        <w:t>（二）项目资金使用管理情况</w:t>
      </w:r>
    </w:p>
    <w:p>
      <w:pPr>
        <w:adjustRightInd w:val="0"/>
        <w:snapToGrid w:val="0"/>
        <w:spacing w:line="360" w:lineRule="auto"/>
        <w:ind w:firstLine="560" w:firstLineChars="200"/>
        <w:jc w:val="left"/>
        <w:rPr>
          <w:rFonts w:ascii="Times New Roman" w:hAnsi="Times New Roman"/>
          <w:sz w:val="28"/>
          <w:szCs w:val="28"/>
        </w:rPr>
      </w:pPr>
      <w:r>
        <w:rPr>
          <w:rFonts w:hint="eastAsia" w:ascii="仿宋" w:hAnsi="仿宋" w:eastAsia="仿宋" w:cs="仿宋"/>
          <w:sz w:val="28"/>
          <w:szCs w:val="28"/>
        </w:rPr>
        <w:t>202</w:t>
      </w:r>
      <w:r>
        <w:rPr>
          <w:rFonts w:hint="eastAsia" w:ascii="仿宋" w:hAnsi="仿宋" w:eastAsia="仿宋" w:cs="仿宋"/>
          <w:sz w:val="28"/>
          <w:szCs w:val="28"/>
          <w:lang w:val="en-US" w:eastAsia="zh-CN"/>
        </w:rPr>
        <w:t>2</w:t>
      </w:r>
      <w:r>
        <w:rPr>
          <w:rFonts w:hint="eastAsia" w:ascii="仿宋" w:hAnsi="仿宋" w:eastAsia="仿宋" w:cs="仿宋"/>
          <w:sz w:val="28"/>
          <w:szCs w:val="28"/>
        </w:rPr>
        <w:t>年度市委机关后勤经费共支出</w:t>
      </w:r>
      <w:r>
        <w:rPr>
          <w:rFonts w:hint="eastAsia" w:ascii="仿宋" w:hAnsi="仿宋" w:eastAsia="仿宋" w:cs="仿宋"/>
          <w:sz w:val="28"/>
          <w:szCs w:val="28"/>
          <w:lang w:val="en-US" w:eastAsia="zh-CN"/>
        </w:rPr>
        <w:t>214.3</w:t>
      </w:r>
      <w:r>
        <w:rPr>
          <w:rFonts w:hint="eastAsia" w:ascii="仿宋" w:hAnsi="仿宋" w:eastAsia="仿宋" w:cs="仿宋"/>
          <w:sz w:val="28"/>
          <w:szCs w:val="28"/>
        </w:rPr>
        <w:t xml:space="preserve">万元。主要用于：确保大院工作人员工作日的早、中两餐就餐工作，优化食堂区域用餐环境，力求卫生，舒适；确保就餐人员食材质量，保证各部门单位人员用餐愉快，工作有序进行；负责食堂用具、餐具卫生；设施设备维护到位，确保用餐安全，改善用餐环境，提高工作效率。追加经费的主要原因是新增食堂1个、就餐人员增加，成本相应增加，年初未纳入预算。在使用专项资金时，严格执行专项资金使用制度和财务制度，同时对各项专项资金的使用流程进行监督，定时查看财务表报检查专项资金使用情况。             </w:t>
      </w:r>
      <w:r>
        <w:rPr>
          <w:rFonts w:hint="eastAsia" w:ascii="Times New Roman" w:hAnsi="Times New Roman"/>
          <w:sz w:val="28"/>
          <w:szCs w:val="28"/>
        </w:rPr>
        <w:t xml:space="preserve">                                   </w:t>
      </w:r>
    </w:p>
    <w:p>
      <w:pPr>
        <w:adjustRightInd w:val="0"/>
        <w:snapToGrid w:val="0"/>
        <w:spacing w:line="360" w:lineRule="auto"/>
        <w:rPr>
          <w:rFonts w:hint="eastAsia" w:ascii="黑体" w:hAnsi="黑体" w:eastAsia="黑体" w:cs="黑体"/>
          <w:b/>
          <w:bCs/>
          <w:sz w:val="31"/>
          <w:szCs w:val="31"/>
        </w:rPr>
      </w:pPr>
      <w:r>
        <w:rPr>
          <w:rFonts w:hint="eastAsia" w:ascii="黑体" w:hAnsi="黑体" w:eastAsia="黑体" w:cs="黑体"/>
          <w:b/>
          <w:bCs/>
          <w:sz w:val="31"/>
          <w:szCs w:val="31"/>
        </w:rPr>
        <w:t>（三）项目支出绩效目标完成程度</w:t>
      </w:r>
    </w:p>
    <w:p>
      <w:pPr>
        <w:adjustRightInd w:val="0"/>
        <w:snapToGrid w:val="0"/>
        <w:spacing w:line="360" w:lineRule="auto"/>
        <w:ind w:firstLine="560" w:firstLineChars="200"/>
        <w:rPr>
          <w:rFonts w:ascii="宋体" w:hAnsi="宋体"/>
          <w:sz w:val="28"/>
          <w:szCs w:val="28"/>
        </w:rPr>
      </w:pPr>
      <w:r>
        <w:rPr>
          <w:rFonts w:hint="eastAsia" w:ascii="仿宋" w:hAnsi="仿宋" w:eastAsia="仿宋" w:cs="仿宋"/>
          <w:sz w:val="28"/>
          <w:szCs w:val="28"/>
        </w:rPr>
        <w:t>202</w:t>
      </w:r>
      <w:r>
        <w:rPr>
          <w:rFonts w:hint="eastAsia" w:ascii="仿宋" w:hAnsi="仿宋" w:eastAsia="仿宋" w:cs="仿宋"/>
          <w:sz w:val="28"/>
          <w:szCs w:val="28"/>
          <w:lang w:val="en-US" w:eastAsia="zh-CN"/>
        </w:rPr>
        <w:t>2</w:t>
      </w:r>
      <w:r>
        <w:rPr>
          <w:rFonts w:hint="eastAsia" w:ascii="仿宋" w:hAnsi="仿宋" w:eastAsia="仿宋" w:cs="仿宋"/>
          <w:sz w:val="28"/>
          <w:szCs w:val="28"/>
        </w:rPr>
        <w:t>年</w:t>
      </w:r>
      <w:r>
        <w:rPr>
          <w:rFonts w:hint="eastAsia" w:ascii="仿宋" w:hAnsi="仿宋" w:eastAsia="仿宋" w:cs="仿宋"/>
          <w:sz w:val="28"/>
          <w:szCs w:val="28"/>
          <w:lang w:eastAsia="zh-CN"/>
        </w:rPr>
        <w:t>度</w:t>
      </w:r>
      <w:r>
        <w:rPr>
          <w:rFonts w:hint="eastAsia" w:ascii="仿宋" w:hAnsi="仿宋" w:eastAsia="仿宋" w:cs="仿宋"/>
          <w:sz w:val="28"/>
          <w:szCs w:val="28"/>
        </w:rPr>
        <w:t xml:space="preserve">本项目安排分管领导，按专项资金的用途专款专用，达到预期指标。产出指标、效益指标、满意度指标均达到预期指标。完成情况良好。 </w:t>
      </w:r>
      <w:r>
        <w:rPr>
          <w:rFonts w:ascii="Times New Roman" w:hAnsi="Times New Roman"/>
          <w:sz w:val="28"/>
          <w:szCs w:val="28"/>
        </w:rPr>
        <w:t xml:space="preserve"> </w:t>
      </w:r>
    </w:p>
    <w:p>
      <w:pPr>
        <w:adjustRightInd w:val="0"/>
        <w:snapToGrid w:val="0"/>
        <w:spacing w:line="360" w:lineRule="auto"/>
        <w:rPr>
          <w:rFonts w:hint="eastAsia" w:ascii="Times New Roman" w:hAnsi="黑体" w:eastAsia="黑体"/>
          <w:sz w:val="28"/>
          <w:szCs w:val="28"/>
        </w:rPr>
      </w:pPr>
      <w:r>
        <w:rPr>
          <w:rFonts w:ascii="Times New Roman" w:hAnsi="黑体" w:eastAsia="黑体"/>
          <w:b/>
          <w:bCs/>
          <w:sz w:val="31"/>
          <w:szCs w:val="31"/>
        </w:rPr>
        <w:t>二、绩效评价工作情况</w:t>
      </w:r>
    </w:p>
    <w:p>
      <w:pPr>
        <w:adjustRightInd w:val="0"/>
        <w:snapToGrid w:val="0"/>
        <w:spacing w:line="360" w:lineRule="auto"/>
        <w:rPr>
          <w:rFonts w:ascii="宋体" w:hAnsi="宋体"/>
          <w:sz w:val="28"/>
          <w:szCs w:val="28"/>
        </w:rPr>
      </w:pPr>
      <w:r>
        <w:rPr>
          <w:rFonts w:hint="eastAsia" w:ascii="Times New Roman" w:hAnsi="Times New Roman" w:eastAsia="黑体"/>
          <w:sz w:val="28"/>
          <w:szCs w:val="28"/>
        </w:rPr>
        <w:t xml:space="preserve"> </w:t>
      </w:r>
      <w:r>
        <w:rPr>
          <w:rFonts w:hint="eastAsia" w:ascii="宋体" w:hAnsi="宋体"/>
          <w:sz w:val="28"/>
          <w:szCs w:val="28"/>
        </w:rPr>
        <w:t xml:space="preserve">   </w:t>
      </w:r>
      <w:r>
        <w:rPr>
          <w:rFonts w:hint="eastAsia" w:ascii="仿宋" w:hAnsi="仿宋" w:eastAsia="仿宋" w:cs="仿宋"/>
          <w:sz w:val="28"/>
          <w:szCs w:val="28"/>
        </w:rPr>
        <w:t>该项目汨罗市财政编制预算，项目资金60万元，该项目实际支出</w:t>
      </w:r>
      <w:r>
        <w:rPr>
          <w:rFonts w:hint="eastAsia" w:ascii="仿宋" w:hAnsi="仿宋" w:eastAsia="仿宋" w:cs="仿宋"/>
          <w:sz w:val="28"/>
          <w:szCs w:val="28"/>
          <w:lang w:val="en-US" w:eastAsia="zh-CN"/>
        </w:rPr>
        <w:t>214.3</w:t>
      </w:r>
      <w:r>
        <w:rPr>
          <w:rFonts w:hint="eastAsia" w:ascii="仿宋" w:hAnsi="仿宋" w:eastAsia="仿宋" w:cs="仿宋"/>
          <w:sz w:val="28"/>
          <w:szCs w:val="28"/>
        </w:rPr>
        <w:t>万元，主要是负责机关后勤食堂基础设施管理，为机关工作人员创造良好的用餐环境，能更好的为人民群众服务。</w:t>
      </w:r>
    </w:p>
    <w:p>
      <w:pPr>
        <w:adjustRightInd w:val="0"/>
        <w:snapToGrid w:val="0"/>
        <w:spacing w:line="360" w:lineRule="auto"/>
        <w:rPr>
          <w:rFonts w:ascii="Times New Roman" w:hAnsi="Times New Roman" w:eastAsia="黑体"/>
          <w:sz w:val="28"/>
          <w:szCs w:val="28"/>
        </w:rPr>
      </w:pPr>
      <w:r>
        <w:rPr>
          <w:rFonts w:ascii="Times New Roman" w:hAnsi="黑体" w:eastAsia="黑体"/>
          <w:b/>
          <w:bCs/>
          <w:sz w:val="31"/>
          <w:szCs w:val="31"/>
        </w:rPr>
        <w:t>三、项目支出主要绩效及评价结论</w:t>
      </w:r>
    </w:p>
    <w:p>
      <w:pPr>
        <w:adjustRightInd w:val="0"/>
        <w:snapToGrid w:val="0"/>
        <w:spacing w:line="360" w:lineRule="auto"/>
        <w:jc w:val="left"/>
        <w:rPr>
          <w:rFonts w:hint="eastAsia" w:ascii="Times New Roman" w:hAnsi="Times New Roman"/>
          <w:sz w:val="28"/>
          <w:szCs w:val="28"/>
        </w:rPr>
      </w:pPr>
      <w:r>
        <w:rPr>
          <w:rFonts w:hint="eastAsia" w:ascii="仿宋" w:hAnsi="仿宋" w:eastAsia="仿宋" w:cs="仿宋"/>
          <w:sz w:val="28"/>
          <w:szCs w:val="28"/>
        </w:rPr>
        <w:t>1、食堂综合管理工作达到预期目标；                                                                                       2、非汨罗籍异地领导履职期间生活得到保障，管理有序；                                                                                                                                                3、保证市委机关食堂的用餐环境安全、卫生、消防、食材健康、味道可口等后勤保障工作。</w:t>
      </w:r>
    </w:p>
    <w:p>
      <w:pPr>
        <w:adjustRightInd w:val="0"/>
        <w:snapToGrid w:val="0"/>
        <w:spacing w:line="360" w:lineRule="auto"/>
        <w:rPr>
          <w:rFonts w:ascii="Times New Roman" w:hAnsi="Times New Roman" w:eastAsia="黑体"/>
          <w:b/>
          <w:bCs/>
          <w:sz w:val="31"/>
          <w:szCs w:val="31"/>
        </w:rPr>
      </w:pPr>
      <w:r>
        <w:rPr>
          <w:rFonts w:ascii="Times New Roman" w:hAnsi="黑体" w:eastAsia="黑体"/>
          <w:b/>
          <w:bCs/>
          <w:sz w:val="31"/>
          <w:szCs w:val="31"/>
        </w:rPr>
        <w:t>四、绩效评价指标分析</w:t>
      </w:r>
    </w:p>
    <w:p>
      <w:pPr>
        <w:widowControl/>
        <w:adjustRightInd w:val="0"/>
        <w:snapToGrid w:val="0"/>
        <w:spacing w:line="360" w:lineRule="auto"/>
        <w:rPr>
          <w:rFonts w:hint="eastAsia" w:ascii="仿宋" w:hAnsi="仿宋" w:eastAsia="仿宋" w:cs="仿宋"/>
          <w:sz w:val="28"/>
          <w:szCs w:val="28"/>
        </w:rPr>
      </w:pPr>
      <w:r>
        <w:rPr>
          <w:rFonts w:hint="eastAsia" w:ascii="仿宋" w:hAnsi="仿宋" w:eastAsia="仿宋" w:cs="仿宋"/>
          <w:sz w:val="28"/>
          <w:szCs w:val="28"/>
        </w:rPr>
        <w:t>（一）项目支出决策情况。</w:t>
      </w:r>
    </w:p>
    <w:p>
      <w:pPr>
        <w:widowControl/>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在项目资金的申报、批复及预算调整上，我们严格按程序办理，资金申报上，严格报送审批程序，保证并监管资金落实。</w:t>
      </w:r>
    </w:p>
    <w:p>
      <w:pPr>
        <w:widowControl/>
        <w:adjustRightInd w:val="0"/>
        <w:snapToGrid w:val="0"/>
        <w:spacing w:line="360" w:lineRule="auto"/>
        <w:rPr>
          <w:rFonts w:hint="eastAsia" w:ascii="仿宋" w:hAnsi="仿宋" w:eastAsia="仿宋" w:cs="仿宋"/>
          <w:sz w:val="28"/>
          <w:szCs w:val="28"/>
        </w:rPr>
      </w:pPr>
      <w:r>
        <w:rPr>
          <w:rFonts w:hint="eastAsia" w:ascii="仿宋" w:hAnsi="仿宋" w:eastAsia="仿宋" w:cs="仿宋"/>
          <w:sz w:val="28"/>
          <w:szCs w:val="28"/>
        </w:rPr>
        <w:t>（二）项目执行过程情况。</w:t>
      </w:r>
    </w:p>
    <w:p>
      <w:pPr>
        <w:widowControl/>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严格督促项目实施和资金使用，切实发挥好财政资金使用效益，专款专用，没有存在挪用或超范围开支的情况，确保财政资金使用依法、规范、安全、高效。在财务管理上，严格按照要求进行资金分配支出，会计核算规范。</w:t>
      </w:r>
    </w:p>
    <w:p>
      <w:pPr>
        <w:widowControl/>
        <w:adjustRightInd w:val="0"/>
        <w:snapToGrid w:val="0"/>
        <w:spacing w:line="360" w:lineRule="auto"/>
        <w:rPr>
          <w:rFonts w:hint="eastAsia" w:ascii="仿宋" w:hAnsi="仿宋" w:eastAsia="仿宋" w:cs="仿宋"/>
          <w:sz w:val="28"/>
          <w:szCs w:val="28"/>
        </w:rPr>
      </w:pPr>
      <w:r>
        <w:rPr>
          <w:rFonts w:hint="eastAsia" w:ascii="仿宋" w:hAnsi="仿宋" w:eastAsia="仿宋" w:cs="仿宋"/>
          <w:sz w:val="28"/>
          <w:szCs w:val="28"/>
        </w:rPr>
        <w:t>（三）项目支出产出情况。</w:t>
      </w:r>
    </w:p>
    <w:p>
      <w:pPr>
        <w:widowControl/>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根据每月实际需求申报计划并及时到位，该项目严格按照相关财务制度执行，完成了目标任务。</w:t>
      </w:r>
    </w:p>
    <w:p>
      <w:pPr>
        <w:widowControl/>
        <w:adjustRightInd w:val="0"/>
        <w:snapToGrid w:val="0"/>
        <w:spacing w:line="360" w:lineRule="auto"/>
        <w:rPr>
          <w:rFonts w:hint="eastAsia" w:ascii="仿宋" w:hAnsi="仿宋" w:eastAsia="仿宋" w:cs="仿宋"/>
          <w:sz w:val="28"/>
          <w:szCs w:val="28"/>
        </w:rPr>
      </w:pPr>
      <w:r>
        <w:rPr>
          <w:rFonts w:hint="eastAsia" w:ascii="仿宋" w:hAnsi="仿宋" w:eastAsia="仿宋" w:cs="仿宋"/>
          <w:sz w:val="28"/>
          <w:szCs w:val="28"/>
        </w:rPr>
        <w:t>（四）项目支出效益情况。</w:t>
      </w:r>
    </w:p>
    <w:p>
      <w:pPr>
        <w:widowControl/>
        <w:adjustRightInd w:val="0"/>
        <w:snapToGrid w:val="0"/>
        <w:spacing w:line="360" w:lineRule="auto"/>
        <w:ind w:firstLine="560" w:firstLineChars="200"/>
        <w:rPr>
          <w:rFonts w:ascii="Times New Roman" w:hAnsi="Times New Roman"/>
          <w:sz w:val="28"/>
          <w:szCs w:val="28"/>
        </w:rPr>
      </w:pPr>
      <w:r>
        <w:rPr>
          <w:rFonts w:hint="eastAsia" w:ascii="仿宋" w:hAnsi="仿宋" w:eastAsia="仿宋" w:cs="仿宋"/>
          <w:sz w:val="28"/>
          <w:szCs w:val="28"/>
        </w:rPr>
        <w:t>全面工作从严、从紧，专项资金落实到位，充分发挥了监督保障执行、促进完善发展作用，工作质量进一步得到提升。</w:t>
      </w:r>
    </w:p>
    <w:p>
      <w:pPr>
        <w:adjustRightInd w:val="0"/>
        <w:snapToGrid w:val="0"/>
        <w:spacing w:line="360" w:lineRule="auto"/>
        <w:rPr>
          <w:rFonts w:ascii="Times New Roman" w:hAnsi="Times New Roman" w:eastAsia="黑体"/>
          <w:b/>
          <w:bCs/>
          <w:sz w:val="31"/>
          <w:szCs w:val="31"/>
        </w:rPr>
      </w:pPr>
      <w:r>
        <w:rPr>
          <w:rFonts w:ascii="Times New Roman" w:hAnsi="黑体" w:eastAsia="黑体"/>
          <w:b/>
          <w:bCs/>
          <w:sz w:val="31"/>
          <w:szCs w:val="31"/>
        </w:rPr>
        <w:t>五、主要经验及做法、存在的问题及原因分析</w:t>
      </w:r>
    </w:p>
    <w:p>
      <w:pPr>
        <w:adjustRightInd w:val="0"/>
        <w:snapToGrid w:val="0"/>
        <w:spacing w:line="360" w:lineRule="auto"/>
        <w:ind w:firstLine="560" w:firstLineChars="200"/>
        <w:rPr>
          <w:rFonts w:ascii="Times New Roman" w:hAnsi="Times New Roman"/>
          <w:sz w:val="28"/>
          <w:szCs w:val="28"/>
        </w:rPr>
      </w:pPr>
      <w:r>
        <w:rPr>
          <w:rFonts w:hint="eastAsia" w:ascii="仿宋" w:hAnsi="仿宋" w:eastAsia="仿宋" w:cs="仿宋"/>
          <w:sz w:val="28"/>
          <w:szCs w:val="28"/>
        </w:rPr>
        <w:t>虽然财政资金使用规范，但也还存在可用财力偏小，不能满足日益增长的后勤工作需要，资金支出的绩效评价还有待加强等问题。</w:t>
      </w:r>
    </w:p>
    <w:p>
      <w:pPr>
        <w:adjustRightInd w:val="0"/>
        <w:snapToGrid w:val="0"/>
        <w:spacing w:line="360" w:lineRule="auto"/>
        <w:rPr>
          <w:rFonts w:ascii="Times New Roman" w:hAnsi="Times New Roman" w:eastAsia="黑体"/>
          <w:sz w:val="28"/>
          <w:szCs w:val="28"/>
        </w:rPr>
      </w:pPr>
      <w:r>
        <w:rPr>
          <w:rFonts w:ascii="Times New Roman" w:hAnsi="黑体" w:eastAsia="黑体"/>
          <w:b/>
          <w:bCs/>
          <w:sz w:val="31"/>
          <w:szCs w:val="31"/>
        </w:rPr>
        <w:t>六、有关建议</w:t>
      </w:r>
    </w:p>
    <w:p>
      <w:pPr>
        <w:adjustRightInd w:val="0"/>
        <w:snapToGrid w:val="0"/>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今后，我单位将完善预算绩效管理相关制度，加强项目管理，不断提高预算项目绩效目标设置的科学性，并加大绩效运行监控的力度，及时调整绩效目标设定的偏差，客观公正对绩效结果进行评价，对绩效结果出现的问题及时整改，切实提高项目预算资金的管理水平和能力。同时多措并举，增强对专项工作的经费支持。</w:t>
      </w:r>
    </w:p>
    <w:p>
      <w:pPr>
        <w:adjustRightInd w:val="0"/>
        <w:snapToGrid w:val="0"/>
        <w:spacing w:line="360" w:lineRule="auto"/>
        <w:rPr>
          <w:rFonts w:ascii="Times New Roman" w:hAnsi="Times New Roman"/>
          <w:b/>
          <w:bCs/>
          <w:sz w:val="31"/>
          <w:szCs w:val="31"/>
        </w:rPr>
      </w:pPr>
      <w:r>
        <w:rPr>
          <w:rFonts w:ascii="Times New Roman" w:hAnsi="黑体" w:eastAsia="黑体"/>
          <w:b/>
          <w:bCs/>
          <w:sz w:val="31"/>
          <w:szCs w:val="31"/>
        </w:rPr>
        <w:t>七、其他需要说明的情况</w:t>
      </w:r>
    </w:p>
    <w:p>
      <w:pPr>
        <w:adjustRightInd w:val="0"/>
        <w:snapToGrid w:val="0"/>
        <w:spacing w:line="360" w:lineRule="auto"/>
        <w:rPr>
          <w:rFonts w:ascii="Times New Roman" w:hAnsi="Times New Roman"/>
          <w:sz w:val="28"/>
          <w:szCs w:val="28"/>
        </w:rPr>
      </w:pPr>
      <w:r>
        <w:rPr>
          <w:rFonts w:ascii="Times New Roman" w:hAnsi="宋体"/>
          <w:sz w:val="28"/>
          <w:szCs w:val="28"/>
        </w:rPr>
        <w:t>无。</w:t>
      </w:r>
    </w:p>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firstLine="250" w:firstLineChars="100"/>
        <w:textAlignment w:val="baseline"/>
        <w:outlineLvl w:val="0"/>
        <w:rPr>
          <w:rFonts w:hint="eastAsia" w:ascii="仿宋" w:hAnsi="仿宋" w:eastAsia="仿宋" w:cs="仿宋"/>
          <w:b w:val="0"/>
          <w:bCs w:val="0"/>
          <w:spacing w:val="-15"/>
          <w:sz w:val="28"/>
          <w:szCs w:val="28"/>
          <w:lang w:eastAsia="zh-CN"/>
        </w:rPr>
      </w:pPr>
    </w:p>
    <w:sectPr>
      <w:footerReference r:id="rId11" w:type="default"/>
      <w:pgSz w:w="11900" w:h="16820"/>
      <w:pgMar w:top="1755" w:right="1227" w:bottom="1485" w:left="1011" w:header="0" w:footer="919" w:gutter="0"/>
      <w:pgBorders>
        <w:top w:val="none" w:sz="0" w:space="0"/>
        <w:left w:val="none" w:sz="0" w:space="0"/>
        <w:bottom w:val="none" w:sz="0" w:space="0"/>
        <w:right w:val="none" w:sz="0" w:space="0"/>
      </w:pgBorders>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sz w:val="28"/>
            <w:szCs w:val="28"/>
          </w:rPr>
        </w:pPr>
      </w:p>
    </w:sdtContent>
  </w:sdt>
  <w:p>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rPr>
        </w:pPr>
      </w:p>
    </w:sdtContent>
  </w:sdt>
  <w:p>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rPr>
        </w:pPr>
      </w:p>
    </w:sdtContent>
  </w:sdt>
  <w:p>
    <w:pPr>
      <w:spacing w:line="14" w:lineRule="auto"/>
      <w:jc w:val="left"/>
      <w:rPr>
        <w:kern w:val="0"/>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77" w:lineRule="auto"/>
      <w:jc w:val="right"/>
      <w:rPr>
        <w:rFonts w:ascii="宋体" w:hAnsi="宋体" w:eastAsia="宋体" w:cs="宋体"/>
        <w:sz w:val="31"/>
        <w:szCs w:val="31"/>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77" w:lineRule="auto"/>
      <w:jc w:val="right"/>
      <w:rPr>
        <w:rFonts w:ascii="宋体" w:hAnsi="宋体" w:eastAsia="宋体" w:cs="宋体"/>
        <w:sz w:val="31"/>
        <w:szCs w:val="31"/>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C1C782"/>
    <w:multiLevelType w:val="singleLevel"/>
    <w:tmpl w:val="CEC1C782"/>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MTkyNDBiZjVmYTk5ZGI3ZWVhOTNjOWFkZDM3MDliYzMifQ=="/>
  </w:docVars>
  <w:rsids>
    <w:rsidRoot w:val="00000000"/>
    <w:rsid w:val="004672B9"/>
    <w:rsid w:val="004D399E"/>
    <w:rsid w:val="01AA4EBD"/>
    <w:rsid w:val="01AF3811"/>
    <w:rsid w:val="02E01C47"/>
    <w:rsid w:val="03795BF7"/>
    <w:rsid w:val="046643CE"/>
    <w:rsid w:val="05AA2098"/>
    <w:rsid w:val="067F3525"/>
    <w:rsid w:val="06DF0467"/>
    <w:rsid w:val="070904EB"/>
    <w:rsid w:val="07373DFF"/>
    <w:rsid w:val="07866B35"/>
    <w:rsid w:val="07B2792A"/>
    <w:rsid w:val="086E756B"/>
    <w:rsid w:val="099E402C"/>
    <w:rsid w:val="0A6424AA"/>
    <w:rsid w:val="0ACF37E5"/>
    <w:rsid w:val="0B400BC6"/>
    <w:rsid w:val="0C085DFE"/>
    <w:rsid w:val="0D7E4232"/>
    <w:rsid w:val="0DA76AE3"/>
    <w:rsid w:val="0E1E3623"/>
    <w:rsid w:val="0E372937"/>
    <w:rsid w:val="0E68228D"/>
    <w:rsid w:val="0EC0292C"/>
    <w:rsid w:val="0F12246C"/>
    <w:rsid w:val="10492F35"/>
    <w:rsid w:val="1182211B"/>
    <w:rsid w:val="1193560C"/>
    <w:rsid w:val="126161D4"/>
    <w:rsid w:val="147C5547"/>
    <w:rsid w:val="149153E2"/>
    <w:rsid w:val="14AE6E7B"/>
    <w:rsid w:val="14C94E93"/>
    <w:rsid w:val="14D21B18"/>
    <w:rsid w:val="15001CD4"/>
    <w:rsid w:val="15276E52"/>
    <w:rsid w:val="16002EE4"/>
    <w:rsid w:val="17D80CE7"/>
    <w:rsid w:val="18273A1C"/>
    <w:rsid w:val="186C1971"/>
    <w:rsid w:val="18932E60"/>
    <w:rsid w:val="18A719A5"/>
    <w:rsid w:val="190B50EC"/>
    <w:rsid w:val="19D32FBC"/>
    <w:rsid w:val="1A310B82"/>
    <w:rsid w:val="1B586C8A"/>
    <w:rsid w:val="1C546BFA"/>
    <w:rsid w:val="1C6336CC"/>
    <w:rsid w:val="1CD31A7D"/>
    <w:rsid w:val="1CD54D7E"/>
    <w:rsid w:val="1D61177E"/>
    <w:rsid w:val="1DCB2B0D"/>
    <w:rsid w:val="1E6A4395"/>
    <w:rsid w:val="1E8F40C9"/>
    <w:rsid w:val="1F840DBD"/>
    <w:rsid w:val="205312D3"/>
    <w:rsid w:val="216F781C"/>
    <w:rsid w:val="217C26E3"/>
    <w:rsid w:val="224B0307"/>
    <w:rsid w:val="23F76998"/>
    <w:rsid w:val="24975A86"/>
    <w:rsid w:val="24A02316"/>
    <w:rsid w:val="24FE5B05"/>
    <w:rsid w:val="25557A3D"/>
    <w:rsid w:val="259D34DF"/>
    <w:rsid w:val="26EA5ED7"/>
    <w:rsid w:val="277F76C0"/>
    <w:rsid w:val="27A93B82"/>
    <w:rsid w:val="27DA3E3C"/>
    <w:rsid w:val="29062065"/>
    <w:rsid w:val="296A5E3B"/>
    <w:rsid w:val="297840D8"/>
    <w:rsid w:val="2ACD3FAF"/>
    <w:rsid w:val="2AE00186"/>
    <w:rsid w:val="2B885423"/>
    <w:rsid w:val="2C154F49"/>
    <w:rsid w:val="2C2C73FB"/>
    <w:rsid w:val="2CA70830"/>
    <w:rsid w:val="2CEE4AB3"/>
    <w:rsid w:val="2D016192"/>
    <w:rsid w:val="2E294B65"/>
    <w:rsid w:val="2E725599"/>
    <w:rsid w:val="2EC67693"/>
    <w:rsid w:val="2F580FA7"/>
    <w:rsid w:val="2FEB2422"/>
    <w:rsid w:val="308216BE"/>
    <w:rsid w:val="319A0963"/>
    <w:rsid w:val="330E4916"/>
    <w:rsid w:val="332C1A8F"/>
    <w:rsid w:val="332F0D60"/>
    <w:rsid w:val="3330051F"/>
    <w:rsid w:val="345B182B"/>
    <w:rsid w:val="34FE1149"/>
    <w:rsid w:val="36F672B5"/>
    <w:rsid w:val="36F80606"/>
    <w:rsid w:val="36FF7BE6"/>
    <w:rsid w:val="37841460"/>
    <w:rsid w:val="384B29B7"/>
    <w:rsid w:val="390908A8"/>
    <w:rsid w:val="396A4E75"/>
    <w:rsid w:val="399176FB"/>
    <w:rsid w:val="3A550786"/>
    <w:rsid w:val="3AAD7959"/>
    <w:rsid w:val="3B71757E"/>
    <w:rsid w:val="3B7A130F"/>
    <w:rsid w:val="3B8F15CF"/>
    <w:rsid w:val="3B9C3C56"/>
    <w:rsid w:val="3D401B59"/>
    <w:rsid w:val="3DB64D77"/>
    <w:rsid w:val="3DEE26E2"/>
    <w:rsid w:val="3E2B12C1"/>
    <w:rsid w:val="3EA8452D"/>
    <w:rsid w:val="3EDF5228"/>
    <w:rsid w:val="3FAE03FB"/>
    <w:rsid w:val="409B1887"/>
    <w:rsid w:val="40D551E1"/>
    <w:rsid w:val="468D14EC"/>
    <w:rsid w:val="47507F59"/>
    <w:rsid w:val="481B5F01"/>
    <w:rsid w:val="488241D3"/>
    <w:rsid w:val="49311755"/>
    <w:rsid w:val="4ABD14F2"/>
    <w:rsid w:val="4CC50B32"/>
    <w:rsid w:val="4E421EF2"/>
    <w:rsid w:val="4E7F6EFE"/>
    <w:rsid w:val="4F8B6063"/>
    <w:rsid w:val="516E540F"/>
    <w:rsid w:val="51E7770C"/>
    <w:rsid w:val="52481B96"/>
    <w:rsid w:val="52787080"/>
    <w:rsid w:val="52972F71"/>
    <w:rsid w:val="52FA3F96"/>
    <w:rsid w:val="539B25ED"/>
    <w:rsid w:val="547630C3"/>
    <w:rsid w:val="54AB6860"/>
    <w:rsid w:val="553D1BAE"/>
    <w:rsid w:val="55850F17"/>
    <w:rsid w:val="56552F27"/>
    <w:rsid w:val="5678354D"/>
    <w:rsid w:val="57AE6D93"/>
    <w:rsid w:val="58136BF6"/>
    <w:rsid w:val="58730886"/>
    <w:rsid w:val="58CC6D22"/>
    <w:rsid w:val="58FF660A"/>
    <w:rsid w:val="59D6612D"/>
    <w:rsid w:val="5A2F1813"/>
    <w:rsid w:val="5ADF5334"/>
    <w:rsid w:val="5AFE3B8D"/>
    <w:rsid w:val="5B095871"/>
    <w:rsid w:val="5B745E49"/>
    <w:rsid w:val="5B890C51"/>
    <w:rsid w:val="5BA07FE6"/>
    <w:rsid w:val="5BD963A8"/>
    <w:rsid w:val="5C613A18"/>
    <w:rsid w:val="5C62014C"/>
    <w:rsid w:val="5D740137"/>
    <w:rsid w:val="5F530220"/>
    <w:rsid w:val="5F7408C2"/>
    <w:rsid w:val="5F763060"/>
    <w:rsid w:val="5F97010C"/>
    <w:rsid w:val="5FB623A7"/>
    <w:rsid w:val="62160563"/>
    <w:rsid w:val="624403BC"/>
    <w:rsid w:val="62CD64AA"/>
    <w:rsid w:val="62E419D3"/>
    <w:rsid w:val="641206A9"/>
    <w:rsid w:val="653B59DE"/>
    <w:rsid w:val="6623094C"/>
    <w:rsid w:val="666F593F"/>
    <w:rsid w:val="66C5227A"/>
    <w:rsid w:val="670601F5"/>
    <w:rsid w:val="6707201B"/>
    <w:rsid w:val="674840DC"/>
    <w:rsid w:val="6B7C410E"/>
    <w:rsid w:val="6BC54253"/>
    <w:rsid w:val="6C1765FC"/>
    <w:rsid w:val="6C52733E"/>
    <w:rsid w:val="6C93532D"/>
    <w:rsid w:val="6CB800F7"/>
    <w:rsid w:val="6D056FFD"/>
    <w:rsid w:val="6D6630B4"/>
    <w:rsid w:val="6DB206C4"/>
    <w:rsid w:val="6E032E11"/>
    <w:rsid w:val="6E3851B0"/>
    <w:rsid w:val="6E5D0773"/>
    <w:rsid w:val="6ECF180A"/>
    <w:rsid w:val="6F127DED"/>
    <w:rsid w:val="6F4348A9"/>
    <w:rsid w:val="6F823F45"/>
    <w:rsid w:val="70AC07F8"/>
    <w:rsid w:val="71155335"/>
    <w:rsid w:val="725F6180"/>
    <w:rsid w:val="72A66B8C"/>
    <w:rsid w:val="72F84F0E"/>
    <w:rsid w:val="742B4687"/>
    <w:rsid w:val="744E128A"/>
    <w:rsid w:val="749202A8"/>
    <w:rsid w:val="74F957C7"/>
    <w:rsid w:val="750C68B6"/>
    <w:rsid w:val="753A35BC"/>
    <w:rsid w:val="776B3932"/>
    <w:rsid w:val="77A862F3"/>
    <w:rsid w:val="78994A9D"/>
    <w:rsid w:val="78CE6C82"/>
    <w:rsid w:val="79C8563A"/>
    <w:rsid w:val="7B9647DB"/>
    <w:rsid w:val="7D4E22FA"/>
    <w:rsid w:val="7D821FA4"/>
    <w:rsid w:val="7DF02678"/>
    <w:rsid w:val="7ED67756"/>
    <w:rsid w:val="7FD0427C"/>
    <w:rsid w:val="7FF65DAF"/>
    <w:rsid w:val="7FFC510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8">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autoRedefine/>
    <w:semiHidden/>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ascii="Arial" w:hAnsi="Arial" w:eastAsia="Arial" w:cs="Arial"/>
      <w:sz w:val="21"/>
      <w:szCs w:val="21"/>
      <w:lang w:val="en-US" w:eastAsia="en-US" w:bidi="ar-SA"/>
    </w:rPr>
  </w:style>
  <w:style w:type="paragraph" w:styleId="11">
    <w:name w:val="List Paragraph"/>
    <w:basedOn w:val="1"/>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21</Pages>
  <Words>7394</Words>
  <Characters>8028</Characters>
  <TotalTime>4</TotalTime>
  <ScaleCrop>false</ScaleCrop>
  <LinksUpToDate>false</LinksUpToDate>
  <CharactersWithSpaces>8490</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Administrator</cp:lastModifiedBy>
  <cp:lastPrinted>2024-05-21T14:05:00Z</cp:lastPrinted>
  <dcterms:modified xsi:type="dcterms:W3CDTF">2024-07-04T09:02:08Z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2052-12.1.0.16929</vt:lpwstr>
  </property>
  <property fmtid="{D5CDD505-2E9C-101B-9397-08002B2CF9AE}" pid="6" name="ICV">
    <vt:lpwstr>A1E9AC54BF58440288AD196632C2A254_12</vt:lpwstr>
  </property>
</Properties>
</file>