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A4F9A9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4FD06573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5EFDC095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0DEDA5D4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F99F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997E7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561653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6A93D77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</w:t>
            </w:r>
          </w:p>
          <w:p w14:paraId="620B89A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人数</w:t>
            </w:r>
          </w:p>
        </w:tc>
        <w:tc>
          <w:tcPr>
            <w:tcW w:w="1983" w:type="dxa"/>
            <w:gridSpan w:val="2"/>
            <w:vAlign w:val="center"/>
          </w:tcPr>
          <w:p w14:paraId="256D162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6A507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65438E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4056B26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16</w:t>
            </w:r>
          </w:p>
        </w:tc>
        <w:tc>
          <w:tcPr>
            <w:tcW w:w="2039" w:type="dxa"/>
            <w:gridSpan w:val="2"/>
            <w:vAlign w:val="center"/>
          </w:tcPr>
          <w:p w14:paraId="1D47B16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16</w:t>
            </w:r>
          </w:p>
        </w:tc>
        <w:tc>
          <w:tcPr>
            <w:tcW w:w="1983" w:type="dxa"/>
            <w:gridSpan w:val="2"/>
            <w:vAlign w:val="center"/>
          </w:tcPr>
          <w:p w14:paraId="06F2846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</w:tr>
      <w:tr w14:paraId="1D5ECC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40954C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3559BBE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5DBAAEE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84567B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48788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A42881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1C1EF02E">
            <w:pPr>
              <w:spacing w:line="240" w:lineRule="auto"/>
              <w:ind w:firstLine="42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</w:p>
        </w:tc>
        <w:tc>
          <w:tcPr>
            <w:tcW w:w="2039" w:type="dxa"/>
            <w:gridSpan w:val="2"/>
            <w:vAlign w:val="center"/>
          </w:tcPr>
          <w:p w14:paraId="1D6514EA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</w:t>
            </w:r>
          </w:p>
        </w:tc>
        <w:tc>
          <w:tcPr>
            <w:tcW w:w="1983" w:type="dxa"/>
            <w:gridSpan w:val="2"/>
            <w:vAlign w:val="center"/>
          </w:tcPr>
          <w:p w14:paraId="7DFA648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3.87</w:t>
            </w:r>
          </w:p>
        </w:tc>
      </w:tr>
      <w:tr w14:paraId="15A2B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21D84B4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2BB3E60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</w:p>
        </w:tc>
        <w:tc>
          <w:tcPr>
            <w:tcW w:w="2039" w:type="dxa"/>
            <w:gridSpan w:val="2"/>
            <w:vAlign w:val="center"/>
          </w:tcPr>
          <w:p w14:paraId="7474BB6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</w:p>
        </w:tc>
        <w:tc>
          <w:tcPr>
            <w:tcW w:w="1983" w:type="dxa"/>
            <w:gridSpan w:val="2"/>
            <w:vAlign w:val="center"/>
          </w:tcPr>
          <w:p w14:paraId="71BD749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2.96</w:t>
            </w:r>
          </w:p>
        </w:tc>
      </w:tr>
      <w:tr w14:paraId="48324F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71C1E1F6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1BDC4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9420B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A1615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8ED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FE9912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shd w:val="clear"/>
            <w:vAlign w:val="center"/>
          </w:tcPr>
          <w:p w14:paraId="6581D34A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</w:p>
        </w:tc>
        <w:tc>
          <w:tcPr>
            <w:tcW w:w="2039" w:type="dxa"/>
            <w:gridSpan w:val="2"/>
            <w:shd w:val="clear"/>
            <w:vAlign w:val="center"/>
          </w:tcPr>
          <w:p w14:paraId="4D0A1ED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</w:p>
        </w:tc>
        <w:tc>
          <w:tcPr>
            <w:tcW w:w="1983" w:type="dxa"/>
            <w:gridSpan w:val="2"/>
            <w:shd w:val="clear"/>
            <w:vAlign w:val="center"/>
          </w:tcPr>
          <w:p w14:paraId="5A740743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2.96</w:t>
            </w:r>
          </w:p>
        </w:tc>
      </w:tr>
      <w:tr w14:paraId="2935C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3F0FEFE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F82C8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02D38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22992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60F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6A57BD3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23AA2EC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72289A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1.6</w:t>
            </w:r>
          </w:p>
        </w:tc>
        <w:tc>
          <w:tcPr>
            <w:tcW w:w="1983" w:type="dxa"/>
            <w:gridSpan w:val="2"/>
            <w:vAlign w:val="center"/>
          </w:tcPr>
          <w:p w14:paraId="7985B41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0.91</w:t>
            </w:r>
          </w:p>
        </w:tc>
      </w:tr>
      <w:tr w14:paraId="1F26E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C282A34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6B7C6FFA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56A401C1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7E496EB6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</w:tr>
      <w:tr w14:paraId="0C0969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0229F18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5C6C607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42D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E8DC0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50DE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4985BAE9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7757DF5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C696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F7D72B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F51B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CFA585F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07481D1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482AEA1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F75C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D1941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1783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86270B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4A5B86C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7.3</w:t>
            </w:r>
          </w:p>
        </w:tc>
        <w:tc>
          <w:tcPr>
            <w:tcW w:w="2039" w:type="dxa"/>
            <w:gridSpan w:val="2"/>
            <w:vAlign w:val="center"/>
          </w:tcPr>
          <w:p w14:paraId="050E075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29.08</w:t>
            </w:r>
          </w:p>
        </w:tc>
        <w:tc>
          <w:tcPr>
            <w:tcW w:w="1983" w:type="dxa"/>
            <w:gridSpan w:val="2"/>
            <w:vAlign w:val="center"/>
          </w:tcPr>
          <w:p w14:paraId="7357305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29.18</w:t>
            </w:r>
          </w:p>
        </w:tc>
      </w:tr>
      <w:tr w14:paraId="3B798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EDB8F8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2C631A9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0.96</w:t>
            </w:r>
          </w:p>
        </w:tc>
        <w:tc>
          <w:tcPr>
            <w:tcW w:w="2039" w:type="dxa"/>
            <w:gridSpan w:val="2"/>
            <w:vAlign w:val="center"/>
          </w:tcPr>
          <w:p w14:paraId="7BB02F1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1.92</w:t>
            </w:r>
          </w:p>
        </w:tc>
        <w:tc>
          <w:tcPr>
            <w:tcW w:w="1983" w:type="dxa"/>
            <w:gridSpan w:val="2"/>
            <w:vAlign w:val="center"/>
          </w:tcPr>
          <w:p w14:paraId="087A354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1.4</w:t>
            </w:r>
          </w:p>
        </w:tc>
      </w:tr>
      <w:tr w14:paraId="644798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3BD75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7BF1871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6.08</w:t>
            </w:r>
          </w:p>
        </w:tc>
        <w:tc>
          <w:tcPr>
            <w:tcW w:w="2039" w:type="dxa"/>
            <w:gridSpan w:val="2"/>
            <w:vAlign w:val="center"/>
          </w:tcPr>
          <w:p w14:paraId="31E21FE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4.48</w:t>
            </w:r>
          </w:p>
        </w:tc>
        <w:tc>
          <w:tcPr>
            <w:tcW w:w="1983" w:type="dxa"/>
            <w:gridSpan w:val="2"/>
            <w:vAlign w:val="center"/>
          </w:tcPr>
          <w:p w14:paraId="4FD7453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1.01</w:t>
            </w:r>
          </w:p>
        </w:tc>
      </w:tr>
      <w:tr w14:paraId="51174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18DD348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228A6C5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67174B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1.6</w:t>
            </w:r>
          </w:p>
        </w:tc>
        <w:tc>
          <w:tcPr>
            <w:tcW w:w="1983" w:type="dxa"/>
            <w:gridSpan w:val="2"/>
            <w:vAlign w:val="center"/>
          </w:tcPr>
          <w:p w14:paraId="550E4F9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0.3</w:t>
            </w:r>
          </w:p>
        </w:tc>
      </w:tr>
      <w:tr w14:paraId="30B5B3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E69535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0BB04A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AD18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363E71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8D23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62329EF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56E7EB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0A3B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B69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6D746B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FEC3B7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26217C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7155FA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3B0EE47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3EA7B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47DFB30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EF27F8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59CF22D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525C93D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4C1A08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57386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7F2CD01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6AAE10E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2016690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4D734BF4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5567D620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31CE4E4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62FE64A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08A9AB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1134AD1B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60DD977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</w:tbl>
    <w:p w14:paraId="6E22F6CC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681A8081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韦武广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2024.10.22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15007304777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单位负责人签字：</w:t>
      </w:r>
    </w:p>
    <w:p w14:paraId="258C31FE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431355F9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1202C0FC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1FD6A596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1A8ECB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6FD2D1A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3DEA5CE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2318A96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汨罗市救助管理站</w:t>
            </w:r>
          </w:p>
        </w:tc>
      </w:tr>
      <w:tr w14:paraId="24644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39F08D0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02CC017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7293ED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1B9D6C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50FFE09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667FCA1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1A154AB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5EE1142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5230B5E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26B9A00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09218C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73CABA4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75AB8B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730885E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0459E6DD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0867B6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182.04</w:t>
            </w:r>
          </w:p>
        </w:tc>
        <w:tc>
          <w:tcPr>
            <w:tcW w:w="1298" w:type="dxa"/>
            <w:vAlign w:val="center"/>
          </w:tcPr>
          <w:p w14:paraId="78350D2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171.83</w:t>
            </w:r>
          </w:p>
        </w:tc>
        <w:tc>
          <w:tcPr>
            <w:tcW w:w="1269" w:type="dxa"/>
            <w:vAlign w:val="center"/>
          </w:tcPr>
          <w:p w14:paraId="5FDA3D2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171.83</w:t>
            </w:r>
          </w:p>
        </w:tc>
        <w:tc>
          <w:tcPr>
            <w:tcW w:w="699" w:type="dxa"/>
            <w:vAlign w:val="center"/>
          </w:tcPr>
          <w:p w14:paraId="47D167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0424998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14:paraId="4BE68CE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57352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82C8C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DC94066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</w:p>
        </w:tc>
        <w:tc>
          <w:tcPr>
            <w:tcW w:w="4260" w:type="dxa"/>
            <w:gridSpan w:val="4"/>
            <w:vAlign w:val="center"/>
          </w:tcPr>
          <w:p w14:paraId="02A43B29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</w:p>
        </w:tc>
      </w:tr>
      <w:tr w14:paraId="52A73F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5FF62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37E9998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171.83</w:t>
            </w:r>
          </w:p>
        </w:tc>
        <w:tc>
          <w:tcPr>
            <w:tcW w:w="4260" w:type="dxa"/>
            <w:gridSpan w:val="4"/>
            <w:vAlign w:val="center"/>
          </w:tcPr>
          <w:p w14:paraId="459DAAEC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171.83</w:t>
            </w:r>
          </w:p>
        </w:tc>
      </w:tr>
      <w:tr w14:paraId="555B2F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2C9CA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BF65C8A">
            <w:pPr>
              <w:spacing w:line="240" w:lineRule="auto"/>
              <w:ind w:firstLine="1050" w:firstLineChars="50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4260" w:type="dxa"/>
            <w:gridSpan w:val="4"/>
            <w:vAlign w:val="center"/>
          </w:tcPr>
          <w:p w14:paraId="55BECDEE">
            <w:pPr>
              <w:spacing w:line="240" w:lineRule="auto"/>
              <w:ind w:firstLine="1050" w:firstLineChars="50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</w:tr>
      <w:tr w14:paraId="40338A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E08E05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E75749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4260" w:type="dxa"/>
            <w:gridSpan w:val="4"/>
            <w:vAlign w:val="center"/>
          </w:tcPr>
          <w:p w14:paraId="61AD26C7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3C5D05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4E295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0B59E8">
            <w:pPr>
              <w:spacing w:line="240" w:lineRule="auto"/>
              <w:ind w:firstLine="1050" w:firstLineChars="50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4260" w:type="dxa"/>
            <w:gridSpan w:val="4"/>
            <w:vAlign w:val="center"/>
          </w:tcPr>
          <w:p w14:paraId="557F4DF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C1AC7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05C0D10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35AA107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6CC77AB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A5909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5837B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0A1F8CC6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（一）依据国务院《城市生活无着的流浪乞讨人员救助管理办法》和民政部《城市生活无着的流浪乞讨人员救助管理办法实施细则》及省、市有关文件规定，对城市生活无着的流浪乞讨人员，即自身无力解决食宿，无亲友投靠，又不享受城市最低生活保障或者农村五保供养，正在城市流浪乞讨度日的人员实施救助管理。</w:t>
            </w:r>
          </w:p>
          <w:p w14:paraId="3AB90A64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　　（二）对因偶遇被抢、失窃、务工不着、无亲友投靠而食宿等发生临时性困难的,可在查明情况、履行必要手续的前提下给予救助。</w:t>
            </w:r>
          </w:p>
          <w:p w14:paraId="5875FC8C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　　（三）依据《关于做好海南省城市流浪乞讨人员中危重病人、精神病人救治工作的指导意见》相关规定，做好定点医院收治流浪乞讨病人的身份甄别工作。</w:t>
            </w:r>
          </w:p>
          <w:p w14:paraId="7CB9ABB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　　（四）依据《关于加强流浪未成年人工作的意见》（民发〔2006〕11 号）文件精神，为流浪未成年人提供全面的服务，采取多种措施保障受助未成年人的生活、教育、管理、返乡和安置。</w:t>
            </w:r>
          </w:p>
          <w:p w14:paraId="5630C8F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　（五）承办上级部门交办的其他工作。</w:t>
            </w:r>
          </w:p>
        </w:tc>
        <w:tc>
          <w:tcPr>
            <w:tcW w:w="4260" w:type="dxa"/>
            <w:gridSpan w:val="4"/>
            <w:vAlign w:val="center"/>
          </w:tcPr>
          <w:p w14:paraId="156E0D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2023年我站共救助1218人，其中男性救助1206人次，女性救助12人次，肢体残疾25人次，视力残疾16人次，滞站人员中待上户人员22人已全部落户安置，其中14人已享受特困供养政策。</w:t>
            </w:r>
          </w:p>
        </w:tc>
      </w:tr>
      <w:tr w14:paraId="46C5C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39FD8A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0767195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07454C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8206D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6608A1A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EE7F8D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1866ACC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30FBB1D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42F791D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50332CA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772EAC6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00A1F1A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0B522B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6D424521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0C58A2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3201F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A5EB4F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CA7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2CA2EB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785EE4BB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基本支出</w:t>
            </w:r>
          </w:p>
        </w:tc>
        <w:tc>
          <w:tcPr>
            <w:tcW w:w="1298" w:type="dxa"/>
            <w:vAlign w:val="center"/>
          </w:tcPr>
          <w:p w14:paraId="2A374824">
            <w:pPr>
              <w:tabs>
                <w:tab w:val="left" w:pos="311"/>
              </w:tabs>
              <w:spacing w:line="240" w:lineRule="auto"/>
              <w:jc w:val="left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172.24万元</w:t>
            </w:r>
          </w:p>
        </w:tc>
        <w:tc>
          <w:tcPr>
            <w:tcW w:w="1269" w:type="dxa"/>
            <w:vAlign w:val="center"/>
          </w:tcPr>
          <w:p w14:paraId="708D788A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172.24万元</w:t>
            </w:r>
          </w:p>
        </w:tc>
        <w:tc>
          <w:tcPr>
            <w:tcW w:w="699" w:type="dxa"/>
            <w:vAlign w:val="center"/>
          </w:tcPr>
          <w:p w14:paraId="567F5E54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</w:t>
            </w:r>
          </w:p>
        </w:tc>
        <w:tc>
          <w:tcPr>
            <w:tcW w:w="869" w:type="dxa"/>
            <w:vAlign w:val="center"/>
          </w:tcPr>
          <w:p w14:paraId="2717B7C4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</w:t>
            </w:r>
          </w:p>
        </w:tc>
        <w:tc>
          <w:tcPr>
            <w:tcW w:w="1423" w:type="dxa"/>
            <w:vAlign w:val="center"/>
          </w:tcPr>
          <w:p w14:paraId="7CF9B18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A3CDB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63102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5DCA9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7EF051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10423A41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 xml:space="preserve">1.财政资金的科学有效管理，保障了市民政局各项工作目标的实现。                        2.严格执行政府采购制度3.严格按文件政策要求做到应保尽保、应退尽退。 </w:t>
            </w:r>
          </w:p>
        </w:tc>
        <w:tc>
          <w:tcPr>
            <w:tcW w:w="1298" w:type="dxa"/>
            <w:vAlign w:val="center"/>
          </w:tcPr>
          <w:p w14:paraId="1A5A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1269" w:type="dxa"/>
            <w:vAlign w:val="center"/>
          </w:tcPr>
          <w:p w14:paraId="54075F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699" w:type="dxa"/>
            <w:vAlign w:val="center"/>
          </w:tcPr>
          <w:p w14:paraId="5580FC8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vAlign w:val="center"/>
          </w:tcPr>
          <w:p w14:paraId="0982B111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09E0DC5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7CB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AF4DA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1F238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FAC50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5323318C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按时支出各类救助专项资金</w:t>
            </w:r>
          </w:p>
        </w:tc>
        <w:tc>
          <w:tcPr>
            <w:tcW w:w="1298" w:type="dxa"/>
            <w:shd w:val="clear"/>
            <w:vAlign w:val="center"/>
          </w:tcPr>
          <w:p w14:paraId="479FA5D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1269" w:type="dxa"/>
            <w:shd w:val="clear"/>
            <w:vAlign w:val="center"/>
          </w:tcPr>
          <w:p w14:paraId="5C1B340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699" w:type="dxa"/>
            <w:shd w:val="clear"/>
            <w:vAlign w:val="center"/>
          </w:tcPr>
          <w:p w14:paraId="4C56B99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shd w:val="clear"/>
            <w:vAlign w:val="center"/>
          </w:tcPr>
          <w:p w14:paraId="5DA34835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7BF8C6A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2396A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75BB6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7804D09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7B7499A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32611957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通过社会救助政策的全面实施，为困难群众提供基本生活保障，确保社会稳定发展</w:t>
            </w:r>
          </w:p>
        </w:tc>
        <w:tc>
          <w:tcPr>
            <w:tcW w:w="1298" w:type="dxa"/>
            <w:vAlign w:val="center"/>
          </w:tcPr>
          <w:p w14:paraId="078289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显著</w:t>
            </w:r>
          </w:p>
        </w:tc>
        <w:tc>
          <w:tcPr>
            <w:tcW w:w="1269" w:type="dxa"/>
            <w:vAlign w:val="center"/>
          </w:tcPr>
          <w:p w14:paraId="7A453B8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显著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415A3F60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2AC58B95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63D4399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7DE47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77C09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E46C1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35D6A2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5D9BC27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较好地完成部门预决算工作，严格按照进度执行预算，各项指标完成较好，实现了良好的社会效益，达到了预期目标。</w:t>
            </w:r>
          </w:p>
        </w:tc>
        <w:tc>
          <w:tcPr>
            <w:tcW w:w="1298" w:type="dxa"/>
            <w:vAlign w:val="center"/>
          </w:tcPr>
          <w:p w14:paraId="6E8C48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良好</w:t>
            </w:r>
          </w:p>
        </w:tc>
        <w:tc>
          <w:tcPr>
            <w:tcW w:w="1269" w:type="dxa"/>
            <w:vAlign w:val="center"/>
          </w:tcPr>
          <w:p w14:paraId="4886005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良好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75FAE414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3309901E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4D65F26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EF96B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8F613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290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69CFA3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vAlign w:val="center"/>
          </w:tcPr>
          <w:p w14:paraId="4DC606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减少流浪乞讨人员，确保社会稳定</w:t>
            </w:r>
          </w:p>
        </w:tc>
        <w:tc>
          <w:tcPr>
            <w:tcW w:w="1298" w:type="dxa"/>
            <w:shd w:val="clear"/>
            <w:vAlign w:val="center"/>
          </w:tcPr>
          <w:p w14:paraId="45B96CBB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显著</w:t>
            </w:r>
          </w:p>
        </w:tc>
        <w:tc>
          <w:tcPr>
            <w:tcW w:w="1269" w:type="dxa"/>
            <w:shd w:val="clear"/>
            <w:vAlign w:val="center"/>
          </w:tcPr>
          <w:p w14:paraId="35C3564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显著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6A822248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73C931F8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0E6767B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E588B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9698F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37910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3200E34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vAlign w:val="center"/>
          </w:tcPr>
          <w:p w14:paraId="1B548B4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开展救助全面工作，解决求助人员生存问题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055B34E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1269" w:type="dxa"/>
            <w:shd w:val="clear" w:color="auto" w:fill="auto"/>
            <w:vAlign w:val="center"/>
          </w:tcPr>
          <w:p w14:paraId="46B4146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447C4D99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71C7C72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04D49FF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145C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2AFB0D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tcBorders>
              <w:bottom w:val="nil"/>
            </w:tcBorders>
            <w:vAlign w:val="center"/>
          </w:tcPr>
          <w:p w14:paraId="3EBC70E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6A5B01A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78FBBFD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vAlign w:val="center"/>
          </w:tcPr>
          <w:p w14:paraId="4F2AFDD1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进一步提升人民群众的获得干、幸福感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6ABEB3E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1269" w:type="dxa"/>
            <w:shd w:val="clear" w:color="auto" w:fill="auto"/>
            <w:vAlign w:val="center"/>
          </w:tcPr>
          <w:p w14:paraId="31B5B329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41D3F37B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19FFC8CC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7</w:t>
            </w:r>
          </w:p>
        </w:tc>
        <w:tc>
          <w:tcPr>
            <w:tcW w:w="1423" w:type="dxa"/>
            <w:vAlign w:val="center"/>
          </w:tcPr>
          <w:p w14:paraId="041230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个别求助对象存在情绪化，导致满意度有偏差。</w:t>
            </w:r>
          </w:p>
        </w:tc>
      </w:tr>
      <w:tr w14:paraId="759ED2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B343D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5D03BB81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681458A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39B6E6D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63B7EC90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有特殊情况的流浪人员发放路途伙食费、交通费</w:t>
            </w:r>
          </w:p>
        </w:tc>
        <w:tc>
          <w:tcPr>
            <w:tcW w:w="1298" w:type="dxa"/>
            <w:vAlign w:val="center"/>
          </w:tcPr>
          <w:p w14:paraId="15ECA8D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应发尽发</w:t>
            </w:r>
          </w:p>
        </w:tc>
        <w:tc>
          <w:tcPr>
            <w:tcW w:w="1269" w:type="dxa"/>
            <w:vAlign w:val="center"/>
          </w:tcPr>
          <w:p w14:paraId="3C328246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应发尽发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42BD2B94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786F4305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0F79A5E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9D5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521D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1471CA8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632D9A3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4C2510AC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提高流浪人员需求度</w:t>
            </w:r>
          </w:p>
        </w:tc>
        <w:tc>
          <w:tcPr>
            <w:tcW w:w="1298" w:type="dxa"/>
            <w:vAlign w:val="center"/>
          </w:tcPr>
          <w:p w14:paraId="09361E43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提高流浪人员需求度</w:t>
            </w:r>
          </w:p>
        </w:tc>
        <w:tc>
          <w:tcPr>
            <w:tcW w:w="1269" w:type="dxa"/>
            <w:vAlign w:val="center"/>
          </w:tcPr>
          <w:p w14:paraId="32DCD303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提高流浪人员需求度</w:t>
            </w:r>
          </w:p>
        </w:tc>
        <w:tc>
          <w:tcPr>
            <w:tcW w:w="699" w:type="dxa"/>
            <w:vAlign w:val="center"/>
          </w:tcPr>
          <w:p w14:paraId="765229A3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7</w:t>
            </w:r>
          </w:p>
        </w:tc>
        <w:tc>
          <w:tcPr>
            <w:tcW w:w="869" w:type="dxa"/>
            <w:vAlign w:val="center"/>
          </w:tcPr>
          <w:p w14:paraId="4012A71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7</w:t>
            </w:r>
          </w:p>
        </w:tc>
        <w:tc>
          <w:tcPr>
            <w:tcW w:w="1423" w:type="dxa"/>
            <w:vAlign w:val="center"/>
          </w:tcPr>
          <w:p w14:paraId="6A85C0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DB8C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F970E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827F1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CA58488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304051C0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保护社会环境</w:t>
            </w:r>
          </w:p>
        </w:tc>
        <w:tc>
          <w:tcPr>
            <w:tcW w:w="1298" w:type="dxa"/>
            <w:vAlign w:val="center"/>
          </w:tcPr>
          <w:p w14:paraId="789CDCB9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保护社会环境</w:t>
            </w:r>
          </w:p>
        </w:tc>
        <w:tc>
          <w:tcPr>
            <w:tcW w:w="1269" w:type="dxa"/>
            <w:vAlign w:val="center"/>
          </w:tcPr>
          <w:p w14:paraId="4E354EE6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保护社会环境</w:t>
            </w:r>
          </w:p>
        </w:tc>
        <w:tc>
          <w:tcPr>
            <w:tcW w:w="699" w:type="dxa"/>
            <w:vAlign w:val="center"/>
          </w:tcPr>
          <w:p w14:paraId="6C36DE67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6B31F2A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14ED7F2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C19B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54CDD5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0F7926F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6F45C20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99</w:t>
            </w:r>
          </w:p>
        </w:tc>
        <w:tc>
          <w:tcPr>
            <w:tcW w:w="1423" w:type="dxa"/>
            <w:vAlign w:val="center"/>
          </w:tcPr>
          <w:p w14:paraId="74074F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752D4BA5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韦武广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2024.10.22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15007304777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单位负责人签字：</w:t>
      </w:r>
    </w:p>
    <w:p w14:paraId="1494D30D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  <w:t xml:space="preserve"> </w:t>
      </w:r>
    </w:p>
    <w:p w14:paraId="1A182689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699659C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3CFA79BA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3E111D3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991CB5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17093122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0E70A04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52B26ED6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3FE64268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2A54F9F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6E8614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3D113E6D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50B3D1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5ACA7FC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B912B33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7DD116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45E7BB7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FB057D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51F7F242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DA39286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2B23A3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70824E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437E0C6A">
            <w:pPr>
              <w:spacing w:line="240" w:lineRule="auto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汨罗市救助管理站</w:t>
            </w:r>
          </w:p>
        </w:tc>
      </w:tr>
      <w:tr w14:paraId="286B4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068EA0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00FC630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F82618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428437D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6A64BF3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5B8697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51F939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78E269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676BDC3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0D84DFA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6A50E95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6EF418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44422C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0D3B015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70F015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37ABDFD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467538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07F228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58096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521267B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6EAE81CB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54320DCC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0C9E823D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809" w:type="dxa"/>
            <w:vAlign w:val="center"/>
          </w:tcPr>
          <w:p w14:paraId="79BFE3F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347080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7A8C63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25E0D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A16A5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161F515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75F04A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5536407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0401DF6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05C9BB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4AC8E3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1785B7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1C8907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232ADE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2E9346A2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3B2BA9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E136F3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EF1A3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5B513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2BEE3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273A6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54B2BC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5A74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766B8F6A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5141332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3D3AC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86F5E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90887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EAD35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178F4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A245A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0DECD7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2989FA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4586EC9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3627A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03F9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2C4C4F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140" w:type="dxa"/>
            <w:gridSpan w:val="4"/>
            <w:vAlign w:val="center"/>
          </w:tcPr>
          <w:p w14:paraId="309F77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269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1426EF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6F5023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067A64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711B464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0D14D5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1CF5CBF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6E5FA1D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5ADC1AF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3FA241B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5B1C80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0836A7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B4C4E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35BA75D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07DC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0BDD60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7C2956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4B9394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F49710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50DEC1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F7B7A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7B691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2E1C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9D5CE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A6941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66FD07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21334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9CCEE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0F41D2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62F70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76686A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ED4F5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DC1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F8D02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769C3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580340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61412C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D69FB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3BC31E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DC861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5177C6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036CC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7D0A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8A8A9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5ACF2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F4A07E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79721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9C293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620D8F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CFE771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82C2D1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0090E9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5FD15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DE18F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C15D1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E62708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724A96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15D03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C21687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D16C3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94C7D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6CE8F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84148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7D9AB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8001E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3D7B1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4579AB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E44AA5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0736A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3AFCF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322DF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BEADF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4FE5D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23B10A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0426E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4DA3C3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7EE29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50DC120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3928C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D883D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958485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1D412C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D804D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74236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42360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BA1947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80F7A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93F24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C0C58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76658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D83AE1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B84A5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45E24D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40506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296F8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A4C7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A92374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73C8CE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18753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101F8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99C14A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665EF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7B975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673F2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B1D63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BC76C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5B5E5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5BCFF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7BC48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115F4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63BB8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49307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7B7FD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52C49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C1AF8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021A7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7A2E1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467C35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86C219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CA75D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91BA99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BF7EB9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E0A44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9157E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ED169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648E9A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26F5C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03E0B68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84DAE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E80B33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B45A60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506B9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E0932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51B8C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1773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CD572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7FD8A6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1BFEC1E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8F3A1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96F13D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9A57C7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44D5C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463F4C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248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9FB86F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C3FF7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54257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07224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FDEFD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0101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8424C6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0F78E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EED72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A6B6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EA93C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726A289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14908BE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4471F21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0DB72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5FCC67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9FD5B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7CE9A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D3558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2C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4375ED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C8D4EA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6C89EE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703DA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AF12B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7728D0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44A06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71E294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FF5E0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90F34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7F77C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2327F2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5A079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8B84D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E84FB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7CE565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8CED8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ED607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F5D53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49F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AFCBE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49989B8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750BB04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95EA9C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2D05014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D8FEFD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29BFD5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3443E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005FD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AB38F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3F18D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2A8D6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96E843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D444AA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61DC1F6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15A67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9BCBE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CB491C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D7976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A01EA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F86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F18E5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0BFF40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17D0F6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2C28E6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2AC4F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67BB9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40DCB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3C982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7AC32C2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FAF76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1103439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20B2CC3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3FD2854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643C41F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6224FA4D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51522281">
      <w:pPr>
        <w:spacing w:line="240" w:lineRule="auto"/>
        <w:ind w:firstLine="420"/>
        <w:jc w:val="left"/>
        <w:rPr>
          <w:rFonts w:ascii="宋体" w:hAnsi="宋体" w:eastAsia="宋体" w:cs="宋体"/>
          <w:kern w:val="0"/>
          <w:lang w:eastAsia="zh-CN"/>
        </w:rPr>
      </w:pPr>
    </w:p>
    <w:p w14:paraId="32B57B71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单位负责人签字:</w:t>
      </w:r>
    </w:p>
    <w:p w14:paraId="55C30A03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68C70125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651F7153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46C4629C">
      <w:pPr>
        <w:spacing w:line="240" w:lineRule="auto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汨罗市救助管理站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部门整体支出</w:t>
      </w:r>
    </w:p>
    <w:p w14:paraId="4E3D087B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32A103B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DAE694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69785C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32C108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6A148A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978729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481D73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4AB441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2ABB18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80D2E8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B9B190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7A0CD23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78EDC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06B3E9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2CE85E71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2024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年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10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月 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val="en-US" w:eastAsia="zh-CN"/>
        </w:rPr>
        <w:t>22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4303E6A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8CFEB6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6FE6DC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CE56D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E502FB4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68A41CD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405FD6B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34BF35CA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3</w:t>
      </w:r>
      <w:r>
        <w:rPr>
          <w:rFonts w:ascii="黑体" w:hAnsi="黑体" w:eastAsia="黑体" w:cs="黑体"/>
          <w:spacing w:val="16"/>
          <w:sz w:val="40"/>
          <w:szCs w:val="40"/>
        </w:rPr>
        <w:t xml:space="preserve"> 年度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汨罗市救助管理站</w:t>
      </w:r>
      <w:r>
        <w:rPr>
          <w:rFonts w:ascii="黑体" w:hAnsi="黑体" w:eastAsia="黑体" w:cs="黑体"/>
          <w:spacing w:val="16"/>
          <w:sz w:val="40"/>
          <w:szCs w:val="40"/>
        </w:rPr>
        <w:t>整体支出绩效</w:t>
      </w:r>
    </w:p>
    <w:p w14:paraId="6A3F30B4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7C032366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637705">
      <w:pPr>
        <w:numPr>
          <w:ilvl w:val="0"/>
          <w:numId w:val="1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/>
        <w:jc w:val="both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</w:p>
    <w:p w14:paraId="701BCD1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本单位是民政局二级机构，财政全额拨款事业单位。人员编制16人，实有人数15人。内设科室分别有办公室、救助室、财务室等。</w:t>
      </w:r>
    </w:p>
    <w:p w14:paraId="2B641025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3806F25F">
      <w:pPr>
        <w:pStyle w:val="2"/>
        <w:spacing w:before="1" w:line="360" w:lineRule="auto"/>
        <w:ind w:left="750"/>
        <w:rPr>
          <w:spacing w:val="-13"/>
          <w:sz w:val="32"/>
          <w:szCs w:val="32"/>
        </w:rPr>
      </w:pPr>
      <w:r>
        <w:rPr>
          <w:rFonts w:ascii="楷体" w:hAnsi="楷体" w:eastAsia="楷体" w:cs="楷体"/>
          <w:spacing w:val="-13"/>
          <w:sz w:val="32"/>
          <w:szCs w:val="32"/>
        </w:rPr>
        <w:t>(</w:t>
      </w:r>
      <w:r>
        <w:rPr>
          <w:rFonts w:ascii="楷体" w:hAnsi="楷体" w:eastAsia="楷体" w:cs="楷体"/>
          <w:spacing w:val="-68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13"/>
          <w:sz w:val="32"/>
          <w:szCs w:val="32"/>
        </w:rPr>
        <w:t>一</w:t>
      </w:r>
      <w:r>
        <w:rPr>
          <w:rFonts w:ascii="楷体" w:hAnsi="楷体" w:eastAsia="楷体" w:cs="楷体"/>
          <w:spacing w:val="-78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-13"/>
          <w:sz w:val="32"/>
          <w:szCs w:val="32"/>
        </w:rPr>
        <w:t>)</w:t>
      </w:r>
      <w:r>
        <w:rPr>
          <w:rFonts w:ascii="楷体" w:hAnsi="楷体" w:eastAsia="楷体" w:cs="楷体"/>
          <w:spacing w:val="-76"/>
          <w:sz w:val="32"/>
          <w:szCs w:val="32"/>
        </w:rPr>
        <w:t xml:space="preserve"> </w:t>
      </w:r>
      <w:r>
        <w:rPr>
          <w:spacing w:val="-13"/>
          <w:sz w:val="32"/>
          <w:szCs w:val="32"/>
        </w:rPr>
        <w:t>基本支出情况</w:t>
      </w:r>
    </w:p>
    <w:p w14:paraId="060B2557">
      <w:pPr>
        <w:pStyle w:val="5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640"/>
        <w:jc w:val="both"/>
        <w:rPr>
          <w:spacing w:val="-13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基本支出系保障我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站</w:t>
      </w:r>
      <w:r>
        <w:rPr>
          <w:rFonts w:hint="eastAsia" w:ascii="仿宋" w:hAnsi="仿宋" w:eastAsia="仿宋" w:cs="仿宋"/>
          <w:sz w:val="32"/>
          <w:szCs w:val="32"/>
        </w:rPr>
        <w:t>正常运转、完成日常工作任务而发生的各项支出，包括用于在职和离退休人员基本工资、津贴补贴等人员经费以及办公费、印刷费、水电费、办公设备购置等日常公用经费。</w:t>
      </w:r>
      <w:r>
        <w:rPr>
          <w:rFonts w:hint="default" w:ascii="Times New Roman" w:hAnsi="Times New Roman" w:eastAsia="仿宋" w:cs="Times New Roman"/>
          <w:sz w:val="32"/>
          <w:szCs w:val="32"/>
        </w:rPr>
        <w:t>202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年基本支出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171.83</w:t>
      </w:r>
      <w:r>
        <w:rPr>
          <w:rFonts w:hint="eastAsia" w:ascii="仿宋" w:hAnsi="仿宋" w:eastAsia="仿宋" w:cs="仿宋"/>
          <w:sz w:val="32"/>
          <w:szCs w:val="32"/>
        </w:rPr>
        <w:t>万元，较上年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增加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17.32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上调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11.3</w:t>
      </w:r>
      <w:r>
        <w:rPr>
          <w:rFonts w:hint="default" w:ascii="Times New Roman" w:hAnsi="Times New Roman" w:eastAsia="仿宋" w:cs="Times New Roman"/>
          <w:sz w:val="32"/>
          <w:szCs w:val="32"/>
        </w:rPr>
        <w:t>%</w:t>
      </w:r>
      <w:r>
        <w:rPr>
          <w:rFonts w:hint="eastAsia" w:ascii="仿宋" w:hAnsi="仿宋" w:eastAsia="仿宋" w:cs="仿宋"/>
          <w:sz w:val="32"/>
          <w:szCs w:val="32"/>
        </w:rPr>
        <w:t>。主要原因为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日常公用支出成本增大，</w:t>
      </w:r>
      <w:r>
        <w:rPr>
          <w:rFonts w:hint="default" w:ascii="Times New Roman" w:hAnsi="Times New Roman" w:eastAsia="仿宋" w:cs="Times New Roman"/>
          <w:sz w:val="32"/>
          <w:szCs w:val="32"/>
        </w:rPr>
        <w:t>。</w:t>
      </w:r>
    </w:p>
    <w:p w14:paraId="7EF32C32">
      <w:pPr>
        <w:pStyle w:val="2"/>
        <w:numPr>
          <w:ilvl w:val="0"/>
          <w:numId w:val="2"/>
        </w:numPr>
        <w:spacing w:before="219" w:line="360" w:lineRule="auto"/>
        <w:ind w:left="779"/>
        <w:rPr>
          <w:spacing w:val="5"/>
          <w:sz w:val="32"/>
          <w:szCs w:val="32"/>
        </w:rPr>
      </w:pPr>
      <w:r>
        <w:rPr>
          <w:spacing w:val="5"/>
          <w:sz w:val="32"/>
          <w:szCs w:val="32"/>
        </w:rPr>
        <w:t>项目支出情况</w:t>
      </w:r>
    </w:p>
    <w:p w14:paraId="3018DEA6">
      <w:pPr>
        <w:pStyle w:val="2"/>
        <w:numPr>
          <w:ilvl w:val="0"/>
          <w:numId w:val="0"/>
        </w:numPr>
        <w:spacing w:before="219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本年度无项目支出</w:t>
      </w:r>
    </w:p>
    <w:p w14:paraId="516D3C52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政府性基金预算支出情况</w:t>
      </w:r>
    </w:p>
    <w:p w14:paraId="14D18E0D">
      <w:pPr>
        <w:numPr>
          <w:ilvl w:val="0"/>
          <w:numId w:val="0"/>
        </w:numPr>
        <w:spacing w:before="204" w:line="360" w:lineRule="auto"/>
        <w:ind w:firstLine="640" w:firstLineChars="20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本年度无政府性基金预算支出</w:t>
      </w:r>
    </w:p>
    <w:p w14:paraId="1F1AF615">
      <w:pPr>
        <w:numPr>
          <w:ilvl w:val="0"/>
          <w:numId w:val="1"/>
        </w:numPr>
        <w:spacing w:before="204" w:line="360" w:lineRule="auto"/>
        <w:ind w:left="0" w:leftChars="0" w:firstLine="640" w:firstLineChars="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国有资本经营预算支出情况</w:t>
      </w:r>
    </w:p>
    <w:p w14:paraId="3881567A">
      <w:pPr>
        <w:numPr>
          <w:ilvl w:val="0"/>
          <w:numId w:val="1"/>
        </w:numPr>
        <w:spacing w:before="204" w:line="360" w:lineRule="auto"/>
        <w:ind w:left="0" w:leftChars="0" w:firstLine="640" w:firstLineChars="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本年度无国有资本经营预算支出</w:t>
      </w:r>
    </w:p>
    <w:p w14:paraId="74B949A6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</w:p>
    <w:p w14:paraId="79A736C4">
      <w:pPr>
        <w:numPr>
          <w:ilvl w:val="0"/>
          <w:numId w:val="1"/>
        </w:numPr>
        <w:spacing w:before="204" w:line="360" w:lineRule="auto"/>
        <w:ind w:left="0" w:leftChars="0" w:firstLine="640" w:firstLineChars="0"/>
        <w:jc w:val="left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社会保险基金预算支出情况</w:t>
      </w:r>
    </w:p>
    <w:p w14:paraId="3FFCDB66">
      <w:pPr>
        <w:numPr>
          <w:numId w:val="0"/>
        </w:numPr>
        <w:spacing w:before="204" w:line="360" w:lineRule="auto"/>
        <w:ind w:left="640" w:leftChars="0"/>
        <w:jc w:val="left"/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" w:cs="Times New Roman"/>
          <w:snapToGrid w:val="0"/>
          <w:color w:val="000000"/>
          <w:kern w:val="0"/>
          <w:sz w:val="32"/>
          <w:szCs w:val="32"/>
          <w:lang w:val="en-US" w:eastAsia="zh-CN" w:bidi="ar"/>
        </w:rPr>
        <w:t>本年度无社会保险基金预算支出</w:t>
      </w:r>
    </w:p>
    <w:p w14:paraId="03087A41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566A27A6">
      <w:pPr>
        <w:pStyle w:val="2"/>
        <w:spacing w:before="191" w:line="360" w:lineRule="auto"/>
        <w:ind w:right="311" w:firstLine="560"/>
        <w:rPr>
          <w:color w:val="auto"/>
          <w:spacing w:val="-17"/>
          <w:sz w:val="32"/>
          <w:szCs w:val="32"/>
        </w:rPr>
      </w:pPr>
      <w:r>
        <w:rPr>
          <w:rFonts w:hint="default" w:ascii="Times New Roman" w:hAnsi="Times New Roman" w:eastAsia="宋体" w:cs="Times New Roman"/>
          <w:sz w:val="32"/>
          <w:szCs w:val="32"/>
        </w:rPr>
        <w:t>202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年我</w:t>
      </w:r>
      <w:r>
        <w:rPr>
          <w:rFonts w:hint="eastAsia" w:cs="仿宋"/>
          <w:sz w:val="32"/>
          <w:szCs w:val="32"/>
          <w:lang w:val="en-US" w:eastAsia="zh-CN"/>
        </w:rPr>
        <w:t>站</w:t>
      </w:r>
      <w:r>
        <w:rPr>
          <w:rFonts w:hint="eastAsia" w:ascii="仿宋" w:hAnsi="仿宋" w:eastAsia="仿宋" w:cs="仿宋"/>
          <w:sz w:val="32"/>
          <w:szCs w:val="32"/>
        </w:rPr>
        <w:t>坚持以习近平新时代中国特色社会主义思想为指导，认真学习贯彻习近平总书记考察湖南重要讲话、党的十九大、十九届历次全会精神和省民政工作会议精神，紧紧围绕市委市政府决策部署，牢记民政使命任务，坚持以人民为中心，坚持稳字当头、稳中求进，统筹发展与安全两件大事，守牢安全底线，聚焦特殊群体，聚焦群众关切，积极履行基本民生保障、基层社会治理、基本社会服务职责，较好的完成了年初预期目标任务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根据《部门整体支出绩效自评表》自评分</w:t>
      </w:r>
      <w:r>
        <w:rPr>
          <w:rFonts w:hint="eastAsia" w:ascii="Times New Roman" w:hAnsi="Times New Roman" w:eastAsia="宋体" w:cs="Times New Roman"/>
          <w:color w:val="auto"/>
          <w:sz w:val="32"/>
          <w:szCs w:val="32"/>
          <w:lang w:val="en-US" w:eastAsia="zh-CN"/>
        </w:rPr>
        <w:t>99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分（详见附件</w:t>
      </w:r>
      <w:r>
        <w:rPr>
          <w:rFonts w:hint="default" w:ascii="Times New Roman" w:hAnsi="Times New Roman" w:eastAsia="宋体" w:cs="Times New Roman"/>
          <w:color w:val="auto"/>
          <w:sz w:val="32"/>
          <w:szCs w:val="32"/>
        </w:rPr>
        <w:t>2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），部门整体支出绩效为</w:t>
      </w:r>
      <w:r>
        <w:rPr>
          <w:rFonts w:hint="default" w:ascii="Times New Roman" w:hAnsi="Times New Roman" w:eastAsia="宋体" w:cs="Times New Roman"/>
          <w:color w:val="auto"/>
          <w:sz w:val="32"/>
          <w:szCs w:val="32"/>
        </w:rPr>
        <w:t>“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优</w:t>
      </w:r>
      <w:r>
        <w:rPr>
          <w:rFonts w:hint="default" w:ascii="Times New Roman" w:hAnsi="Times New Roman" w:eastAsia="宋体" w:cs="Times New Roman"/>
          <w:color w:val="auto"/>
          <w:sz w:val="32"/>
          <w:szCs w:val="32"/>
        </w:rPr>
        <w:t>”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。</w:t>
      </w:r>
    </w:p>
    <w:p w14:paraId="4D33A17F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37D681E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因部门整体支出的预算资金安排和使用上仍有不可预见性，还需加强预算管理，科学编制预算。随着群众生活水平的提高，各项专项资金也都迫切要求加大投入。</w:t>
      </w:r>
    </w:p>
    <w:p w14:paraId="113F9186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下一步改进措施</w:t>
      </w:r>
    </w:p>
    <w:p w14:paraId="57134239">
      <w:pPr>
        <w:spacing w:line="360" w:lineRule="auto"/>
        <w:ind w:firstLine="640" w:firstLineChars="200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细化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整体支出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工作，认真做好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整体支出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的编制。进一步加强内部机构的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整体支出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管理意识，严格按照预算编制的相关制度和要求，本着“勤俭节约、保障运转”的原则进行预算的编制；尽可能地全面、不漏项，进一步提高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整体支出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的科学性、合理性、严谨性和可控性。</w:t>
      </w:r>
    </w:p>
    <w:p w14:paraId="37ACA1CA">
      <w:pPr>
        <w:numPr>
          <w:ilvl w:val="0"/>
          <w:numId w:val="3"/>
        </w:numPr>
        <w:spacing w:line="600" w:lineRule="exact"/>
        <w:ind w:left="0" w:leftChars="0"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部门整体支出绩效自评结果拟应用和公开情况</w:t>
      </w:r>
    </w:p>
    <w:p w14:paraId="011455FA">
      <w:pPr>
        <w:pStyle w:val="5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64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绩效自评结果将作为下年部门预算安排的重要依据，与预算调整和项目安排挂钩。拟于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 w:cs="仿宋"/>
          <w:sz w:val="32"/>
          <w:szCs w:val="32"/>
        </w:rPr>
        <w:t>日前在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汨罗市人民政府门户网站</w:t>
      </w:r>
      <w:r>
        <w:rPr>
          <w:rFonts w:hint="eastAsia" w:ascii="仿宋" w:hAnsi="仿宋" w:eastAsia="仿宋" w:cs="仿宋"/>
          <w:sz w:val="32"/>
          <w:szCs w:val="32"/>
        </w:rPr>
        <w:t>上公开，广泛接受群众监督。</w:t>
      </w:r>
    </w:p>
    <w:p w14:paraId="03E13B94">
      <w:pPr>
        <w:spacing w:line="600" w:lineRule="exact"/>
        <w:ind w:firstLine="640" w:firstLineChars="200"/>
        <w:jc w:val="both"/>
        <w:rPr>
          <w:rFonts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3C7E213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无</w:t>
      </w:r>
    </w:p>
    <w:p w14:paraId="0F352781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6E234924">
      <w:pPr>
        <w:spacing w:line="600" w:lineRule="exact"/>
        <w:ind w:firstLine="640" w:firstLineChars="200"/>
        <w:jc w:val="both"/>
        <w:rPr>
          <w:rFonts w:hint="default" w:eastAsia="仿宋_GB2312"/>
          <w:kern w:val="0"/>
          <w:sz w:val="32"/>
          <w:szCs w:val="32"/>
          <w:lang w:val="en-US" w:eastAsia="zh-CN"/>
        </w:rPr>
      </w:pPr>
    </w:p>
    <w:p w14:paraId="74550A2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223B0648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1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、部门整体支出绩效评价基础数据表</w:t>
      </w:r>
    </w:p>
    <w:p w14:paraId="32446569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、部门整体支出绩效自评表</w:t>
      </w:r>
    </w:p>
    <w:p w14:paraId="77C0C86B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、项目支出绩效自评表（每个一级项目支出一张表）</w:t>
      </w:r>
    </w:p>
    <w:p w14:paraId="296CC7B5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4</w:t>
      </w:r>
      <w:r>
        <w:rPr>
          <w:rFonts w:hint="eastAsia" w:eastAsia="仿宋_GB2312"/>
          <w:kern w:val="0"/>
          <w:sz w:val="32"/>
          <w:szCs w:val="32"/>
          <w:lang w:eastAsia="zh-CN"/>
        </w:rPr>
        <w:t>、政府性基金预算支出情况表</w:t>
      </w:r>
    </w:p>
    <w:p w14:paraId="0F7D610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5</w:t>
      </w:r>
      <w:r>
        <w:rPr>
          <w:rFonts w:hint="eastAsia" w:eastAsia="仿宋_GB2312"/>
          <w:kern w:val="0"/>
          <w:sz w:val="32"/>
          <w:szCs w:val="32"/>
          <w:lang w:eastAsia="zh-CN"/>
        </w:rPr>
        <w:t>、国有资本经营预算支出情况表</w:t>
      </w:r>
    </w:p>
    <w:p w14:paraId="026050E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6</w:t>
      </w:r>
      <w:r>
        <w:rPr>
          <w:rFonts w:hint="eastAsia" w:eastAsia="仿宋_GB2312"/>
          <w:kern w:val="0"/>
          <w:sz w:val="32"/>
          <w:szCs w:val="32"/>
          <w:lang w:eastAsia="zh-CN"/>
        </w:rPr>
        <w:t>、社会保险基金预算支出情况表</w:t>
      </w:r>
    </w:p>
    <w:p w14:paraId="36122B9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8C2717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96A870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BBE368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5B053217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57D9EF1E">
      <w:pPr>
        <w:spacing w:line="267" w:lineRule="auto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36B6257A">
      <w:pPr>
        <w:spacing w:line="267" w:lineRule="auto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bookmarkStart w:id="0" w:name="_GoBack"/>
      <w:bookmarkEnd w:id="0"/>
    </w:p>
    <w:p w14:paraId="1A7C30C8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093061A5">
      <w:pPr>
        <w:spacing w:before="201" w:line="578" w:lineRule="exact"/>
        <w:jc w:val="center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3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hint="eastAsia" w:ascii="黑体" w:hAnsi="黑体" w:eastAsia="黑体" w:cs="黑体"/>
          <w:position w:val="10"/>
          <w:sz w:val="42"/>
          <w:szCs w:val="42"/>
          <w:lang w:val="en-US" w:eastAsia="zh-CN"/>
        </w:rPr>
        <w:t>汨罗市救助管理站</w:t>
      </w:r>
      <w:r>
        <w:rPr>
          <w:rFonts w:ascii="Times New Roman" w:hAnsi="Times New Roman" w:eastAsia="Times New Roman" w:cs="Times New Roman"/>
          <w:spacing w:val="42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5035F9FC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032D9877">
      <w:pPr>
        <w:spacing w:line="246" w:lineRule="auto"/>
        <w:rPr>
          <w:rFonts w:ascii="Arial"/>
          <w:sz w:val="21"/>
        </w:rPr>
      </w:pPr>
    </w:p>
    <w:p w14:paraId="3C26564A">
      <w:pPr>
        <w:spacing w:line="246" w:lineRule="auto"/>
        <w:rPr>
          <w:rFonts w:ascii="Arial"/>
          <w:sz w:val="21"/>
        </w:rPr>
      </w:pPr>
    </w:p>
    <w:p w14:paraId="0A3A7E53">
      <w:pPr>
        <w:spacing w:line="246" w:lineRule="auto"/>
        <w:rPr>
          <w:rFonts w:ascii="Arial"/>
          <w:sz w:val="21"/>
        </w:rPr>
      </w:pPr>
    </w:p>
    <w:p w14:paraId="7AB0F11F">
      <w:pPr>
        <w:spacing w:line="246" w:lineRule="auto"/>
        <w:rPr>
          <w:rFonts w:ascii="Arial"/>
          <w:sz w:val="21"/>
        </w:rPr>
      </w:pPr>
    </w:p>
    <w:p w14:paraId="04BC4C29">
      <w:pPr>
        <w:spacing w:line="246" w:lineRule="auto"/>
        <w:rPr>
          <w:rFonts w:ascii="Arial"/>
          <w:sz w:val="21"/>
        </w:rPr>
      </w:pPr>
    </w:p>
    <w:p w14:paraId="55E97675">
      <w:pPr>
        <w:spacing w:line="246" w:lineRule="auto"/>
        <w:rPr>
          <w:rFonts w:ascii="Arial"/>
          <w:sz w:val="21"/>
        </w:rPr>
      </w:pPr>
    </w:p>
    <w:p w14:paraId="3F8CB4A2">
      <w:pPr>
        <w:spacing w:line="246" w:lineRule="auto"/>
        <w:rPr>
          <w:rFonts w:ascii="Arial"/>
          <w:sz w:val="21"/>
        </w:rPr>
      </w:pPr>
    </w:p>
    <w:p w14:paraId="011F14D2">
      <w:pPr>
        <w:spacing w:line="246" w:lineRule="auto"/>
        <w:rPr>
          <w:rFonts w:ascii="Arial"/>
          <w:sz w:val="21"/>
        </w:rPr>
      </w:pPr>
    </w:p>
    <w:p w14:paraId="08934728">
      <w:pPr>
        <w:spacing w:line="246" w:lineRule="auto"/>
        <w:rPr>
          <w:rFonts w:ascii="Arial"/>
          <w:sz w:val="21"/>
        </w:rPr>
      </w:pPr>
    </w:p>
    <w:p w14:paraId="6D5C5D32">
      <w:pPr>
        <w:spacing w:line="246" w:lineRule="auto"/>
        <w:rPr>
          <w:rFonts w:ascii="Arial"/>
          <w:sz w:val="21"/>
        </w:rPr>
      </w:pPr>
    </w:p>
    <w:p w14:paraId="7DDE6D18">
      <w:pPr>
        <w:spacing w:line="246" w:lineRule="auto"/>
        <w:rPr>
          <w:rFonts w:ascii="Arial"/>
          <w:sz w:val="21"/>
        </w:rPr>
      </w:pPr>
    </w:p>
    <w:p w14:paraId="675D20DB">
      <w:pPr>
        <w:spacing w:line="246" w:lineRule="auto"/>
        <w:rPr>
          <w:rFonts w:ascii="Arial"/>
          <w:sz w:val="21"/>
        </w:rPr>
      </w:pPr>
    </w:p>
    <w:p w14:paraId="53DF4336">
      <w:pPr>
        <w:spacing w:line="246" w:lineRule="auto"/>
        <w:rPr>
          <w:rFonts w:ascii="Arial"/>
          <w:sz w:val="21"/>
        </w:rPr>
      </w:pPr>
    </w:p>
    <w:p w14:paraId="68A925AC">
      <w:pPr>
        <w:spacing w:line="246" w:lineRule="auto"/>
        <w:rPr>
          <w:rFonts w:ascii="Arial"/>
          <w:sz w:val="21"/>
        </w:rPr>
      </w:pPr>
    </w:p>
    <w:p w14:paraId="5FBB66BC">
      <w:pPr>
        <w:spacing w:line="246" w:lineRule="auto"/>
        <w:rPr>
          <w:rFonts w:ascii="Arial"/>
          <w:sz w:val="21"/>
        </w:rPr>
      </w:pPr>
    </w:p>
    <w:p w14:paraId="6534BA1F">
      <w:pPr>
        <w:spacing w:line="246" w:lineRule="auto"/>
        <w:rPr>
          <w:rFonts w:ascii="Arial"/>
          <w:sz w:val="21"/>
        </w:rPr>
      </w:pPr>
    </w:p>
    <w:p w14:paraId="25C9C9C9">
      <w:pPr>
        <w:spacing w:line="246" w:lineRule="auto"/>
        <w:rPr>
          <w:rFonts w:ascii="Arial"/>
          <w:sz w:val="21"/>
        </w:rPr>
      </w:pPr>
    </w:p>
    <w:p w14:paraId="2A99ADA6">
      <w:pPr>
        <w:spacing w:line="247" w:lineRule="auto"/>
        <w:rPr>
          <w:rFonts w:ascii="Arial"/>
          <w:sz w:val="21"/>
        </w:rPr>
      </w:pPr>
    </w:p>
    <w:p w14:paraId="33B6F041">
      <w:pPr>
        <w:spacing w:line="247" w:lineRule="auto"/>
        <w:rPr>
          <w:rFonts w:ascii="Arial"/>
          <w:sz w:val="21"/>
        </w:rPr>
      </w:pPr>
    </w:p>
    <w:p w14:paraId="3C923FF6">
      <w:pPr>
        <w:spacing w:line="247" w:lineRule="auto"/>
        <w:rPr>
          <w:rFonts w:ascii="Arial"/>
          <w:sz w:val="21"/>
        </w:rPr>
      </w:pPr>
    </w:p>
    <w:p w14:paraId="05807A9B">
      <w:pPr>
        <w:spacing w:line="247" w:lineRule="auto"/>
        <w:rPr>
          <w:rFonts w:ascii="Arial"/>
          <w:sz w:val="21"/>
        </w:rPr>
      </w:pPr>
    </w:p>
    <w:p w14:paraId="50B78604">
      <w:pPr>
        <w:spacing w:line="247" w:lineRule="auto"/>
        <w:rPr>
          <w:rFonts w:ascii="Arial"/>
          <w:sz w:val="21"/>
        </w:rPr>
      </w:pPr>
    </w:p>
    <w:p w14:paraId="5B205D90">
      <w:pPr>
        <w:spacing w:line="247" w:lineRule="auto"/>
        <w:rPr>
          <w:rFonts w:ascii="Arial"/>
          <w:sz w:val="21"/>
        </w:rPr>
      </w:pPr>
    </w:p>
    <w:p w14:paraId="78E8A7C6">
      <w:pPr>
        <w:spacing w:line="247" w:lineRule="auto"/>
        <w:rPr>
          <w:rFonts w:ascii="Arial"/>
          <w:sz w:val="21"/>
        </w:rPr>
      </w:pPr>
    </w:p>
    <w:p w14:paraId="1A386648">
      <w:pPr>
        <w:spacing w:line="247" w:lineRule="auto"/>
        <w:rPr>
          <w:rFonts w:ascii="Arial"/>
          <w:sz w:val="21"/>
        </w:rPr>
      </w:pPr>
    </w:p>
    <w:p w14:paraId="06115F05">
      <w:pPr>
        <w:spacing w:line="247" w:lineRule="auto"/>
        <w:rPr>
          <w:rFonts w:ascii="Arial"/>
          <w:sz w:val="21"/>
        </w:rPr>
      </w:pPr>
    </w:p>
    <w:p w14:paraId="6D3AA56C">
      <w:pPr>
        <w:spacing w:line="247" w:lineRule="auto"/>
        <w:rPr>
          <w:rFonts w:ascii="Arial"/>
          <w:sz w:val="21"/>
        </w:rPr>
      </w:pPr>
    </w:p>
    <w:p w14:paraId="23C18839">
      <w:pPr>
        <w:spacing w:line="247" w:lineRule="auto"/>
        <w:rPr>
          <w:rFonts w:ascii="Arial"/>
          <w:sz w:val="21"/>
        </w:rPr>
      </w:pPr>
    </w:p>
    <w:p w14:paraId="05C1AC58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6B80A16B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spacing w:val="-13"/>
          <w:position w:val="26"/>
          <w:sz w:val="27"/>
          <w:szCs w:val="27"/>
        </w:rPr>
        <w:t>年   月</w:t>
      </w:r>
      <w:r>
        <w:rPr>
          <w:spacing w:val="12"/>
          <w:position w:val="26"/>
          <w:sz w:val="27"/>
          <w:szCs w:val="27"/>
        </w:rPr>
        <w:t xml:space="preserve">   </w:t>
      </w:r>
      <w:r>
        <w:rPr>
          <w:spacing w:val="-13"/>
          <w:position w:val="26"/>
          <w:sz w:val="27"/>
          <w:szCs w:val="27"/>
        </w:rPr>
        <w:t>日</w:t>
      </w:r>
    </w:p>
    <w:p w14:paraId="7715D00C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22C730C2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28BCDE33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0021A428">
      <w:pPr>
        <w:spacing w:before="190" w:line="227" w:lineRule="auto"/>
        <w:ind w:left="3670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5"/>
          <w:sz w:val="31"/>
          <w:szCs w:val="31"/>
        </w:rPr>
        <w:t>(参考提纲)</w:t>
      </w:r>
    </w:p>
    <w:p w14:paraId="4EB639E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</w:p>
    <w:p w14:paraId="3410CDF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(一)项目支出概况。</w:t>
      </w:r>
      <w:r>
        <w:rPr>
          <w:rFonts w:hint="eastAsia" w:eastAsia="仿宋_GB2312"/>
          <w:kern w:val="0"/>
          <w:sz w:val="32"/>
          <w:szCs w:val="32"/>
          <w:lang w:eastAsia="zh-CN"/>
        </w:rPr>
        <w:t>主要包括项目支出决策背景及其主要内容。</w:t>
      </w:r>
    </w:p>
    <w:p w14:paraId="4FE9CFC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(二)项目资金使用管理情况。</w:t>
      </w:r>
      <w:r>
        <w:rPr>
          <w:rFonts w:hint="eastAsia" w:eastAsia="仿宋_GB2312"/>
          <w:kern w:val="0"/>
          <w:sz w:val="32"/>
          <w:szCs w:val="32"/>
          <w:lang w:val="en-US" w:eastAsia="en-US"/>
        </w:rPr>
        <w:t>主要包括：项目支出组织管 理机构；项目资金和项目管理制度建设，项目资金投向结构合理 性，资金拨付及时性等，项目立项、申报、评审、监督管理、验收等阶段组织实施的合规性等。</w:t>
      </w:r>
    </w:p>
    <w:p w14:paraId="6AC96D0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(三)项目支出绩效目标完成程度</w:t>
      </w:r>
      <w:r>
        <w:rPr>
          <w:rFonts w:ascii="楷体" w:hAnsi="楷体" w:eastAsia="楷体" w:cs="楷体"/>
          <w:b/>
          <w:bCs/>
          <w:spacing w:val="6"/>
          <w:position w:val="16"/>
          <w:sz w:val="31"/>
          <w:szCs w:val="31"/>
        </w:rPr>
        <w:t>。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主要包括绩效总目标和</w:t>
      </w:r>
    </w:p>
    <w:p w14:paraId="093A692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阶段性目标，实现的产出情况和取得的效益情况。</w:t>
      </w:r>
    </w:p>
    <w:p w14:paraId="6732EB4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二、绩效评价工作情况</w:t>
      </w:r>
    </w:p>
    <w:p w14:paraId="3771819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72818C8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1FD1547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1E93AEB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(二)项目执行过程情况</w:t>
      </w:r>
    </w:p>
    <w:p w14:paraId="2FDADA7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(三)项目支出产出情况</w:t>
      </w:r>
    </w:p>
    <w:p w14:paraId="2025BF0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(四)项目支出效益情况</w:t>
      </w:r>
    </w:p>
    <w:p w14:paraId="3A603AC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五、主要经验及做法、存在的问题及原因分析</w:t>
      </w:r>
    </w:p>
    <w:p w14:paraId="71B21CA6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7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可从资金分配和安排，资金指标下达、资金拨付和资金使用 进度，资金使用管理，项目管理，政策适应性等方面概括存在的</w:t>
      </w:r>
    </w:p>
    <w:p w14:paraId="117F410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主要问题。</w:t>
      </w:r>
    </w:p>
    <w:p w14:paraId="58DE129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六、有关建议</w:t>
      </w:r>
    </w:p>
    <w:p w14:paraId="38635C2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七、其他需要说明的问题</w:t>
      </w:r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79E345F1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7E53B648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C3ACCFB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445973CC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608F32C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0AF86AF8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E74798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6D2FB4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0A9D7A9"/>
    <w:multiLevelType w:val="singleLevel"/>
    <w:tmpl w:val="80A9D7A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5F823B7"/>
    <w:multiLevelType w:val="singleLevel"/>
    <w:tmpl w:val="C5F823B7"/>
    <w:lvl w:ilvl="0" w:tentative="0">
      <w:start w:val="2"/>
      <w:numFmt w:val="chineseCounting"/>
      <w:suff w:val="space"/>
      <w:lvlText w:val="(%1)"/>
      <w:lvlJc w:val="left"/>
      <w:rPr>
        <w:rFonts w:hint="eastAsia"/>
      </w:rPr>
    </w:lvl>
  </w:abstractNum>
  <w:abstractNum w:abstractNumId="2">
    <w:nsid w:val="47ADFBAE"/>
    <w:multiLevelType w:val="singleLevel"/>
    <w:tmpl w:val="47ADFBAE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ZDI2NjdiYjcyNDk1ZTU1ZTNlODkyNjE1OWEwN2RkZmEifQ=="/>
  </w:docVars>
  <w:rsids>
    <w:rsidRoot w:val="00000000"/>
    <w:rsid w:val="01AF3811"/>
    <w:rsid w:val="03795BF7"/>
    <w:rsid w:val="05977768"/>
    <w:rsid w:val="086E756B"/>
    <w:rsid w:val="0ACF37E5"/>
    <w:rsid w:val="0B400BC6"/>
    <w:rsid w:val="0E68228D"/>
    <w:rsid w:val="0EA6787F"/>
    <w:rsid w:val="15276E52"/>
    <w:rsid w:val="19D32FBC"/>
    <w:rsid w:val="1E6A4395"/>
    <w:rsid w:val="25557A3D"/>
    <w:rsid w:val="26EA5ED7"/>
    <w:rsid w:val="2775188E"/>
    <w:rsid w:val="27A93B82"/>
    <w:rsid w:val="2AE00186"/>
    <w:rsid w:val="308216BE"/>
    <w:rsid w:val="34FE1149"/>
    <w:rsid w:val="3A550786"/>
    <w:rsid w:val="3B7A130F"/>
    <w:rsid w:val="494A1329"/>
    <w:rsid w:val="4EF16DED"/>
    <w:rsid w:val="4F8B6063"/>
    <w:rsid w:val="52FA3F96"/>
    <w:rsid w:val="55850F17"/>
    <w:rsid w:val="57AE6D93"/>
    <w:rsid w:val="5FB623A7"/>
    <w:rsid w:val="633765AF"/>
    <w:rsid w:val="6AF208ED"/>
    <w:rsid w:val="6AFA59F3"/>
    <w:rsid w:val="6E3851B0"/>
    <w:rsid w:val="71184E25"/>
    <w:rsid w:val="784167CA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8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10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11</Pages>
  <Words>1893</Words>
  <Characters>1955</Characters>
  <TotalTime>0</TotalTime>
  <ScaleCrop>false</ScaleCrop>
  <LinksUpToDate>false</LinksUpToDate>
  <CharactersWithSpaces>2119</CharactersWithSpaces>
  <Application>WPS Office_12.1.0.18608_F1E327BC-269C-435d-A152-05C5408002CA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Administrator</cp:lastModifiedBy>
  <cp:lastPrinted>2024-05-21T14:05:00Z</cp:lastPrinted>
  <dcterms:modified xsi:type="dcterms:W3CDTF">2024-10-22T08:19:57Z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2052-12.1.0.18608</vt:lpwstr>
  </property>
  <property fmtid="{D5CDD505-2E9C-101B-9397-08002B2CF9AE}" pid="6" name="ICV">
    <vt:lpwstr>A1E9AC54BF58440288AD196632C2A254_12</vt:lpwstr>
  </property>
</Properties>
</file>