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A93D77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</w:t>
            </w:r>
          </w:p>
          <w:p w14:paraId="620B89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1050" w:firstLineChars="50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tabs>
                <w:tab w:val="left" w:pos="494"/>
              </w:tabs>
              <w:spacing w:line="240" w:lineRule="auto"/>
              <w:ind w:firstLine="420"/>
              <w:jc w:val="left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ab/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100%</w:t>
            </w: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0.11</w:t>
            </w: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0.9</w:t>
            </w: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630" w:firstLineChars="300"/>
              <w:jc w:val="both"/>
              <w:rPr>
                <w:rFonts w:hint="default" w:ascii="仿宋_GB2312" w:eastAsia="仿宋_GB2312"/>
                <w:kern w:val="0"/>
                <w:lang w:val="en-US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0.073</w:t>
            </w: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0.11</w:t>
            </w: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0.9</w:t>
            </w: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0.073</w:t>
            </w: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38.74</w:t>
            </w: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14.95</w:t>
            </w: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30.9</w:t>
            </w: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1.6</w:t>
            </w: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1.08</w:t>
            </w: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0.99</w:t>
            </w: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3.21</w:t>
            </w: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2.52</w:t>
            </w: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6.7</w:t>
            </w: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</w:t>
            </w: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0.45</w:t>
            </w: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38.7</w:t>
            </w: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color w:val="1F497D" w:themeColor="text2"/>
                <w:kern w:val="0"/>
                <w:shd w:val="clear" w:color="auto" w:fill="auto"/>
                <w:lang w:val="en-US" w:eastAsia="zh-CN"/>
                <w14:textFill>
                  <w14:solidFill>
                    <w14:schemeClr w14:val="tx2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3130</w:t>
            </w: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color w:val="1F497D" w:themeColor="text2"/>
                <w:kern w:val="0"/>
                <w:shd w:val="clear" w:color="auto" w:fill="auto"/>
                <w:lang w:val="en-US" w:eastAsia="zh-CN"/>
                <w14:textFill>
                  <w14:solidFill>
                    <w14:schemeClr w14:val="tx2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9.5</w:t>
            </w: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3A5C959A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张灵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填报日期：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19967000863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何成</w:t>
      </w:r>
    </w:p>
    <w:p w14:paraId="431355F9">
      <w:pPr>
        <w:spacing w:before="117" w:line="219" w:lineRule="auto"/>
        <w:jc w:val="left"/>
        <w:rPr>
          <w:rFonts w:hint="eastAsia" w:ascii="宋体" w:hAnsi="宋体" w:eastAsia="宋体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hint="eastAsia" w:ascii="宋体" w:hAnsi="宋体" w:eastAsia="宋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宋体" w:hAnsi="宋体" w:eastAsia="宋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宋体" w:hAnsi="宋体" w:eastAsia="宋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rFonts w:hint="eastAsia" w:ascii="宋体" w:hAnsi="宋体" w:eastAsia="宋体" w:cs="宋体"/>
          <w:kern w:val="0"/>
          <w:lang w:eastAsia="zh-CN"/>
        </w:rPr>
      </w:pPr>
    </w:p>
    <w:tbl>
      <w:tblPr>
        <w:tblStyle w:val="8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6F5829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汨罗市社会福利院</w:t>
            </w:r>
          </w:p>
        </w:tc>
      </w:tr>
      <w:tr w14:paraId="4B21D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  <w:p w14:paraId="02CC017A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年度预算申请(万元)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得分</w:t>
            </w:r>
          </w:p>
        </w:tc>
      </w:tr>
      <w:tr w14:paraId="3F732A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95.83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95.83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117.58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</w:tr>
      <w:tr w14:paraId="4F5AD2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按支出性质分：</w:t>
            </w:r>
          </w:p>
        </w:tc>
      </w:tr>
      <w:tr w14:paraId="28A908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其中：一般公共预算：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95.83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其中：基本支出：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117.58</w:t>
            </w:r>
          </w:p>
        </w:tc>
      </w:tr>
      <w:tr w14:paraId="0D0A0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800" w:firstLineChars="50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800" w:firstLineChars="50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项目支出：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0</w:t>
            </w:r>
          </w:p>
        </w:tc>
      </w:tr>
      <w:tr w14:paraId="2D56DC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800" w:firstLineChars="50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</w:p>
        </w:tc>
      </w:tr>
      <w:tr w14:paraId="50E858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800" w:firstLineChars="50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0A5B7A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年度总体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实际完成情况</w:t>
            </w:r>
          </w:p>
        </w:tc>
      </w:tr>
      <w:tr w14:paraId="63ABF7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6B92A9B">
            <w:pPr>
              <w:tabs>
                <w:tab w:val="left" w:pos="731"/>
              </w:tabs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ab/>
              <w:t>1、全面落实未成年人救助保护十项工作职责，加强硬件设施建设 。</w:t>
            </w:r>
          </w:p>
          <w:p w14:paraId="69B6EFB3">
            <w:pPr>
              <w:tabs>
                <w:tab w:val="left" w:pos="731"/>
              </w:tabs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2、全面加强监管工作。</w:t>
            </w:r>
          </w:p>
          <w:p w14:paraId="5630C8FD">
            <w:pPr>
              <w:tabs>
                <w:tab w:val="left" w:pos="731"/>
              </w:tabs>
              <w:spacing w:line="240" w:lineRule="auto"/>
              <w:ind w:firstLine="420"/>
              <w:jc w:val="left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3、做好院内日常管理，强化安全生产工作。</w:t>
            </w:r>
          </w:p>
        </w:tc>
        <w:tc>
          <w:tcPr>
            <w:tcW w:w="4260" w:type="dxa"/>
            <w:gridSpan w:val="4"/>
            <w:vAlign w:val="center"/>
          </w:tcPr>
          <w:p w14:paraId="5C877F6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1、进村、进校开展宣传。</w:t>
            </w:r>
          </w:p>
          <w:p w14:paraId="11ECCC43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2、每周巡查，发现问题及时下达整改通知。</w:t>
            </w:r>
          </w:p>
          <w:p w14:paraId="156E0DC0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3、安全生产零事故。</w:t>
            </w:r>
          </w:p>
        </w:tc>
      </w:tr>
      <w:tr w14:paraId="636C45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改进措施</w:t>
            </w:r>
          </w:p>
        </w:tc>
      </w:tr>
      <w:tr w14:paraId="670DB1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(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1298" w:type="dxa"/>
            <w:vAlign w:val="center"/>
          </w:tcPr>
          <w:p w14:paraId="2A374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合理安排支出</w:t>
            </w:r>
          </w:p>
        </w:tc>
        <w:tc>
          <w:tcPr>
            <w:tcW w:w="1269" w:type="dxa"/>
            <w:vAlign w:val="center"/>
          </w:tcPr>
          <w:p w14:paraId="708D7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基本支出117.58万元</w:t>
            </w:r>
          </w:p>
        </w:tc>
        <w:tc>
          <w:tcPr>
            <w:tcW w:w="699" w:type="dxa"/>
            <w:vAlign w:val="center"/>
          </w:tcPr>
          <w:p w14:paraId="567F5E5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717B7C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6AC562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1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对社会老年人、特困人员及未成年对象提供康养服务和临时救助</w:t>
            </w:r>
          </w:p>
        </w:tc>
        <w:tc>
          <w:tcPr>
            <w:tcW w:w="1298" w:type="dxa"/>
            <w:vAlign w:val="center"/>
          </w:tcPr>
          <w:p w14:paraId="1A5AD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对社会老年人、特困人员及未成年对象提供康养服务和临时救助</w:t>
            </w:r>
          </w:p>
        </w:tc>
        <w:tc>
          <w:tcPr>
            <w:tcW w:w="1269" w:type="dxa"/>
            <w:vAlign w:val="center"/>
          </w:tcPr>
          <w:p w14:paraId="54075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保障对社会老年人、特困人员及未成年对象的生活、教育、文化、娱乐服务</w:t>
            </w:r>
          </w:p>
        </w:tc>
        <w:tc>
          <w:tcPr>
            <w:tcW w:w="699" w:type="dxa"/>
            <w:vAlign w:val="center"/>
          </w:tcPr>
          <w:p w14:paraId="5580FC82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0982B111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46490F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53233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生活费用发放</w:t>
            </w:r>
          </w:p>
        </w:tc>
        <w:tc>
          <w:tcPr>
            <w:tcW w:w="1298" w:type="dxa"/>
            <w:vAlign w:val="center"/>
          </w:tcPr>
          <w:p w14:paraId="479FA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按时发放</w:t>
            </w:r>
          </w:p>
        </w:tc>
        <w:tc>
          <w:tcPr>
            <w:tcW w:w="1269" w:type="dxa"/>
            <w:vAlign w:val="center"/>
          </w:tcPr>
          <w:p w14:paraId="5C1B3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按月发放</w:t>
            </w:r>
          </w:p>
        </w:tc>
        <w:tc>
          <w:tcPr>
            <w:tcW w:w="699" w:type="dxa"/>
            <w:vAlign w:val="center"/>
          </w:tcPr>
          <w:p w14:paraId="4C56B99F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5DA34835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4AAD7D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效益指标(30分)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32611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全年无大小安全事故发生</w:t>
            </w:r>
          </w:p>
        </w:tc>
        <w:tc>
          <w:tcPr>
            <w:tcW w:w="1298" w:type="dxa"/>
            <w:vAlign w:val="center"/>
          </w:tcPr>
          <w:p w14:paraId="07828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全年无大小安全事故发生</w:t>
            </w:r>
          </w:p>
        </w:tc>
        <w:tc>
          <w:tcPr>
            <w:tcW w:w="1269" w:type="dxa"/>
            <w:vAlign w:val="center"/>
          </w:tcPr>
          <w:p w14:paraId="7A453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全年无安全事故</w:t>
            </w:r>
          </w:p>
        </w:tc>
        <w:tc>
          <w:tcPr>
            <w:tcW w:w="699" w:type="dxa"/>
            <w:vAlign w:val="center"/>
          </w:tcPr>
          <w:p w14:paraId="415A3F60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AC58B95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29D568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未成年人保护体系建设</w:t>
            </w:r>
          </w:p>
        </w:tc>
        <w:tc>
          <w:tcPr>
            <w:tcW w:w="1298" w:type="dxa"/>
            <w:vAlign w:val="center"/>
          </w:tcPr>
          <w:p w14:paraId="6E8C4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未成年人保护体系建系建设</w:t>
            </w:r>
          </w:p>
        </w:tc>
        <w:tc>
          <w:tcPr>
            <w:tcW w:w="1269" w:type="dxa"/>
            <w:vAlign w:val="center"/>
          </w:tcPr>
          <w:p w14:paraId="48860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构建未成年人保护体系建系</w:t>
            </w:r>
          </w:p>
        </w:tc>
        <w:tc>
          <w:tcPr>
            <w:tcW w:w="699" w:type="dxa"/>
            <w:vAlign w:val="center"/>
          </w:tcPr>
          <w:p w14:paraId="75FAE414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309901E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3330EF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DC60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保护环境</w:t>
            </w:r>
          </w:p>
        </w:tc>
        <w:tc>
          <w:tcPr>
            <w:tcW w:w="1298" w:type="dxa"/>
            <w:vAlign w:val="center"/>
          </w:tcPr>
          <w:p w14:paraId="45B96C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0污染达标</w:t>
            </w:r>
          </w:p>
        </w:tc>
        <w:tc>
          <w:tcPr>
            <w:tcW w:w="1269" w:type="dxa"/>
            <w:vAlign w:val="center"/>
          </w:tcPr>
          <w:p w14:paraId="35C35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实现零排放，无污染垃圾</w:t>
            </w:r>
          </w:p>
        </w:tc>
        <w:tc>
          <w:tcPr>
            <w:tcW w:w="699" w:type="dxa"/>
            <w:vAlign w:val="center"/>
          </w:tcPr>
          <w:p w14:paraId="6A822248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73C931F8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77332E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1B548B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促进社会和谐发展</w:t>
            </w:r>
          </w:p>
        </w:tc>
        <w:tc>
          <w:tcPr>
            <w:tcW w:w="1298" w:type="dxa"/>
            <w:vAlign w:val="center"/>
          </w:tcPr>
          <w:p w14:paraId="055B3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是否带来长期效益</w:t>
            </w:r>
          </w:p>
        </w:tc>
        <w:tc>
          <w:tcPr>
            <w:tcW w:w="1269" w:type="dxa"/>
            <w:vAlign w:val="center"/>
          </w:tcPr>
          <w:p w14:paraId="46B41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长期有效</w:t>
            </w:r>
          </w:p>
        </w:tc>
        <w:tc>
          <w:tcPr>
            <w:tcW w:w="699" w:type="dxa"/>
            <w:vAlign w:val="center"/>
          </w:tcPr>
          <w:p w14:paraId="447C4D9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71C7C72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5D582A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F2AF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服务满意度</w:t>
            </w:r>
          </w:p>
        </w:tc>
        <w:tc>
          <w:tcPr>
            <w:tcW w:w="1298" w:type="dxa"/>
            <w:vAlign w:val="center"/>
          </w:tcPr>
          <w:p w14:paraId="6ABEB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老小服务满意度</w:t>
            </w:r>
          </w:p>
        </w:tc>
        <w:tc>
          <w:tcPr>
            <w:tcW w:w="1269" w:type="dxa"/>
            <w:vAlign w:val="center"/>
          </w:tcPr>
          <w:p w14:paraId="31B5B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服务满意度达95%</w:t>
            </w:r>
          </w:p>
        </w:tc>
        <w:tc>
          <w:tcPr>
            <w:tcW w:w="699" w:type="dxa"/>
            <w:vAlign w:val="center"/>
          </w:tcPr>
          <w:p w14:paraId="41D3F37B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19FFC8CC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278804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基本支出</w:t>
            </w:r>
          </w:p>
        </w:tc>
        <w:tc>
          <w:tcPr>
            <w:tcW w:w="1298" w:type="dxa"/>
            <w:vAlign w:val="center"/>
          </w:tcPr>
          <w:p w14:paraId="15ECA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 xml:space="preserve">基本支出 </w:t>
            </w:r>
          </w:p>
        </w:tc>
        <w:tc>
          <w:tcPr>
            <w:tcW w:w="1269" w:type="dxa"/>
            <w:vAlign w:val="center"/>
          </w:tcPr>
          <w:p w14:paraId="3C328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基本支出117.58万元</w:t>
            </w:r>
          </w:p>
        </w:tc>
        <w:tc>
          <w:tcPr>
            <w:tcW w:w="699" w:type="dxa"/>
            <w:vAlign w:val="center"/>
          </w:tcPr>
          <w:p w14:paraId="42BD2B94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86F4305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690C08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通过未成 年人救助保护的全面实施，保障其合法权益</w:t>
            </w:r>
          </w:p>
        </w:tc>
        <w:tc>
          <w:tcPr>
            <w:tcW w:w="1298" w:type="dxa"/>
            <w:vAlign w:val="center"/>
          </w:tcPr>
          <w:p w14:paraId="09361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通过未成 年人救助保护的全面实施，保障其合法权益</w:t>
            </w:r>
          </w:p>
        </w:tc>
        <w:tc>
          <w:tcPr>
            <w:tcW w:w="1269" w:type="dxa"/>
            <w:vAlign w:val="center"/>
          </w:tcPr>
          <w:p w14:paraId="32DCD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全面宣传</w:t>
            </w:r>
          </w:p>
        </w:tc>
        <w:tc>
          <w:tcPr>
            <w:tcW w:w="699" w:type="dxa"/>
            <w:vAlign w:val="center"/>
          </w:tcPr>
          <w:p w14:paraId="765229A3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4012A71B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249CB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全市未成 年人临时救助</w:t>
            </w:r>
          </w:p>
        </w:tc>
        <w:tc>
          <w:tcPr>
            <w:tcW w:w="1298" w:type="dxa"/>
            <w:vAlign w:val="center"/>
          </w:tcPr>
          <w:p w14:paraId="789CD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保障全市未成 年人临时救助</w:t>
            </w:r>
          </w:p>
        </w:tc>
        <w:tc>
          <w:tcPr>
            <w:tcW w:w="1269" w:type="dxa"/>
            <w:vAlign w:val="center"/>
          </w:tcPr>
          <w:p w14:paraId="4E354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全年临时救助服务3人</w:t>
            </w:r>
          </w:p>
        </w:tc>
        <w:tc>
          <w:tcPr>
            <w:tcW w:w="699" w:type="dxa"/>
            <w:vAlign w:val="center"/>
          </w:tcPr>
          <w:p w14:paraId="6C36DE67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6B31F2AB">
            <w:pPr>
              <w:spacing w:line="240" w:lineRule="auto"/>
              <w:ind w:firstLine="420" w:firstLineChars="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  <w:tr w14:paraId="0565E9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</w:pPr>
          </w:p>
        </w:tc>
      </w:tr>
    </w:tbl>
    <w:p w14:paraId="6F6E73A0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hint="eastAsia" w:ascii="宋体" w:hAnsi="宋体" w:eastAsia="宋体" w:cs="宋体"/>
          <w:snapToGrid w:val="0"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snapToGrid w:val="0"/>
          <w:color w:val="000000"/>
          <w:sz w:val="16"/>
          <w:szCs w:val="16"/>
          <w:lang w:val="en-US" w:eastAsia="zh-CN" w:bidi="ar-SA"/>
        </w:rPr>
        <w:t>填表人：   张灵       填报日期：                联系电话： 19967000863               单位负责人签字：何成</w:t>
      </w:r>
      <w:r>
        <w:rPr>
          <w:rFonts w:hint="eastAsia" w:ascii="宋体" w:hAnsi="宋体" w:eastAsia="宋体" w:cs="宋体"/>
          <w:snapToGrid w:val="0"/>
          <w:color w:val="000000"/>
          <w:sz w:val="24"/>
          <w:szCs w:val="24"/>
          <w:lang w:val="en-US" w:eastAsia="zh-CN" w:bidi="ar-SA"/>
        </w:rPr>
        <w:t xml:space="preserve"> </w:t>
      </w: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hint="eastAsia" w:ascii="仿宋" w:hAnsi="仿宋" w:eastAsia="仿宋" w:cs="仿宋"/>
          <w:snapToGrid w:val="0"/>
          <w:color w:val="000000"/>
          <w:sz w:val="36"/>
          <w:szCs w:val="36"/>
          <w:lang w:val="en-US" w:eastAsia="zh-CN" w:bidi="ar-SA"/>
        </w:rPr>
      </w:pPr>
      <w:r>
        <w:rPr>
          <w:rFonts w:hint="eastAsia" w:ascii="仿宋" w:hAnsi="仿宋" w:eastAsia="仿宋" w:cs="仿宋"/>
          <w:bCs/>
          <w:snapToGrid w:val="0"/>
          <w:color w:val="000000"/>
          <w:spacing w:val="-4"/>
          <w:sz w:val="32"/>
          <w:szCs w:val="32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hint="eastAsia" w:ascii="仿宋" w:hAnsi="仿宋" w:eastAsia="仿宋" w:cs="仿宋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仿宋" w:hAnsi="仿宋" w:eastAsia="仿宋" w:cs="仿宋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仿宋" w:hAnsi="仿宋" w:eastAsia="仿宋" w:cs="仿宋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仿宋" w:hAnsi="仿宋" w:eastAsia="仿宋" w:cs="仿宋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rFonts w:hint="eastAsia" w:ascii="仿宋" w:hAnsi="仿宋" w:eastAsia="仿宋" w:cs="仿宋"/>
          <w:kern w:val="0"/>
          <w:sz w:val="21"/>
          <w:szCs w:val="21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项目资金 (万元)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偏差原因分析及改进措施</w:t>
            </w:r>
          </w:p>
        </w:tc>
      </w:tr>
      <w:tr w14:paraId="0836A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(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0分)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7C29565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4B9394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F49710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450DEC1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5F7B7A4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47B6917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412E1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9D5CE1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A69410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66FD07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221334D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9CCEED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0F41D2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662F704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676686A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0ED4F55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61412C8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D69FB3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3BC31E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5DC8615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25177C6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2036CC2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007D0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A8A9D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5ACF22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4A07E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3797216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9C293E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1620D8F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1CFE771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182C2D1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20090E9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724A960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15D039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C21687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0D16C33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094C7D5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46CE8FD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48414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D9AB2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001EC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3D7B1B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54579AB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E44AA5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0736A6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13AFCFC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5322DFE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5BEADF1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(30分)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50DC120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3928C3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6D883DD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2958485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41D412C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5D804D2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47423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2360D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BA1947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80F7AD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393F243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C0C58B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76658D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3D83AE1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6B84A56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145E24D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73C8CEB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187539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4101F8D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699C14A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0665EFF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27B9758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3673F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B1D636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C76C5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B5E5F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75BCFFE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7BC489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115F4A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063BB88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2493074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7B7FD6F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467C354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86C219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4CA75DE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491BA99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1BF7EB9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5E0A44C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79157E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D1695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48E9A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26F5CF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03E0B68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84DAE2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3E80B33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5B45A60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5506B9D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1E09323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1BFEC1E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48F3A1C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96F13D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49A57C7B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044D5C8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2463F4C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5B248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FB86F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C3FF72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42575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1072249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6FDEFD7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80101B6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08424C6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20F78EF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5EED727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满意度指标(10分)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4471F21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10DB725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65FCC67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29FD5B5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57CE9A5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5D35589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2E92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375ED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C8D4EAC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C89EE4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1703DA9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1AF12BF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17728D0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444A062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371E294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3FF5E01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790F3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F77C2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327F26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5A079A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78B84DF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E84FB5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27CE565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78CED8C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7ED607E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4F5D532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D050142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D8FEFD1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29BFD5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43443E17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1005FDF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61DC1F69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15A677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79BCBEC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7CB491C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7D797644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C28E6A5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52AC4F9E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099" w:type="dxa"/>
            <w:vAlign w:val="center"/>
          </w:tcPr>
          <w:p w14:paraId="0867BB9D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09" w:type="dxa"/>
            <w:vAlign w:val="center"/>
          </w:tcPr>
          <w:p w14:paraId="640DCB80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 w14:paraId="03C9828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hint="eastAsia" w:ascii="仿宋" w:hAnsi="仿宋" w:eastAsia="仿宋" w:cs="仿宋"/>
          <w:kern w:val="0"/>
          <w:sz w:val="21"/>
          <w:szCs w:val="21"/>
          <w:lang w:eastAsia="zh-CN"/>
        </w:rPr>
      </w:pPr>
      <w:r>
        <w:rPr>
          <w:rFonts w:hint="eastAsia" w:ascii="仿宋" w:hAnsi="仿宋" w:eastAsia="仿宋" w:cs="仿宋"/>
          <w:kern w:val="0"/>
          <w:sz w:val="21"/>
          <w:szCs w:val="21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hint="eastAsia" w:ascii="仿宋" w:hAnsi="仿宋" w:eastAsia="仿宋" w:cs="仿宋"/>
          <w:kern w:val="0"/>
          <w:sz w:val="21"/>
          <w:szCs w:val="21"/>
          <w:lang w:eastAsia="zh-CN"/>
        </w:rPr>
      </w:pPr>
    </w:p>
    <w:p w14:paraId="6247ED75">
      <w:pPr>
        <w:rPr>
          <w:rFonts w:hint="eastAsia" w:ascii="仿宋" w:hAnsi="仿宋" w:eastAsia="仿宋" w:cs="仿宋"/>
          <w:sz w:val="22"/>
          <w:szCs w:val="22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" w:hAnsi="仿宋" w:eastAsia="仿宋" w:cs="仿宋"/>
          <w:kern w:val="0"/>
          <w:sz w:val="21"/>
          <w:szCs w:val="21"/>
          <w:lang w:eastAsia="zh-CN"/>
        </w:rPr>
        <w:t xml:space="preserve">填表人：张灵 </w:t>
      </w:r>
      <w:r>
        <w:rPr>
          <w:rFonts w:hint="eastAsia" w:ascii="仿宋" w:hAnsi="仿宋" w:eastAsia="仿宋" w:cs="仿宋"/>
          <w:kern w:val="0"/>
          <w:sz w:val="21"/>
          <w:szCs w:val="21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kern w:val="0"/>
          <w:sz w:val="21"/>
          <w:szCs w:val="21"/>
          <w:lang w:eastAsia="zh-CN"/>
        </w:rPr>
        <w:t xml:space="preserve"> 填报日期：        联系电话：</w:t>
      </w:r>
      <w:r>
        <w:rPr>
          <w:rFonts w:hint="eastAsia" w:ascii="仿宋" w:hAnsi="仿宋" w:eastAsia="仿宋" w:cs="仿宋"/>
          <w:kern w:val="0"/>
          <w:sz w:val="21"/>
          <w:szCs w:val="21"/>
          <w:lang w:val="en-US" w:eastAsia="zh-CN"/>
        </w:rPr>
        <w:t>19967000863</w:t>
      </w:r>
      <w:r>
        <w:rPr>
          <w:rFonts w:hint="eastAsia" w:ascii="仿宋" w:hAnsi="仿宋" w:eastAsia="仿宋" w:cs="仿宋"/>
          <w:kern w:val="0"/>
          <w:sz w:val="21"/>
          <w:szCs w:val="21"/>
          <w:lang w:eastAsia="zh-CN"/>
        </w:rPr>
        <w:t xml:space="preserve">   单位负责人签字:何成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社会福利院(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单位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)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3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ascii="黑体" w:hAnsi="黑体" w:eastAsia="黑体" w:cs="黑体"/>
          <w:b/>
          <w:bCs/>
          <w:spacing w:val="-60"/>
          <w:sz w:val="40"/>
          <w:szCs w:val="40"/>
        </w:rPr>
        <w:t xml:space="preserve"> </w:t>
      </w:r>
      <w:r>
        <w:rPr>
          <w:rFonts w:hint="eastAsia" w:ascii="Times New Roman" w:hAnsi="Times New Roman" w:eastAsia="宋体" w:cs="Times New Roman"/>
          <w:b/>
          <w:bCs/>
          <w:sz w:val="40"/>
          <w:szCs w:val="40"/>
          <w:lang w:eastAsia="zh-CN"/>
        </w:rPr>
        <w:t>汨罗市社会福利院</w:t>
      </w:r>
      <w:r>
        <w:rPr>
          <w:rFonts w:ascii="黑体" w:hAnsi="黑体" w:eastAsia="黑体" w:cs="黑体"/>
          <w:spacing w:val="16"/>
          <w:sz w:val="40"/>
          <w:szCs w:val="40"/>
        </w:rPr>
        <w:t>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D4D64C5">
      <w:pPr>
        <w:numPr>
          <w:ilvl w:val="0"/>
          <w:numId w:val="0"/>
        </w:numPr>
        <w:spacing w:before="104" w:line="360" w:lineRule="auto"/>
        <w:ind w:left="560" w:leftChars="0"/>
        <w:rPr>
          <w:rFonts w:hint="eastAsia" w:ascii="黑体" w:hAnsi="黑体" w:eastAsia="黑体" w:cs="黑体"/>
          <w:b/>
          <w:bCs/>
          <w:spacing w:val="-6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6"/>
          <w:kern w:val="0"/>
          <w:sz w:val="32"/>
          <w:szCs w:val="32"/>
          <w:lang w:val="en-US" w:eastAsia="en-US" w:bidi="ar-SA"/>
        </w:rPr>
        <w:t>一、</w:t>
      </w:r>
      <w:r>
        <w:rPr>
          <w:rFonts w:hint="eastAsia" w:ascii="黑体" w:hAnsi="黑体" w:eastAsia="黑体" w:cs="黑体"/>
          <w:b/>
          <w:bCs/>
          <w:spacing w:val="-6"/>
          <w:sz w:val="32"/>
          <w:szCs w:val="32"/>
        </w:rPr>
        <w:t>部门(单位)基本情况</w:t>
      </w:r>
    </w:p>
    <w:p w14:paraId="1AA77FEB">
      <w:pPr>
        <w:numPr>
          <w:ilvl w:val="0"/>
          <w:numId w:val="0"/>
        </w:numPr>
        <w:spacing w:before="104" w:line="360" w:lineRule="auto"/>
        <w:ind w:firstLine="640" w:firstLineChars="200"/>
        <w:rPr>
          <w:rFonts w:hint="eastAsia" w:ascii="仿宋" w:hAnsi="仿宋" w:eastAsia="仿宋" w:cs="仿宋"/>
          <w:snapToGrid w:val="0"/>
          <w:color w:val="000000"/>
          <w:kern w:val="0"/>
          <w:sz w:val="32"/>
          <w:szCs w:val="32"/>
          <w:lang w:val="en-US" w:eastAsia="en-US" w:bidi="ar"/>
        </w:rPr>
      </w:pPr>
      <w:r>
        <w:rPr>
          <w:rFonts w:hint="eastAsia" w:ascii="仿宋" w:hAnsi="仿宋" w:eastAsia="仿宋" w:cs="仿宋"/>
          <w:snapToGrid w:val="0"/>
          <w:color w:val="000000"/>
          <w:kern w:val="0"/>
          <w:sz w:val="32"/>
          <w:szCs w:val="32"/>
          <w:lang w:val="en-US" w:eastAsia="en-US" w:bidi="ar"/>
        </w:rPr>
        <w:t>汨罗市社会福利院是全额拨款事业单位，隶属于民政局，属民政局二级机构，内设科室分别有办公室、财务室等。</w:t>
      </w:r>
    </w:p>
    <w:p w14:paraId="3C406FEA">
      <w:pPr>
        <w:numPr>
          <w:ilvl w:val="0"/>
          <w:numId w:val="0"/>
        </w:numPr>
        <w:spacing w:before="104" w:line="360" w:lineRule="auto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仿宋" w:hAnsi="仿宋" w:eastAsia="仿宋" w:cs="仿宋"/>
          <w:snapToGrid w:val="0"/>
          <w:color w:val="000000"/>
          <w:kern w:val="0"/>
          <w:sz w:val="32"/>
          <w:szCs w:val="32"/>
          <w:lang w:val="en-US" w:eastAsia="en-US" w:bidi="ar"/>
        </w:rPr>
        <w:t>机构职能：提供收养服务，弘扬救助精神。孤儿与弃婴收养、未成年人救助保护。</w:t>
      </w:r>
    </w:p>
    <w:p w14:paraId="769EA35F">
      <w:pPr>
        <w:spacing w:before="222" w:line="360" w:lineRule="auto"/>
        <w:ind w:left="560"/>
        <w:rPr>
          <w:rFonts w:hint="eastAsia" w:ascii="黑体" w:hAnsi="黑体" w:eastAsia="黑体" w:cs="黑体"/>
          <w:b/>
          <w:bCs/>
          <w:spacing w:val="-1"/>
          <w:position w:val="19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pacing w:val="-1"/>
          <w:position w:val="19"/>
          <w:sz w:val="32"/>
          <w:szCs w:val="32"/>
        </w:rPr>
        <w:t>二、一般公共预算支出情况</w:t>
      </w:r>
    </w:p>
    <w:p w14:paraId="1ADB6F8A">
      <w:pPr>
        <w:pStyle w:val="2"/>
        <w:spacing w:before="1" w:line="360" w:lineRule="auto"/>
        <w:ind w:left="75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(一) 基本支出情况</w:t>
      </w:r>
    </w:p>
    <w:p w14:paraId="56820630">
      <w:pPr>
        <w:pStyle w:val="5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64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基本支出系保障我机构正常运转、完成日常工作任务而发生的各项支出，包括用于在职人员基本工资、津贴补贴等人员经费以及办公费、印刷费、水电费、办公设备购置等日常公用经费。2023年基本支出117.58万元，较上年减少3.86万元，下降3.28%。主要原因为根据“总量控制、计划管理”的要求从严控制行政经费，压缩公务费开支，严格控制“三公”经费，资产的配置，严格政府采购，按照预算科目和项目资金的规定使用财政资金，保障部门整体支出的规范化、制度化。</w:t>
      </w:r>
    </w:p>
    <w:p w14:paraId="5BC74286">
      <w:pPr>
        <w:pStyle w:val="2"/>
        <w:numPr>
          <w:ilvl w:val="0"/>
          <w:numId w:val="1"/>
        </w:numPr>
        <w:spacing w:before="219" w:line="360" w:lineRule="auto"/>
        <w:ind w:left="779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项目支出情况</w:t>
      </w:r>
    </w:p>
    <w:p w14:paraId="4DD40D3C">
      <w:pPr>
        <w:pStyle w:val="2"/>
        <w:numPr>
          <w:ilvl w:val="0"/>
          <w:numId w:val="0"/>
        </w:numPr>
        <w:spacing w:before="219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本年度无项目支出</w:t>
      </w:r>
    </w:p>
    <w:p w14:paraId="490F2845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三、政府性基金预算支出情况</w:t>
      </w:r>
    </w:p>
    <w:p w14:paraId="3701B0ED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本年度无政府性基金预算支出</w:t>
      </w:r>
    </w:p>
    <w:p w14:paraId="621DCD9A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四、国有资本经营预算支出情况</w:t>
      </w:r>
    </w:p>
    <w:p w14:paraId="45FB2B7A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本年度无国有资本经营预算支出</w:t>
      </w:r>
    </w:p>
    <w:p w14:paraId="1CA7E98E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五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en-US" w:bidi="ar-SA"/>
        </w:rPr>
        <w:t>、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社会保险基金预算支出情况</w:t>
      </w:r>
    </w:p>
    <w:p w14:paraId="1DDA8895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本年度无社会保险基金预算支出</w:t>
      </w:r>
    </w:p>
    <w:p w14:paraId="74D5B73F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六、部门整体支出绩效情况</w:t>
      </w:r>
    </w:p>
    <w:p w14:paraId="04957C1B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2023年基本支出117.58万元，较上年减少3.86万元，下降3.28%。其中，主要是工资福利支出数为86.67万元，一般商品服务支出数为30.91万元；对个人和家庭的补助支出为0，与上年基本持平；</w:t>
      </w:r>
    </w:p>
    <w:p w14:paraId="5B977933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三公经费情况：2023年三公经费0.073万元，其中，公务接待费0.073万元，因公出国（境）费0 万元，公务用车购置及运行费0万元。</w:t>
      </w:r>
    </w:p>
    <w:p w14:paraId="07259F52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七、存在的问题及原因分析</w:t>
      </w:r>
    </w:p>
    <w:p w14:paraId="6012E899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1、固定资产管理有待加强，部分固定资产未及时进行报废清理。</w:t>
      </w:r>
    </w:p>
    <w:p w14:paraId="65D6875B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2、因部门整体支出的预算资金安排和使用上仍有不可预见性，还需加强预算管理，科学编制预算。随着群众生活水平的提高，各项专项资金也都迫切要求加大投入。</w:t>
      </w:r>
    </w:p>
    <w:p w14:paraId="3EE345CA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八 、下一步改进措施</w:t>
      </w:r>
    </w:p>
    <w:p w14:paraId="1821C524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(一)加强预算管理，确保项目的科学性。在编制年度预算时，在进行调查研究的基础上，充分论证项目立项的必要性、投入经济性、绩效目标合理性、实施方案可行性，确保项目具有可操作性，项目实施达到预期效果，发挥最大效益。强化预算下达预算执行环节指标使用实现前后对应，为单位进行绩效目标控制管理提供基础保障，提高单位项目支出资金使用、项目实施精细化管理水平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。</w:t>
      </w:r>
    </w:p>
    <w:p w14:paraId="6B5545AE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(二)细化项目管理，确保项目按期实施。项目一经批复各实施部门要认真细化方案，明确责任人，确定项目实施期间:定期开展内部检查，出现不可抗力因素，及时按程序进行必要的调整和变更,同时,做好各项目支出绩效目标执行中的控制管理，建好控制台账，确保资金对应绩效目标执行，强化项目推进过程的管理，确保项目按计划推进。</w:t>
      </w:r>
    </w:p>
    <w:p w14:paraId="280590A2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(三)严格人员管理，提高绩效目标管理水平。加强财务人员培训，熟练掌握预算编制和预算执行等各项政策，严格遵守各项财经纪律，不断提高业务能力,确保预算指标执行过程不交叉不断提高绩效目标管理水平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。</w:t>
      </w:r>
    </w:p>
    <w:p w14:paraId="1B3AB1EC">
      <w:pPr>
        <w:numPr>
          <w:ilvl w:val="0"/>
          <w:numId w:val="0"/>
        </w:numPr>
        <w:spacing w:before="204" w:line="360" w:lineRule="auto"/>
        <w:ind w:left="560" w:leftChars="0" w:firstLine="0" w:firstLineChars="0"/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3"/>
          <w:kern w:val="0"/>
          <w:sz w:val="32"/>
          <w:szCs w:val="32"/>
          <w:lang w:val="en-US" w:eastAsia="zh-CN" w:bidi="ar-SA"/>
        </w:rPr>
        <w:t>九 、部门整体支出绩效自评结果拟应用和公开情况</w:t>
      </w:r>
    </w:p>
    <w:p w14:paraId="5F7D2183">
      <w:pPr>
        <w:pStyle w:val="5"/>
        <w:keepNext w:val="0"/>
        <w:keepLines w:val="0"/>
        <w:widowControl/>
        <w:suppressLineNumbers w:val="0"/>
        <w:spacing w:before="0" w:beforeAutospacing="0" w:after="0" w:afterAutospacing="0" w:line="360" w:lineRule="auto"/>
        <w:ind w:right="0" w:firstLine="1280" w:firstLineChars="400"/>
        <w:jc w:val="both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绩效自评结果将作为下年部门预算安排的重要依据，与预算调整和项目安排挂钩。拟于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6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月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30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日前在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汨罗市人民政府门户网站</w:t>
      </w: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en-US" w:bidi="ar"/>
        </w:rPr>
        <w:t>上公开，广泛接受群众监督</w:t>
      </w:r>
    </w:p>
    <w:p w14:paraId="1D6D6809">
      <w:pPr>
        <w:numPr>
          <w:ilvl w:val="0"/>
          <w:numId w:val="2"/>
        </w:numPr>
        <w:spacing w:before="204" w:line="360" w:lineRule="auto"/>
        <w:ind w:firstLine="622" w:firstLineChars="200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sz w:val="31"/>
          <w:szCs w:val="31"/>
        </w:rPr>
        <w:t>其他需要说明的情况</w:t>
      </w:r>
      <w:bookmarkStart w:id="0" w:name="_GoBack"/>
      <w:bookmarkEnd w:id="0"/>
    </w:p>
    <w:p w14:paraId="0F31CB43">
      <w:pPr>
        <w:numPr>
          <w:numId w:val="0"/>
        </w:numPr>
        <w:spacing w:before="204" w:line="360" w:lineRule="auto"/>
        <w:ind w:firstLine="1600" w:firstLineChars="500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sectPr>
          <w:pgSz w:w="12060" w:h="16950"/>
          <w:pgMar w:top="1440" w:right="1809" w:bottom="1440" w:left="1809" w:header="0" w:footer="0" w:gutter="0"/>
          <w:cols w:space="720" w:num="1"/>
        </w:sect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无</w:t>
      </w:r>
    </w:p>
    <w:p w14:paraId="14F04EE7">
      <w:pPr>
        <w:spacing w:line="600" w:lineRule="exact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BBE368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B05321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1B7A98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6E04F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877AEB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8DD6B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12EF2D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40038B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486EDC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396B61B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EC8C4B6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86B8A0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7D9EF1E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ascii="Times New Roman" w:hAnsi="Times New Roman" w:eastAsia="Times New Roman" w:cs="Times New Roman"/>
          <w:position w:val="10"/>
          <w:sz w:val="42"/>
          <w:szCs w:val="42"/>
        </w:rPr>
        <w:t>XX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5A95B728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0021A428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4EB639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3410CDF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(一)项目支出概况。</w:t>
      </w:r>
      <w:r>
        <w:rPr>
          <w:rFonts w:hint="eastAsia" w:eastAsia="仿宋_GB2312"/>
          <w:kern w:val="0"/>
          <w:sz w:val="32"/>
          <w:szCs w:val="32"/>
          <w:lang w:eastAsia="zh-CN"/>
        </w:rPr>
        <w:t>主要包括项目支出决策背景及其主要内容。</w:t>
      </w:r>
    </w:p>
    <w:p w14:paraId="4FE9CFC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(二)项目资金使用管理情况。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主要包括：项目支出组织管 理机构；项目资金和项目管理制度建设，项目资金投向结构合理 性，资金拨付及时性等，项目立项、申报、评审、监督管理、验收等阶段组织实施的合规性等。</w:t>
      </w:r>
    </w:p>
    <w:p w14:paraId="6AC96D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  <w:r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  <w:t>。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主要包括绩效总目标和</w:t>
      </w:r>
    </w:p>
    <w:p w14:paraId="093A692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阶段性目标，实现的产出情况和取得的效益情况。</w:t>
      </w:r>
    </w:p>
    <w:p w14:paraId="6732EB4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377181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72818C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1FD1547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1E93AEB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2FDADA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(三)项目支出产出情况</w:t>
      </w:r>
    </w:p>
    <w:p w14:paraId="2025BF0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(四)项目支出效益情况</w:t>
      </w:r>
    </w:p>
    <w:p w14:paraId="3A603AC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71B21CA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7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可从资金分配和安排，资金指标下达、资金拨付和资金使用 进度，资金使用管理，项目管理，政策适应性等方面概括存在的</w:t>
      </w:r>
    </w:p>
    <w:p w14:paraId="117F410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主要问题。</w:t>
      </w:r>
    </w:p>
    <w:p w14:paraId="58DE129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6BBCD63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AB01EB"/>
    <w:multiLevelType w:val="singleLevel"/>
    <w:tmpl w:val="C1AB01EB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17C8E1E"/>
    <w:multiLevelType w:val="singleLevel"/>
    <w:tmpl w:val="117C8E1E"/>
    <w:lvl w:ilvl="0" w:tentative="0">
      <w:start w:val="2"/>
      <w:numFmt w:val="chineseCounting"/>
      <w:suff w:val="space"/>
      <w:lvlText w:val="(%1)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jVhYTNiOGI2MDMxYTAzM2E3MzNhY2VhYTIzNGE3M2MifQ=="/>
  </w:docVars>
  <w:rsids>
    <w:rsidRoot w:val="00000000"/>
    <w:rsid w:val="01AF3811"/>
    <w:rsid w:val="03795BF7"/>
    <w:rsid w:val="04C6618C"/>
    <w:rsid w:val="086E756B"/>
    <w:rsid w:val="0ACF37E5"/>
    <w:rsid w:val="0B400BC6"/>
    <w:rsid w:val="0E68228D"/>
    <w:rsid w:val="0EA6787F"/>
    <w:rsid w:val="15276E52"/>
    <w:rsid w:val="19D32FBC"/>
    <w:rsid w:val="1E6A4395"/>
    <w:rsid w:val="25557A3D"/>
    <w:rsid w:val="26EA5ED7"/>
    <w:rsid w:val="275510D2"/>
    <w:rsid w:val="27A93B82"/>
    <w:rsid w:val="2AE00186"/>
    <w:rsid w:val="2EE06CAF"/>
    <w:rsid w:val="308216BE"/>
    <w:rsid w:val="34FE1149"/>
    <w:rsid w:val="3A550786"/>
    <w:rsid w:val="3B7A130F"/>
    <w:rsid w:val="494A1329"/>
    <w:rsid w:val="4F8B6063"/>
    <w:rsid w:val="52FA3F96"/>
    <w:rsid w:val="55850F17"/>
    <w:rsid w:val="576633F4"/>
    <w:rsid w:val="57AE6D93"/>
    <w:rsid w:val="5FB623A7"/>
    <w:rsid w:val="68F759F2"/>
    <w:rsid w:val="6AAE77DC"/>
    <w:rsid w:val="6E3851B0"/>
    <w:rsid w:val="6F321D05"/>
    <w:rsid w:val="784167CA"/>
    <w:rsid w:val="78A92684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8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10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11</Pages>
  <Words>2286</Words>
  <Characters>2443</Characters>
  <TotalTime>0</TotalTime>
  <ScaleCrop>false</ScaleCrop>
  <LinksUpToDate>false</LinksUpToDate>
  <CharactersWithSpaces>2612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Administrator</cp:lastModifiedBy>
  <cp:lastPrinted>2024-05-21T14:05:00Z</cp:lastPrinted>
  <dcterms:modified xsi:type="dcterms:W3CDTF">2024-10-16T02:32:51Z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2052-12.1.0.18276</vt:lpwstr>
  </property>
  <property fmtid="{D5CDD505-2E9C-101B-9397-08002B2CF9AE}" pid="6" name="ICV">
    <vt:lpwstr>A1E9AC54BF58440288AD196632C2A254_12</vt:lpwstr>
  </property>
</Properties>
</file>