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20</w:t>
            </w:r>
          </w:p>
        </w:tc>
        <w:tc>
          <w:tcPr>
            <w:tcW w:w="2039" w:type="dxa"/>
            <w:gridSpan w:val="2"/>
            <w:vAlign w:val="center"/>
          </w:tcPr>
          <w:p w14:paraId="1D47B169">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20</w:t>
            </w:r>
          </w:p>
        </w:tc>
        <w:tc>
          <w:tcPr>
            <w:tcW w:w="1983" w:type="dxa"/>
            <w:gridSpan w:val="2"/>
            <w:vAlign w:val="center"/>
          </w:tcPr>
          <w:p w14:paraId="06F2846E">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100.00%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0.31</w:t>
            </w:r>
          </w:p>
        </w:tc>
        <w:tc>
          <w:tcPr>
            <w:tcW w:w="2039" w:type="dxa"/>
            <w:gridSpan w:val="2"/>
            <w:vAlign w:val="center"/>
          </w:tcPr>
          <w:p w14:paraId="1D6514EA">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w:t>
            </w:r>
          </w:p>
        </w:tc>
        <w:tc>
          <w:tcPr>
            <w:tcW w:w="1983" w:type="dxa"/>
            <w:gridSpan w:val="2"/>
            <w:vAlign w:val="center"/>
          </w:tcPr>
          <w:p w14:paraId="7DFA6482">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0</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keepNext w:val="0"/>
              <w:keepLines w:val="0"/>
              <w:widowControl/>
              <w:suppressLineNumbers w:val="0"/>
              <w:jc w:val="center"/>
              <w:textAlignment w:val="center"/>
              <w:rPr>
                <w:rFonts w:ascii="仿宋_GB2312" w:eastAsia="仿宋_GB2312"/>
                <w:kern w:val="0"/>
                <w:lang w:eastAsia="zh-CN"/>
              </w:rPr>
            </w:pPr>
            <w:r>
              <w:rPr>
                <w:rFonts w:hint="eastAsia" w:ascii="宋体" w:hAnsi="宋体" w:eastAsia="宋体" w:cs="宋体"/>
                <w:i w:val="0"/>
                <w:iCs w:val="0"/>
                <w:snapToGrid w:val="0"/>
                <w:color w:val="000000"/>
                <w:kern w:val="0"/>
                <w:sz w:val="22"/>
                <w:szCs w:val="22"/>
                <w:u w:val="none"/>
                <w:lang w:val="en-US" w:eastAsia="zh-CN" w:bidi="ar"/>
              </w:rPr>
              <w:t>0</w:t>
            </w:r>
          </w:p>
        </w:tc>
        <w:tc>
          <w:tcPr>
            <w:tcW w:w="2039" w:type="dxa"/>
            <w:gridSpan w:val="2"/>
            <w:vAlign w:val="center"/>
          </w:tcPr>
          <w:p w14:paraId="7474BB6E">
            <w:pPr>
              <w:keepNext w:val="0"/>
              <w:keepLines w:val="0"/>
              <w:widowControl/>
              <w:suppressLineNumbers w:val="0"/>
              <w:jc w:val="center"/>
              <w:textAlignment w:val="center"/>
              <w:rPr>
                <w:rFonts w:ascii="仿宋_GB2312" w:eastAsia="仿宋_GB2312"/>
                <w:kern w:val="0"/>
                <w:lang w:eastAsia="zh-CN"/>
              </w:rPr>
            </w:pPr>
            <w:r>
              <w:rPr>
                <w:rFonts w:hint="eastAsia" w:ascii="宋体" w:hAnsi="宋体" w:eastAsia="宋体" w:cs="宋体"/>
                <w:i w:val="0"/>
                <w:iCs w:val="0"/>
                <w:snapToGrid w:val="0"/>
                <w:color w:val="000000"/>
                <w:kern w:val="0"/>
                <w:sz w:val="22"/>
                <w:szCs w:val="22"/>
                <w:u w:val="none"/>
                <w:lang w:val="en-US" w:eastAsia="zh-CN" w:bidi="ar"/>
              </w:rPr>
              <w:t>0</w:t>
            </w:r>
          </w:p>
        </w:tc>
        <w:tc>
          <w:tcPr>
            <w:tcW w:w="1983" w:type="dxa"/>
            <w:gridSpan w:val="2"/>
            <w:vAlign w:val="center"/>
          </w:tcPr>
          <w:p w14:paraId="71BD7494">
            <w:pPr>
              <w:keepNext w:val="0"/>
              <w:keepLines w:val="0"/>
              <w:widowControl/>
              <w:suppressLineNumbers w:val="0"/>
              <w:jc w:val="center"/>
              <w:textAlignment w:val="center"/>
              <w:rPr>
                <w:rFonts w:ascii="仿宋_GB2312" w:eastAsia="仿宋_GB2312"/>
                <w:kern w:val="0"/>
                <w:lang w:eastAsia="zh-CN"/>
              </w:rPr>
            </w:pPr>
            <w:r>
              <w:rPr>
                <w:rFonts w:hint="eastAsia" w:ascii="宋体" w:hAnsi="宋体" w:eastAsia="宋体" w:cs="宋体"/>
                <w:i w:val="0"/>
                <w:iCs w:val="0"/>
                <w:snapToGrid w:val="0"/>
                <w:color w:val="000000"/>
                <w:kern w:val="0"/>
                <w:sz w:val="22"/>
                <w:szCs w:val="22"/>
                <w:u w:val="none"/>
                <w:lang w:val="en-US" w:eastAsia="zh-CN" w:bidi="ar"/>
              </w:rPr>
              <w:t>0</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jc w:val="center"/>
              <w:rPr>
                <w:rFonts w:ascii="仿宋_GB2312" w:eastAsia="仿宋_GB2312"/>
                <w:kern w:val="0"/>
              </w:rPr>
            </w:pPr>
          </w:p>
        </w:tc>
        <w:tc>
          <w:tcPr>
            <w:tcW w:w="2039" w:type="dxa"/>
            <w:gridSpan w:val="2"/>
            <w:vAlign w:val="center"/>
          </w:tcPr>
          <w:p w14:paraId="79420B7F">
            <w:pPr>
              <w:jc w:val="center"/>
              <w:rPr>
                <w:rFonts w:ascii="仿宋_GB2312" w:eastAsia="仿宋_GB2312"/>
                <w:kern w:val="0"/>
              </w:rPr>
            </w:pPr>
          </w:p>
        </w:tc>
        <w:tc>
          <w:tcPr>
            <w:tcW w:w="1983" w:type="dxa"/>
            <w:gridSpan w:val="2"/>
            <w:vAlign w:val="center"/>
          </w:tcPr>
          <w:p w14:paraId="0A161583">
            <w:pPr>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jc w:val="center"/>
              <w:rPr>
                <w:rFonts w:ascii="仿宋_GB2312" w:eastAsia="仿宋_GB2312"/>
                <w:kern w:val="0"/>
              </w:rPr>
            </w:pPr>
          </w:p>
        </w:tc>
        <w:tc>
          <w:tcPr>
            <w:tcW w:w="2039" w:type="dxa"/>
            <w:gridSpan w:val="2"/>
            <w:vAlign w:val="center"/>
          </w:tcPr>
          <w:p w14:paraId="4D0A1ED9">
            <w:pPr>
              <w:jc w:val="center"/>
              <w:rPr>
                <w:rFonts w:ascii="仿宋_GB2312" w:eastAsia="仿宋_GB2312"/>
                <w:kern w:val="0"/>
              </w:rPr>
            </w:pPr>
          </w:p>
        </w:tc>
        <w:tc>
          <w:tcPr>
            <w:tcW w:w="1983" w:type="dxa"/>
            <w:gridSpan w:val="2"/>
            <w:vAlign w:val="center"/>
          </w:tcPr>
          <w:p w14:paraId="5A740743">
            <w:pPr>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jc w:val="center"/>
              <w:rPr>
                <w:rFonts w:ascii="仿宋_GB2312" w:eastAsia="仿宋_GB2312"/>
                <w:kern w:val="0"/>
              </w:rPr>
            </w:pPr>
          </w:p>
        </w:tc>
        <w:tc>
          <w:tcPr>
            <w:tcW w:w="2039" w:type="dxa"/>
            <w:gridSpan w:val="2"/>
            <w:vAlign w:val="center"/>
          </w:tcPr>
          <w:p w14:paraId="402D38BC">
            <w:pPr>
              <w:jc w:val="center"/>
              <w:rPr>
                <w:rFonts w:ascii="仿宋_GB2312" w:eastAsia="仿宋_GB2312"/>
                <w:kern w:val="0"/>
              </w:rPr>
            </w:pPr>
          </w:p>
        </w:tc>
        <w:tc>
          <w:tcPr>
            <w:tcW w:w="1983" w:type="dxa"/>
            <w:gridSpan w:val="2"/>
            <w:vAlign w:val="center"/>
          </w:tcPr>
          <w:p w14:paraId="0229920A">
            <w:pPr>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0.31</w:t>
            </w:r>
          </w:p>
        </w:tc>
        <w:tc>
          <w:tcPr>
            <w:tcW w:w="2039" w:type="dxa"/>
            <w:gridSpan w:val="2"/>
            <w:vAlign w:val="center"/>
          </w:tcPr>
          <w:p w14:paraId="672289AD">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w:t>
            </w:r>
          </w:p>
        </w:tc>
        <w:tc>
          <w:tcPr>
            <w:tcW w:w="1983" w:type="dxa"/>
            <w:gridSpan w:val="2"/>
            <w:vAlign w:val="center"/>
          </w:tcPr>
          <w:p w14:paraId="7985B411">
            <w:pPr>
              <w:jc w:val="center"/>
              <w:rPr>
                <w:rFonts w:ascii="仿宋_GB2312" w:eastAsia="仿宋_GB2312"/>
                <w:kern w:val="0"/>
              </w:rPr>
            </w:pP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20</w:t>
            </w:r>
          </w:p>
        </w:tc>
        <w:tc>
          <w:tcPr>
            <w:tcW w:w="2039" w:type="dxa"/>
            <w:gridSpan w:val="2"/>
            <w:vAlign w:val="center"/>
          </w:tcPr>
          <w:p w14:paraId="56A401C1">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140</w:t>
            </w:r>
          </w:p>
        </w:tc>
        <w:tc>
          <w:tcPr>
            <w:tcW w:w="1983" w:type="dxa"/>
            <w:gridSpan w:val="2"/>
            <w:vAlign w:val="center"/>
          </w:tcPr>
          <w:p w14:paraId="7E496EB6">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140</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jc w:val="center"/>
              <w:rPr>
                <w:rFonts w:ascii="仿宋_GB2312" w:eastAsia="仿宋_GB2312"/>
                <w:kern w:val="0"/>
              </w:rPr>
            </w:pPr>
          </w:p>
        </w:tc>
        <w:tc>
          <w:tcPr>
            <w:tcW w:w="2039" w:type="dxa"/>
            <w:gridSpan w:val="2"/>
            <w:vAlign w:val="center"/>
          </w:tcPr>
          <w:p w14:paraId="142DDA3A">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120</w:t>
            </w:r>
          </w:p>
        </w:tc>
        <w:tc>
          <w:tcPr>
            <w:tcW w:w="1983" w:type="dxa"/>
            <w:gridSpan w:val="2"/>
            <w:vAlign w:val="center"/>
          </w:tcPr>
          <w:p w14:paraId="2E8DC00D">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120</w:t>
            </w: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20</w:t>
            </w:r>
          </w:p>
        </w:tc>
        <w:tc>
          <w:tcPr>
            <w:tcW w:w="2039" w:type="dxa"/>
            <w:gridSpan w:val="2"/>
            <w:vAlign w:val="center"/>
          </w:tcPr>
          <w:p w14:paraId="31C696EB">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20</w:t>
            </w:r>
          </w:p>
        </w:tc>
        <w:tc>
          <w:tcPr>
            <w:tcW w:w="1983" w:type="dxa"/>
            <w:gridSpan w:val="2"/>
            <w:vAlign w:val="center"/>
          </w:tcPr>
          <w:p w14:paraId="1F7D72B8">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20</w:t>
            </w: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jc w:val="center"/>
              <w:rPr>
                <w:rFonts w:ascii="仿宋_GB2312" w:eastAsia="仿宋_GB2312"/>
                <w:kern w:val="0"/>
                <w:lang w:eastAsia="zh-CN"/>
              </w:rPr>
            </w:pPr>
          </w:p>
        </w:tc>
        <w:tc>
          <w:tcPr>
            <w:tcW w:w="2039" w:type="dxa"/>
            <w:gridSpan w:val="2"/>
            <w:vAlign w:val="center"/>
          </w:tcPr>
          <w:p w14:paraId="18F75CDE">
            <w:pPr>
              <w:jc w:val="center"/>
              <w:rPr>
                <w:rFonts w:ascii="仿宋_GB2312" w:eastAsia="仿宋_GB2312"/>
                <w:kern w:val="0"/>
                <w:lang w:eastAsia="zh-CN"/>
              </w:rPr>
            </w:pPr>
          </w:p>
        </w:tc>
        <w:tc>
          <w:tcPr>
            <w:tcW w:w="1983" w:type="dxa"/>
            <w:gridSpan w:val="2"/>
            <w:vAlign w:val="center"/>
          </w:tcPr>
          <w:p w14:paraId="4D19413F">
            <w:pPr>
              <w:jc w:val="center"/>
              <w:rPr>
                <w:rFonts w:ascii="仿宋_GB2312" w:eastAsia="仿宋_GB2312"/>
                <w:kern w:val="0"/>
                <w:lang w:eastAsia="zh-CN"/>
              </w:rPr>
            </w:pP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jc w:val="center"/>
              <w:rPr>
                <w:rFonts w:ascii="仿宋_GB2312" w:eastAsia="仿宋_GB2312"/>
                <w:kern w:val="0"/>
              </w:rPr>
            </w:pPr>
          </w:p>
        </w:tc>
        <w:tc>
          <w:tcPr>
            <w:tcW w:w="2039" w:type="dxa"/>
            <w:gridSpan w:val="2"/>
            <w:vAlign w:val="center"/>
          </w:tcPr>
          <w:p w14:paraId="050E075D">
            <w:pPr>
              <w:jc w:val="center"/>
              <w:rPr>
                <w:rFonts w:ascii="仿宋_GB2312" w:eastAsia="仿宋_GB2312"/>
                <w:kern w:val="0"/>
              </w:rPr>
            </w:pPr>
          </w:p>
        </w:tc>
        <w:tc>
          <w:tcPr>
            <w:tcW w:w="1983" w:type="dxa"/>
            <w:gridSpan w:val="2"/>
            <w:vAlign w:val="center"/>
          </w:tcPr>
          <w:p w14:paraId="7357305D">
            <w:pPr>
              <w:jc w:val="center"/>
              <w:rPr>
                <w:rFonts w:ascii="仿宋_GB2312" w:eastAsia="仿宋_GB2312"/>
                <w:kern w:val="0"/>
              </w:rPr>
            </w:pP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w:t>
            </w:r>
          </w:p>
        </w:tc>
        <w:tc>
          <w:tcPr>
            <w:tcW w:w="2039" w:type="dxa"/>
            <w:gridSpan w:val="2"/>
            <w:vAlign w:val="center"/>
          </w:tcPr>
          <w:p w14:paraId="7BB02F1D">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2.4</w:t>
            </w:r>
          </w:p>
        </w:tc>
        <w:tc>
          <w:tcPr>
            <w:tcW w:w="1983" w:type="dxa"/>
            <w:gridSpan w:val="2"/>
            <w:vAlign w:val="center"/>
          </w:tcPr>
          <w:p w14:paraId="087A3549">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1.93</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1.52</w:t>
            </w:r>
          </w:p>
        </w:tc>
        <w:tc>
          <w:tcPr>
            <w:tcW w:w="2039" w:type="dxa"/>
            <w:gridSpan w:val="2"/>
            <w:vAlign w:val="center"/>
          </w:tcPr>
          <w:p w14:paraId="31E21FE8">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5.6</w:t>
            </w:r>
          </w:p>
        </w:tc>
        <w:tc>
          <w:tcPr>
            <w:tcW w:w="1983" w:type="dxa"/>
            <w:gridSpan w:val="2"/>
            <w:vAlign w:val="center"/>
          </w:tcPr>
          <w:p w14:paraId="4FD74531">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1.03</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0.39</w:t>
            </w:r>
          </w:p>
        </w:tc>
        <w:tc>
          <w:tcPr>
            <w:tcW w:w="2039" w:type="dxa"/>
            <w:gridSpan w:val="2"/>
            <w:vAlign w:val="center"/>
          </w:tcPr>
          <w:p w14:paraId="467174B3">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2</w:t>
            </w:r>
          </w:p>
        </w:tc>
        <w:tc>
          <w:tcPr>
            <w:tcW w:w="1983" w:type="dxa"/>
            <w:gridSpan w:val="2"/>
            <w:vAlign w:val="center"/>
          </w:tcPr>
          <w:p w14:paraId="550E4F9D">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0.27</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71.04</w:t>
            </w:r>
          </w:p>
        </w:tc>
        <w:tc>
          <w:tcPr>
            <w:tcW w:w="2039" w:type="dxa"/>
            <w:gridSpan w:val="2"/>
            <w:vAlign w:val="center"/>
          </w:tcPr>
          <w:p w14:paraId="18AD1802">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33.6</w:t>
            </w:r>
          </w:p>
        </w:tc>
        <w:tc>
          <w:tcPr>
            <w:tcW w:w="1983" w:type="dxa"/>
            <w:gridSpan w:val="2"/>
            <w:vAlign w:val="center"/>
          </w:tcPr>
          <w:p w14:paraId="4363E711">
            <w:pPr>
              <w:keepNext w:val="0"/>
              <w:keepLines w:val="0"/>
              <w:widowControl/>
              <w:suppressLineNumbers w:val="0"/>
              <w:jc w:val="center"/>
              <w:textAlignment w:val="center"/>
              <w:rPr>
                <w:rFonts w:ascii="仿宋_GB2312" w:eastAsia="仿宋_GB2312"/>
                <w:kern w:val="0"/>
              </w:rPr>
            </w:pPr>
            <w:r>
              <w:rPr>
                <w:rFonts w:hint="eastAsia" w:ascii="宋体" w:hAnsi="宋体" w:eastAsia="宋体" w:cs="宋体"/>
                <w:i w:val="0"/>
                <w:iCs w:val="0"/>
                <w:snapToGrid w:val="0"/>
                <w:color w:val="000000"/>
                <w:kern w:val="0"/>
                <w:sz w:val="22"/>
                <w:szCs w:val="22"/>
                <w:u w:val="none"/>
                <w:lang w:val="en-US" w:eastAsia="zh-CN" w:bidi="ar"/>
              </w:rPr>
              <w:t>31.38</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jc w:val="center"/>
              <w:rPr>
                <w:rFonts w:ascii="仿宋_GB2312" w:eastAsia="仿宋_GB2312"/>
                <w:kern w:val="0"/>
                <w:lang w:eastAsia="zh-CN"/>
              </w:rPr>
            </w:pPr>
          </w:p>
        </w:tc>
        <w:tc>
          <w:tcPr>
            <w:tcW w:w="2039" w:type="dxa"/>
            <w:gridSpan w:val="2"/>
            <w:vAlign w:val="center"/>
          </w:tcPr>
          <w:p w14:paraId="50A3B14E">
            <w:pPr>
              <w:jc w:val="center"/>
              <w:rPr>
                <w:rFonts w:ascii="仿宋_GB2312" w:eastAsia="仿宋_GB2312"/>
                <w:kern w:val="0"/>
                <w:lang w:eastAsia="zh-CN"/>
              </w:rPr>
            </w:pPr>
          </w:p>
        </w:tc>
        <w:tc>
          <w:tcPr>
            <w:tcW w:w="1983" w:type="dxa"/>
            <w:gridSpan w:val="2"/>
            <w:vAlign w:val="center"/>
          </w:tcPr>
          <w:p w14:paraId="5A7B6931">
            <w:pPr>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958" w:type="dxa"/>
            <w:vAlign w:val="center"/>
          </w:tcPr>
          <w:p w14:paraId="2016690B">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960" w:type="dxa"/>
            <w:vAlign w:val="center"/>
          </w:tcPr>
          <w:p w14:paraId="4D734BF4">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1079" w:type="dxa"/>
            <w:vAlign w:val="center"/>
          </w:tcPr>
          <w:p w14:paraId="5567D620">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1039" w:type="dxa"/>
            <w:vAlign w:val="center"/>
          </w:tcPr>
          <w:p w14:paraId="31CE4E43">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944" w:type="dxa"/>
            <w:vAlign w:val="center"/>
          </w:tcPr>
          <w:p w14:paraId="62FE64A2">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r>
              <w:rPr>
                <w:rFonts w:hint="eastAsia" w:ascii="Arial" w:hAnsi="Arial" w:eastAsia="Arial" w:cs="Arial"/>
                <w:snapToGrid w:val="0"/>
                <w:color w:val="000000"/>
                <w:sz w:val="21"/>
                <w:szCs w:val="21"/>
                <w:lang w:val="en-US" w:eastAsia="en-US" w:bidi="ar-SA"/>
              </w:rPr>
              <w:t>严格执行中央八项规定，坚持厉行节约工作要求。</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48E6E0F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49DCD24">
      <w:pPr>
        <w:spacing w:line="240" w:lineRule="auto"/>
        <w:jc w:val="left"/>
        <w:rPr>
          <w:rFonts w:hint="eastAsia" w:ascii="仿宋_GB2312" w:hAnsi="宋体" w:eastAsia="仿宋_GB2312" w:cs="宋体"/>
          <w:kern w:val="0"/>
          <w:sz w:val="21"/>
          <w:szCs w:val="21"/>
          <w:lang w:eastAsia="zh-CN"/>
        </w:rPr>
        <w:sectPr>
          <w:footerReference r:id="rId5" w:type="default"/>
          <w:footerReference r:id="rId6" w:type="even"/>
          <w:pgSz w:w="11907" w:h="16839"/>
          <w:pgMar w:top="2098" w:right="1474" w:bottom="1417" w:left="1474" w:header="0" w:footer="1588" w:gutter="0"/>
          <w:pgNumType w:fmt="numberInDash"/>
          <w:cols w:space="720" w:num="1"/>
          <w:titlePg/>
          <w:docGrid w:linePitch="286" w:charSpace="0"/>
        </w:sectPr>
      </w:pPr>
      <w:r>
        <w:rPr>
          <w:rFonts w:hint="eastAsia" w:ascii="仿宋_GB2312" w:hAnsi="宋体" w:eastAsia="仿宋_GB2312" w:cs="宋体"/>
          <w:kern w:val="0"/>
          <w:sz w:val="21"/>
          <w:szCs w:val="21"/>
          <w:lang w:eastAsia="zh-CN"/>
        </w:rPr>
        <w:t xml:space="preserve">填表人：易红武  </w:t>
      </w:r>
      <w:r>
        <w:rPr>
          <w:rFonts w:hint="eastAsia" w:ascii="仿宋_GB2312" w:hAnsi="宋体" w:eastAsia="仿宋_GB2312" w:cs="宋体"/>
          <w:kern w:val="0"/>
          <w:sz w:val="21"/>
          <w:szCs w:val="21"/>
          <w:lang w:val="en-US" w:eastAsia="zh-CN"/>
        </w:rPr>
        <w:t xml:space="preserve"> </w:t>
      </w:r>
      <w:r>
        <w:rPr>
          <w:rFonts w:hint="eastAsia" w:ascii="仿宋_GB2312" w:hAnsi="宋体" w:eastAsia="仿宋_GB2312" w:cs="宋体"/>
          <w:kern w:val="0"/>
          <w:sz w:val="21"/>
          <w:szCs w:val="21"/>
          <w:lang w:eastAsia="zh-CN"/>
        </w:rPr>
        <w:t xml:space="preserve">报日期：2024.10.15  </w:t>
      </w:r>
      <w:r>
        <w:rPr>
          <w:rFonts w:hint="eastAsia" w:ascii="仿宋_GB2312" w:hAnsi="宋体" w:eastAsia="仿宋_GB2312" w:cs="宋体"/>
          <w:kern w:val="0"/>
          <w:sz w:val="21"/>
          <w:szCs w:val="21"/>
          <w:lang w:val="en-US" w:eastAsia="zh-CN"/>
        </w:rPr>
        <w:t xml:space="preserve"> </w:t>
      </w:r>
      <w:r>
        <w:rPr>
          <w:rFonts w:hint="eastAsia" w:ascii="仿宋_GB2312" w:hAnsi="宋体" w:eastAsia="仿宋_GB2312" w:cs="宋体"/>
          <w:kern w:val="0"/>
          <w:sz w:val="21"/>
          <w:szCs w:val="21"/>
          <w:lang w:eastAsia="zh-CN"/>
        </w:rPr>
        <w:t xml:space="preserve"> 联系电话：13874088758  </w:t>
      </w:r>
      <w:r>
        <w:rPr>
          <w:rFonts w:hint="eastAsia" w:ascii="仿宋_GB2312" w:hAnsi="宋体" w:eastAsia="仿宋_GB2312" w:cs="宋体"/>
          <w:kern w:val="0"/>
          <w:sz w:val="21"/>
          <w:szCs w:val="21"/>
          <w:lang w:val="en-US" w:eastAsia="zh-CN"/>
        </w:rPr>
        <w:t xml:space="preserve"> </w:t>
      </w:r>
      <w:r>
        <w:rPr>
          <w:rFonts w:hint="eastAsia" w:ascii="仿宋_GB2312" w:hAnsi="宋体" w:eastAsia="仿宋_GB2312" w:cs="宋体"/>
          <w:kern w:val="0"/>
          <w:sz w:val="21"/>
          <w:szCs w:val="21"/>
          <w:lang w:eastAsia="zh-CN"/>
        </w:rPr>
        <w:t xml:space="preserve"> 单位负责人签字:吴飞虹</w:t>
      </w: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tabs>
                <w:tab w:val="left" w:pos="2222"/>
              </w:tabs>
              <w:spacing w:line="240" w:lineRule="auto"/>
              <w:ind w:firstLine="420"/>
              <w:jc w:val="left"/>
              <w:rPr>
                <w:rFonts w:hint="eastAsia" w:ascii="仿宋_GB2312" w:eastAsia="仿宋_GB2312"/>
                <w:kern w:val="0"/>
                <w:lang w:eastAsia="zh-CN"/>
              </w:rPr>
            </w:pPr>
            <w:r>
              <w:rPr>
                <w:rFonts w:hint="eastAsia" w:ascii="仿宋_GB2312" w:eastAsia="仿宋_GB2312"/>
                <w:kern w:val="0"/>
                <w:lang w:eastAsia="zh-CN"/>
              </w:rPr>
              <w:tab/>
            </w:r>
            <w:r>
              <w:rPr>
                <w:rFonts w:hint="eastAsia" w:ascii="仿宋_GB2312" w:eastAsia="仿宋_GB2312"/>
                <w:kern w:val="0"/>
                <w:lang w:eastAsia="zh-CN"/>
              </w:rPr>
              <w:t>汨罗市城市公用事业服务中心</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keepNext w:val="0"/>
              <w:keepLines w:val="0"/>
              <w:widowControl/>
              <w:suppressLineNumbers w:val="0"/>
              <w:jc w:val="center"/>
              <w:textAlignment w:val="center"/>
              <w:rPr>
                <w:rFonts w:ascii="仿宋_GB2312" w:eastAsia="仿宋_GB2312"/>
                <w:kern w:val="0"/>
              </w:rPr>
            </w:pPr>
            <w:r>
              <w:rPr>
                <w:rFonts w:hint="default" w:ascii="Times New Roman" w:hAnsi="Times New Roman" w:eastAsia="宋体" w:cs="Times New Roman"/>
                <w:i w:val="0"/>
                <w:iCs w:val="0"/>
                <w:snapToGrid w:val="0"/>
                <w:color w:val="000000"/>
                <w:kern w:val="0"/>
                <w:sz w:val="20"/>
                <w:szCs w:val="20"/>
                <w:u w:val="none"/>
                <w:lang w:val="en-US" w:eastAsia="zh-CN" w:bidi="ar"/>
              </w:rPr>
              <w:t>263.7</w:t>
            </w:r>
          </w:p>
        </w:tc>
        <w:tc>
          <w:tcPr>
            <w:tcW w:w="1298" w:type="dxa"/>
            <w:vAlign w:val="center"/>
          </w:tcPr>
          <w:p w14:paraId="78350D28">
            <w:pPr>
              <w:keepNext w:val="0"/>
              <w:keepLines w:val="0"/>
              <w:widowControl/>
              <w:suppressLineNumbers w:val="0"/>
              <w:jc w:val="center"/>
              <w:textAlignment w:val="center"/>
              <w:rPr>
                <w:rFonts w:ascii="仿宋_GB2312" w:eastAsia="仿宋_GB2312"/>
                <w:kern w:val="0"/>
              </w:rPr>
            </w:pPr>
            <w:r>
              <w:rPr>
                <w:rFonts w:hint="default" w:ascii="Times New Roman" w:hAnsi="Times New Roman" w:eastAsia="宋体" w:cs="Times New Roman"/>
                <w:i w:val="0"/>
                <w:iCs w:val="0"/>
                <w:snapToGrid w:val="0"/>
                <w:color w:val="000000"/>
                <w:kern w:val="0"/>
                <w:sz w:val="20"/>
                <w:szCs w:val="20"/>
                <w:u w:val="none"/>
                <w:lang w:val="en-US" w:eastAsia="zh-CN" w:bidi="ar"/>
              </w:rPr>
              <w:t>365.66</w:t>
            </w:r>
          </w:p>
        </w:tc>
        <w:tc>
          <w:tcPr>
            <w:tcW w:w="1269" w:type="dxa"/>
            <w:vAlign w:val="center"/>
          </w:tcPr>
          <w:p w14:paraId="5FDA3D24">
            <w:pPr>
              <w:keepNext w:val="0"/>
              <w:keepLines w:val="0"/>
              <w:widowControl/>
              <w:suppressLineNumbers w:val="0"/>
              <w:jc w:val="center"/>
              <w:textAlignment w:val="center"/>
              <w:rPr>
                <w:rFonts w:ascii="仿宋_GB2312" w:eastAsia="仿宋_GB2312"/>
                <w:kern w:val="0"/>
              </w:rPr>
            </w:pPr>
            <w:r>
              <w:rPr>
                <w:rFonts w:hint="default" w:ascii="Times New Roman" w:hAnsi="Times New Roman" w:eastAsia="宋体" w:cs="Times New Roman"/>
                <w:i w:val="0"/>
                <w:iCs w:val="0"/>
                <w:snapToGrid w:val="0"/>
                <w:color w:val="000000"/>
                <w:kern w:val="0"/>
                <w:sz w:val="20"/>
                <w:szCs w:val="20"/>
                <w:u w:val="none"/>
                <w:lang w:val="en-US" w:eastAsia="zh-CN" w:bidi="ar"/>
              </w:rPr>
              <w:t>365.66</w:t>
            </w:r>
          </w:p>
        </w:tc>
        <w:tc>
          <w:tcPr>
            <w:tcW w:w="699" w:type="dxa"/>
            <w:vAlign w:val="center"/>
          </w:tcPr>
          <w:p w14:paraId="47D16717">
            <w:pPr>
              <w:keepNext w:val="0"/>
              <w:keepLines w:val="0"/>
              <w:widowControl/>
              <w:suppressLineNumbers w:val="0"/>
              <w:jc w:val="center"/>
              <w:textAlignment w:val="center"/>
              <w:rPr>
                <w:rFonts w:ascii="仿宋_GB2312" w:eastAsia="仿宋_GB2312"/>
                <w:kern w:val="0"/>
              </w:rPr>
            </w:pPr>
            <w:r>
              <w:rPr>
                <w:rFonts w:hint="default" w:ascii="Times New Roman" w:hAnsi="Times New Roman" w:eastAsia="宋体" w:cs="Times New Roman"/>
                <w:i w:val="0"/>
                <w:iCs w:val="0"/>
                <w:snapToGrid w:val="0"/>
                <w:color w:val="000000"/>
                <w:kern w:val="0"/>
                <w:sz w:val="20"/>
                <w:szCs w:val="20"/>
                <w:u w:val="none"/>
                <w:lang w:val="en-US" w:eastAsia="zh-CN" w:bidi="ar"/>
              </w:rPr>
              <w:t>10</w:t>
            </w:r>
          </w:p>
        </w:tc>
        <w:tc>
          <w:tcPr>
            <w:tcW w:w="869" w:type="dxa"/>
            <w:vAlign w:val="center"/>
          </w:tcPr>
          <w:p w14:paraId="0424998F">
            <w:pPr>
              <w:keepNext w:val="0"/>
              <w:keepLines w:val="0"/>
              <w:widowControl/>
              <w:suppressLineNumbers w:val="0"/>
              <w:jc w:val="center"/>
              <w:textAlignment w:val="center"/>
              <w:rPr>
                <w:rFonts w:ascii="仿宋_GB2312" w:eastAsia="仿宋_GB2312"/>
                <w:kern w:val="0"/>
              </w:rPr>
            </w:pPr>
            <w:r>
              <w:rPr>
                <w:rFonts w:hint="default" w:ascii="Times New Roman" w:hAnsi="Times New Roman" w:eastAsia="宋体" w:cs="Times New Roman"/>
                <w:i w:val="0"/>
                <w:iCs w:val="0"/>
                <w:snapToGrid w:val="0"/>
                <w:color w:val="000000"/>
                <w:kern w:val="0"/>
                <w:sz w:val="20"/>
                <w:szCs w:val="20"/>
                <w:u w:val="none"/>
                <w:lang w:val="en-US" w:eastAsia="zh-CN" w:bidi="ar"/>
              </w:rPr>
              <w:t>100.00%</w:t>
            </w:r>
          </w:p>
        </w:tc>
        <w:tc>
          <w:tcPr>
            <w:tcW w:w="1423" w:type="dxa"/>
            <w:vAlign w:val="center"/>
          </w:tcPr>
          <w:p w14:paraId="4BE68CE2">
            <w:pPr>
              <w:keepNext w:val="0"/>
              <w:keepLines w:val="0"/>
              <w:widowControl/>
              <w:suppressLineNumbers w:val="0"/>
              <w:jc w:val="center"/>
              <w:textAlignment w:val="center"/>
              <w:rPr>
                <w:rFonts w:ascii="仿宋_GB2312" w:eastAsia="仿宋_GB2312"/>
                <w:kern w:val="0"/>
              </w:rPr>
            </w:pPr>
            <w:r>
              <w:rPr>
                <w:rFonts w:hint="default" w:ascii="Times New Roman" w:hAnsi="Times New Roman" w:eastAsia="宋体" w:cs="Times New Roman"/>
                <w:i w:val="0"/>
                <w:iCs w:val="0"/>
                <w:snapToGrid w:val="0"/>
                <w:color w:val="000000"/>
                <w:kern w:val="0"/>
                <w:sz w:val="20"/>
                <w:szCs w:val="20"/>
                <w:u w:val="none"/>
                <w:lang w:val="en-US" w:eastAsia="zh-CN" w:bidi="ar"/>
              </w:rPr>
              <w:t>10.00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ascii="仿宋_GB2312" w:eastAsia="仿宋_GB2312"/>
                <w:kern w:val="0"/>
                <w:lang w:eastAsia="zh-CN"/>
              </w:rPr>
            </w:pPr>
            <w:r>
              <w:rPr>
                <w:rFonts w:hint="eastAsia" w:ascii="仿宋_GB2312" w:hAnsi="宋体" w:eastAsia="仿宋_GB2312" w:cs="宋体"/>
                <w:kern w:val="0"/>
                <w:lang w:eastAsia="zh-CN"/>
              </w:rPr>
              <w:t>其中：一般公共预算：365.66</w:t>
            </w:r>
          </w:p>
        </w:tc>
        <w:tc>
          <w:tcPr>
            <w:tcW w:w="4260" w:type="dxa"/>
            <w:gridSpan w:val="4"/>
            <w:vAlign w:val="center"/>
          </w:tcPr>
          <w:p w14:paraId="459DAAEC">
            <w:pPr>
              <w:spacing w:line="240" w:lineRule="auto"/>
              <w:ind w:firstLine="420"/>
              <w:jc w:val="left"/>
              <w:rPr>
                <w:rFonts w:ascii="仿宋_GB2312" w:eastAsia="仿宋_GB2312"/>
                <w:kern w:val="0"/>
              </w:rPr>
            </w:pPr>
            <w:r>
              <w:rPr>
                <w:rFonts w:hint="eastAsia" w:ascii="仿宋_GB2312" w:hAnsi="宋体" w:eastAsia="仿宋_GB2312" w:cs="宋体"/>
                <w:kern w:val="0"/>
              </w:rPr>
              <w:t>其中：基本支出：225.66</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政府性基金拨款：0.00</w:t>
            </w:r>
          </w:p>
        </w:tc>
        <w:tc>
          <w:tcPr>
            <w:tcW w:w="4260" w:type="dxa"/>
            <w:gridSpan w:val="4"/>
            <w:vAlign w:val="center"/>
          </w:tcPr>
          <w:p w14:paraId="55BECDEE">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项目支出：140.00</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纳入专户管理的非税收入拨款：0.00</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其他资金：0.00</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0750C795">
            <w:pPr>
              <w:spacing w:line="240" w:lineRule="auto"/>
              <w:ind w:firstLine="420"/>
              <w:jc w:val="left"/>
              <w:rPr>
                <w:rFonts w:hint="eastAsia" w:ascii="仿宋_GB2312" w:eastAsia="仿宋_GB2312"/>
                <w:kern w:val="0"/>
                <w:sz w:val="18"/>
                <w:szCs w:val="18"/>
              </w:rPr>
            </w:pPr>
            <w:r>
              <w:rPr>
                <w:rFonts w:hint="eastAsia" w:ascii="仿宋_GB2312" w:eastAsia="仿宋_GB2312"/>
                <w:kern w:val="0"/>
                <w:sz w:val="18"/>
                <w:szCs w:val="18"/>
              </w:rPr>
              <w:t>1、按照市财政部门预算所规定的支出范围和用途使用基本支出经费；</w:t>
            </w:r>
          </w:p>
          <w:p w14:paraId="5630C8FD">
            <w:pPr>
              <w:spacing w:line="240" w:lineRule="auto"/>
              <w:ind w:firstLine="420"/>
              <w:jc w:val="left"/>
              <w:rPr>
                <w:rFonts w:ascii="仿宋_GB2312" w:eastAsia="仿宋_GB2312"/>
                <w:kern w:val="0"/>
                <w:sz w:val="20"/>
                <w:szCs w:val="20"/>
              </w:rPr>
            </w:pPr>
            <w:r>
              <w:rPr>
                <w:rFonts w:hint="eastAsia" w:ascii="仿宋_GB2312" w:eastAsia="仿宋_GB2312"/>
                <w:kern w:val="0"/>
                <w:sz w:val="18"/>
                <w:szCs w:val="18"/>
              </w:rPr>
              <w:t>2、按照项目支出预算绩效目标申报表管理专项支出经费。</w:t>
            </w:r>
          </w:p>
        </w:tc>
        <w:tc>
          <w:tcPr>
            <w:tcW w:w="4260" w:type="dxa"/>
            <w:gridSpan w:val="4"/>
            <w:vAlign w:val="center"/>
          </w:tcPr>
          <w:p w14:paraId="156E0DC0">
            <w:pPr>
              <w:spacing w:line="240" w:lineRule="auto"/>
              <w:ind w:firstLine="420"/>
              <w:jc w:val="center"/>
              <w:rPr>
                <w:rFonts w:ascii="仿宋_GB2312" w:eastAsia="仿宋_GB2312"/>
                <w:kern w:val="0"/>
                <w:sz w:val="20"/>
                <w:szCs w:val="20"/>
              </w:rPr>
            </w:pPr>
            <w:r>
              <w:rPr>
                <w:rFonts w:hint="eastAsia" w:ascii="仿宋_GB2312" w:eastAsia="仿宋_GB2312"/>
                <w:kern w:val="0"/>
                <w:sz w:val="20"/>
                <w:szCs w:val="20"/>
              </w:rPr>
              <w:t>100%</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12CA2EB0">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数量指标</w:t>
            </w:r>
          </w:p>
        </w:tc>
        <w:tc>
          <w:tcPr>
            <w:tcW w:w="1249" w:type="dxa"/>
            <w:vAlign w:val="center"/>
          </w:tcPr>
          <w:p w14:paraId="785EE4BB">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汛期开展大检查2天一次，日常检查一天3次</w:t>
            </w:r>
          </w:p>
        </w:tc>
        <w:tc>
          <w:tcPr>
            <w:tcW w:w="1298" w:type="dxa"/>
            <w:vAlign w:val="center"/>
          </w:tcPr>
          <w:p w14:paraId="2A374824">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14:paraId="708D788A">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14:paraId="567F5E54">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2717B7C4">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7CF9B186">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tcBorders>
              <w:bottom w:val="nil"/>
            </w:tcBorders>
            <w:vAlign w:val="center"/>
          </w:tcPr>
          <w:p w14:paraId="17EF051C">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质量指标</w:t>
            </w:r>
          </w:p>
        </w:tc>
        <w:tc>
          <w:tcPr>
            <w:tcW w:w="1249" w:type="dxa"/>
            <w:vAlign w:val="center"/>
          </w:tcPr>
          <w:p w14:paraId="10423A41">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做好城市防涝排渍的日常调度工作</w:t>
            </w:r>
          </w:p>
        </w:tc>
        <w:tc>
          <w:tcPr>
            <w:tcW w:w="1298" w:type="dxa"/>
            <w:vAlign w:val="center"/>
          </w:tcPr>
          <w:p w14:paraId="1A5ADA3A">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14:paraId="54075F02">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14:paraId="5580FC82">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0982B111">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09E0DC5F">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tcBorders>
              <w:bottom w:val="nil"/>
            </w:tcBorders>
            <w:vAlign w:val="center"/>
          </w:tcPr>
          <w:p w14:paraId="1FAC5017">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时效指标</w:t>
            </w:r>
          </w:p>
        </w:tc>
        <w:tc>
          <w:tcPr>
            <w:tcW w:w="1249" w:type="dxa"/>
            <w:vAlign w:val="center"/>
          </w:tcPr>
          <w:p w14:paraId="5323318C">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汛期安排日常值班值守</w:t>
            </w:r>
          </w:p>
        </w:tc>
        <w:tc>
          <w:tcPr>
            <w:tcW w:w="1298" w:type="dxa"/>
            <w:vAlign w:val="center"/>
          </w:tcPr>
          <w:p w14:paraId="479FA5D5">
            <w:pPr>
              <w:keepNext w:val="0"/>
              <w:keepLines w:val="0"/>
              <w:widowControl/>
              <w:suppressLineNumbers w:val="0"/>
              <w:jc w:val="left"/>
              <w:textAlignment w:val="center"/>
              <w:rPr>
                <w:rFonts w:ascii="仿宋_GB2312" w:eastAsia="仿宋_GB2312"/>
                <w:kern w:val="0"/>
              </w:rPr>
            </w:pPr>
            <w:r>
              <w:rPr>
                <w:rFonts w:hint="eastAsia" w:ascii="仿宋" w:hAnsi="仿宋" w:eastAsia="仿宋" w:cs="仿宋"/>
                <w:i w:val="0"/>
                <w:iCs w:val="0"/>
                <w:snapToGrid w:val="0"/>
                <w:color w:val="000000"/>
                <w:kern w:val="0"/>
                <w:sz w:val="18"/>
                <w:szCs w:val="18"/>
                <w:u w:val="none"/>
                <w:lang w:val="en-US" w:eastAsia="zh-CN" w:bidi="ar"/>
              </w:rPr>
              <w:t>按值班时间及安排人员数量</w:t>
            </w:r>
          </w:p>
        </w:tc>
        <w:tc>
          <w:tcPr>
            <w:tcW w:w="1269" w:type="dxa"/>
            <w:vAlign w:val="center"/>
          </w:tcPr>
          <w:p w14:paraId="5C1B3402">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14:paraId="4C56B99F">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5DA34835">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7BF8C6A4">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经济效益指标</w:t>
            </w:r>
          </w:p>
        </w:tc>
        <w:tc>
          <w:tcPr>
            <w:tcW w:w="1249" w:type="dxa"/>
            <w:vAlign w:val="center"/>
          </w:tcPr>
          <w:p w14:paraId="32611957">
            <w:pPr>
              <w:spacing w:line="240" w:lineRule="auto"/>
              <w:ind w:firstLine="420"/>
              <w:jc w:val="left"/>
              <w:rPr>
                <w:rFonts w:hint="eastAsia" w:ascii="仿宋_GB2312" w:eastAsia="仿宋_GB2312"/>
                <w:kern w:val="0"/>
                <w:sz w:val="20"/>
                <w:szCs w:val="20"/>
                <w:lang w:eastAsia="zh-CN"/>
              </w:rPr>
            </w:pPr>
            <w:r>
              <w:rPr>
                <w:rFonts w:hint="eastAsia" w:ascii="仿宋_GB2312" w:eastAsia="仿宋_GB2312"/>
                <w:kern w:val="0"/>
                <w:sz w:val="20"/>
                <w:szCs w:val="20"/>
                <w:lang w:eastAsia="zh-CN"/>
              </w:rPr>
              <w:t>无</w:t>
            </w:r>
          </w:p>
        </w:tc>
        <w:tc>
          <w:tcPr>
            <w:tcW w:w="1298" w:type="dxa"/>
            <w:vAlign w:val="center"/>
          </w:tcPr>
          <w:p w14:paraId="078289F3">
            <w:pPr>
              <w:spacing w:line="240" w:lineRule="auto"/>
              <w:ind w:firstLine="420"/>
              <w:jc w:val="center"/>
              <w:rPr>
                <w:rFonts w:ascii="仿宋_GB2312" w:eastAsia="仿宋_GB2312"/>
                <w:kern w:val="0"/>
              </w:rPr>
            </w:pPr>
          </w:p>
        </w:tc>
        <w:tc>
          <w:tcPr>
            <w:tcW w:w="1269" w:type="dxa"/>
            <w:vAlign w:val="center"/>
          </w:tcPr>
          <w:p w14:paraId="7A453B87">
            <w:pPr>
              <w:spacing w:line="240" w:lineRule="auto"/>
              <w:ind w:firstLine="420"/>
              <w:jc w:val="center"/>
              <w:rPr>
                <w:rFonts w:ascii="仿宋_GB2312" w:eastAsia="仿宋_GB2312"/>
                <w:kern w:val="0"/>
              </w:rPr>
            </w:pPr>
          </w:p>
        </w:tc>
        <w:tc>
          <w:tcPr>
            <w:tcW w:w="699" w:type="dxa"/>
            <w:vAlign w:val="center"/>
          </w:tcPr>
          <w:p w14:paraId="415A3F60">
            <w:pPr>
              <w:spacing w:line="240" w:lineRule="auto"/>
              <w:ind w:firstLine="420"/>
              <w:jc w:val="center"/>
              <w:rPr>
                <w:rFonts w:ascii="仿宋_GB2312" w:eastAsia="仿宋_GB2312"/>
                <w:kern w:val="0"/>
              </w:rPr>
            </w:pPr>
          </w:p>
        </w:tc>
        <w:tc>
          <w:tcPr>
            <w:tcW w:w="869" w:type="dxa"/>
            <w:vAlign w:val="center"/>
          </w:tcPr>
          <w:p w14:paraId="2AC58B95">
            <w:pPr>
              <w:spacing w:line="240" w:lineRule="auto"/>
              <w:ind w:firstLine="420"/>
              <w:jc w:val="center"/>
              <w:rPr>
                <w:rFonts w:ascii="仿宋_GB2312" w:eastAsia="仿宋_GB2312"/>
                <w:kern w:val="0"/>
              </w:rPr>
            </w:pPr>
          </w:p>
        </w:tc>
        <w:tc>
          <w:tcPr>
            <w:tcW w:w="1423"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社会效益指标</w:t>
            </w:r>
          </w:p>
        </w:tc>
        <w:tc>
          <w:tcPr>
            <w:tcW w:w="1249" w:type="dxa"/>
            <w:vAlign w:val="center"/>
          </w:tcPr>
          <w:p w14:paraId="5D9BC272">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开展宣传、培训、演练</w:t>
            </w:r>
          </w:p>
        </w:tc>
        <w:tc>
          <w:tcPr>
            <w:tcW w:w="1298" w:type="dxa"/>
            <w:vAlign w:val="center"/>
          </w:tcPr>
          <w:p w14:paraId="6E8C4873">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14:paraId="4886005B">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14:paraId="75FAE414">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20</w:t>
            </w:r>
          </w:p>
        </w:tc>
        <w:tc>
          <w:tcPr>
            <w:tcW w:w="869" w:type="dxa"/>
            <w:vAlign w:val="center"/>
          </w:tcPr>
          <w:p w14:paraId="3309901E">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20</w:t>
            </w:r>
          </w:p>
        </w:tc>
        <w:tc>
          <w:tcPr>
            <w:tcW w:w="1423" w:type="dxa"/>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生态效益指标</w:t>
            </w:r>
          </w:p>
        </w:tc>
        <w:tc>
          <w:tcPr>
            <w:tcW w:w="1249" w:type="dxa"/>
            <w:vAlign w:val="center"/>
          </w:tcPr>
          <w:p w14:paraId="4DC60689">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推进易渍堵点改造</w:t>
            </w:r>
          </w:p>
        </w:tc>
        <w:tc>
          <w:tcPr>
            <w:tcW w:w="1298" w:type="dxa"/>
            <w:vAlign w:val="center"/>
          </w:tcPr>
          <w:p w14:paraId="45B96CBB">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14:paraId="35C3564D">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14:paraId="6A822248">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73C931F8">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可持续影响指标</w:t>
            </w:r>
          </w:p>
        </w:tc>
        <w:tc>
          <w:tcPr>
            <w:tcW w:w="1249" w:type="dxa"/>
            <w:vAlign w:val="center"/>
          </w:tcPr>
          <w:p w14:paraId="1B548B4C">
            <w:pPr>
              <w:spacing w:line="240" w:lineRule="auto"/>
              <w:ind w:firstLine="420"/>
              <w:jc w:val="left"/>
              <w:rPr>
                <w:rFonts w:ascii="仿宋_GB2312" w:eastAsia="仿宋_GB2312"/>
                <w:kern w:val="0"/>
                <w:sz w:val="20"/>
                <w:szCs w:val="20"/>
              </w:rPr>
            </w:pPr>
            <w:r>
              <w:rPr>
                <w:rFonts w:hint="eastAsia" w:ascii="仿宋_GB2312" w:eastAsia="仿宋_GB2312"/>
                <w:kern w:val="0"/>
                <w:sz w:val="20"/>
                <w:szCs w:val="20"/>
                <w:lang w:eastAsia="zh-CN"/>
              </w:rPr>
              <w:t>无</w:t>
            </w:r>
          </w:p>
        </w:tc>
        <w:tc>
          <w:tcPr>
            <w:tcW w:w="1298" w:type="dxa"/>
            <w:vAlign w:val="center"/>
          </w:tcPr>
          <w:p w14:paraId="055B34ED">
            <w:pPr>
              <w:spacing w:line="240" w:lineRule="auto"/>
              <w:ind w:firstLine="420"/>
              <w:jc w:val="center"/>
              <w:rPr>
                <w:rFonts w:ascii="仿宋_GB2312" w:eastAsia="仿宋_GB2312"/>
                <w:kern w:val="0"/>
              </w:rPr>
            </w:pPr>
          </w:p>
        </w:tc>
        <w:tc>
          <w:tcPr>
            <w:tcW w:w="1269" w:type="dxa"/>
            <w:vAlign w:val="center"/>
          </w:tcPr>
          <w:p w14:paraId="46B41467">
            <w:pPr>
              <w:spacing w:line="240" w:lineRule="auto"/>
              <w:ind w:firstLine="420"/>
              <w:jc w:val="center"/>
              <w:rPr>
                <w:rFonts w:ascii="仿宋_GB2312" w:eastAsia="仿宋_GB2312"/>
                <w:kern w:val="0"/>
              </w:rPr>
            </w:pPr>
          </w:p>
        </w:tc>
        <w:tc>
          <w:tcPr>
            <w:tcW w:w="699" w:type="dxa"/>
            <w:vAlign w:val="center"/>
          </w:tcPr>
          <w:p w14:paraId="447C4D99">
            <w:pPr>
              <w:spacing w:line="240" w:lineRule="auto"/>
              <w:ind w:firstLine="420"/>
              <w:jc w:val="center"/>
              <w:rPr>
                <w:rFonts w:ascii="仿宋_GB2312" w:eastAsia="仿宋_GB2312"/>
                <w:kern w:val="0"/>
              </w:rPr>
            </w:pPr>
          </w:p>
        </w:tc>
        <w:tc>
          <w:tcPr>
            <w:tcW w:w="869" w:type="dxa"/>
            <w:vAlign w:val="center"/>
          </w:tcPr>
          <w:p w14:paraId="71C7C72F">
            <w:pPr>
              <w:spacing w:line="240" w:lineRule="auto"/>
              <w:ind w:firstLine="420"/>
              <w:jc w:val="center"/>
              <w:rPr>
                <w:rFonts w:ascii="仿宋_GB2312" w:eastAsia="仿宋_GB2312"/>
                <w:kern w:val="0"/>
              </w:rPr>
            </w:pPr>
          </w:p>
        </w:tc>
        <w:tc>
          <w:tcPr>
            <w:tcW w:w="1423"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sz w:val="20"/>
                <w:szCs w:val="20"/>
              </w:rPr>
            </w:pPr>
            <w:r>
              <w:rPr>
                <w:rFonts w:hint="eastAsia" w:ascii="仿宋_GB2312" w:hAnsi="宋体" w:eastAsia="仿宋_GB2312" w:cs="宋体"/>
                <w:kern w:val="0"/>
                <w:sz w:val="20"/>
                <w:szCs w:val="20"/>
              </w:rPr>
              <w:t>服务对象满意度指标</w:t>
            </w:r>
          </w:p>
        </w:tc>
        <w:tc>
          <w:tcPr>
            <w:tcW w:w="1249" w:type="dxa"/>
            <w:vAlign w:val="center"/>
          </w:tcPr>
          <w:p w14:paraId="4F2AFDD1">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市民满意度</w:t>
            </w:r>
          </w:p>
        </w:tc>
        <w:tc>
          <w:tcPr>
            <w:tcW w:w="1298" w:type="dxa"/>
            <w:vAlign w:val="center"/>
          </w:tcPr>
          <w:p w14:paraId="6ABEB3E2">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98%</w:t>
            </w:r>
          </w:p>
        </w:tc>
        <w:tc>
          <w:tcPr>
            <w:tcW w:w="1269" w:type="dxa"/>
            <w:vAlign w:val="center"/>
          </w:tcPr>
          <w:p w14:paraId="31B5B329">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95%</w:t>
            </w:r>
          </w:p>
        </w:tc>
        <w:tc>
          <w:tcPr>
            <w:tcW w:w="699" w:type="dxa"/>
            <w:vAlign w:val="center"/>
          </w:tcPr>
          <w:p w14:paraId="41D3F37B">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19FFC8CC">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7</w:t>
            </w:r>
          </w:p>
        </w:tc>
        <w:tc>
          <w:tcPr>
            <w:tcW w:w="1423" w:type="dxa"/>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sz w:val="20"/>
                <w:szCs w:val="20"/>
                <w:lang w:eastAsia="zh-CN"/>
              </w:rPr>
            </w:pPr>
            <w:r>
              <w:rPr>
                <w:rFonts w:hint="eastAsia" w:ascii="仿宋_GB2312" w:eastAsia="仿宋_GB2312"/>
                <w:kern w:val="0"/>
                <w:sz w:val="20"/>
                <w:szCs w:val="20"/>
                <w:lang w:eastAsia="zh-CN"/>
              </w:rPr>
              <w:t>经济成本指标</w:t>
            </w:r>
          </w:p>
        </w:tc>
        <w:tc>
          <w:tcPr>
            <w:tcW w:w="1249" w:type="dxa"/>
            <w:vAlign w:val="center"/>
          </w:tcPr>
          <w:p w14:paraId="63B7EC90">
            <w:pPr>
              <w:keepNext w:val="0"/>
              <w:keepLines w:val="0"/>
              <w:widowControl/>
              <w:suppressLineNumbers w:val="0"/>
              <w:jc w:val="left"/>
              <w:textAlignment w:val="center"/>
              <w:rPr>
                <w:rFonts w:ascii="仿宋_GB2312" w:eastAsia="仿宋_GB2312"/>
                <w:kern w:val="0"/>
                <w:sz w:val="20"/>
                <w:szCs w:val="20"/>
              </w:rPr>
            </w:pPr>
            <w:r>
              <w:rPr>
                <w:rFonts w:hint="eastAsia" w:ascii="仿宋" w:hAnsi="仿宋" w:eastAsia="仿宋" w:cs="仿宋"/>
                <w:i w:val="0"/>
                <w:iCs w:val="0"/>
                <w:snapToGrid w:val="0"/>
                <w:color w:val="000000"/>
                <w:kern w:val="0"/>
                <w:sz w:val="18"/>
                <w:szCs w:val="18"/>
                <w:u w:val="none"/>
                <w:lang w:val="en-US" w:eastAsia="zh-CN" w:bidi="ar"/>
              </w:rPr>
              <w:t>严格控制预算成本</w:t>
            </w:r>
          </w:p>
        </w:tc>
        <w:tc>
          <w:tcPr>
            <w:tcW w:w="1298" w:type="dxa"/>
            <w:vAlign w:val="center"/>
          </w:tcPr>
          <w:p w14:paraId="15ECA8D3">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14:paraId="3C328246">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14:paraId="42BD2B94">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20</w:t>
            </w:r>
          </w:p>
        </w:tc>
        <w:tc>
          <w:tcPr>
            <w:tcW w:w="869" w:type="dxa"/>
            <w:vAlign w:val="center"/>
          </w:tcPr>
          <w:p w14:paraId="786F4305">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20</w:t>
            </w:r>
          </w:p>
        </w:tc>
        <w:tc>
          <w:tcPr>
            <w:tcW w:w="1423" w:type="dxa"/>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sz w:val="20"/>
                <w:szCs w:val="20"/>
                <w:lang w:eastAsia="zh-CN"/>
              </w:rPr>
            </w:pPr>
            <w:r>
              <w:rPr>
                <w:rFonts w:hint="eastAsia" w:ascii="仿宋_GB2312" w:eastAsia="仿宋_GB2312"/>
                <w:kern w:val="0"/>
                <w:sz w:val="20"/>
                <w:szCs w:val="20"/>
                <w:lang w:eastAsia="zh-CN"/>
              </w:rPr>
              <w:t>社会成本指标</w:t>
            </w:r>
          </w:p>
        </w:tc>
        <w:tc>
          <w:tcPr>
            <w:tcW w:w="1249" w:type="dxa"/>
            <w:vAlign w:val="center"/>
          </w:tcPr>
          <w:p w14:paraId="4C2510AC">
            <w:pPr>
              <w:spacing w:line="240" w:lineRule="auto"/>
              <w:ind w:firstLine="420"/>
              <w:jc w:val="both"/>
              <w:rPr>
                <w:rFonts w:ascii="仿宋_GB2312" w:eastAsia="仿宋_GB2312"/>
                <w:kern w:val="0"/>
                <w:sz w:val="20"/>
                <w:szCs w:val="20"/>
              </w:rPr>
            </w:pPr>
            <w:r>
              <w:rPr>
                <w:rFonts w:hint="eastAsia" w:ascii="仿宋_GB2312" w:eastAsia="仿宋_GB2312"/>
                <w:kern w:val="0"/>
                <w:sz w:val="20"/>
                <w:szCs w:val="20"/>
                <w:lang w:eastAsia="zh-CN"/>
              </w:rPr>
              <w:t>无</w:t>
            </w:r>
          </w:p>
        </w:tc>
        <w:tc>
          <w:tcPr>
            <w:tcW w:w="1298" w:type="dxa"/>
            <w:vAlign w:val="center"/>
          </w:tcPr>
          <w:p w14:paraId="09361E43">
            <w:pPr>
              <w:spacing w:line="240" w:lineRule="auto"/>
              <w:ind w:firstLine="420"/>
              <w:jc w:val="center"/>
              <w:rPr>
                <w:rFonts w:ascii="仿宋_GB2312" w:eastAsia="仿宋_GB2312"/>
                <w:kern w:val="0"/>
              </w:rPr>
            </w:pPr>
          </w:p>
        </w:tc>
        <w:tc>
          <w:tcPr>
            <w:tcW w:w="1269" w:type="dxa"/>
            <w:vAlign w:val="center"/>
          </w:tcPr>
          <w:p w14:paraId="32DCD303">
            <w:pPr>
              <w:spacing w:line="240" w:lineRule="auto"/>
              <w:ind w:firstLine="420"/>
              <w:jc w:val="center"/>
              <w:rPr>
                <w:rFonts w:ascii="仿宋_GB2312" w:eastAsia="仿宋_GB2312"/>
                <w:kern w:val="0"/>
              </w:rPr>
            </w:pPr>
          </w:p>
        </w:tc>
        <w:tc>
          <w:tcPr>
            <w:tcW w:w="699" w:type="dxa"/>
            <w:vAlign w:val="center"/>
          </w:tcPr>
          <w:p w14:paraId="765229A3">
            <w:pPr>
              <w:spacing w:line="240" w:lineRule="auto"/>
              <w:ind w:firstLine="420"/>
              <w:jc w:val="center"/>
              <w:rPr>
                <w:rFonts w:ascii="仿宋_GB2312" w:eastAsia="仿宋_GB2312"/>
                <w:kern w:val="0"/>
              </w:rPr>
            </w:pPr>
          </w:p>
        </w:tc>
        <w:tc>
          <w:tcPr>
            <w:tcW w:w="869" w:type="dxa"/>
            <w:vAlign w:val="center"/>
          </w:tcPr>
          <w:p w14:paraId="4012A71B">
            <w:pPr>
              <w:spacing w:line="240" w:lineRule="auto"/>
              <w:ind w:firstLine="420"/>
              <w:jc w:val="center"/>
              <w:rPr>
                <w:rFonts w:ascii="仿宋_GB2312" w:eastAsia="仿宋_GB2312"/>
                <w:kern w:val="0"/>
              </w:rPr>
            </w:pP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sz w:val="20"/>
                <w:szCs w:val="20"/>
                <w:lang w:eastAsia="zh-CN"/>
              </w:rPr>
            </w:pPr>
            <w:r>
              <w:rPr>
                <w:rFonts w:hint="eastAsia" w:ascii="仿宋_GB2312" w:eastAsia="仿宋_GB2312"/>
                <w:kern w:val="0"/>
                <w:sz w:val="20"/>
                <w:szCs w:val="20"/>
                <w:lang w:eastAsia="zh-CN"/>
              </w:rPr>
              <w:t>生态环境成本指标</w:t>
            </w:r>
          </w:p>
        </w:tc>
        <w:tc>
          <w:tcPr>
            <w:tcW w:w="1249" w:type="dxa"/>
            <w:vAlign w:val="center"/>
          </w:tcPr>
          <w:p w14:paraId="304051C0">
            <w:pPr>
              <w:spacing w:line="240" w:lineRule="auto"/>
              <w:ind w:firstLine="420"/>
              <w:jc w:val="both"/>
              <w:rPr>
                <w:rFonts w:ascii="仿宋_GB2312" w:eastAsia="仿宋_GB2312"/>
                <w:kern w:val="0"/>
              </w:rPr>
            </w:pPr>
            <w:r>
              <w:rPr>
                <w:rFonts w:hint="eastAsia" w:ascii="仿宋_GB2312" w:eastAsia="仿宋_GB2312"/>
                <w:kern w:val="0"/>
                <w:lang w:eastAsia="zh-CN"/>
              </w:rPr>
              <w:t>无</w:t>
            </w:r>
          </w:p>
        </w:tc>
        <w:tc>
          <w:tcPr>
            <w:tcW w:w="1298" w:type="dxa"/>
            <w:vAlign w:val="center"/>
          </w:tcPr>
          <w:p w14:paraId="789CDCB9">
            <w:pPr>
              <w:spacing w:line="240" w:lineRule="auto"/>
              <w:ind w:firstLine="420"/>
              <w:jc w:val="center"/>
              <w:rPr>
                <w:rFonts w:ascii="仿宋_GB2312" w:eastAsia="仿宋_GB2312"/>
                <w:kern w:val="0"/>
              </w:rPr>
            </w:pPr>
          </w:p>
        </w:tc>
        <w:tc>
          <w:tcPr>
            <w:tcW w:w="1269" w:type="dxa"/>
            <w:vAlign w:val="center"/>
          </w:tcPr>
          <w:p w14:paraId="4E354EE6">
            <w:pPr>
              <w:spacing w:line="240" w:lineRule="auto"/>
              <w:ind w:firstLine="420"/>
              <w:jc w:val="center"/>
              <w:rPr>
                <w:rFonts w:ascii="仿宋_GB2312" w:eastAsia="仿宋_GB2312"/>
                <w:kern w:val="0"/>
              </w:rPr>
            </w:pPr>
          </w:p>
        </w:tc>
        <w:tc>
          <w:tcPr>
            <w:tcW w:w="699" w:type="dxa"/>
            <w:vAlign w:val="center"/>
          </w:tcPr>
          <w:p w14:paraId="6C36DE67">
            <w:pPr>
              <w:spacing w:line="240" w:lineRule="auto"/>
              <w:ind w:firstLine="420"/>
              <w:jc w:val="center"/>
              <w:rPr>
                <w:rFonts w:ascii="仿宋_GB2312" w:eastAsia="仿宋_GB2312"/>
                <w:kern w:val="0"/>
              </w:rPr>
            </w:pPr>
          </w:p>
        </w:tc>
        <w:tc>
          <w:tcPr>
            <w:tcW w:w="869" w:type="dxa"/>
            <w:vAlign w:val="center"/>
          </w:tcPr>
          <w:p w14:paraId="6B31F2AB">
            <w:pPr>
              <w:spacing w:line="240" w:lineRule="auto"/>
              <w:ind w:firstLine="420"/>
              <w:jc w:val="center"/>
              <w:rPr>
                <w:rFonts w:ascii="仿宋_GB2312" w:eastAsia="仿宋_GB2312"/>
                <w:kern w:val="0"/>
              </w:rPr>
            </w:pP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97</w:t>
            </w:r>
          </w:p>
        </w:tc>
        <w:tc>
          <w:tcPr>
            <w:tcW w:w="1423" w:type="dxa"/>
            <w:vAlign w:val="center"/>
          </w:tcPr>
          <w:p w14:paraId="74074F36">
            <w:pPr>
              <w:spacing w:line="240" w:lineRule="auto"/>
              <w:ind w:firstLine="420"/>
              <w:jc w:val="center"/>
              <w:rPr>
                <w:rFonts w:ascii="仿宋_GB2312" w:eastAsia="仿宋_GB2312"/>
                <w:kern w:val="0"/>
              </w:rPr>
            </w:pPr>
          </w:p>
        </w:tc>
      </w:tr>
    </w:tbl>
    <w:p w14:paraId="3763D5CF">
      <w:pPr>
        <w:rPr>
          <w:rFonts w:hint="eastAsia" w:ascii="仿宋_GB2312" w:hAnsi="宋体" w:eastAsia="仿宋_GB2312" w:cs="宋体"/>
          <w:kern w:val="0"/>
          <w:lang w:eastAsia="zh-CN"/>
        </w:rPr>
      </w:pPr>
    </w:p>
    <w:p w14:paraId="7F34B6BA">
      <w:pPr>
        <w:rPr>
          <w:rFonts w:ascii="仿宋_GB2312" w:hAnsi="宋体" w:eastAsia="仿宋_GB2312" w:cs="宋体"/>
          <w:lang w:eastAsia="zh-CN"/>
        </w:rPr>
        <w:sectPr>
          <w:footerReference r:id="rId7" w:type="default"/>
          <w:pgSz w:w="11907" w:h="16839"/>
          <w:pgMar w:top="1304" w:right="1474" w:bottom="1304"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填表人：易红武</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hint="eastAsia" w:ascii="仿宋_GB2312" w:hAnsi="宋体" w:eastAsia="仿宋_GB2312" w:cs="宋体"/>
          <w:kern w:val="0"/>
          <w:lang w:eastAsia="zh-CN"/>
        </w:rPr>
        <w:t>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13874088758</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单位负责人签字:吴飞虹</w:t>
      </w: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95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0"/>
        <w:gridCol w:w="1055"/>
        <w:gridCol w:w="1441"/>
        <w:gridCol w:w="1184"/>
        <w:gridCol w:w="872"/>
        <w:gridCol w:w="925"/>
        <w:gridCol w:w="806"/>
        <w:gridCol w:w="846"/>
        <w:gridCol w:w="1380"/>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09"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城市排渍防涝专项</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552" w:type="dxa"/>
            <w:gridSpan w:val="4"/>
            <w:vAlign w:val="center"/>
          </w:tcPr>
          <w:p w14:paraId="00FC630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925"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32" w:type="dxa"/>
            <w:gridSpan w:val="3"/>
            <w:vAlign w:val="center"/>
          </w:tcPr>
          <w:p w14:paraId="6A64BF3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汨罗市城市公用事业服务中心</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496"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184"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72"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925"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6"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6"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0"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184" w:type="dxa"/>
            <w:vAlign w:val="center"/>
          </w:tcPr>
          <w:p w14:paraId="6EAE81CB">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72" w:type="dxa"/>
            <w:vAlign w:val="center"/>
          </w:tcPr>
          <w:p w14:paraId="54320DCC">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925" w:type="dxa"/>
            <w:vAlign w:val="center"/>
          </w:tcPr>
          <w:p w14:paraId="0C9E823D">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06" w:type="dxa"/>
            <w:shd w:val="clear" w:color="auto" w:fill="auto"/>
            <w:vAlign w:val="center"/>
          </w:tcPr>
          <w:p w14:paraId="79BFE3FF">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10</w:t>
            </w:r>
          </w:p>
        </w:tc>
        <w:tc>
          <w:tcPr>
            <w:tcW w:w="846" w:type="dxa"/>
            <w:shd w:val="clear" w:color="auto" w:fill="auto"/>
            <w:vAlign w:val="center"/>
          </w:tcPr>
          <w:p w14:paraId="33470801">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100.00%</w:t>
            </w:r>
          </w:p>
        </w:tc>
        <w:tc>
          <w:tcPr>
            <w:tcW w:w="1380" w:type="dxa"/>
            <w:shd w:val="clear" w:color="auto" w:fill="auto"/>
            <w:vAlign w:val="center"/>
          </w:tcPr>
          <w:p w14:paraId="7A8C6380">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10.00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184" w:type="dxa"/>
            <w:vAlign w:val="center"/>
          </w:tcPr>
          <w:p w14:paraId="75F04A75">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72" w:type="dxa"/>
            <w:vAlign w:val="center"/>
          </w:tcPr>
          <w:p w14:paraId="5536407E">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925" w:type="dxa"/>
            <w:vAlign w:val="center"/>
          </w:tcPr>
          <w:p w14:paraId="0401DF6C">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06" w:type="dxa"/>
            <w:vAlign w:val="center"/>
          </w:tcPr>
          <w:p w14:paraId="05C9BB92">
            <w:pPr>
              <w:jc w:val="center"/>
              <w:rPr>
                <w:rFonts w:hint="eastAsia" w:ascii="仿宋" w:hAnsi="仿宋" w:eastAsia="仿宋" w:cs="仿宋"/>
                <w:kern w:val="0"/>
                <w:sz w:val="18"/>
                <w:szCs w:val="18"/>
                <w:lang w:eastAsia="zh-CN"/>
              </w:rPr>
            </w:pPr>
          </w:p>
        </w:tc>
        <w:tc>
          <w:tcPr>
            <w:tcW w:w="846" w:type="dxa"/>
            <w:vAlign w:val="center"/>
          </w:tcPr>
          <w:p w14:paraId="4AC8E360">
            <w:pPr>
              <w:jc w:val="center"/>
              <w:rPr>
                <w:rFonts w:hint="eastAsia" w:ascii="仿宋" w:hAnsi="仿宋" w:eastAsia="仿宋" w:cs="仿宋"/>
                <w:kern w:val="0"/>
                <w:sz w:val="18"/>
                <w:szCs w:val="18"/>
                <w:lang w:eastAsia="zh-CN"/>
              </w:rPr>
            </w:pPr>
          </w:p>
        </w:tc>
        <w:tc>
          <w:tcPr>
            <w:tcW w:w="1380" w:type="dxa"/>
            <w:vAlign w:val="center"/>
          </w:tcPr>
          <w:p w14:paraId="1785B7FB">
            <w:pPr>
              <w:jc w:val="center"/>
              <w:rPr>
                <w:rFonts w:hint="eastAsia" w:ascii="仿宋" w:hAnsi="仿宋" w:eastAsia="仿宋" w:cs="仿宋"/>
                <w:kern w:val="0"/>
                <w:sz w:val="18"/>
                <w:szCs w:val="18"/>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184" w:type="dxa"/>
            <w:vAlign w:val="center"/>
          </w:tcPr>
          <w:p w14:paraId="3B2BA981">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0</w:t>
            </w:r>
          </w:p>
        </w:tc>
        <w:tc>
          <w:tcPr>
            <w:tcW w:w="872" w:type="dxa"/>
            <w:vAlign w:val="center"/>
          </w:tcPr>
          <w:p w14:paraId="3E136F30">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0</w:t>
            </w:r>
          </w:p>
        </w:tc>
        <w:tc>
          <w:tcPr>
            <w:tcW w:w="925" w:type="dxa"/>
            <w:vAlign w:val="center"/>
          </w:tcPr>
          <w:p w14:paraId="7EF1A3EC">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0</w:t>
            </w:r>
          </w:p>
        </w:tc>
        <w:tc>
          <w:tcPr>
            <w:tcW w:w="806" w:type="dxa"/>
            <w:vAlign w:val="center"/>
          </w:tcPr>
          <w:p w14:paraId="5B513B6B">
            <w:pPr>
              <w:jc w:val="center"/>
              <w:rPr>
                <w:rFonts w:hint="eastAsia" w:ascii="仿宋" w:hAnsi="仿宋" w:eastAsia="仿宋" w:cs="仿宋"/>
                <w:kern w:val="0"/>
                <w:sz w:val="18"/>
                <w:szCs w:val="18"/>
                <w:lang w:eastAsia="zh-CN"/>
              </w:rPr>
            </w:pPr>
          </w:p>
        </w:tc>
        <w:tc>
          <w:tcPr>
            <w:tcW w:w="846" w:type="dxa"/>
            <w:vAlign w:val="center"/>
          </w:tcPr>
          <w:p w14:paraId="72BEE34C">
            <w:pPr>
              <w:jc w:val="center"/>
              <w:rPr>
                <w:rFonts w:hint="eastAsia" w:ascii="仿宋" w:hAnsi="仿宋" w:eastAsia="仿宋" w:cs="仿宋"/>
                <w:kern w:val="0"/>
                <w:sz w:val="18"/>
                <w:szCs w:val="18"/>
                <w:lang w:eastAsia="zh-CN"/>
              </w:rPr>
            </w:pPr>
          </w:p>
        </w:tc>
        <w:tc>
          <w:tcPr>
            <w:tcW w:w="1380" w:type="dxa"/>
            <w:vAlign w:val="center"/>
          </w:tcPr>
          <w:p w14:paraId="273A66FC">
            <w:pPr>
              <w:jc w:val="center"/>
              <w:rPr>
                <w:rFonts w:hint="eastAsia" w:ascii="仿宋" w:hAnsi="仿宋" w:eastAsia="仿宋" w:cs="仿宋"/>
                <w:kern w:val="0"/>
                <w:sz w:val="18"/>
                <w:szCs w:val="18"/>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184" w:type="dxa"/>
            <w:shd w:val="clear" w:color="auto" w:fill="auto"/>
            <w:vAlign w:val="center"/>
          </w:tcPr>
          <w:p w14:paraId="51413325">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0</w:t>
            </w:r>
          </w:p>
        </w:tc>
        <w:tc>
          <w:tcPr>
            <w:tcW w:w="872" w:type="dxa"/>
            <w:shd w:val="clear" w:color="auto" w:fill="auto"/>
            <w:vAlign w:val="center"/>
          </w:tcPr>
          <w:p w14:paraId="03D3AC3D">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0</w:t>
            </w:r>
          </w:p>
        </w:tc>
        <w:tc>
          <w:tcPr>
            <w:tcW w:w="925" w:type="dxa"/>
            <w:shd w:val="clear" w:color="auto" w:fill="auto"/>
            <w:vAlign w:val="center"/>
          </w:tcPr>
          <w:p w14:paraId="186F5ED3">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0</w:t>
            </w:r>
          </w:p>
        </w:tc>
        <w:tc>
          <w:tcPr>
            <w:tcW w:w="806" w:type="dxa"/>
            <w:shd w:val="clear" w:color="auto" w:fill="auto"/>
            <w:vAlign w:val="center"/>
          </w:tcPr>
          <w:p w14:paraId="3908879F">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en-US" w:bidi="ar-SA"/>
              </w:rPr>
            </w:pPr>
          </w:p>
        </w:tc>
        <w:tc>
          <w:tcPr>
            <w:tcW w:w="846" w:type="dxa"/>
            <w:shd w:val="clear" w:color="auto" w:fill="auto"/>
            <w:vAlign w:val="center"/>
          </w:tcPr>
          <w:p w14:paraId="0EAD3560">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en-US" w:bidi="ar-SA"/>
              </w:rPr>
            </w:pPr>
          </w:p>
        </w:tc>
        <w:tc>
          <w:tcPr>
            <w:tcW w:w="1380" w:type="dxa"/>
            <w:shd w:val="clear" w:color="auto" w:fill="auto"/>
            <w:vAlign w:val="center"/>
          </w:tcPr>
          <w:p w14:paraId="0178F4E7">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en-US" w:bidi="ar-SA"/>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552"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3957"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552" w:type="dxa"/>
            <w:gridSpan w:val="4"/>
            <w:vAlign w:val="center"/>
          </w:tcPr>
          <w:p w14:paraId="37C695D1">
            <w:pPr>
              <w:spacing w:line="240" w:lineRule="auto"/>
              <w:ind w:firstLine="420"/>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1.汛期开展大检查2天一次，日常检查一天3次</w:t>
            </w:r>
          </w:p>
          <w:p w14:paraId="5D18E926">
            <w:pPr>
              <w:spacing w:line="240" w:lineRule="auto"/>
              <w:ind w:firstLine="420"/>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2.做好城市防涝排渍的日常调度工作</w:t>
            </w:r>
          </w:p>
          <w:p w14:paraId="79A5787A">
            <w:pPr>
              <w:spacing w:line="240" w:lineRule="auto"/>
              <w:ind w:firstLine="420"/>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3.做好日常值班值守及督察</w:t>
            </w:r>
          </w:p>
          <w:p w14:paraId="2C4C4FFF">
            <w:pPr>
              <w:spacing w:line="240" w:lineRule="auto"/>
              <w:ind w:firstLine="420"/>
              <w:jc w:val="left"/>
              <w:rPr>
                <w:rFonts w:ascii="仿宋_GB2312" w:hAnsi="宋体" w:eastAsia="仿宋_GB2312" w:cs="宋体"/>
                <w:kern w:val="0"/>
                <w:sz w:val="18"/>
                <w:szCs w:val="18"/>
              </w:rPr>
            </w:pPr>
            <w:r>
              <w:rPr>
                <w:rFonts w:hint="eastAsia" w:ascii="仿宋_GB2312" w:hAnsi="宋体" w:eastAsia="仿宋_GB2312" w:cs="宋体"/>
                <w:kern w:val="0"/>
                <w:sz w:val="18"/>
                <w:szCs w:val="18"/>
              </w:rPr>
              <w:t>4.推进易渍堵点改造</w:t>
            </w:r>
          </w:p>
        </w:tc>
        <w:tc>
          <w:tcPr>
            <w:tcW w:w="3957" w:type="dxa"/>
            <w:gridSpan w:val="4"/>
            <w:vAlign w:val="center"/>
          </w:tcPr>
          <w:p w14:paraId="309F7763">
            <w:pPr>
              <w:spacing w:line="240" w:lineRule="auto"/>
              <w:ind w:firstLine="42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各项工作完成度100%</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5"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441"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184"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872"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925"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6"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6"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0"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5"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441" w:type="dxa"/>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184" w:type="dxa"/>
            <w:vAlign w:val="center"/>
          </w:tcPr>
          <w:p w14:paraId="7C295655">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汛期开展大检查2天一次，日常检查一天3次</w:t>
            </w:r>
          </w:p>
        </w:tc>
        <w:tc>
          <w:tcPr>
            <w:tcW w:w="872" w:type="dxa"/>
            <w:vAlign w:val="center"/>
          </w:tcPr>
          <w:p w14:paraId="54B93945">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925" w:type="dxa"/>
            <w:vAlign w:val="center"/>
          </w:tcPr>
          <w:p w14:paraId="7F49710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450DEC19">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5F7B7A4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47B69173">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184" w:type="dxa"/>
            <w:vAlign w:val="center"/>
          </w:tcPr>
          <w:p w14:paraId="61412C88">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做好城市防涝排渍的日常调度工作</w:t>
            </w:r>
          </w:p>
        </w:tc>
        <w:tc>
          <w:tcPr>
            <w:tcW w:w="872" w:type="dxa"/>
            <w:vAlign w:val="center"/>
          </w:tcPr>
          <w:p w14:paraId="2D69FB3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925" w:type="dxa"/>
            <w:vAlign w:val="center"/>
          </w:tcPr>
          <w:p w14:paraId="03BC31E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5DC86158">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25177C64">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2036CC26">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184" w:type="dxa"/>
            <w:vAlign w:val="center"/>
          </w:tcPr>
          <w:p w14:paraId="724A960D">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日常值班值守</w:t>
            </w:r>
          </w:p>
        </w:tc>
        <w:tc>
          <w:tcPr>
            <w:tcW w:w="872" w:type="dxa"/>
            <w:vAlign w:val="center"/>
          </w:tcPr>
          <w:p w14:paraId="015D039B">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按值班时间及安排人员数量</w:t>
            </w:r>
          </w:p>
        </w:tc>
        <w:tc>
          <w:tcPr>
            <w:tcW w:w="925" w:type="dxa"/>
            <w:vAlign w:val="center"/>
          </w:tcPr>
          <w:p w14:paraId="5C21687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0D16C33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094C7D5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5"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441" w:type="dxa"/>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184" w:type="dxa"/>
            <w:vAlign w:val="center"/>
          </w:tcPr>
          <w:p w14:paraId="50DC120B">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无直接经济效益，可促进城市的经济发展</w:t>
            </w:r>
          </w:p>
        </w:tc>
        <w:tc>
          <w:tcPr>
            <w:tcW w:w="872" w:type="dxa"/>
            <w:vAlign w:val="center"/>
          </w:tcPr>
          <w:p w14:paraId="53928C3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间接效益</w:t>
            </w:r>
          </w:p>
        </w:tc>
        <w:tc>
          <w:tcPr>
            <w:tcW w:w="925" w:type="dxa"/>
            <w:vAlign w:val="center"/>
          </w:tcPr>
          <w:p w14:paraId="6D883DD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间接效益</w:t>
            </w:r>
          </w:p>
        </w:tc>
        <w:tc>
          <w:tcPr>
            <w:tcW w:w="806" w:type="dxa"/>
            <w:vAlign w:val="center"/>
          </w:tcPr>
          <w:p w14:paraId="2958485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41D412C8">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184" w:type="dxa"/>
            <w:vAlign w:val="center"/>
          </w:tcPr>
          <w:p w14:paraId="73C8CEBA">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提升生活品质，为市民营造宜居环境、提高整体城市形象，对外留下良好印象</w:t>
            </w:r>
          </w:p>
        </w:tc>
        <w:tc>
          <w:tcPr>
            <w:tcW w:w="872" w:type="dxa"/>
            <w:vAlign w:val="center"/>
          </w:tcPr>
          <w:p w14:paraId="0187539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925" w:type="dxa"/>
            <w:vAlign w:val="center"/>
          </w:tcPr>
          <w:p w14:paraId="4101F8D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806" w:type="dxa"/>
            <w:vAlign w:val="center"/>
          </w:tcPr>
          <w:p w14:paraId="699C14A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0665EFF4">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184" w:type="dxa"/>
            <w:vAlign w:val="center"/>
          </w:tcPr>
          <w:p w14:paraId="467C3540">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提升城市空气质量、气候、提升城市绿化、亮化、美化</w:t>
            </w:r>
          </w:p>
        </w:tc>
        <w:tc>
          <w:tcPr>
            <w:tcW w:w="872" w:type="dxa"/>
            <w:vAlign w:val="center"/>
          </w:tcPr>
          <w:p w14:paraId="286C219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925" w:type="dxa"/>
            <w:vAlign w:val="center"/>
          </w:tcPr>
          <w:p w14:paraId="4CA75DEB">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806" w:type="dxa"/>
            <w:vAlign w:val="center"/>
          </w:tcPr>
          <w:p w14:paraId="491BA994">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846" w:type="dxa"/>
            <w:vAlign w:val="center"/>
          </w:tcPr>
          <w:p w14:paraId="1BF7EB9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5.00</w:t>
            </w:r>
          </w:p>
        </w:tc>
        <w:tc>
          <w:tcPr>
            <w:tcW w:w="1380"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184" w:type="dxa"/>
            <w:vAlign w:val="center"/>
          </w:tcPr>
          <w:p w14:paraId="1BFEC1E9">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提升城市形象的持续影响</w:t>
            </w:r>
          </w:p>
        </w:tc>
        <w:tc>
          <w:tcPr>
            <w:tcW w:w="872" w:type="dxa"/>
            <w:vAlign w:val="center"/>
          </w:tcPr>
          <w:p w14:paraId="48F3A1C5">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持续优化</w:t>
            </w:r>
          </w:p>
        </w:tc>
        <w:tc>
          <w:tcPr>
            <w:tcW w:w="925" w:type="dxa"/>
            <w:vAlign w:val="center"/>
          </w:tcPr>
          <w:p w14:paraId="596F13DA">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持续优化</w:t>
            </w:r>
          </w:p>
        </w:tc>
        <w:tc>
          <w:tcPr>
            <w:tcW w:w="806" w:type="dxa"/>
            <w:vAlign w:val="center"/>
          </w:tcPr>
          <w:p w14:paraId="49A57C7B">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846" w:type="dxa"/>
            <w:vAlign w:val="center"/>
          </w:tcPr>
          <w:p w14:paraId="044D5C88">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5.00</w:t>
            </w:r>
          </w:p>
        </w:tc>
        <w:tc>
          <w:tcPr>
            <w:tcW w:w="1380"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5" w:type="dxa"/>
            <w:vMerge w:val="restart"/>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441" w:type="dxa"/>
            <w:vMerge w:val="restart"/>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184" w:type="dxa"/>
            <w:vAlign w:val="center"/>
          </w:tcPr>
          <w:p w14:paraId="4471F21F">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社会群众满意度</w:t>
            </w:r>
          </w:p>
        </w:tc>
        <w:tc>
          <w:tcPr>
            <w:tcW w:w="872" w:type="dxa"/>
            <w:vAlign w:val="center"/>
          </w:tcPr>
          <w:p w14:paraId="10DB725A">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95%</w:t>
            </w:r>
          </w:p>
        </w:tc>
        <w:tc>
          <w:tcPr>
            <w:tcW w:w="925" w:type="dxa"/>
            <w:vAlign w:val="center"/>
          </w:tcPr>
          <w:p w14:paraId="65FCC670">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93%</w:t>
            </w:r>
          </w:p>
        </w:tc>
        <w:tc>
          <w:tcPr>
            <w:tcW w:w="806" w:type="dxa"/>
            <w:vAlign w:val="center"/>
          </w:tcPr>
          <w:p w14:paraId="29FD5B5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846" w:type="dxa"/>
            <w:vAlign w:val="center"/>
          </w:tcPr>
          <w:p w14:paraId="57CE9A58">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4.00</w:t>
            </w:r>
          </w:p>
        </w:tc>
        <w:tc>
          <w:tcPr>
            <w:tcW w:w="1380" w:type="dxa"/>
            <w:vAlign w:val="center"/>
          </w:tcPr>
          <w:p w14:paraId="5D355892">
            <w:pPr>
              <w:spacing w:line="240" w:lineRule="auto"/>
              <w:ind w:firstLine="420"/>
              <w:jc w:val="center"/>
              <w:rPr>
                <w:rFonts w:ascii="仿宋_GB2312" w:hAnsi="宋体" w:eastAsia="仿宋_GB2312" w:cs="宋体"/>
                <w:kern w:val="0"/>
              </w:rPr>
            </w:pPr>
          </w:p>
        </w:tc>
      </w:tr>
      <w:tr w14:paraId="2E92C3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44375EDD">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4C8D4EAC">
            <w:pPr>
              <w:spacing w:line="240" w:lineRule="auto"/>
              <w:ind w:firstLine="420"/>
              <w:jc w:val="center"/>
              <w:rPr>
                <w:rFonts w:ascii="仿宋_GB2312" w:hAnsi="宋体" w:eastAsia="仿宋_GB2312" w:cs="宋体"/>
                <w:kern w:val="0"/>
              </w:rPr>
            </w:pPr>
          </w:p>
        </w:tc>
        <w:tc>
          <w:tcPr>
            <w:tcW w:w="1441" w:type="dxa"/>
            <w:vMerge w:val="continue"/>
            <w:tcBorders>
              <w:top w:val="nil"/>
              <w:bottom w:val="nil"/>
            </w:tcBorders>
            <w:vAlign w:val="center"/>
          </w:tcPr>
          <w:p w14:paraId="6C89EE40">
            <w:pPr>
              <w:spacing w:line="240" w:lineRule="auto"/>
              <w:ind w:firstLine="420"/>
              <w:jc w:val="center"/>
              <w:rPr>
                <w:rFonts w:ascii="仿宋_GB2312" w:hAnsi="宋体" w:eastAsia="仿宋_GB2312" w:cs="宋体"/>
                <w:kern w:val="0"/>
              </w:rPr>
            </w:pPr>
          </w:p>
        </w:tc>
        <w:tc>
          <w:tcPr>
            <w:tcW w:w="1184" w:type="dxa"/>
            <w:vAlign w:val="center"/>
          </w:tcPr>
          <w:p w14:paraId="1703DA95">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职工满意度</w:t>
            </w:r>
          </w:p>
        </w:tc>
        <w:tc>
          <w:tcPr>
            <w:tcW w:w="872" w:type="dxa"/>
            <w:vAlign w:val="center"/>
          </w:tcPr>
          <w:p w14:paraId="1AF12BF9">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98%</w:t>
            </w:r>
          </w:p>
        </w:tc>
        <w:tc>
          <w:tcPr>
            <w:tcW w:w="925" w:type="dxa"/>
            <w:vAlign w:val="center"/>
          </w:tcPr>
          <w:p w14:paraId="17728D0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96%</w:t>
            </w:r>
          </w:p>
        </w:tc>
        <w:tc>
          <w:tcPr>
            <w:tcW w:w="806" w:type="dxa"/>
            <w:vAlign w:val="center"/>
          </w:tcPr>
          <w:p w14:paraId="444A062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846" w:type="dxa"/>
            <w:vAlign w:val="center"/>
          </w:tcPr>
          <w:p w14:paraId="371E294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2.00</w:t>
            </w:r>
          </w:p>
        </w:tc>
        <w:tc>
          <w:tcPr>
            <w:tcW w:w="1380" w:type="dxa"/>
            <w:vAlign w:val="center"/>
          </w:tcPr>
          <w:p w14:paraId="3FF5E018">
            <w:pPr>
              <w:spacing w:line="240" w:lineRule="auto"/>
              <w:ind w:firstLine="420"/>
              <w:jc w:val="center"/>
              <w:rPr>
                <w:rFonts w:ascii="仿宋_GB2312" w:hAnsi="宋体" w:eastAsia="仿宋_GB2312" w:cs="宋体"/>
                <w:kern w:val="0"/>
              </w:rPr>
            </w:pPr>
          </w:p>
        </w:tc>
      </w:tr>
      <w:tr w14:paraId="790F3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67F77C22">
            <w:pPr>
              <w:spacing w:line="240" w:lineRule="auto"/>
              <w:ind w:firstLine="420"/>
              <w:jc w:val="center"/>
              <w:rPr>
                <w:rFonts w:ascii="仿宋_GB2312" w:hAnsi="宋体" w:eastAsia="仿宋_GB2312" w:cs="宋体"/>
                <w:kern w:val="0"/>
              </w:rPr>
            </w:pPr>
          </w:p>
        </w:tc>
        <w:tc>
          <w:tcPr>
            <w:tcW w:w="1055" w:type="dxa"/>
            <w:vMerge w:val="continue"/>
            <w:tcBorders>
              <w:top w:val="nil"/>
            </w:tcBorders>
            <w:vAlign w:val="center"/>
          </w:tcPr>
          <w:p w14:paraId="2327F267">
            <w:pPr>
              <w:spacing w:line="240" w:lineRule="auto"/>
              <w:ind w:firstLine="420"/>
              <w:jc w:val="center"/>
              <w:rPr>
                <w:rFonts w:ascii="仿宋_GB2312" w:hAnsi="宋体" w:eastAsia="仿宋_GB2312" w:cs="宋体"/>
                <w:kern w:val="0"/>
              </w:rPr>
            </w:pPr>
          </w:p>
        </w:tc>
        <w:tc>
          <w:tcPr>
            <w:tcW w:w="1441" w:type="dxa"/>
            <w:vMerge w:val="continue"/>
            <w:tcBorders>
              <w:top w:val="nil"/>
            </w:tcBorders>
            <w:vAlign w:val="center"/>
          </w:tcPr>
          <w:p w14:paraId="05A079AD">
            <w:pPr>
              <w:spacing w:line="240" w:lineRule="auto"/>
              <w:ind w:firstLine="420"/>
              <w:jc w:val="center"/>
              <w:rPr>
                <w:rFonts w:ascii="仿宋_GB2312" w:hAnsi="宋体" w:eastAsia="仿宋_GB2312" w:cs="宋体"/>
                <w:kern w:val="0"/>
              </w:rPr>
            </w:pPr>
          </w:p>
        </w:tc>
        <w:tc>
          <w:tcPr>
            <w:tcW w:w="1184" w:type="dxa"/>
            <w:vAlign w:val="center"/>
          </w:tcPr>
          <w:p w14:paraId="78B84DF9">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上级部门满意度</w:t>
            </w:r>
          </w:p>
        </w:tc>
        <w:tc>
          <w:tcPr>
            <w:tcW w:w="872" w:type="dxa"/>
            <w:vAlign w:val="center"/>
          </w:tcPr>
          <w:p w14:paraId="5E84FB58">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98%</w:t>
            </w:r>
          </w:p>
        </w:tc>
        <w:tc>
          <w:tcPr>
            <w:tcW w:w="925" w:type="dxa"/>
            <w:vAlign w:val="center"/>
          </w:tcPr>
          <w:p w14:paraId="27CE5650">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95%</w:t>
            </w:r>
          </w:p>
        </w:tc>
        <w:tc>
          <w:tcPr>
            <w:tcW w:w="806" w:type="dxa"/>
            <w:vAlign w:val="center"/>
          </w:tcPr>
          <w:p w14:paraId="78CED8C4">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846" w:type="dxa"/>
            <w:vAlign w:val="center"/>
          </w:tcPr>
          <w:p w14:paraId="7ED607E5">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1380" w:type="dxa"/>
            <w:vAlign w:val="center"/>
          </w:tcPr>
          <w:p w14:paraId="4F5D532F">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5"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441"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184" w:type="dxa"/>
            <w:vAlign w:val="center"/>
          </w:tcPr>
          <w:p w14:paraId="2D050142">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严格控制成本</w:t>
            </w:r>
          </w:p>
        </w:tc>
        <w:tc>
          <w:tcPr>
            <w:tcW w:w="872" w:type="dxa"/>
            <w:vAlign w:val="center"/>
          </w:tcPr>
          <w:p w14:paraId="7D8FEFD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≤20万元</w:t>
            </w:r>
          </w:p>
        </w:tc>
        <w:tc>
          <w:tcPr>
            <w:tcW w:w="925" w:type="dxa"/>
            <w:vAlign w:val="center"/>
          </w:tcPr>
          <w:p w14:paraId="729BFD5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43443E1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w:t>
            </w:r>
          </w:p>
        </w:tc>
        <w:tc>
          <w:tcPr>
            <w:tcW w:w="846" w:type="dxa"/>
            <w:vAlign w:val="center"/>
          </w:tcPr>
          <w:p w14:paraId="1005FDF9">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20.00</w:t>
            </w:r>
          </w:p>
        </w:tc>
        <w:tc>
          <w:tcPr>
            <w:tcW w:w="1380"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5"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441"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184" w:type="dxa"/>
            <w:vAlign w:val="center"/>
          </w:tcPr>
          <w:p w14:paraId="61DC1F69">
            <w:pPr>
              <w:spacing w:line="240" w:lineRule="auto"/>
              <w:ind w:firstLine="420"/>
              <w:jc w:val="center"/>
              <w:rPr>
                <w:rFonts w:ascii="仿宋_GB2312" w:hAnsi="宋体" w:eastAsia="仿宋_GB2312" w:cs="宋体"/>
                <w:kern w:val="0"/>
              </w:rPr>
            </w:pPr>
          </w:p>
        </w:tc>
        <w:tc>
          <w:tcPr>
            <w:tcW w:w="872" w:type="dxa"/>
            <w:vAlign w:val="center"/>
          </w:tcPr>
          <w:p w14:paraId="515A6775">
            <w:pPr>
              <w:spacing w:line="240" w:lineRule="auto"/>
              <w:ind w:firstLine="420"/>
              <w:jc w:val="center"/>
              <w:rPr>
                <w:rFonts w:ascii="仿宋_GB2312" w:hAnsi="宋体" w:eastAsia="仿宋_GB2312" w:cs="宋体"/>
                <w:kern w:val="0"/>
              </w:rPr>
            </w:pPr>
          </w:p>
        </w:tc>
        <w:tc>
          <w:tcPr>
            <w:tcW w:w="925" w:type="dxa"/>
            <w:vAlign w:val="center"/>
          </w:tcPr>
          <w:p w14:paraId="79BCBEC4">
            <w:pPr>
              <w:spacing w:line="240" w:lineRule="auto"/>
              <w:ind w:firstLine="420"/>
              <w:jc w:val="center"/>
              <w:rPr>
                <w:rFonts w:ascii="仿宋_GB2312" w:hAnsi="宋体" w:eastAsia="仿宋_GB2312" w:cs="宋体"/>
                <w:kern w:val="0"/>
              </w:rPr>
            </w:pPr>
          </w:p>
        </w:tc>
        <w:tc>
          <w:tcPr>
            <w:tcW w:w="806" w:type="dxa"/>
            <w:vAlign w:val="center"/>
          </w:tcPr>
          <w:p w14:paraId="7CB491CD">
            <w:pPr>
              <w:spacing w:line="240" w:lineRule="auto"/>
              <w:ind w:firstLine="420"/>
              <w:jc w:val="center"/>
              <w:rPr>
                <w:rFonts w:ascii="仿宋_GB2312" w:hAnsi="宋体" w:eastAsia="仿宋_GB2312" w:cs="宋体"/>
                <w:kern w:val="0"/>
              </w:rPr>
            </w:pPr>
          </w:p>
        </w:tc>
        <w:tc>
          <w:tcPr>
            <w:tcW w:w="846" w:type="dxa"/>
            <w:vAlign w:val="center"/>
          </w:tcPr>
          <w:p w14:paraId="7D797644">
            <w:pPr>
              <w:spacing w:line="240" w:lineRule="auto"/>
              <w:ind w:firstLine="420"/>
              <w:jc w:val="center"/>
              <w:rPr>
                <w:rFonts w:ascii="仿宋_GB2312" w:hAnsi="宋体" w:eastAsia="仿宋_GB2312" w:cs="宋体"/>
                <w:kern w:val="0"/>
              </w:rPr>
            </w:pPr>
          </w:p>
        </w:tc>
        <w:tc>
          <w:tcPr>
            <w:tcW w:w="1380"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5"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441"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184" w:type="dxa"/>
            <w:vAlign w:val="center"/>
          </w:tcPr>
          <w:p w14:paraId="2C28E6A5">
            <w:pPr>
              <w:spacing w:line="240" w:lineRule="auto"/>
              <w:ind w:firstLine="420"/>
              <w:jc w:val="center"/>
              <w:rPr>
                <w:rFonts w:ascii="仿宋_GB2312" w:hAnsi="宋体" w:eastAsia="仿宋_GB2312" w:cs="宋体"/>
                <w:kern w:val="0"/>
              </w:rPr>
            </w:pPr>
          </w:p>
        </w:tc>
        <w:tc>
          <w:tcPr>
            <w:tcW w:w="872" w:type="dxa"/>
            <w:vAlign w:val="center"/>
          </w:tcPr>
          <w:p w14:paraId="52AC4F9E">
            <w:pPr>
              <w:spacing w:line="240" w:lineRule="auto"/>
              <w:ind w:firstLine="420"/>
              <w:jc w:val="center"/>
              <w:rPr>
                <w:rFonts w:ascii="仿宋_GB2312" w:hAnsi="宋体" w:eastAsia="仿宋_GB2312" w:cs="宋体"/>
                <w:kern w:val="0"/>
              </w:rPr>
            </w:pPr>
          </w:p>
        </w:tc>
        <w:tc>
          <w:tcPr>
            <w:tcW w:w="925" w:type="dxa"/>
            <w:vAlign w:val="center"/>
          </w:tcPr>
          <w:p w14:paraId="0867BB9D">
            <w:pPr>
              <w:spacing w:line="240" w:lineRule="auto"/>
              <w:ind w:firstLine="420"/>
              <w:jc w:val="center"/>
              <w:rPr>
                <w:rFonts w:ascii="仿宋_GB2312" w:hAnsi="宋体" w:eastAsia="仿宋_GB2312" w:cs="宋体"/>
                <w:kern w:val="0"/>
              </w:rPr>
            </w:pPr>
          </w:p>
        </w:tc>
        <w:tc>
          <w:tcPr>
            <w:tcW w:w="806" w:type="dxa"/>
            <w:vAlign w:val="center"/>
          </w:tcPr>
          <w:p w14:paraId="640DCB80">
            <w:pPr>
              <w:spacing w:line="240" w:lineRule="auto"/>
              <w:ind w:firstLine="420"/>
              <w:jc w:val="center"/>
              <w:rPr>
                <w:rFonts w:ascii="仿宋_GB2312" w:hAnsi="宋体" w:eastAsia="仿宋_GB2312" w:cs="宋体"/>
                <w:kern w:val="0"/>
              </w:rPr>
            </w:pPr>
          </w:p>
        </w:tc>
        <w:tc>
          <w:tcPr>
            <w:tcW w:w="846" w:type="dxa"/>
            <w:vAlign w:val="center"/>
          </w:tcPr>
          <w:p w14:paraId="03C9828A">
            <w:pPr>
              <w:spacing w:line="240" w:lineRule="auto"/>
              <w:ind w:firstLine="420"/>
              <w:jc w:val="center"/>
              <w:rPr>
                <w:rFonts w:ascii="仿宋_GB2312" w:hAnsi="宋体" w:eastAsia="仿宋_GB2312" w:cs="宋体"/>
                <w:kern w:val="0"/>
              </w:rPr>
            </w:pPr>
          </w:p>
        </w:tc>
        <w:tc>
          <w:tcPr>
            <w:tcW w:w="1380"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7"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6"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6" w:type="dxa"/>
            <w:vAlign w:val="center"/>
          </w:tcPr>
          <w:p w14:paraId="3FD2854A">
            <w:pPr>
              <w:spacing w:line="240" w:lineRule="auto"/>
              <w:ind w:firstLine="420"/>
              <w:jc w:val="center"/>
              <w:rPr>
                <w:rFonts w:ascii="仿宋_GB2312" w:hAnsi="宋体" w:eastAsia="仿宋_GB2312" w:cs="宋体"/>
                <w:kern w:val="0"/>
              </w:rPr>
            </w:pPr>
          </w:p>
        </w:tc>
        <w:tc>
          <w:tcPr>
            <w:tcW w:w="1380"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33EC6BC3">
      <w:pPr>
        <w:rPr>
          <w:rFonts w:ascii="仿宋_GB2312" w:hAnsi="宋体" w:eastAsia="仿宋_GB2312" w:cs="宋体"/>
          <w:lang w:eastAsia="zh-CN"/>
        </w:rPr>
        <w:sectPr>
          <w:footerReference r:id="rId8" w:type="default"/>
          <w:pgSz w:w="11907" w:h="16839"/>
          <w:pgMar w:top="1304" w:right="1474" w:bottom="1304"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填表人：易红武</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hint="eastAsia" w:ascii="仿宋_GB2312" w:hAnsi="宋体" w:eastAsia="仿宋_GB2312" w:cs="宋体"/>
          <w:kern w:val="0"/>
          <w:lang w:eastAsia="zh-CN"/>
        </w:rPr>
        <w:t>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13874088758</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w:t>
      </w:r>
      <w:bookmarkStart w:id="0" w:name="_GoBack"/>
      <w:bookmarkEnd w:id="0"/>
      <w:r>
        <w:rPr>
          <w:rFonts w:hint="eastAsia" w:ascii="仿宋_GB2312" w:hAnsi="宋体" w:eastAsia="仿宋_GB2312" w:cs="宋体"/>
          <w:kern w:val="0"/>
          <w:lang w:eastAsia="zh-CN"/>
        </w:rPr>
        <w:t>字:吴飞虹</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7C77FFAE">
      <w:pPr>
        <w:spacing w:line="240" w:lineRule="auto"/>
        <w:ind w:firstLine="880"/>
        <w:jc w:val="center"/>
        <w:rPr>
          <w:rFonts w:hint="eastAsia"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汨罗市城市公用事业服务中心</w:t>
      </w:r>
    </w:p>
    <w:p w14:paraId="46C4629C">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kern w:val="0"/>
          <w:sz w:val="44"/>
          <w:szCs w:val="44"/>
          <w:lang w:eastAsia="zh-CN"/>
        </w:rPr>
        <w:t>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部门(单位)名称：汨罗市城市公用事业服务中心</w:t>
      </w:r>
      <w:r>
        <w:rPr>
          <w:rFonts w:hint="eastAsia" w:ascii="楷体_GB2312" w:hAnsi="仿宋" w:eastAsia="楷体_GB2312" w:cs="仿宋"/>
          <w:b/>
          <w:bCs/>
          <w:snapToGrid w:val="0"/>
          <w:color w:val="000000"/>
          <w:spacing w:val="-28"/>
          <w:sz w:val="32"/>
          <w:szCs w:val="32"/>
          <w:u w:val="none"/>
          <w:lang w:val="en-US" w:eastAsia="zh-CN" w:bidi="ar-SA"/>
        </w:rPr>
        <w:t>(盖章)</w:t>
      </w:r>
    </w:p>
    <w:p w14:paraId="2CE85E71">
      <w:pPr>
        <w:spacing w:before="274" w:line="225" w:lineRule="auto"/>
        <w:ind w:firstLine="617"/>
        <w:jc w:val="center"/>
        <w:rPr>
          <w:rFonts w:hint="eastAsia" w:ascii="楷体_GB2312" w:hAnsi="楷体" w:eastAsia="楷体_GB2312" w:cs="楷体"/>
          <w:b/>
          <w:bCs/>
          <w:spacing w:val="-13"/>
          <w:kern w:val="0"/>
          <w:sz w:val="32"/>
          <w:szCs w:val="32"/>
          <w:lang w:val="en-US" w:eastAsia="zh-CN"/>
        </w:rPr>
      </w:pPr>
      <w:r>
        <w:rPr>
          <w:rFonts w:hint="eastAsia" w:ascii="楷体_GB2312" w:hAnsi="楷体" w:eastAsia="楷体_GB2312" w:cs="楷体"/>
          <w:b/>
          <w:bCs/>
          <w:spacing w:val="-13"/>
          <w:kern w:val="0"/>
          <w:sz w:val="32"/>
          <w:szCs w:val="32"/>
          <w:lang w:val="en-US" w:eastAsia="zh-CN"/>
        </w:rPr>
        <w:t>2024 年 10 月 15 日</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07B8AF">
      <w:pPr>
        <w:spacing w:before="130" w:line="221" w:lineRule="auto"/>
        <w:jc w:val="center"/>
        <w:rPr>
          <w:rFonts w:hint="eastAsia" w:ascii="黑体" w:hAnsi="黑体" w:eastAsia="黑体" w:cs="黑体"/>
          <w:spacing w:val="-60"/>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 xml:space="preserve"> 年度</w:t>
      </w:r>
      <w:r>
        <w:rPr>
          <w:rFonts w:hint="eastAsia" w:ascii="黑体" w:hAnsi="黑体" w:eastAsia="黑体" w:cs="黑体"/>
          <w:spacing w:val="-60"/>
          <w:sz w:val="40"/>
          <w:szCs w:val="40"/>
        </w:rPr>
        <w:t>汨罗市城市公用事业服务中心</w:t>
      </w:r>
    </w:p>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一、部门(单位)基本情况</w:t>
      </w:r>
    </w:p>
    <w:p w14:paraId="30DE64D3">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1、机构设置</w:t>
      </w:r>
    </w:p>
    <w:p w14:paraId="07ED32B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汨罗市城市公用事业服务中心</w:t>
      </w:r>
      <w:r>
        <w:rPr>
          <w:rFonts w:hint="eastAsia" w:ascii="仿宋" w:hAnsi="仿宋" w:eastAsia="仿宋" w:cs="仿宋"/>
          <w:sz w:val="32"/>
          <w:szCs w:val="40"/>
          <w:lang w:eastAsia="zh-CN"/>
        </w:rPr>
        <w:t>为</w:t>
      </w:r>
      <w:r>
        <w:rPr>
          <w:rFonts w:hint="eastAsia" w:ascii="仿宋" w:hAnsi="仿宋" w:eastAsia="仿宋" w:cs="仿宋"/>
          <w:sz w:val="32"/>
          <w:szCs w:val="40"/>
        </w:rPr>
        <w:t>财政全额拨款</w:t>
      </w:r>
      <w:r>
        <w:rPr>
          <w:rFonts w:hint="eastAsia" w:ascii="仿宋" w:hAnsi="仿宋" w:eastAsia="仿宋" w:cs="仿宋"/>
          <w:sz w:val="32"/>
          <w:szCs w:val="40"/>
          <w:lang w:eastAsia="zh-CN"/>
        </w:rPr>
        <w:t>的公益一类事业单位，隶属汨罗市城市管理和综合执法局</w:t>
      </w:r>
      <w:r>
        <w:rPr>
          <w:rFonts w:hint="eastAsia" w:ascii="仿宋" w:hAnsi="仿宋" w:eastAsia="仿宋" w:cs="仿宋"/>
          <w:sz w:val="32"/>
          <w:szCs w:val="40"/>
        </w:rPr>
        <w:t>，执行行政单位会计制度。汨罗市城市公用事业服务中心</w:t>
      </w:r>
      <w:r>
        <w:rPr>
          <w:rFonts w:hint="eastAsia" w:ascii="仿宋" w:hAnsi="仿宋" w:eastAsia="仿宋" w:cs="仿宋"/>
          <w:sz w:val="32"/>
          <w:szCs w:val="40"/>
          <w:lang w:eastAsia="zh-CN"/>
        </w:rPr>
        <w:t>设</w:t>
      </w:r>
      <w:r>
        <w:rPr>
          <w:rFonts w:hint="eastAsia" w:ascii="仿宋" w:hAnsi="仿宋" w:eastAsia="仿宋" w:cs="仿宋"/>
          <w:sz w:val="32"/>
          <w:szCs w:val="40"/>
        </w:rPr>
        <w:t>：</w:t>
      </w:r>
      <w:r>
        <w:rPr>
          <w:rFonts w:hint="eastAsia" w:ascii="仿宋" w:hAnsi="仿宋" w:eastAsia="仿宋" w:cs="仿宋"/>
          <w:sz w:val="32"/>
          <w:szCs w:val="40"/>
          <w:lang w:eastAsia="zh-CN"/>
        </w:rPr>
        <w:t>综合</w:t>
      </w:r>
      <w:r>
        <w:rPr>
          <w:rFonts w:hint="eastAsia" w:ascii="仿宋" w:hAnsi="仿宋" w:eastAsia="仿宋" w:cs="仿宋"/>
          <w:sz w:val="32"/>
          <w:szCs w:val="40"/>
        </w:rPr>
        <w:t>办公室、</w:t>
      </w:r>
      <w:r>
        <w:rPr>
          <w:rFonts w:hint="eastAsia" w:ascii="仿宋" w:hAnsi="仿宋" w:eastAsia="仿宋" w:cs="仿宋"/>
          <w:sz w:val="32"/>
          <w:szCs w:val="40"/>
          <w:lang w:eastAsia="zh-CN"/>
        </w:rPr>
        <w:t>公用设施监督股、公用设施维护股、污水运营监管股</w:t>
      </w:r>
      <w:r>
        <w:rPr>
          <w:rFonts w:hint="eastAsia" w:ascii="仿宋" w:hAnsi="仿宋" w:eastAsia="仿宋" w:cs="仿宋"/>
          <w:sz w:val="32"/>
          <w:szCs w:val="40"/>
        </w:rPr>
        <w:t>。</w:t>
      </w:r>
    </w:p>
    <w:p w14:paraId="7A22403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仿宋" w:hAnsi="仿宋" w:eastAsia="仿宋" w:cs="仿宋"/>
          <w:sz w:val="32"/>
          <w:szCs w:val="40"/>
        </w:rPr>
      </w:pPr>
      <w:r>
        <w:rPr>
          <w:rFonts w:hint="eastAsia" w:ascii="仿宋" w:hAnsi="仿宋" w:eastAsia="仿宋" w:cs="仿宋"/>
          <w:sz w:val="32"/>
          <w:szCs w:val="40"/>
          <w:lang w:val="en-US" w:eastAsia="zh-CN"/>
        </w:rPr>
        <w:t xml:space="preserve">  </w:t>
      </w:r>
      <w:r>
        <w:rPr>
          <w:rFonts w:hint="eastAsia" w:ascii="仿宋" w:hAnsi="仿宋" w:eastAsia="仿宋" w:cs="仿宋"/>
          <w:b/>
          <w:bCs/>
          <w:sz w:val="32"/>
          <w:szCs w:val="40"/>
          <w:lang w:val="en-US" w:eastAsia="zh-CN"/>
        </w:rPr>
        <w:t xml:space="preserve">  2、人员情况</w:t>
      </w:r>
    </w:p>
    <w:p w14:paraId="086CE4D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z w:val="32"/>
          <w:szCs w:val="40"/>
        </w:rPr>
        <w:t>我单位202</w:t>
      </w:r>
      <w:r>
        <w:rPr>
          <w:rFonts w:hint="eastAsia" w:ascii="仿宋" w:hAnsi="仿宋" w:eastAsia="仿宋" w:cs="仿宋"/>
          <w:sz w:val="32"/>
          <w:szCs w:val="40"/>
          <w:lang w:val="en-US" w:eastAsia="zh-CN"/>
        </w:rPr>
        <w:t>3</w:t>
      </w:r>
      <w:r>
        <w:rPr>
          <w:rFonts w:hint="eastAsia" w:ascii="仿宋" w:hAnsi="仿宋" w:eastAsia="仿宋" w:cs="仿宋"/>
          <w:sz w:val="32"/>
          <w:szCs w:val="40"/>
        </w:rPr>
        <w:t>年人员编制</w:t>
      </w:r>
      <w:r>
        <w:rPr>
          <w:rFonts w:hint="eastAsia" w:ascii="仿宋" w:hAnsi="仿宋" w:eastAsia="仿宋" w:cs="仿宋"/>
          <w:sz w:val="32"/>
          <w:szCs w:val="40"/>
          <w:lang w:val="en-US" w:eastAsia="zh-CN"/>
        </w:rPr>
        <w:t>20</w:t>
      </w:r>
      <w:r>
        <w:rPr>
          <w:rFonts w:hint="eastAsia" w:ascii="仿宋" w:hAnsi="仿宋" w:eastAsia="仿宋" w:cs="仿宋"/>
          <w:sz w:val="32"/>
          <w:szCs w:val="40"/>
        </w:rPr>
        <w:t>名，202</w:t>
      </w:r>
      <w:r>
        <w:rPr>
          <w:rFonts w:hint="eastAsia" w:ascii="仿宋" w:hAnsi="仿宋" w:eastAsia="仿宋" w:cs="仿宋"/>
          <w:sz w:val="32"/>
          <w:szCs w:val="40"/>
          <w:lang w:val="en-US" w:eastAsia="zh-CN"/>
        </w:rPr>
        <w:t>3</w:t>
      </w:r>
      <w:r>
        <w:rPr>
          <w:rFonts w:hint="eastAsia" w:ascii="仿宋" w:hAnsi="仿宋" w:eastAsia="仿宋" w:cs="仿宋"/>
          <w:sz w:val="32"/>
          <w:szCs w:val="40"/>
        </w:rPr>
        <w:t>年末在职</w:t>
      </w:r>
      <w:r>
        <w:rPr>
          <w:rFonts w:hint="eastAsia" w:ascii="仿宋" w:hAnsi="仿宋" w:eastAsia="仿宋" w:cs="仿宋"/>
          <w:sz w:val="32"/>
          <w:szCs w:val="40"/>
          <w:lang w:val="en-US" w:eastAsia="zh-CN"/>
        </w:rPr>
        <w:t>20</w:t>
      </w:r>
      <w:r>
        <w:rPr>
          <w:rFonts w:hint="eastAsia" w:ascii="仿宋" w:hAnsi="仿宋" w:eastAsia="仿宋" w:cs="仿宋"/>
          <w:sz w:val="32"/>
          <w:szCs w:val="40"/>
        </w:rPr>
        <w:t>人，退休</w:t>
      </w:r>
      <w:r>
        <w:rPr>
          <w:rFonts w:hint="eastAsia" w:ascii="仿宋" w:hAnsi="仿宋" w:eastAsia="仿宋" w:cs="仿宋"/>
          <w:sz w:val="32"/>
          <w:szCs w:val="40"/>
          <w:lang w:val="en-US" w:eastAsia="zh-CN"/>
        </w:rPr>
        <w:t>8</w:t>
      </w:r>
      <w:r>
        <w:rPr>
          <w:rFonts w:hint="eastAsia" w:ascii="仿宋" w:hAnsi="仿宋" w:eastAsia="仿宋" w:cs="仿宋"/>
          <w:sz w:val="32"/>
          <w:szCs w:val="40"/>
        </w:rPr>
        <w:t>人</w:t>
      </w:r>
      <w:r>
        <w:rPr>
          <w:rFonts w:hint="eastAsia" w:ascii="仿宋" w:hAnsi="仿宋" w:eastAsia="仿宋" w:cs="仿宋"/>
          <w:sz w:val="32"/>
          <w:szCs w:val="40"/>
          <w:lang w:eastAsia="zh-CN"/>
        </w:rPr>
        <w:t>，遗属</w:t>
      </w:r>
      <w:r>
        <w:rPr>
          <w:rFonts w:hint="eastAsia" w:ascii="仿宋" w:hAnsi="仿宋" w:eastAsia="仿宋" w:cs="仿宋"/>
          <w:sz w:val="32"/>
          <w:szCs w:val="40"/>
          <w:lang w:val="en-US" w:eastAsia="zh-CN"/>
        </w:rPr>
        <w:t>1人</w:t>
      </w:r>
      <w:r>
        <w:rPr>
          <w:rFonts w:hint="eastAsia" w:ascii="仿宋" w:hAnsi="仿宋" w:eastAsia="仿宋" w:cs="仿宋"/>
          <w:sz w:val="32"/>
          <w:szCs w:val="40"/>
        </w:rPr>
        <w:t>。</w:t>
      </w:r>
    </w:p>
    <w:p w14:paraId="2B641025">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二、一般公共预算支出情况</w:t>
      </w:r>
    </w:p>
    <w:p w14:paraId="2B8E5FFE">
      <w:pPr>
        <w:pStyle w:val="9"/>
        <w:keepNext w:val="0"/>
        <w:keepLines w:val="0"/>
        <w:pageBreakBefore w:val="0"/>
        <w:widowControl/>
        <w:kinsoku w:val="0"/>
        <w:wordWrap/>
        <w:overflowPunct/>
        <w:topLinePunct w:val="0"/>
        <w:autoSpaceDE w:val="0"/>
        <w:autoSpaceDN w:val="0"/>
        <w:bidi w:val="0"/>
        <w:adjustRightInd w:val="0"/>
        <w:snapToGrid w:val="0"/>
        <w:spacing w:line="560" w:lineRule="exact"/>
        <w:ind w:firstLine="643"/>
        <w:jc w:val="both"/>
        <w:textAlignment w:val="baseline"/>
        <w:rPr>
          <w:rFonts w:hint="eastAsia" w:ascii="仿宋" w:hAnsi="仿宋" w:eastAsia="仿宋" w:cs="仿宋"/>
          <w:b/>
          <w:bCs w:val="0"/>
          <w:kern w:val="0"/>
          <w:sz w:val="32"/>
          <w:szCs w:val="32"/>
          <w:lang w:eastAsia="zh-CN"/>
        </w:rPr>
      </w:pPr>
      <w:r>
        <w:rPr>
          <w:rFonts w:hint="eastAsia" w:ascii="仿宋" w:hAnsi="仿宋" w:eastAsia="仿宋" w:cs="仿宋"/>
          <w:b/>
          <w:bCs w:val="0"/>
          <w:kern w:val="0"/>
          <w:sz w:val="32"/>
          <w:szCs w:val="32"/>
          <w:lang w:eastAsia="zh-CN"/>
        </w:rPr>
        <w:t>（一）基本支出情况</w:t>
      </w:r>
    </w:p>
    <w:p w14:paraId="51C9E36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我部为保障单位机构运转、完成日常工作任务，202</w:t>
      </w:r>
      <w:r>
        <w:rPr>
          <w:rFonts w:hint="eastAsia" w:ascii="仿宋" w:hAnsi="仿宋" w:eastAsia="仿宋" w:cs="仿宋"/>
          <w:sz w:val="32"/>
          <w:szCs w:val="40"/>
          <w:lang w:val="en-US" w:eastAsia="zh-CN"/>
        </w:rPr>
        <w:t>3</w:t>
      </w:r>
      <w:r>
        <w:rPr>
          <w:rFonts w:hint="eastAsia" w:ascii="仿宋" w:hAnsi="仿宋" w:eastAsia="仿宋" w:cs="仿宋"/>
          <w:sz w:val="32"/>
          <w:szCs w:val="40"/>
        </w:rPr>
        <w:t>年一般公共预算拨款基本支出决算</w:t>
      </w:r>
      <w:r>
        <w:rPr>
          <w:rFonts w:hint="eastAsia" w:ascii="仿宋" w:hAnsi="仿宋" w:eastAsia="仿宋" w:cs="仿宋"/>
          <w:sz w:val="32"/>
          <w:szCs w:val="40"/>
          <w:lang w:val="en-US" w:eastAsia="zh-CN"/>
        </w:rPr>
        <w:t>365.66</w:t>
      </w:r>
      <w:r>
        <w:rPr>
          <w:rFonts w:hint="eastAsia" w:ascii="仿宋" w:hAnsi="仿宋" w:eastAsia="仿宋" w:cs="仿宋"/>
          <w:sz w:val="32"/>
          <w:szCs w:val="40"/>
        </w:rPr>
        <w:t>万元，主要是工资福利支出、商品和服务支出和对个人和家庭的补助支出。</w:t>
      </w:r>
    </w:p>
    <w:p w14:paraId="0D3E42D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textAlignment w:val="baseline"/>
        <w:rPr>
          <w:rFonts w:hint="eastAsia" w:ascii="仿宋" w:hAnsi="仿宋" w:eastAsia="仿宋" w:cs="仿宋"/>
          <w:sz w:val="32"/>
          <w:szCs w:val="40"/>
        </w:rPr>
      </w:pPr>
      <w:r>
        <w:rPr>
          <w:rFonts w:hint="eastAsia" w:ascii="仿宋" w:hAnsi="仿宋" w:eastAsia="仿宋" w:cs="仿宋"/>
          <w:b/>
          <w:bCs/>
          <w:sz w:val="32"/>
          <w:szCs w:val="40"/>
          <w:lang w:val="en-US" w:eastAsia="zh-CN"/>
        </w:rPr>
        <w:t>1、“三公”经费支出情况:</w:t>
      </w:r>
      <w:r>
        <w:rPr>
          <w:rFonts w:hint="eastAsia" w:ascii="仿宋" w:hAnsi="仿宋" w:eastAsia="仿宋" w:cs="仿宋"/>
          <w:sz w:val="32"/>
          <w:szCs w:val="40"/>
        </w:rPr>
        <w:t>202</w:t>
      </w:r>
      <w:r>
        <w:rPr>
          <w:rFonts w:hint="eastAsia" w:ascii="仿宋" w:hAnsi="仿宋" w:eastAsia="仿宋" w:cs="仿宋"/>
          <w:sz w:val="32"/>
          <w:szCs w:val="40"/>
          <w:lang w:val="en-US" w:eastAsia="zh-CN"/>
        </w:rPr>
        <w:t>3</w:t>
      </w:r>
      <w:r>
        <w:rPr>
          <w:rFonts w:hint="eastAsia" w:ascii="仿宋" w:hAnsi="仿宋" w:eastAsia="仿宋" w:cs="仿宋"/>
          <w:sz w:val="32"/>
          <w:szCs w:val="40"/>
        </w:rPr>
        <w:t>年度一般公共预算财政拨款“三公”经费年初预算为</w:t>
      </w:r>
      <w:r>
        <w:rPr>
          <w:rFonts w:hint="eastAsia" w:ascii="仿宋" w:hAnsi="仿宋" w:eastAsia="仿宋" w:cs="仿宋"/>
          <w:sz w:val="32"/>
          <w:szCs w:val="40"/>
          <w:lang w:val="en-US" w:eastAsia="zh-CN"/>
        </w:rPr>
        <w:t>2</w:t>
      </w:r>
      <w:r>
        <w:rPr>
          <w:rFonts w:hint="eastAsia" w:ascii="仿宋" w:hAnsi="仿宋" w:eastAsia="仿宋" w:cs="仿宋"/>
          <w:sz w:val="32"/>
          <w:szCs w:val="40"/>
        </w:rPr>
        <w:t>万元，一般公共预算财政拨款“三公”经费支出决算为</w:t>
      </w:r>
      <w:r>
        <w:rPr>
          <w:rFonts w:hint="eastAsia" w:ascii="仿宋" w:hAnsi="仿宋" w:eastAsia="仿宋" w:cs="仿宋"/>
          <w:sz w:val="32"/>
          <w:szCs w:val="40"/>
          <w:lang w:val="en-US" w:eastAsia="zh-CN"/>
        </w:rPr>
        <w:t>0</w:t>
      </w:r>
      <w:r>
        <w:rPr>
          <w:rFonts w:hint="eastAsia" w:ascii="仿宋" w:hAnsi="仿宋" w:eastAsia="仿宋" w:cs="仿宋"/>
          <w:sz w:val="32"/>
          <w:szCs w:val="40"/>
        </w:rPr>
        <w:t>万元。其中：因公出国（境）费用0万元；公务用车购置及运行维护费0万元；公务接待费支出</w:t>
      </w:r>
      <w:r>
        <w:rPr>
          <w:rFonts w:hint="eastAsia" w:ascii="仿宋" w:hAnsi="仿宋" w:eastAsia="仿宋" w:cs="仿宋"/>
          <w:sz w:val="32"/>
          <w:szCs w:val="40"/>
          <w:lang w:val="en-US" w:eastAsia="zh-CN"/>
        </w:rPr>
        <w:t>0</w:t>
      </w:r>
      <w:r>
        <w:rPr>
          <w:rFonts w:hint="eastAsia" w:ascii="仿宋" w:hAnsi="仿宋" w:eastAsia="仿宋" w:cs="仿宋"/>
          <w:sz w:val="32"/>
          <w:szCs w:val="40"/>
        </w:rPr>
        <w:t>万元，比202</w:t>
      </w:r>
      <w:r>
        <w:rPr>
          <w:rFonts w:hint="eastAsia" w:ascii="仿宋" w:hAnsi="仿宋" w:eastAsia="仿宋" w:cs="仿宋"/>
          <w:sz w:val="32"/>
          <w:szCs w:val="40"/>
          <w:lang w:val="en-US" w:eastAsia="zh-CN"/>
        </w:rPr>
        <w:t>2</w:t>
      </w:r>
      <w:r>
        <w:rPr>
          <w:rFonts w:hint="eastAsia" w:ascii="仿宋" w:hAnsi="仿宋" w:eastAsia="仿宋" w:cs="仿宋"/>
          <w:sz w:val="32"/>
          <w:szCs w:val="40"/>
        </w:rPr>
        <w:t>年公务接待费用减少了</w:t>
      </w:r>
      <w:r>
        <w:rPr>
          <w:rFonts w:hint="eastAsia" w:ascii="仿宋" w:hAnsi="仿宋" w:eastAsia="仿宋" w:cs="仿宋"/>
          <w:sz w:val="32"/>
          <w:szCs w:val="40"/>
          <w:lang w:val="en-US" w:eastAsia="zh-CN"/>
        </w:rPr>
        <w:t>0.31</w:t>
      </w:r>
      <w:r>
        <w:rPr>
          <w:rFonts w:hint="eastAsia" w:ascii="仿宋" w:hAnsi="仿宋" w:eastAsia="仿宋" w:cs="仿宋"/>
          <w:sz w:val="32"/>
          <w:szCs w:val="40"/>
        </w:rPr>
        <w:t>万元。</w:t>
      </w:r>
    </w:p>
    <w:p w14:paraId="43174640">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2、公用经费支出情况：</w:t>
      </w:r>
    </w:p>
    <w:p w14:paraId="486E5B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lang w:eastAsia="zh-CN"/>
        </w:rPr>
        <w:t>（</w:t>
      </w:r>
      <w:r>
        <w:rPr>
          <w:rFonts w:hint="eastAsia" w:ascii="仿宋" w:hAnsi="仿宋" w:eastAsia="仿宋" w:cs="仿宋"/>
          <w:sz w:val="32"/>
          <w:szCs w:val="40"/>
          <w:lang w:val="en-US" w:eastAsia="zh-CN"/>
        </w:rPr>
        <w:t>1</w:t>
      </w:r>
      <w:r>
        <w:rPr>
          <w:rFonts w:hint="eastAsia" w:ascii="仿宋" w:hAnsi="仿宋" w:eastAsia="仿宋" w:cs="仿宋"/>
          <w:sz w:val="32"/>
          <w:szCs w:val="40"/>
          <w:lang w:eastAsia="zh-CN"/>
        </w:rPr>
        <w:t>）办公经费</w:t>
      </w:r>
      <w:r>
        <w:rPr>
          <w:rFonts w:hint="eastAsia" w:ascii="仿宋" w:hAnsi="仿宋" w:eastAsia="仿宋" w:cs="仿宋"/>
          <w:sz w:val="32"/>
          <w:szCs w:val="40"/>
        </w:rPr>
        <w:t>202</w:t>
      </w:r>
      <w:r>
        <w:rPr>
          <w:rFonts w:hint="eastAsia" w:ascii="仿宋" w:hAnsi="仿宋" w:eastAsia="仿宋" w:cs="仿宋"/>
          <w:sz w:val="32"/>
          <w:szCs w:val="40"/>
          <w:lang w:val="en-US" w:eastAsia="zh-CN"/>
        </w:rPr>
        <w:t>3</w:t>
      </w:r>
      <w:r>
        <w:rPr>
          <w:rFonts w:hint="eastAsia" w:ascii="仿宋" w:hAnsi="仿宋" w:eastAsia="仿宋" w:cs="仿宋"/>
          <w:sz w:val="32"/>
          <w:szCs w:val="40"/>
        </w:rPr>
        <w:t>年度一般公共预算财政拨款年初预算为</w:t>
      </w:r>
      <w:r>
        <w:rPr>
          <w:rFonts w:hint="eastAsia" w:ascii="仿宋" w:hAnsi="仿宋" w:eastAsia="仿宋" w:cs="仿宋"/>
          <w:sz w:val="32"/>
          <w:szCs w:val="40"/>
          <w:lang w:val="en-US" w:eastAsia="zh-CN"/>
        </w:rPr>
        <w:t>2.4</w:t>
      </w:r>
      <w:r>
        <w:rPr>
          <w:rFonts w:hint="eastAsia" w:ascii="仿宋" w:hAnsi="仿宋" w:eastAsia="仿宋" w:cs="仿宋"/>
          <w:sz w:val="32"/>
          <w:szCs w:val="40"/>
        </w:rPr>
        <w:t>万元，一般公共预算财政拨款经费支出决算为</w:t>
      </w:r>
      <w:r>
        <w:rPr>
          <w:rFonts w:hint="eastAsia" w:ascii="仿宋" w:hAnsi="仿宋" w:eastAsia="仿宋" w:cs="仿宋"/>
          <w:sz w:val="32"/>
          <w:szCs w:val="40"/>
          <w:lang w:val="en-US" w:eastAsia="zh-CN"/>
        </w:rPr>
        <w:t>1.93</w:t>
      </w:r>
      <w:r>
        <w:rPr>
          <w:rFonts w:hint="eastAsia" w:ascii="仿宋" w:hAnsi="仿宋" w:eastAsia="仿宋" w:cs="仿宋"/>
          <w:sz w:val="32"/>
          <w:szCs w:val="40"/>
        </w:rPr>
        <w:t>万元</w:t>
      </w:r>
      <w:r>
        <w:rPr>
          <w:rFonts w:hint="eastAsia" w:ascii="仿宋" w:hAnsi="仿宋" w:eastAsia="仿宋" w:cs="仿宋"/>
          <w:sz w:val="32"/>
          <w:szCs w:val="40"/>
          <w:lang w:eastAsia="zh-CN"/>
        </w:rPr>
        <w:t>，剩余指标调剂到其他科目使用。</w:t>
      </w:r>
    </w:p>
    <w:p w14:paraId="7095BA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（2）水费、电费、差旅费</w:t>
      </w:r>
      <w:r>
        <w:rPr>
          <w:rFonts w:hint="eastAsia" w:ascii="仿宋" w:hAnsi="仿宋" w:eastAsia="仿宋" w:cs="仿宋"/>
          <w:sz w:val="32"/>
          <w:szCs w:val="40"/>
        </w:rPr>
        <w:t>202</w:t>
      </w:r>
      <w:r>
        <w:rPr>
          <w:rFonts w:hint="eastAsia" w:ascii="仿宋" w:hAnsi="仿宋" w:eastAsia="仿宋" w:cs="仿宋"/>
          <w:sz w:val="32"/>
          <w:szCs w:val="40"/>
          <w:lang w:val="en-US" w:eastAsia="zh-CN"/>
        </w:rPr>
        <w:t>3</w:t>
      </w:r>
      <w:r>
        <w:rPr>
          <w:rFonts w:hint="eastAsia" w:ascii="仿宋" w:hAnsi="仿宋" w:eastAsia="仿宋" w:cs="仿宋"/>
          <w:sz w:val="32"/>
          <w:szCs w:val="40"/>
        </w:rPr>
        <w:t>年度一般公共预算财政拨款年初预算为</w:t>
      </w:r>
      <w:r>
        <w:rPr>
          <w:rFonts w:hint="eastAsia" w:ascii="仿宋" w:hAnsi="仿宋" w:eastAsia="仿宋" w:cs="仿宋"/>
          <w:sz w:val="32"/>
          <w:szCs w:val="40"/>
          <w:lang w:val="en-US" w:eastAsia="zh-CN"/>
        </w:rPr>
        <w:t>5.6</w:t>
      </w:r>
      <w:r>
        <w:rPr>
          <w:rFonts w:hint="eastAsia" w:ascii="仿宋" w:hAnsi="仿宋" w:eastAsia="仿宋" w:cs="仿宋"/>
          <w:sz w:val="32"/>
          <w:szCs w:val="40"/>
        </w:rPr>
        <w:t>万元，一般公共预算财政拨款经费支出决算为</w:t>
      </w:r>
      <w:r>
        <w:rPr>
          <w:rFonts w:hint="eastAsia" w:ascii="仿宋" w:hAnsi="仿宋" w:eastAsia="仿宋" w:cs="仿宋"/>
          <w:sz w:val="32"/>
          <w:szCs w:val="40"/>
          <w:lang w:val="en-US" w:eastAsia="zh-CN"/>
        </w:rPr>
        <w:t>1.03</w:t>
      </w:r>
      <w:r>
        <w:rPr>
          <w:rFonts w:hint="eastAsia" w:ascii="仿宋" w:hAnsi="仿宋" w:eastAsia="仿宋" w:cs="仿宋"/>
          <w:sz w:val="32"/>
          <w:szCs w:val="40"/>
        </w:rPr>
        <w:t>万元</w:t>
      </w:r>
      <w:r>
        <w:rPr>
          <w:rFonts w:hint="eastAsia" w:ascii="仿宋" w:hAnsi="仿宋" w:eastAsia="仿宋" w:cs="仿宋"/>
          <w:sz w:val="32"/>
          <w:szCs w:val="40"/>
          <w:lang w:eastAsia="zh-CN"/>
        </w:rPr>
        <w:t>，剩余指标调剂到其他科目使用。</w:t>
      </w:r>
    </w:p>
    <w:p w14:paraId="0FBE7C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（3）会议费、培训费</w:t>
      </w:r>
      <w:r>
        <w:rPr>
          <w:rFonts w:hint="eastAsia" w:ascii="仿宋" w:hAnsi="仿宋" w:eastAsia="仿宋" w:cs="仿宋"/>
          <w:sz w:val="32"/>
          <w:szCs w:val="40"/>
        </w:rPr>
        <w:t>202</w:t>
      </w:r>
      <w:r>
        <w:rPr>
          <w:rFonts w:hint="eastAsia" w:ascii="仿宋" w:hAnsi="仿宋" w:eastAsia="仿宋" w:cs="仿宋"/>
          <w:sz w:val="32"/>
          <w:szCs w:val="40"/>
          <w:lang w:val="en-US" w:eastAsia="zh-CN"/>
        </w:rPr>
        <w:t>3</w:t>
      </w:r>
      <w:r>
        <w:rPr>
          <w:rFonts w:hint="eastAsia" w:ascii="仿宋" w:hAnsi="仿宋" w:eastAsia="仿宋" w:cs="仿宋"/>
          <w:sz w:val="32"/>
          <w:szCs w:val="40"/>
        </w:rPr>
        <w:t>年度一般公共预算财政拨款年初预算为</w:t>
      </w:r>
      <w:r>
        <w:rPr>
          <w:rFonts w:hint="eastAsia" w:ascii="仿宋" w:hAnsi="仿宋" w:eastAsia="仿宋" w:cs="仿宋"/>
          <w:sz w:val="32"/>
          <w:szCs w:val="40"/>
          <w:lang w:val="en-US" w:eastAsia="zh-CN"/>
        </w:rPr>
        <w:t>2</w:t>
      </w:r>
      <w:r>
        <w:rPr>
          <w:rFonts w:hint="eastAsia" w:ascii="仿宋" w:hAnsi="仿宋" w:eastAsia="仿宋" w:cs="仿宋"/>
          <w:sz w:val="32"/>
          <w:szCs w:val="40"/>
        </w:rPr>
        <w:t>万元，一般公共预算财政拨款经费支出决算为</w:t>
      </w:r>
      <w:r>
        <w:rPr>
          <w:rFonts w:hint="eastAsia" w:ascii="仿宋" w:hAnsi="仿宋" w:eastAsia="仿宋" w:cs="仿宋"/>
          <w:sz w:val="32"/>
          <w:szCs w:val="40"/>
          <w:lang w:val="en-US" w:eastAsia="zh-CN"/>
        </w:rPr>
        <w:t>0.27</w:t>
      </w:r>
      <w:r>
        <w:rPr>
          <w:rFonts w:hint="eastAsia" w:ascii="仿宋" w:hAnsi="仿宋" w:eastAsia="仿宋" w:cs="仿宋"/>
          <w:sz w:val="32"/>
          <w:szCs w:val="40"/>
        </w:rPr>
        <w:t>万元</w:t>
      </w:r>
      <w:r>
        <w:rPr>
          <w:rFonts w:hint="eastAsia" w:ascii="仿宋" w:hAnsi="仿宋" w:eastAsia="仿宋" w:cs="仿宋"/>
          <w:sz w:val="32"/>
          <w:szCs w:val="40"/>
          <w:lang w:eastAsia="zh-CN"/>
        </w:rPr>
        <w:t>，剩余指标调剂到其他科目使用。</w:t>
      </w:r>
    </w:p>
    <w:p w14:paraId="32781BA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（4）政府采购金额</w:t>
      </w:r>
      <w:r>
        <w:rPr>
          <w:rFonts w:hint="eastAsia" w:ascii="仿宋" w:hAnsi="仿宋" w:eastAsia="仿宋" w:cs="仿宋"/>
          <w:sz w:val="32"/>
          <w:szCs w:val="40"/>
        </w:rPr>
        <w:t>202</w:t>
      </w:r>
      <w:r>
        <w:rPr>
          <w:rFonts w:hint="eastAsia" w:ascii="仿宋" w:hAnsi="仿宋" w:eastAsia="仿宋" w:cs="仿宋"/>
          <w:sz w:val="32"/>
          <w:szCs w:val="40"/>
          <w:lang w:val="en-US" w:eastAsia="zh-CN"/>
        </w:rPr>
        <w:t>3</w:t>
      </w:r>
      <w:r>
        <w:rPr>
          <w:rFonts w:hint="eastAsia" w:ascii="仿宋" w:hAnsi="仿宋" w:eastAsia="仿宋" w:cs="仿宋"/>
          <w:sz w:val="32"/>
          <w:szCs w:val="40"/>
        </w:rPr>
        <w:t>年度一般公共预算财政拨款年初预算为</w:t>
      </w:r>
      <w:r>
        <w:rPr>
          <w:rFonts w:hint="eastAsia" w:ascii="仿宋" w:hAnsi="仿宋" w:eastAsia="仿宋" w:cs="仿宋"/>
          <w:sz w:val="32"/>
          <w:szCs w:val="40"/>
          <w:lang w:val="en-US" w:eastAsia="zh-CN"/>
        </w:rPr>
        <w:t>33.6</w:t>
      </w:r>
      <w:r>
        <w:rPr>
          <w:rFonts w:hint="eastAsia" w:ascii="仿宋" w:hAnsi="仿宋" w:eastAsia="仿宋" w:cs="仿宋"/>
          <w:sz w:val="32"/>
          <w:szCs w:val="40"/>
        </w:rPr>
        <w:t>万元，一般公共预算财政拨款经费支出决算为</w:t>
      </w:r>
      <w:r>
        <w:rPr>
          <w:rFonts w:hint="eastAsia" w:ascii="仿宋" w:hAnsi="仿宋" w:eastAsia="仿宋" w:cs="仿宋"/>
          <w:sz w:val="32"/>
          <w:szCs w:val="40"/>
          <w:lang w:val="en-US" w:eastAsia="zh-CN"/>
        </w:rPr>
        <w:t>31.38</w:t>
      </w:r>
      <w:r>
        <w:rPr>
          <w:rFonts w:hint="eastAsia" w:ascii="仿宋" w:hAnsi="仿宋" w:eastAsia="仿宋" w:cs="仿宋"/>
          <w:sz w:val="32"/>
          <w:szCs w:val="40"/>
        </w:rPr>
        <w:t>万元</w:t>
      </w:r>
      <w:r>
        <w:rPr>
          <w:rFonts w:hint="eastAsia" w:ascii="仿宋" w:hAnsi="仿宋" w:eastAsia="仿宋" w:cs="仿宋"/>
          <w:sz w:val="32"/>
          <w:szCs w:val="40"/>
          <w:lang w:eastAsia="zh-CN"/>
        </w:rPr>
        <w:t>。</w:t>
      </w:r>
    </w:p>
    <w:p w14:paraId="00657FCB">
      <w:pPr>
        <w:pStyle w:val="9"/>
        <w:keepNext w:val="0"/>
        <w:keepLines w:val="0"/>
        <w:pageBreakBefore w:val="0"/>
        <w:widowControl/>
        <w:kinsoku w:val="0"/>
        <w:wordWrap/>
        <w:overflowPunct/>
        <w:topLinePunct w:val="0"/>
        <w:autoSpaceDE w:val="0"/>
        <w:autoSpaceDN w:val="0"/>
        <w:bidi w:val="0"/>
        <w:adjustRightInd w:val="0"/>
        <w:snapToGrid w:val="0"/>
        <w:spacing w:line="560" w:lineRule="exact"/>
        <w:ind w:firstLine="643"/>
        <w:jc w:val="both"/>
        <w:textAlignment w:val="baseline"/>
        <w:rPr>
          <w:rFonts w:hint="eastAsia" w:ascii="仿宋" w:hAnsi="仿宋" w:eastAsia="仿宋" w:cs="仿宋"/>
          <w:b/>
          <w:bCs w:val="0"/>
          <w:kern w:val="0"/>
          <w:sz w:val="32"/>
          <w:szCs w:val="32"/>
          <w:lang w:eastAsia="zh-CN"/>
        </w:rPr>
      </w:pPr>
      <w:r>
        <w:rPr>
          <w:rFonts w:hint="eastAsia" w:ascii="仿宋" w:hAnsi="仿宋" w:eastAsia="仿宋" w:cs="仿宋"/>
          <w:b/>
          <w:bCs w:val="0"/>
          <w:kern w:val="0"/>
          <w:sz w:val="32"/>
          <w:szCs w:val="32"/>
          <w:lang w:eastAsia="zh-CN"/>
        </w:rPr>
        <w:t>（二）项目支出情况</w:t>
      </w:r>
    </w:p>
    <w:p w14:paraId="5F69379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202</w:t>
      </w:r>
      <w:r>
        <w:rPr>
          <w:rFonts w:hint="eastAsia" w:ascii="仿宋" w:hAnsi="仿宋" w:eastAsia="仿宋" w:cs="仿宋"/>
          <w:sz w:val="32"/>
          <w:szCs w:val="40"/>
          <w:lang w:val="en-US" w:eastAsia="zh-CN"/>
        </w:rPr>
        <w:t>3</w:t>
      </w:r>
      <w:r>
        <w:rPr>
          <w:rFonts w:hint="eastAsia" w:ascii="仿宋" w:hAnsi="仿宋" w:eastAsia="仿宋" w:cs="仿宋"/>
          <w:sz w:val="32"/>
          <w:szCs w:val="40"/>
        </w:rPr>
        <w:t>年市本级一般公共预算拨款项目支出预算</w:t>
      </w:r>
      <w:r>
        <w:rPr>
          <w:rFonts w:hint="eastAsia" w:ascii="仿宋" w:hAnsi="仿宋" w:eastAsia="仿宋" w:cs="仿宋"/>
          <w:sz w:val="32"/>
          <w:szCs w:val="40"/>
          <w:lang w:val="en-US" w:eastAsia="zh-CN"/>
        </w:rPr>
        <w:t>140</w:t>
      </w:r>
      <w:r>
        <w:rPr>
          <w:rFonts w:hint="eastAsia" w:ascii="仿宋" w:hAnsi="仿宋" w:eastAsia="仿宋" w:cs="仿宋"/>
          <w:sz w:val="32"/>
          <w:szCs w:val="40"/>
        </w:rPr>
        <w:t>万元，其中城区道路标线施划和标识标牌维护经费</w:t>
      </w:r>
      <w:r>
        <w:rPr>
          <w:rFonts w:hint="eastAsia" w:ascii="仿宋" w:hAnsi="仿宋" w:eastAsia="仿宋" w:cs="仿宋"/>
          <w:sz w:val="32"/>
          <w:szCs w:val="40"/>
          <w:lang w:val="en-US" w:eastAsia="zh-CN"/>
        </w:rPr>
        <w:t>120</w:t>
      </w:r>
      <w:r>
        <w:rPr>
          <w:rFonts w:hint="eastAsia" w:ascii="仿宋" w:hAnsi="仿宋" w:eastAsia="仿宋" w:cs="仿宋"/>
          <w:sz w:val="32"/>
          <w:szCs w:val="40"/>
        </w:rPr>
        <w:t>万</w:t>
      </w:r>
      <w:r>
        <w:rPr>
          <w:rFonts w:hint="eastAsia" w:ascii="仿宋" w:hAnsi="仿宋" w:eastAsia="仿宋" w:cs="仿宋"/>
          <w:sz w:val="32"/>
          <w:szCs w:val="40"/>
          <w:lang w:val="en-US" w:eastAsia="zh-CN"/>
        </w:rPr>
        <w:t>元</w:t>
      </w:r>
      <w:r>
        <w:rPr>
          <w:rFonts w:hint="eastAsia" w:ascii="仿宋" w:hAnsi="仿宋" w:eastAsia="仿宋" w:cs="仿宋"/>
          <w:sz w:val="32"/>
          <w:szCs w:val="40"/>
        </w:rPr>
        <w:t>，城市排渍防涝专项</w:t>
      </w:r>
      <w:r>
        <w:rPr>
          <w:rFonts w:hint="eastAsia" w:ascii="仿宋" w:hAnsi="仿宋" w:eastAsia="仿宋" w:cs="仿宋"/>
          <w:sz w:val="32"/>
          <w:szCs w:val="40"/>
          <w:lang w:val="en-US" w:eastAsia="zh-CN"/>
        </w:rPr>
        <w:t>20万元</w:t>
      </w:r>
      <w:r>
        <w:rPr>
          <w:rFonts w:hint="eastAsia" w:ascii="仿宋" w:hAnsi="仿宋" w:eastAsia="仿宋" w:cs="仿宋"/>
          <w:sz w:val="32"/>
          <w:szCs w:val="40"/>
        </w:rPr>
        <w:t>。</w:t>
      </w:r>
    </w:p>
    <w:p w14:paraId="6FDE5E2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kern w:val="0"/>
          <w:sz w:val="32"/>
          <w:szCs w:val="32"/>
          <w:lang w:eastAsia="zh-CN"/>
        </w:rPr>
      </w:pPr>
      <w:r>
        <w:rPr>
          <w:rFonts w:hint="eastAsia" w:ascii="仿宋" w:hAnsi="仿宋" w:eastAsia="仿宋" w:cs="仿宋"/>
          <w:sz w:val="32"/>
          <w:szCs w:val="40"/>
        </w:rPr>
        <w:t>我部20</w:t>
      </w:r>
      <w:r>
        <w:rPr>
          <w:rFonts w:hint="eastAsia" w:ascii="仿宋" w:hAnsi="仿宋" w:eastAsia="仿宋" w:cs="仿宋"/>
          <w:sz w:val="32"/>
          <w:szCs w:val="40"/>
          <w:lang w:val="en-US" w:eastAsia="zh-CN"/>
        </w:rPr>
        <w:t>23</w:t>
      </w:r>
      <w:r>
        <w:rPr>
          <w:rFonts w:hint="eastAsia" w:ascii="仿宋" w:hAnsi="仿宋" w:eastAsia="仿宋" w:cs="仿宋"/>
          <w:sz w:val="32"/>
          <w:szCs w:val="40"/>
        </w:rPr>
        <w:t>年项目支出共计</w:t>
      </w:r>
      <w:r>
        <w:rPr>
          <w:rFonts w:hint="eastAsia" w:ascii="仿宋" w:hAnsi="仿宋" w:eastAsia="仿宋" w:cs="仿宋"/>
          <w:sz w:val="32"/>
          <w:szCs w:val="40"/>
          <w:lang w:val="en-US" w:eastAsia="zh-CN"/>
        </w:rPr>
        <w:t>140</w:t>
      </w:r>
      <w:r>
        <w:rPr>
          <w:rFonts w:hint="eastAsia" w:ascii="仿宋" w:hAnsi="仿宋" w:eastAsia="仿宋" w:cs="仿宋"/>
          <w:sz w:val="32"/>
          <w:szCs w:val="40"/>
        </w:rPr>
        <w:t>万元（</w:t>
      </w:r>
      <w:r>
        <w:rPr>
          <w:rFonts w:hint="eastAsia" w:ascii="仿宋" w:hAnsi="仿宋" w:eastAsia="仿宋" w:cs="仿宋"/>
          <w:sz w:val="32"/>
          <w:szCs w:val="40"/>
          <w:lang w:eastAsia="zh-CN"/>
        </w:rPr>
        <w:t>不</w:t>
      </w:r>
      <w:r>
        <w:rPr>
          <w:rFonts w:hint="eastAsia" w:ascii="仿宋" w:hAnsi="仿宋" w:eastAsia="仿宋" w:cs="仿宋"/>
          <w:sz w:val="32"/>
          <w:szCs w:val="40"/>
        </w:rPr>
        <w:t>含上级专项资金</w:t>
      </w:r>
      <w:r>
        <w:rPr>
          <w:rFonts w:hint="eastAsia" w:ascii="仿宋" w:hAnsi="仿宋" w:eastAsia="仿宋" w:cs="仿宋"/>
          <w:sz w:val="32"/>
          <w:szCs w:val="40"/>
          <w:lang w:eastAsia="zh-CN"/>
        </w:rPr>
        <w:t>和预算追加调整资金</w:t>
      </w:r>
      <w:r>
        <w:rPr>
          <w:rFonts w:hint="eastAsia" w:ascii="仿宋" w:hAnsi="仿宋" w:eastAsia="仿宋" w:cs="仿宋"/>
          <w:sz w:val="32"/>
          <w:szCs w:val="40"/>
        </w:rPr>
        <w:t>），均</w:t>
      </w:r>
      <w:r>
        <w:rPr>
          <w:rFonts w:hint="eastAsia" w:ascii="仿宋" w:hAnsi="仿宋" w:eastAsia="仿宋" w:cs="仿宋"/>
          <w:sz w:val="32"/>
          <w:szCs w:val="40"/>
          <w:lang w:eastAsia="zh-CN"/>
        </w:rPr>
        <w:t>按照绩效目标</w:t>
      </w:r>
      <w:r>
        <w:rPr>
          <w:rFonts w:hint="eastAsia" w:ascii="仿宋" w:hAnsi="仿宋" w:eastAsia="仿宋" w:cs="仿宋"/>
          <w:sz w:val="32"/>
          <w:szCs w:val="40"/>
        </w:rPr>
        <w:t>完成资金使用</w:t>
      </w:r>
      <w:r>
        <w:rPr>
          <w:rFonts w:hint="eastAsia" w:ascii="仿宋" w:hAnsi="仿宋" w:eastAsia="仿宋" w:cs="仿宋"/>
          <w:sz w:val="32"/>
          <w:szCs w:val="40"/>
          <w:lang w:eastAsia="zh-CN"/>
        </w:rPr>
        <w:t>，其中城区道路标线施划和标志</w:t>
      </w:r>
      <w:r>
        <w:rPr>
          <w:rFonts w:hint="eastAsia" w:ascii="仿宋" w:hAnsi="仿宋" w:eastAsia="仿宋" w:cs="仿宋"/>
          <w:sz w:val="32"/>
          <w:szCs w:val="40"/>
        </w:rPr>
        <w:t>标牌维护经费</w:t>
      </w:r>
      <w:r>
        <w:rPr>
          <w:rFonts w:hint="eastAsia" w:ascii="仿宋" w:hAnsi="仿宋" w:eastAsia="仿宋" w:cs="仿宋"/>
          <w:sz w:val="32"/>
          <w:szCs w:val="40"/>
          <w:lang w:val="en-US" w:eastAsia="zh-CN"/>
        </w:rPr>
        <w:t>120</w:t>
      </w:r>
      <w:r>
        <w:rPr>
          <w:rFonts w:hint="eastAsia" w:ascii="仿宋" w:hAnsi="仿宋" w:eastAsia="仿宋" w:cs="仿宋"/>
          <w:sz w:val="32"/>
          <w:szCs w:val="40"/>
        </w:rPr>
        <w:t>万</w:t>
      </w:r>
      <w:r>
        <w:rPr>
          <w:rFonts w:hint="eastAsia" w:ascii="仿宋" w:hAnsi="仿宋" w:eastAsia="仿宋" w:cs="仿宋"/>
          <w:sz w:val="32"/>
          <w:szCs w:val="40"/>
          <w:lang w:val="en-US" w:eastAsia="zh-CN"/>
        </w:rPr>
        <w:t>元由我单位负责监督实施，资金全部划拨至承包方汨罗市罗城园林绿化有限公司执行，由承包方负责工程的预算和实际支出结算，不在我单位开展绩效评价</w:t>
      </w:r>
      <w:r>
        <w:rPr>
          <w:rFonts w:hint="eastAsia" w:ascii="仿宋" w:hAnsi="仿宋" w:eastAsia="仿宋" w:cs="仿宋"/>
          <w:sz w:val="32"/>
          <w:szCs w:val="40"/>
        </w:rPr>
        <w:t>。</w:t>
      </w:r>
    </w:p>
    <w:p w14:paraId="516D3C52">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政府性基金预算支出情况</w:t>
      </w:r>
    </w:p>
    <w:p w14:paraId="35BB01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kern w:val="0"/>
          <w:sz w:val="32"/>
          <w:szCs w:val="32"/>
          <w:lang w:val="en-US" w:eastAsia="zh-CN"/>
        </w:rPr>
      </w:pPr>
      <w:r>
        <w:rPr>
          <w:rFonts w:hint="eastAsia" w:ascii="仿宋" w:hAnsi="仿宋" w:eastAsia="仿宋" w:cs="仿宋"/>
          <w:sz w:val="32"/>
          <w:szCs w:val="40"/>
          <w:lang w:val="en-US" w:eastAsia="zh-CN"/>
        </w:rPr>
        <w:t>无</w:t>
      </w:r>
    </w:p>
    <w:p w14:paraId="613876F4">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四、国有资本经营预算支出情况</w:t>
      </w:r>
    </w:p>
    <w:p w14:paraId="1E217B9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kern w:val="0"/>
          <w:sz w:val="32"/>
          <w:szCs w:val="32"/>
          <w:lang w:eastAsia="zh-CN"/>
        </w:rPr>
      </w:pPr>
      <w:r>
        <w:rPr>
          <w:rFonts w:hint="eastAsia" w:ascii="仿宋" w:hAnsi="仿宋" w:eastAsia="仿宋" w:cs="仿宋"/>
          <w:sz w:val="32"/>
          <w:szCs w:val="40"/>
          <w:lang w:val="en-US" w:eastAsia="zh-CN"/>
        </w:rPr>
        <w:t>无</w:t>
      </w:r>
    </w:p>
    <w:p w14:paraId="40BA8198">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五、社会保险基金预算支出情况</w:t>
      </w:r>
    </w:p>
    <w:p w14:paraId="079EBF5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kern w:val="0"/>
          <w:sz w:val="32"/>
          <w:szCs w:val="32"/>
          <w:lang w:eastAsia="zh-CN"/>
        </w:rPr>
      </w:pPr>
      <w:r>
        <w:rPr>
          <w:rFonts w:hint="eastAsia" w:ascii="仿宋" w:hAnsi="仿宋" w:eastAsia="仿宋" w:cs="仿宋"/>
          <w:sz w:val="32"/>
          <w:szCs w:val="40"/>
          <w:lang w:val="en-US" w:eastAsia="zh-CN"/>
        </w:rPr>
        <w:t>无</w:t>
      </w:r>
    </w:p>
    <w:p w14:paraId="03087A41">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六、部门整体支出绩效情况</w:t>
      </w:r>
    </w:p>
    <w:p w14:paraId="3084AAC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2023年为了加强财务管理、厉行节约、制止浪费，根据有关法律法规，结合我单位实际，进一步完善了财务审批管理、预算管理、固定资产管理、公务卡使用管理等一系列管理制度。在资金使用上严格遵守各项财政法规和财务管理制度规定，审计相关经费严格按照市财政相关规定进行管理，资金拨付有完整的审批程序和手续，严格按预算批复的用途支付，资金使用无截留、挤占、挪用、虚列支出等违规现象。</w:t>
      </w:r>
    </w:p>
    <w:p w14:paraId="2353B6C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32"/>
          <w:lang w:val="en" w:eastAsia="zh-CN"/>
        </w:rPr>
      </w:pPr>
      <w:r>
        <w:rPr>
          <w:rFonts w:hint="eastAsia" w:ascii="仿宋" w:hAnsi="仿宋" w:eastAsia="仿宋" w:cs="仿宋"/>
          <w:sz w:val="32"/>
          <w:szCs w:val="32"/>
          <w:lang w:val="en" w:eastAsia="zh-CN"/>
        </w:rPr>
        <w:t>2023年，在汨罗市委市政府及城市管理和综合执法局的正确领导下，城市公用事业服务中心紧紧围绕全年各项重点工作任务，认真贯彻落实城管局高质量发展的工作思路，时刻保持与局机关“同频”、与兄弟单位“合拍”、与工作任务“共振”，坚持苦干实干，全力保障城区公用设施优质有序运转，较好地完成了各项工作任务。</w:t>
      </w:r>
    </w:p>
    <w:p w14:paraId="0592A02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32"/>
          <w:lang w:val="en" w:eastAsia="zh-CN"/>
        </w:rPr>
      </w:pPr>
      <w:r>
        <w:rPr>
          <w:rFonts w:hint="eastAsia" w:ascii="仿宋" w:hAnsi="仿宋" w:eastAsia="仿宋" w:cs="仿宋"/>
          <w:sz w:val="32"/>
          <w:szCs w:val="32"/>
          <w:lang w:val="en" w:eastAsia="zh-CN"/>
        </w:rPr>
        <w:t>作为公益一类事业单位，负担的运行成本主要为人员工资福利支出、商品服务支出和因工作任务需要担负的项目支出经费。</w:t>
      </w:r>
    </w:p>
    <w:p w14:paraId="0B9F321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32"/>
          <w:lang w:val="en" w:eastAsia="zh-CN"/>
        </w:rPr>
      </w:pPr>
      <w:r>
        <w:rPr>
          <w:rFonts w:hint="eastAsia" w:ascii="仿宋" w:hAnsi="仿宋" w:eastAsia="仿宋" w:cs="仿宋"/>
          <w:sz w:val="32"/>
          <w:szCs w:val="32"/>
          <w:lang w:val="en-US" w:eastAsia="zh-CN"/>
        </w:rPr>
        <w:t>2023年，</w:t>
      </w:r>
      <w:r>
        <w:rPr>
          <w:rFonts w:hint="eastAsia" w:ascii="仿宋" w:hAnsi="仿宋" w:eastAsia="仿宋" w:cs="仿宋"/>
          <w:sz w:val="32"/>
          <w:szCs w:val="32"/>
          <w:lang w:val="en" w:eastAsia="zh-CN"/>
        </w:rPr>
        <w:t>我单位公用设施监督股对城区主要路段实行“定人员、定路段、定责任”的“路长制”，对责任路段的路面及其附属设施等实施全面综合管理的制度安排，组织人员勤巡视、严检查并坚持每天记录巡查日志，拍摄现场照片存档，发现问题及时下维修单给维修股。全年共下发市政维修通知200多份，300处维修地方，处理12345热线工单190多起。</w:t>
      </w:r>
    </w:p>
    <w:p w14:paraId="705A9E6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32"/>
          <w:lang w:val="en" w:eastAsia="zh-CN"/>
        </w:rPr>
      </w:pPr>
      <w:r>
        <w:rPr>
          <w:rFonts w:hint="eastAsia" w:ascii="仿宋" w:hAnsi="仿宋" w:eastAsia="仿宋" w:cs="仿宋"/>
          <w:sz w:val="32"/>
          <w:szCs w:val="32"/>
          <w:lang w:val="en" w:eastAsia="zh-CN"/>
        </w:rPr>
        <w:t>公用设施维护股全年对人行道麻石板维修面积约为2800㎡、路沿石1200m、更换平石450m、更换树围石1860m。对汨罗江大道、建设路、屈原大道、荣家路等主次干道破损路面摊铺沥青砼，其中沥青路面维修约680㎡，混凝土路面维修约2400㎡, 对汨罗江大道全路段、高泉北路及城区个别路段清灌缝处置达20200米。今年以来城区共计新建污水管道400米，管道清淤约360米，更换及调整雨污井盖300余个、双页井座井盖260余套、单页井座井盖200余套、沉砂井100余套、城区更换五防井盖40套。今年已对建设路、大众路、汨罗江大道等八条道路护栏进行及时维护管理，累计校正加固移位脱落隔离护栏540节，维修260节、更换460节，增设建设东路（傲花塘路口至滨江一号东门入口）护栏108节；拆除设置不合理及废弃交通指示标识标牌21块。城区更换及增设防撞桶约400个。根据全国文明城市创建工作相关要求，结合城区实际情况对建设东路、屈原大道等12条主次干道32处路段的不合理标识标线撤除并更改、对城区22条道路标划交通指示线约19000余平方，各社区施划停车位600余个，完成城区主次干道人行道摩托车停车位13000余米，为缓解大众北路停车难的问题，我中心因地制宜、科学规划在该路段人行道上施划停车位152个。此次大面积施划和完善道路各类交通标识标线，为夯实创建全国文明城市基础提供了助力。</w:t>
      </w:r>
    </w:p>
    <w:p w14:paraId="7D3D144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32"/>
          <w:lang w:val="en" w:eastAsia="zh-CN"/>
        </w:rPr>
      </w:pPr>
      <w:r>
        <w:rPr>
          <w:rFonts w:hint="eastAsia" w:ascii="仿宋" w:hAnsi="仿宋" w:eastAsia="仿宋" w:cs="仿宋"/>
          <w:sz w:val="32"/>
          <w:szCs w:val="32"/>
          <w:lang w:val="en" w:eastAsia="zh-CN"/>
        </w:rPr>
        <w:t>近年来城区排水压力增大，排渍防涝也是我们工作的一大重点，主要负责的是城区排水设施日常巡查工作，汛前对排水管网、检查井、雨水井等排水设施进行全面检查、清淤疏浚，发现问题及时处置；每次降雨前与水务局、归义镇对接，确保机埠有专人值班，闸门开启有专人负责；做好降雨时的巡查和值班工作，重点是易涝地段、低洼地区的排水工作，安排专人值守重点部位如排水机埠、排水闸门等。今年已对高阳路、龙舟北路与汨罗江大道交叉口、文旅集团前、高泉中路等14处路面积水进行了整治，消除了20多个积水点，极大地改善了城市环境质量和市民出行环境。</w:t>
      </w:r>
    </w:p>
    <w:p w14:paraId="631339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 w:eastAsia="zh-CN"/>
        </w:rPr>
        <w:t>整体上，预算资金管理使用良好，有效提升了加强党建引领、制定人才政策、强化干部队伍、完善工作制度、规范内部管理等工作实效；有效提升了持续抓好党建对各项工作的引领作用和持续增强组织对干部和人才等工作的引领作用；有效提升了为生态文化活力汨罗建设的增强续航能力。</w:t>
      </w:r>
      <w:r>
        <w:rPr>
          <w:rFonts w:hint="eastAsia" w:ascii="仿宋" w:hAnsi="仿宋" w:eastAsia="仿宋" w:cs="仿宋"/>
          <w:sz w:val="32"/>
          <w:szCs w:val="32"/>
          <w:lang w:val="en-US" w:eastAsia="zh-CN"/>
        </w:rPr>
        <w:t>服务对象满意度为95%，较好地完成了年初整体支出绩效目标。</w:t>
      </w:r>
    </w:p>
    <w:p w14:paraId="22A1CD5C">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七、存在的问题及原因分析</w:t>
      </w:r>
    </w:p>
    <w:p w14:paraId="142B4EE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1、部门单位内各股室预算管理意识不强，因担任工作需要负担的运行成本无法精准测算。</w:t>
      </w:r>
    </w:p>
    <w:p w14:paraId="73141B6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2、资产管理需要进一步精细化管理，加强新购、使用、调整、报废处置等流程的报批管控程序。</w:t>
      </w:r>
    </w:p>
    <w:p w14:paraId="49699432">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八、改进措施和有关建议</w:t>
      </w:r>
    </w:p>
    <w:p w14:paraId="1F45EB11">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1、细化预算编制工作</w:t>
      </w:r>
    </w:p>
    <w:p w14:paraId="2EA3DAC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进一步加强部内机构各</w:t>
      </w:r>
      <w:r>
        <w:rPr>
          <w:rFonts w:hint="eastAsia" w:ascii="仿宋" w:hAnsi="仿宋" w:eastAsia="仿宋" w:cs="仿宋"/>
          <w:sz w:val="32"/>
          <w:szCs w:val="40"/>
          <w:lang w:eastAsia="zh-CN"/>
        </w:rPr>
        <w:t>股</w:t>
      </w:r>
      <w:r>
        <w:rPr>
          <w:rFonts w:hint="eastAsia" w:ascii="仿宋" w:hAnsi="仿宋" w:eastAsia="仿宋" w:cs="仿宋"/>
          <w:sz w:val="32"/>
          <w:szCs w:val="40"/>
        </w:rPr>
        <w:t>室的预算管理意识，严格按照预算编制的相关制度和要求，公用经费根据单位的年度工作重点和项目专项工作规划，本着“勤俭节约、保障运转”的原则进行预算的编制。编制范围尽可能的全面，不漏项。进一步提高预算编制的科学性、合理性、严谨性和可控性。</w:t>
      </w:r>
    </w:p>
    <w:p w14:paraId="15775BD4">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2、加强预算执行管理</w:t>
      </w:r>
    </w:p>
    <w:p w14:paraId="0CC2EF4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遵循预算管理办法，制定和完善基本支出、项目支出等各项支出标准，严格按项目和进度执行预算，增强预算的约束力和严肃性。</w:t>
      </w:r>
    </w:p>
    <w:p w14:paraId="093B42B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推行重大事项部务会集体研究制度，财务支出部务会公开制度，落实预算执行分析，及时了解预算执行差异，合理调整、纠正预算执行偏差，切实提高部门预算收支管理水平。</w:t>
      </w:r>
    </w:p>
    <w:p w14:paraId="7E08D0E8">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3、完善管理制度，进一步加强资产管理</w:t>
      </w:r>
    </w:p>
    <w:p w14:paraId="0441579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rPr>
        <w:t>进一步贯彻落实中央“八项规定”和湖南省委“九条规定”，建立本部门“三公经费”等公务支出管理制度及厉行节约制度，加强经费审批和控制，规范支出标准与范围，并严格执行。严格按照《固定资产管理办法》的规定加强固定资产管理，及时登记、更新台账，加强资产卡片管理，年终前对各类实物资产进行全面盘点，确保账账、账实相符。</w:t>
      </w:r>
    </w:p>
    <w:p w14:paraId="32935207">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九、部门整体支出绩效自评结果拟应用和公开情况</w:t>
      </w:r>
    </w:p>
    <w:p w14:paraId="21F8D7D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lang w:val="en-US" w:eastAsia="zh-CN"/>
        </w:rPr>
      </w:pPr>
      <w:r>
        <w:rPr>
          <w:rFonts w:hint="eastAsia" w:ascii="仿宋" w:hAnsi="仿宋" w:eastAsia="仿宋" w:cs="仿宋"/>
          <w:sz w:val="32"/>
          <w:szCs w:val="40"/>
        </w:rPr>
        <w:t>绩效自评结果优，按规定公开</w:t>
      </w:r>
      <w:r>
        <w:rPr>
          <w:rFonts w:hint="eastAsia" w:ascii="仿宋" w:hAnsi="仿宋" w:eastAsia="仿宋" w:cs="仿宋"/>
          <w:sz w:val="32"/>
          <w:szCs w:val="40"/>
          <w:lang w:eastAsia="zh-CN"/>
        </w:rPr>
        <w:t>。</w:t>
      </w:r>
    </w:p>
    <w:p w14:paraId="5B7A1A51">
      <w:pPr>
        <w:keepNext w:val="0"/>
        <w:keepLines w:val="0"/>
        <w:pageBreakBefore w:val="0"/>
        <w:widowControl/>
        <w:kinsoku w:val="0"/>
        <w:wordWrap/>
        <w:overflowPunct/>
        <w:topLinePunct w:val="0"/>
        <w:autoSpaceDE w:val="0"/>
        <w:autoSpaceDN w:val="0"/>
        <w:bidi w:val="0"/>
        <w:adjustRightInd w:val="0"/>
        <w:snapToGrid w:val="0"/>
        <w:spacing w:before="211" w:line="560" w:lineRule="exact"/>
        <w:ind w:firstLine="640"/>
        <w:jc w:val="both"/>
        <w:textAlignment w:val="baseline"/>
        <w:rPr>
          <w:rFonts w:hint="eastAsia" w:ascii="宋体" w:hAnsi="宋体" w:eastAsia="宋体" w:cs="宋体"/>
          <w:b/>
          <w:bCs/>
          <w:snapToGrid w:val="0"/>
          <w:color w:val="000000"/>
          <w:sz w:val="32"/>
          <w:szCs w:val="32"/>
          <w:lang w:val="en-US" w:eastAsia="zh-CN" w:bidi="ar-SA"/>
        </w:rPr>
      </w:pPr>
      <w:r>
        <w:rPr>
          <w:rFonts w:hint="eastAsia" w:ascii="宋体" w:hAnsi="宋体" w:eastAsia="宋体" w:cs="宋体"/>
          <w:b/>
          <w:bCs/>
          <w:snapToGrid w:val="0"/>
          <w:color w:val="000000"/>
          <w:sz w:val="32"/>
          <w:szCs w:val="32"/>
          <w:lang w:val="en-US" w:eastAsia="zh-CN" w:bidi="ar-SA"/>
        </w:rPr>
        <w:t>十、其他需要说明的情况</w:t>
      </w:r>
    </w:p>
    <w:p w14:paraId="0F71D88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 w:hAnsi="仿宋" w:eastAsia="仿宋" w:cs="仿宋"/>
          <w:sz w:val="32"/>
          <w:szCs w:val="40"/>
        </w:rPr>
      </w:pPr>
      <w:r>
        <w:rPr>
          <w:rFonts w:hint="eastAsia" w:ascii="仿宋" w:hAnsi="仿宋" w:eastAsia="仿宋" w:cs="仿宋"/>
          <w:sz w:val="32"/>
          <w:szCs w:val="40"/>
          <w:lang w:eastAsia="zh-CN"/>
        </w:rPr>
        <w:t>无</w:t>
      </w:r>
      <w:r>
        <w:rPr>
          <w:rFonts w:hint="eastAsia" w:ascii="仿宋" w:hAnsi="仿宋" w:eastAsia="仿宋" w:cs="仿宋"/>
          <w:sz w:val="32"/>
          <w:szCs w:val="40"/>
        </w:rPr>
        <w:t xml:space="preserve">    </w:t>
      </w:r>
    </w:p>
    <w:p w14:paraId="6F437FE4">
      <w:pPr>
        <w:spacing w:line="267" w:lineRule="auto"/>
        <w:ind w:firstLine="552"/>
        <w:jc w:val="both"/>
        <w:rPr>
          <w:rFonts w:hint="eastAsia" w:ascii="宋体" w:hAnsi="宋体" w:eastAsia="宋体" w:cs="宋体"/>
          <w:bCs/>
          <w:spacing w:val="-4"/>
          <w:kern w:val="0"/>
          <w:sz w:val="28"/>
          <w:szCs w:val="28"/>
          <w:lang w:eastAsia="zh-CN"/>
        </w:rPr>
      </w:pPr>
    </w:p>
    <w:p w14:paraId="1A7C30C8">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093061A5">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eastAsia="zh-CN"/>
        </w:rPr>
        <w:t>城市防涝排渍</w:t>
      </w:r>
      <w:r>
        <w:rPr>
          <w:rFonts w:ascii="黑体" w:hAnsi="黑体" w:eastAsia="黑体" w:cs="黑体"/>
          <w:spacing w:val="15"/>
          <w:position w:val="10"/>
          <w:sz w:val="42"/>
          <w:szCs w:val="42"/>
        </w:rPr>
        <w:t>项目支出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rFonts w:hint="eastAsia"/>
          <w:spacing w:val="-22"/>
          <w:sz w:val="27"/>
          <w:szCs w:val="27"/>
          <w:u w:val="single" w:color="auto"/>
          <w:lang w:eastAsia="zh-CN"/>
        </w:rPr>
        <w:t>汨罗市城市公用事业服务中心</w:t>
      </w:r>
      <w:r>
        <w:rPr>
          <w:sz w:val="27"/>
          <w:szCs w:val="27"/>
          <w:u w:val="single" w:color="auto"/>
        </w:rPr>
        <w:t xml:space="preserve">     </w:t>
      </w:r>
    </w:p>
    <w:p w14:paraId="6B80A16B">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 xml:space="preserve">10 </w:t>
      </w:r>
      <w:r>
        <w:rPr>
          <w:spacing w:val="-13"/>
          <w:position w:val="26"/>
          <w:sz w:val="27"/>
          <w:szCs w:val="27"/>
        </w:rPr>
        <w:t>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7715D00C">
      <w:pPr>
        <w:pStyle w:val="2"/>
        <w:spacing w:before="1" w:line="223" w:lineRule="auto"/>
        <w:ind w:left="3560"/>
        <w:rPr>
          <w:sz w:val="24"/>
          <w:szCs w:val="24"/>
        </w:rPr>
      </w:pPr>
    </w:p>
    <w:p w14:paraId="1E0335D9">
      <w:pPr>
        <w:spacing w:line="223" w:lineRule="auto"/>
        <w:rPr>
          <w:sz w:val="24"/>
          <w:szCs w:val="24"/>
        </w:rPr>
        <w:sectPr>
          <w:footerReference r:id="rId9"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ind w:left="3670"/>
        <w:rPr>
          <w:rFonts w:ascii="楷体" w:hAnsi="楷体" w:eastAsia="楷体" w:cs="楷体"/>
          <w:sz w:val="31"/>
          <w:szCs w:val="31"/>
        </w:rPr>
      </w:pP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val="en-US" w:eastAsia="zh-CN"/>
        </w:rPr>
        <w:t>主围绕城市防涝排渍工作，始终践行方便群众出行的服务理念，不断追求更高的工作效率、更优的服务质量、更快捷的运行机制，为城区防涝排渍提供技术支持，随时对城市的内涝险情抢险。</w:t>
      </w:r>
    </w:p>
    <w:p w14:paraId="7716147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(二)项目资金使用管理情况。</w:t>
      </w:r>
    </w:p>
    <w:p w14:paraId="473E144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1、资金到位情况：城市防涝排渍项目经费年初预算为20万元，到账资20万元，实际支付20万元。</w:t>
      </w:r>
    </w:p>
    <w:p w14:paraId="201B57F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2、项目资金执行情况：根据实际工作情况，城市防涝排渍项目共支出20万元，此笔专项主要用于支付城市内涝险情抢险所需产生的物资费。</w:t>
      </w:r>
    </w:p>
    <w:p w14:paraId="047FDAE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3．项目资金管理情况：制定了财务管理制度，严格执行资金使用管理的相关规定，突出重点，集中用于应急突发性、临时性重大事件专项处理；科学安排，合理编制预算，精打细算，厉行节约，避免随意使用；单独核算，专款专用，纳入单位财务统一管理，严禁挪作他用。</w:t>
      </w:r>
    </w:p>
    <w:p w14:paraId="04D49F3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hint="eastAsia" w:ascii="黑体" w:hAnsi="黑体" w:eastAsia="黑体" w:cs="黑体"/>
          <w:b/>
          <w:bCs/>
          <w:snapToGrid w:val="0"/>
          <w:color w:val="000000"/>
          <w:spacing w:val="-15"/>
          <w:kern w:val="0"/>
          <w:sz w:val="31"/>
          <w:szCs w:val="31"/>
          <w:lang w:val="en-US" w:eastAsia="zh-CN" w:bidi="ar-SA"/>
        </w:rPr>
        <w:t>。</w:t>
      </w:r>
    </w:p>
    <w:p w14:paraId="4C62144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该项目年度总体目标为：1.汛期开展大检查2天一次，日常检查一天3次；2.做好城市防涝排渍的日常调度工作；3.做好日常值班值守及督察；4.推进易渍堵点改造。各项工作实际完成100%。</w:t>
      </w:r>
    </w:p>
    <w:p w14:paraId="16E9DDE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1、产出数量指标：年度指标值为汛期开展大检查2天一次，日常检查一天3次。实际完成100%。</w:t>
      </w:r>
    </w:p>
    <w:p w14:paraId="4CFB812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2、产出质量指标：年度指标值为做好城市防涝排渍的日常调度工作。实际完成100%。</w:t>
      </w:r>
    </w:p>
    <w:p w14:paraId="6F565F0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3、产出时效指标：年度指标值为日常值班值守，按值班时间及安排人员数量。实际完成100%。</w:t>
      </w:r>
    </w:p>
    <w:p w14:paraId="5A527DC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4、经济效益指标：年度指标值为反向促进经济发展。实际完成为间接效益。</w:t>
      </w:r>
    </w:p>
    <w:p w14:paraId="51DB454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5、社会效益指标：年度指标值为提升生活品质，为市民营造宜居环境、提高整体城市形象，对外留下良好印象，实际完成有效提升。</w:t>
      </w:r>
    </w:p>
    <w:p w14:paraId="6D6EA69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6、生态效益指标：年度指标值为提升城市空气质量、气候、提升城市绿化、亮化、美化。实际完成有效提升。</w:t>
      </w:r>
    </w:p>
    <w:p w14:paraId="6732EB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702E1CC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局绩效自评工作小组于2024年4月30日到5月15日对城市防涝排渍项目经费使用情况进行了认真审核，对相关情况进行了认真地汇总分析，按照《汨罗市项目支出绩效评价指标体系》提出的各项指标，进行了打分，严格绩效自评。</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1DA2C50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综合分析，城市防涝排渍项目经费的使用符合使用规定，城区共计新建污水管道400米，管道清淤约360米，更换及调整雨污井盖300余个、双页井座井盖260余套、单页井座井盖200余套、沉砂井100余套、城区更换五防井盖40套，解决了日常维护中的根本性问题，夯实了日常维护基础性工作。</w:t>
      </w:r>
    </w:p>
    <w:p w14:paraId="5923CD4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绩效评价自评小组根据绩效评价方案，自评得分96分。考评结果为优秀。</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52B368A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（一）项目支出决策情况</w:t>
      </w:r>
    </w:p>
    <w:p w14:paraId="32D9D77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我单位城市防涝排渍项目经费的使用按照局机关财务管理制度有关规定执行，在使用时注重实效，坚持3人会审制度，所需物资的采购按照采购办的要求在政采云电子卖场上下单，验收合格后付款。</w:t>
      </w:r>
    </w:p>
    <w:p w14:paraId="4794D7C4">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（二）项目执行过程情况</w:t>
      </w:r>
    </w:p>
    <w:p w14:paraId="6114876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近年来城区排水压力增大，排渍防涝也是我们工作的一大重点，主要负责的是城区排水设施日常巡查工作，汛前对排水管网、检查井、雨水井等排水设施进行全面检查、清淤疏浚，发现问题及时处置；每次降雨前与水务局、归义镇对接，确保机埠有专人值班，闸门开启有专人负责；做好降雨时的巡查和值班工作，重点是易涝地段、低洼地区的排水工作，安排专人值守重点部位如排水机埠、排水闸门等。今年已对高阳路、龙舟北路与汨罗江大道交叉口、文旅集团前、高泉中路等14处路面积水进行了整治，消除了20多个积水点，极大地改善了城市环境质量和市民出行环境。</w:t>
      </w:r>
    </w:p>
    <w:p w14:paraId="375953F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（三）项目支出产出情况</w:t>
      </w:r>
    </w:p>
    <w:p w14:paraId="23CEF2F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1、产出数量指标：年度指标值为汛期开展大检查2天一次，日常检查一天3次。实际完成100%。</w:t>
      </w:r>
    </w:p>
    <w:p w14:paraId="6E5BBBF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2、产出质量指标：年度指标值为做好城市防涝排渍的日常调度工作。实际完成100%。</w:t>
      </w:r>
    </w:p>
    <w:p w14:paraId="417B937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3、产出时效指标：年度指标值为日常值班值守，按值班时间及安排人员数量。实际完成100%。</w:t>
      </w:r>
    </w:p>
    <w:p w14:paraId="4B3BDC28">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（四）项目支出效益情况</w:t>
      </w:r>
    </w:p>
    <w:p w14:paraId="240C260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1、经济效益指标：年度指标值为反向促进经济发展。实际完成为间接效益。</w:t>
      </w:r>
    </w:p>
    <w:p w14:paraId="7453FDE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2、社会效益指标：年度指标值为提升生活品质，为市民营造宜居环境、提高整体城市形象，对外留下良好印象，实际完成有效提升。</w:t>
      </w:r>
    </w:p>
    <w:p w14:paraId="72625B3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3、生态效益指标：年度指标值为提升城市空气质量、气候、提升城市绿化、亮化、美化。实际完成有效提升。</w:t>
      </w: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BDA94D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color w:val="000000"/>
          <w:spacing w:val="0"/>
          <w:kern w:val="0"/>
          <w:position w:val="0"/>
          <w:sz w:val="32"/>
          <w:szCs w:val="32"/>
          <w:shd w:val="clear" w:fill="auto"/>
        </w:rPr>
      </w:pPr>
      <w:r>
        <w:rPr>
          <w:rFonts w:hint="eastAsia" w:ascii="仿宋" w:hAnsi="仿宋" w:eastAsia="仿宋" w:cs="仿宋"/>
          <w:color w:val="000000"/>
          <w:spacing w:val="0"/>
          <w:kern w:val="0"/>
          <w:position w:val="0"/>
          <w:sz w:val="32"/>
          <w:szCs w:val="32"/>
          <w:shd w:val="clear" w:fill="auto"/>
          <w:lang w:eastAsia="zh-CN"/>
        </w:rPr>
        <w:t>主要经验做法：</w:t>
      </w:r>
      <w:r>
        <w:rPr>
          <w:rFonts w:hint="eastAsia" w:ascii="仿宋" w:hAnsi="仿宋" w:eastAsia="仿宋" w:cs="仿宋"/>
          <w:color w:val="000000"/>
          <w:spacing w:val="0"/>
          <w:kern w:val="0"/>
          <w:position w:val="0"/>
          <w:sz w:val="32"/>
          <w:szCs w:val="32"/>
          <w:shd w:val="clear" w:fill="auto"/>
        </w:rPr>
        <w:t>一是城区排水设施日常巡查工作，汛前对排水管网、检查井、雨水井等排水设施进行全面检查、清淤疏浚，发现问题及时处置；二是做好降雨时的巡查和值班工作，重点是易涝地段、低洼地区的排水工作，安排专人值守重点部位如排水机埠、排水闸门等。</w:t>
      </w:r>
    </w:p>
    <w:p w14:paraId="1C882DA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color w:val="000000"/>
          <w:spacing w:val="0"/>
          <w:kern w:val="0"/>
          <w:position w:val="0"/>
          <w:sz w:val="32"/>
          <w:szCs w:val="32"/>
          <w:shd w:val="clear" w:fill="auto"/>
        </w:rPr>
      </w:pPr>
      <w:r>
        <w:rPr>
          <w:rFonts w:hint="eastAsia" w:ascii="仿宋" w:hAnsi="仿宋" w:eastAsia="仿宋" w:cs="仿宋"/>
          <w:color w:val="000000"/>
          <w:spacing w:val="0"/>
          <w:kern w:val="0"/>
          <w:position w:val="0"/>
          <w:sz w:val="32"/>
          <w:szCs w:val="32"/>
          <w:shd w:val="clear" w:fill="auto"/>
        </w:rPr>
        <w:t>发现的主要问题及原因：一是依赖于天气预报，有时对于险情的预估不是非常精准；二是老旧小区的部分排水管道堵塞，难以保障排渍畅通。</w:t>
      </w:r>
    </w:p>
    <w:p w14:paraId="52DCFAE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color w:val="000000"/>
          <w:spacing w:val="0"/>
          <w:kern w:val="0"/>
          <w:position w:val="0"/>
          <w:sz w:val="32"/>
          <w:szCs w:val="32"/>
          <w:shd w:val="clear" w:fill="auto"/>
        </w:rPr>
      </w:pPr>
      <w:r>
        <w:rPr>
          <w:rFonts w:hint="eastAsia" w:ascii="仿宋" w:hAnsi="仿宋" w:eastAsia="仿宋" w:cs="仿宋"/>
          <w:color w:val="000000"/>
          <w:spacing w:val="0"/>
          <w:kern w:val="0"/>
          <w:position w:val="0"/>
          <w:sz w:val="32"/>
          <w:szCs w:val="32"/>
          <w:shd w:val="clear" w:fill="auto"/>
        </w:rPr>
        <w:t>下一步改进措施：一是提高警惕，应对夏季雨水季高发时段的突发险情；二是加强对老旧小区的公益宣传，不乱丢垃圾堵塞排水管道，三是提高绩效指标设置的准确性，提高社会群众对城市防涝排渍工作的满意度。</w:t>
      </w:r>
    </w:p>
    <w:p w14:paraId="58DE1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47A192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黑体" w:hAnsi="黑体" w:eastAsia="仿宋" w:cs="黑体"/>
          <w:b/>
          <w:bCs/>
          <w:spacing w:val="-15"/>
          <w:sz w:val="31"/>
          <w:szCs w:val="31"/>
          <w:lang w:eastAsia="zh-CN"/>
        </w:rPr>
      </w:pPr>
      <w:r>
        <w:rPr>
          <w:rFonts w:hint="eastAsia" w:ascii="仿宋" w:hAnsi="仿宋" w:eastAsia="仿宋" w:cs="仿宋"/>
          <w:color w:val="000000"/>
          <w:spacing w:val="0"/>
          <w:kern w:val="0"/>
          <w:position w:val="0"/>
          <w:sz w:val="32"/>
          <w:szCs w:val="32"/>
          <w:shd w:val="clear" w:fill="auto"/>
          <w:lang w:eastAsia="zh-CN"/>
        </w:rPr>
        <w:t>无</w:t>
      </w:r>
    </w:p>
    <w:p w14:paraId="6BBCD63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七、其他需要说明的问题</w:t>
      </w:r>
    </w:p>
    <w:p w14:paraId="39EBA4C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黑体" w:hAnsi="黑体" w:eastAsia="仿宋" w:cs="黑体"/>
          <w:b/>
          <w:bCs/>
          <w:spacing w:val="-15"/>
          <w:sz w:val="31"/>
          <w:szCs w:val="31"/>
          <w:lang w:eastAsia="zh-CN"/>
        </w:rPr>
      </w:pPr>
      <w:r>
        <w:rPr>
          <w:rFonts w:hint="eastAsia" w:ascii="仿宋" w:hAnsi="仿宋" w:eastAsia="仿宋" w:cs="仿宋"/>
          <w:color w:val="000000"/>
          <w:spacing w:val="0"/>
          <w:kern w:val="0"/>
          <w:position w:val="0"/>
          <w:sz w:val="32"/>
          <w:szCs w:val="32"/>
          <w:shd w:val="clear" w:fill="auto"/>
          <w:lang w:eastAsia="zh-CN"/>
        </w:rPr>
        <w:t>无</w:t>
      </w:r>
    </w:p>
    <w:p w14:paraId="5EC75E4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黑体" w:hAnsi="黑体" w:eastAsia="黑体" w:cs="黑体"/>
          <w:b/>
          <w:bCs/>
          <w:spacing w:val="-15"/>
          <w:sz w:val="31"/>
          <w:szCs w:val="31"/>
          <w:lang w:eastAsia="zh-CN"/>
        </w:rPr>
      </w:pPr>
    </w:p>
    <w:sectPr>
      <w:footerReference r:id="rId10"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760BBAB8-F351-4986-BB2B-474F8788F508}"/>
  </w:font>
  <w:font w:name="黑体">
    <w:panose1 w:val="02010609060101010101"/>
    <w:charset w:val="86"/>
    <w:family w:val="auto"/>
    <w:pitch w:val="default"/>
    <w:sig w:usb0="800002BF" w:usb1="38CF7CFA" w:usb2="00000016" w:usb3="00000000" w:csb0="00040001" w:csb1="00000000"/>
    <w:embedRegular r:id="rId2" w:fontKey="{7B1CAB7C-0E2E-4A7D-A80A-D8682D79180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embedRegular r:id="rId3" w:fontKey="{CCF77EA4-EB8A-45AB-AB63-47A3715CCD08}"/>
  </w:font>
  <w:font w:name="仿宋_GB2312">
    <w:panose1 w:val="02010609030101010101"/>
    <w:charset w:val="86"/>
    <w:family w:val="modern"/>
    <w:pitch w:val="default"/>
    <w:sig w:usb0="00000001" w:usb1="080E0000" w:usb2="00000000" w:usb3="00000000" w:csb0="00040000" w:csb1="00000000"/>
    <w:embedRegular r:id="rId4" w:fontKey="{0E4CB8BA-A47D-40C3-9EDF-8E60AF139755}"/>
  </w:font>
  <w:font w:name="方正小标宋简体">
    <w:panose1 w:val="02000000000000000000"/>
    <w:charset w:val="86"/>
    <w:family w:val="script"/>
    <w:pitch w:val="default"/>
    <w:sig w:usb0="00000001" w:usb1="08000000" w:usb2="00000000" w:usb3="00000000" w:csb0="00040000" w:csb1="00000000"/>
    <w:embedRegular r:id="rId5" w:fontKey="{2D2249BB-BBFB-4649-BF42-218A8CCE1C45}"/>
  </w:font>
  <w:font w:name="楷体_GB2312">
    <w:panose1 w:val="02010609030101010101"/>
    <w:charset w:val="86"/>
    <w:family w:val="modern"/>
    <w:pitch w:val="default"/>
    <w:sig w:usb0="00000001" w:usb1="080E0000" w:usb2="00000000" w:usb3="00000000" w:csb0="00040000" w:csb1="00000000"/>
    <w:embedRegular r:id="rId6" w:fontKey="{2BF7F03A-6506-4835-BEEE-C48AAB81B518}"/>
  </w:font>
  <w:font w:name="楷体">
    <w:panose1 w:val="02010609060101010101"/>
    <w:charset w:val="86"/>
    <w:family w:val="auto"/>
    <w:pitch w:val="default"/>
    <w:sig w:usb0="800002BF" w:usb1="38CF7CFA" w:usb2="00000016" w:usb3="00000000" w:csb0="00040001" w:csb1="00000000"/>
    <w:embedRegular r:id="rId7" w:fontKey="{BABE4EDE-65D7-4A49-870B-07E3B606B9B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9778"/>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2DB83B88">
        <w:pPr>
          <w:pStyle w:val="3"/>
          <w:jc w:val="right"/>
          <w:rPr>
            <w:rFonts w:asciiTheme="minorEastAsia" w:hAnsiTheme="minorEastAsia" w:eastAsiaTheme="minorEastAsia"/>
            <w:kern w:val="0"/>
          </w:rPr>
        </w:pPr>
      </w:p>
    </w:sdtContent>
  </w:sdt>
  <w:p w14:paraId="38833BA5">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c1NmQ5ZTViOTZkMzA2NmMyMjQ2Nzc0ZGEzZDM4ZjAifQ=="/>
  </w:docVars>
  <w:rsids>
    <w:rsidRoot w:val="00000000"/>
    <w:rsid w:val="01AF3811"/>
    <w:rsid w:val="03795BF7"/>
    <w:rsid w:val="086E756B"/>
    <w:rsid w:val="0ACF37E5"/>
    <w:rsid w:val="0B400BC6"/>
    <w:rsid w:val="0E68228D"/>
    <w:rsid w:val="0EA6787F"/>
    <w:rsid w:val="11D648F9"/>
    <w:rsid w:val="15276E52"/>
    <w:rsid w:val="16FC5F04"/>
    <w:rsid w:val="19D32FBC"/>
    <w:rsid w:val="1AB5285D"/>
    <w:rsid w:val="1DE1480E"/>
    <w:rsid w:val="1E6A4395"/>
    <w:rsid w:val="234D45F8"/>
    <w:rsid w:val="25557A3D"/>
    <w:rsid w:val="26EA5ED7"/>
    <w:rsid w:val="27A93B82"/>
    <w:rsid w:val="2AE00186"/>
    <w:rsid w:val="2CB21A3D"/>
    <w:rsid w:val="308216BE"/>
    <w:rsid w:val="34686C9F"/>
    <w:rsid w:val="34FE1149"/>
    <w:rsid w:val="3A550786"/>
    <w:rsid w:val="3B7A130F"/>
    <w:rsid w:val="494A1329"/>
    <w:rsid w:val="4F243994"/>
    <w:rsid w:val="4F8B6063"/>
    <w:rsid w:val="52FA3F96"/>
    <w:rsid w:val="55850F17"/>
    <w:rsid w:val="57AE6D93"/>
    <w:rsid w:val="5FB623A7"/>
    <w:rsid w:val="6E3851B0"/>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16</Pages>
  <Words>6639</Words>
  <Characters>7231</Characters>
  <TotalTime>2</TotalTime>
  <ScaleCrop>false</ScaleCrop>
  <LinksUpToDate>false</LinksUpToDate>
  <CharactersWithSpaces>7316</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子宸的wps</cp:lastModifiedBy>
  <cp:lastPrinted>2024-05-21T14:05:00Z</cp:lastPrinted>
  <dcterms:modified xsi:type="dcterms:W3CDTF">2024-10-15T03:48:11Z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7CC2677613254FF29806AE8464C061AE_13</vt:lpwstr>
  </property>
</Properties>
</file>