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8DF73B9">
      <w:pPr>
        <w:spacing w:line="269" w:lineRule="auto"/>
        <w:jc w:val="left"/>
        <w:rPr>
          <w:rFonts w:ascii="Arial"/>
          <w:sz w:val="21"/>
        </w:rPr>
      </w:pPr>
    </w:p>
    <w:p w14:paraId="5DEE744C">
      <w:pPr>
        <w:spacing w:line="270" w:lineRule="auto"/>
        <w:jc w:val="left"/>
        <w:rPr>
          <w:rFonts w:ascii="Arial"/>
          <w:sz w:val="21"/>
        </w:rPr>
      </w:pPr>
    </w:p>
    <w:p w14:paraId="2BC0EE7D">
      <w:pPr>
        <w:spacing w:line="270" w:lineRule="auto"/>
        <w:jc w:val="left"/>
        <w:rPr>
          <w:rFonts w:ascii="Arial"/>
          <w:sz w:val="21"/>
        </w:rPr>
      </w:pPr>
    </w:p>
    <w:p w14:paraId="094CE087">
      <w:pPr>
        <w:pStyle w:val="2"/>
        <w:spacing w:before="94" w:line="222" w:lineRule="auto"/>
        <w:ind w:left="20"/>
        <w:jc w:val="left"/>
        <w:rPr>
          <w:i/>
          <w:iCs/>
          <w:sz w:val="29"/>
          <w:szCs w:val="29"/>
        </w:rPr>
      </w:pPr>
      <w:r>
        <w:rPr>
          <w:i/>
          <w:iCs/>
          <w:spacing w:val="5"/>
          <w:sz w:val="29"/>
          <w:szCs w:val="29"/>
        </w:rPr>
        <w:t>附件1</w:t>
      </w:r>
    </w:p>
    <w:p w14:paraId="0F033ADA">
      <w:pPr>
        <w:spacing w:before="75" w:line="232" w:lineRule="auto"/>
        <w:ind w:left="4270" w:right="749" w:hanging="2930"/>
        <w:jc w:val="left"/>
        <w:rPr>
          <w:rFonts w:ascii="黑体" w:hAnsi="黑体" w:eastAsia="黑体" w:cs="黑体"/>
          <w:sz w:val="43"/>
          <w:szCs w:val="43"/>
        </w:rPr>
      </w:pPr>
      <w:r>
        <w:rPr>
          <w:rFonts w:ascii="黑体" w:hAnsi="黑体" w:eastAsia="黑体" w:cs="黑体"/>
          <w:spacing w:val="14"/>
          <w:sz w:val="43"/>
          <w:szCs w:val="43"/>
        </w:rPr>
        <w:t>2023年度部门整体支出绩效评价基础</w:t>
      </w:r>
      <w:r>
        <w:rPr>
          <w:rFonts w:ascii="黑体" w:hAnsi="黑体" w:eastAsia="黑体" w:cs="黑体"/>
          <w:spacing w:val="12"/>
          <w:sz w:val="43"/>
          <w:szCs w:val="43"/>
        </w:rPr>
        <w:t xml:space="preserve"> 数据表</w:t>
      </w:r>
    </w:p>
    <w:p w14:paraId="03DC744D">
      <w:pPr>
        <w:spacing w:line="150" w:lineRule="exact"/>
        <w:jc w:val="left"/>
      </w:pPr>
    </w:p>
    <w:tbl>
      <w:tblPr>
        <w:tblStyle w:val="9"/>
        <w:tblW w:w="9220" w:type="dxa"/>
        <w:tblInd w:w="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31"/>
        <w:gridCol w:w="1149"/>
        <w:gridCol w:w="949"/>
        <w:gridCol w:w="929"/>
        <w:gridCol w:w="1059"/>
        <w:gridCol w:w="1009"/>
        <w:gridCol w:w="894"/>
      </w:tblGrid>
      <w:tr w14:paraId="34F0AD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3231" w:type="dxa"/>
            <w:vMerge w:val="restart"/>
            <w:tcBorders>
              <w:bottom w:val="nil"/>
            </w:tcBorders>
            <w:vAlign w:val="top"/>
          </w:tcPr>
          <w:p w14:paraId="3ED1DC2A">
            <w:pPr>
              <w:pStyle w:val="10"/>
              <w:spacing w:line="295" w:lineRule="auto"/>
              <w:jc w:val="left"/>
            </w:pPr>
          </w:p>
          <w:p w14:paraId="213037DE">
            <w:pPr>
              <w:spacing w:before="65" w:line="219" w:lineRule="auto"/>
              <w:ind w:left="535"/>
              <w:jc w:val="left"/>
              <w:rPr>
                <w:rFonts w:ascii="宋体" w:hAnsi="宋体" w:eastAsia="宋体" w:cs="宋体"/>
                <w:sz w:val="20"/>
                <w:szCs w:val="20"/>
              </w:rPr>
            </w:pPr>
            <w:r>
              <w:rPr>
                <w:rFonts w:ascii="宋体" w:hAnsi="宋体" w:eastAsia="宋体" w:cs="宋体"/>
                <w:spacing w:val="3"/>
                <w:sz w:val="20"/>
                <w:szCs w:val="20"/>
              </w:rPr>
              <w:t>财政供养人员情况(人)</w:t>
            </w:r>
          </w:p>
        </w:tc>
        <w:tc>
          <w:tcPr>
            <w:tcW w:w="2098" w:type="dxa"/>
            <w:gridSpan w:val="2"/>
            <w:vAlign w:val="top"/>
          </w:tcPr>
          <w:p w14:paraId="0C652CC3">
            <w:pPr>
              <w:spacing w:before="183" w:line="219" w:lineRule="auto"/>
              <w:ind w:left="744"/>
              <w:jc w:val="left"/>
              <w:rPr>
                <w:rFonts w:ascii="宋体" w:hAnsi="宋体" w:eastAsia="宋体" w:cs="宋体"/>
                <w:sz w:val="20"/>
                <w:szCs w:val="20"/>
              </w:rPr>
            </w:pPr>
            <w:r>
              <w:rPr>
                <w:rFonts w:ascii="宋体" w:hAnsi="宋体" w:eastAsia="宋体" w:cs="宋体"/>
                <w:spacing w:val="-3"/>
                <w:sz w:val="20"/>
                <w:szCs w:val="20"/>
              </w:rPr>
              <w:t>编制数</w:t>
            </w:r>
          </w:p>
        </w:tc>
        <w:tc>
          <w:tcPr>
            <w:tcW w:w="1988" w:type="dxa"/>
            <w:gridSpan w:val="2"/>
            <w:vAlign w:val="top"/>
          </w:tcPr>
          <w:p w14:paraId="203E391D">
            <w:pPr>
              <w:spacing w:before="52" w:line="227" w:lineRule="auto"/>
              <w:ind w:left="785" w:right="100" w:hanging="319"/>
              <w:jc w:val="left"/>
              <w:rPr>
                <w:rFonts w:ascii="宋体" w:hAnsi="宋体" w:eastAsia="宋体" w:cs="宋体"/>
                <w:sz w:val="20"/>
                <w:szCs w:val="20"/>
              </w:rPr>
            </w:pPr>
            <w:r>
              <w:rPr>
                <w:rFonts w:ascii="宋体" w:hAnsi="宋体" w:eastAsia="宋体" w:cs="宋体"/>
                <w:spacing w:val="1"/>
                <w:sz w:val="20"/>
                <w:szCs w:val="20"/>
              </w:rPr>
              <w:t xml:space="preserve">2023年实际在职 </w:t>
            </w:r>
            <w:r>
              <w:rPr>
                <w:rFonts w:ascii="宋体" w:hAnsi="宋体" w:eastAsia="宋体" w:cs="宋体"/>
                <w:spacing w:val="-3"/>
                <w:sz w:val="20"/>
                <w:szCs w:val="20"/>
              </w:rPr>
              <w:t>人数</w:t>
            </w:r>
          </w:p>
        </w:tc>
        <w:tc>
          <w:tcPr>
            <w:tcW w:w="1903" w:type="dxa"/>
            <w:gridSpan w:val="2"/>
            <w:vAlign w:val="top"/>
          </w:tcPr>
          <w:p w14:paraId="18D39F1D">
            <w:pPr>
              <w:spacing w:before="183" w:line="219" w:lineRule="auto"/>
              <w:ind w:left="628"/>
              <w:jc w:val="left"/>
              <w:rPr>
                <w:rFonts w:ascii="宋体" w:hAnsi="宋体" w:eastAsia="宋体" w:cs="宋体"/>
                <w:sz w:val="20"/>
                <w:szCs w:val="20"/>
              </w:rPr>
            </w:pPr>
            <w:r>
              <w:rPr>
                <w:rFonts w:ascii="宋体" w:hAnsi="宋体" w:eastAsia="宋体" w:cs="宋体"/>
                <w:spacing w:val="-2"/>
                <w:sz w:val="20"/>
                <w:szCs w:val="20"/>
              </w:rPr>
              <w:t>控制率</w:t>
            </w:r>
          </w:p>
        </w:tc>
      </w:tr>
      <w:tr w14:paraId="67E933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31" w:type="dxa"/>
            <w:vMerge w:val="continue"/>
            <w:tcBorders>
              <w:top w:val="nil"/>
            </w:tcBorders>
            <w:vAlign w:val="top"/>
          </w:tcPr>
          <w:p w14:paraId="39209178">
            <w:pPr>
              <w:pStyle w:val="10"/>
              <w:jc w:val="left"/>
            </w:pPr>
          </w:p>
        </w:tc>
        <w:tc>
          <w:tcPr>
            <w:tcW w:w="2098" w:type="dxa"/>
            <w:gridSpan w:val="2"/>
            <w:vAlign w:val="top"/>
          </w:tcPr>
          <w:p w14:paraId="7AC430FB">
            <w:pPr>
              <w:pStyle w:val="10"/>
              <w:jc w:val="center"/>
            </w:pPr>
          </w:p>
          <w:p w14:paraId="1A82A800">
            <w:pPr>
              <w:bidi w:val="0"/>
              <w:jc w:val="center"/>
              <w:rPr>
                <w:rFonts w:hint="default" w:eastAsia="宋体"/>
                <w:lang w:val="en-US" w:eastAsia="zh-CN"/>
              </w:rPr>
            </w:pPr>
            <w:r>
              <w:rPr>
                <w:rFonts w:hint="eastAsia" w:eastAsia="宋体"/>
                <w:lang w:val="en-US" w:eastAsia="zh-CN"/>
              </w:rPr>
              <w:t>30</w:t>
            </w:r>
          </w:p>
        </w:tc>
        <w:tc>
          <w:tcPr>
            <w:tcW w:w="1988" w:type="dxa"/>
            <w:gridSpan w:val="2"/>
            <w:vAlign w:val="top"/>
          </w:tcPr>
          <w:p w14:paraId="6D236470">
            <w:pPr>
              <w:pStyle w:val="10"/>
              <w:jc w:val="center"/>
              <w:rPr>
                <w:rFonts w:hint="default" w:eastAsia="宋体"/>
                <w:lang w:val="en-US" w:eastAsia="zh-CN"/>
              </w:rPr>
            </w:pPr>
            <w:r>
              <w:rPr>
                <w:rFonts w:hint="eastAsia" w:eastAsia="宋体"/>
                <w:lang w:val="en-US" w:eastAsia="zh-CN"/>
              </w:rPr>
              <w:t>26</w:t>
            </w:r>
          </w:p>
        </w:tc>
        <w:tc>
          <w:tcPr>
            <w:tcW w:w="1903" w:type="dxa"/>
            <w:gridSpan w:val="2"/>
            <w:vAlign w:val="top"/>
          </w:tcPr>
          <w:p w14:paraId="3E2F1BE3">
            <w:pPr>
              <w:pStyle w:val="10"/>
              <w:jc w:val="center"/>
            </w:pPr>
          </w:p>
        </w:tc>
      </w:tr>
      <w:tr w14:paraId="7B5A3C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31" w:type="dxa"/>
            <w:vAlign w:val="top"/>
          </w:tcPr>
          <w:p w14:paraId="49FC6A20">
            <w:pPr>
              <w:spacing w:before="79" w:line="220" w:lineRule="auto"/>
              <w:ind w:left="735"/>
              <w:jc w:val="left"/>
              <w:rPr>
                <w:rFonts w:ascii="宋体" w:hAnsi="宋体" w:eastAsia="宋体" w:cs="宋体"/>
                <w:sz w:val="20"/>
                <w:szCs w:val="20"/>
              </w:rPr>
            </w:pPr>
            <w:r>
              <w:rPr>
                <w:rFonts w:ascii="宋体" w:hAnsi="宋体" w:eastAsia="宋体" w:cs="宋体"/>
                <w:spacing w:val="4"/>
                <w:sz w:val="20"/>
                <w:szCs w:val="20"/>
              </w:rPr>
              <w:t>经费控制情况(万元)</w:t>
            </w:r>
          </w:p>
        </w:tc>
        <w:tc>
          <w:tcPr>
            <w:tcW w:w="2098" w:type="dxa"/>
            <w:gridSpan w:val="2"/>
            <w:vAlign w:val="top"/>
          </w:tcPr>
          <w:p w14:paraId="2D2B067C">
            <w:pPr>
              <w:spacing w:before="79" w:line="219" w:lineRule="auto"/>
              <w:ind w:left="444"/>
              <w:jc w:val="center"/>
              <w:rPr>
                <w:rFonts w:ascii="宋体" w:hAnsi="宋体" w:eastAsia="宋体" w:cs="宋体"/>
                <w:sz w:val="20"/>
                <w:szCs w:val="20"/>
              </w:rPr>
            </w:pPr>
            <w:r>
              <w:rPr>
                <w:rFonts w:ascii="宋体" w:hAnsi="宋体" w:eastAsia="宋体" w:cs="宋体"/>
                <w:spacing w:val="-2"/>
                <w:sz w:val="20"/>
                <w:szCs w:val="20"/>
              </w:rPr>
              <w:t>2022年决算数</w:t>
            </w:r>
          </w:p>
        </w:tc>
        <w:tc>
          <w:tcPr>
            <w:tcW w:w="1988" w:type="dxa"/>
            <w:gridSpan w:val="2"/>
            <w:vAlign w:val="top"/>
          </w:tcPr>
          <w:p w14:paraId="564565DE">
            <w:pPr>
              <w:spacing w:before="79" w:line="219" w:lineRule="auto"/>
              <w:ind w:left="386"/>
              <w:jc w:val="center"/>
              <w:rPr>
                <w:rFonts w:ascii="宋体" w:hAnsi="宋体" w:eastAsia="宋体" w:cs="宋体"/>
                <w:sz w:val="20"/>
                <w:szCs w:val="20"/>
              </w:rPr>
            </w:pPr>
            <w:r>
              <w:rPr>
                <w:rFonts w:ascii="宋体" w:hAnsi="宋体" w:eastAsia="宋体" w:cs="宋体"/>
                <w:spacing w:val="-2"/>
                <w:sz w:val="20"/>
                <w:szCs w:val="20"/>
              </w:rPr>
              <w:t>2023年预算数</w:t>
            </w:r>
          </w:p>
        </w:tc>
        <w:tc>
          <w:tcPr>
            <w:tcW w:w="1903" w:type="dxa"/>
            <w:gridSpan w:val="2"/>
            <w:vAlign w:val="top"/>
          </w:tcPr>
          <w:p w14:paraId="7C71E1F1">
            <w:pPr>
              <w:spacing w:before="79" w:line="219" w:lineRule="auto"/>
              <w:ind w:left="518"/>
              <w:jc w:val="center"/>
              <w:rPr>
                <w:rFonts w:ascii="宋体" w:hAnsi="宋体" w:eastAsia="宋体" w:cs="宋体"/>
                <w:sz w:val="20"/>
                <w:szCs w:val="20"/>
              </w:rPr>
            </w:pPr>
            <w:r>
              <w:rPr>
                <w:rFonts w:ascii="宋体" w:hAnsi="宋体" w:eastAsia="宋体" w:cs="宋体"/>
                <w:spacing w:val="-2"/>
                <w:sz w:val="20"/>
                <w:szCs w:val="20"/>
              </w:rPr>
              <w:t>2023年决算数</w:t>
            </w:r>
          </w:p>
        </w:tc>
      </w:tr>
      <w:tr w14:paraId="0C9072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31" w:type="dxa"/>
            <w:vAlign w:val="top"/>
          </w:tcPr>
          <w:p w14:paraId="2C7C55F5">
            <w:pPr>
              <w:spacing w:before="90" w:line="220" w:lineRule="auto"/>
              <w:ind w:left="1415"/>
              <w:jc w:val="left"/>
              <w:rPr>
                <w:rFonts w:ascii="宋体" w:hAnsi="宋体" w:eastAsia="宋体" w:cs="宋体"/>
                <w:sz w:val="20"/>
                <w:szCs w:val="20"/>
              </w:rPr>
            </w:pPr>
            <w:r>
              <w:rPr>
                <w:rFonts w:ascii="宋体" w:hAnsi="宋体" w:eastAsia="宋体" w:cs="宋体"/>
                <w:spacing w:val="3"/>
                <w:sz w:val="20"/>
                <w:szCs w:val="20"/>
              </w:rPr>
              <w:t>三公经费</w:t>
            </w:r>
          </w:p>
        </w:tc>
        <w:tc>
          <w:tcPr>
            <w:tcW w:w="2098" w:type="dxa"/>
            <w:gridSpan w:val="2"/>
            <w:vAlign w:val="top"/>
          </w:tcPr>
          <w:p w14:paraId="10E8F492">
            <w:pPr>
              <w:pStyle w:val="10"/>
              <w:jc w:val="center"/>
              <w:rPr>
                <w:rFonts w:hint="eastAsia" w:eastAsia="宋体"/>
                <w:lang w:val="en-US" w:eastAsia="zh-CN"/>
              </w:rPr>
            </w:pPr>
          </w:p>
          <w:p w14:paraId="194DF12E">
            <w:pPr>
              <w:bidi w:val="0"/>
              <w:jc w:val="center"/>
              <w:rPr>
                <w:rFonts w:hint="default"/>
                <w:lang w:val="en-US" w:eastAsia="zh-CN"/>
              </w:rPr>
            </w:pPr>
            <w:r>
              <w:rPr>
                <w:rFonts w:hint="eastAsia"/>
                <w:lang w:val="en-US" w:eastAsia="zh-CN"/>
              </w:rPr>
              <w:t>4.3</w:t>
            </w:r>
          </w:p>
        </w:tc>
        <w:tc>
          <w:tcPr>
            <w:tcW w:w="1988" w:type="dxa"/>
            <w:gridSpan w:val="2"/>
            <w:vAlign w:val="top"/>
          </w:tcPr>
          <w:p w14:paraId="5FC4948D">
            <w:pPr>
              <w:pStyle w:val="10"/>
              <w:jc w:val="center"/>
              <w:rPr>
                <w:rFonts w:hint="default" w:eastAsia="宋体"/>
                <w:lang w:val="en-US" w:eastAsia="zh-CN"/>
              </w:rPr>
            </w:pPr>
            <w:r>
              <w:rPr>
                <w:rFonts w:hint="eastAsia" w:eastAsia="宋体"/>
                <w:lang w:val="en-US" w:eastAsia="zh-CN"/>
              </w:rPr>
              <w:t>7.5</w:t>
            </w:r>
          </w:p>
        </w:tc>
        <w:tc>
          <w:tcPr>
            <w:tcW w:w="1903" w:type="dxa"/>
            <w:gridSpan w:val="2"/>
            <w:vAlign w:val="top"/>
          </w:tcPr>
          <w:p w14:paraId="17D96AF7">
            <w:pPr>
              <w:pStyle w:val="10"/>
              <w:jc w:val="center"/>
              <w:rPr>
                <w:rFonts w:hint="default" w:eastAsia="宋体"/>
                <w:lang w:val="en-US" w:eastAsia="zh-CN"/>
              </w:rPr>
            </w:pPr>
            <w:r>
              <w:rPr>
                <w:rFonts w:hint="eastAsia" w:eastAsia="宋体"/>
                <w:lang w:val="en-US" w:eastAsia="zh-CN"/>
              </w:rPr>
              <w:t>4.23</w:t>
            </w:r>
          </w:p>
        </w:tc>
      </w:tr>
      <w:tr w14:paraId="6A495F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31" w:type="dxa"/>
            <w:vAlign w:val="top"/>
          </w:tcPr>
          <w:p w14:paraId="5B9A1841">
            <w:pPr>
              <w:spacing w:before="81" w:line="219" w:lineRule="auto"/>
              <w:ind w:left="525"/>
              <w:jc w:val="left"/>
              <w:rPr>
                <w:rFonts w:ascii="宋体" w:hAnsi="宋体" w:eastAsia="宋体" w:cs="宋体"/>
                <w:sz w:val="20"/>
                <w:szCs w:val="20"/>
              </w:rPr>
            </w:pPr>
            <w:r>
              <w:rPr>
                <w:rFonts w:ascii="宋体" w:hAnsi="宋体" w:eastAsia="宋体" w:cs="宋体"/>
                <w:sz w:val="20"/>
                <w:szCs w:val="20"/>
              </w:rPr>
              <w:t>1、公务用车购置和维护经费</w:t>
            </w:r>
          </w:p>
        </w:tc>
        <w:tc>
          <w:tcPr>
            <w:tcW w:w="2098" w:type="dxa"/>
            <w:gridSpan w:val="2"/>
            <w:vAlign w:val="top"/>
          </w:tcPr>
          <w:p w14:paraId="2A170A73">
            <w:pPr>
              <w:pStyle w:val="10"/>
              <w:jc w:val="center"/>
            </w:pPr>
          </w:p>
        </w:tc>
        <w:tc>
          <w:tcPr>
            <w:tcW w:w="1988" w:type="dxa"/>
            <w:gridSpan w:val="2"/>
            <w:vAlign w:val="top"/>
          </w:tcPr>
          <w:p w14:paraId="7DA049D6">
            <w:pPr>
              <w:pStyle w:val="10"/>
              <w:jc w:val="center"/>
            </w:pPr>
          </w:p>
        </w:tc>
        <w:tc>
          <w:tcPr>
            <w:tcW w:w="1903" w:type="dxa"/>
            <w:gridSpan w:val="2"/>
            <w:vAlign w:val="top"/>
          </w:tcPr>
          <w:p w14:paraId="5952F438">
            <w:pPr>
              <w:pStyle w:val="10"/>
              <w:jc w:val="center"/>
            </w:pPr>
          </w:p>
        </w:tc>
      </w:tr>
      <w:tr w14:paraId="5F38B0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0" w:hRule="atLeast"/>
        </w:trPr>
        <w:tc>
          <w:tcPr>
            <w:tcW w:w="3231" w:type="dxa"/>
            <w:vAlign w:val="top"/>
          </w:tcPr>
          <w:p w14:paraId="1F02D94C">
            <w:pPr>
              <w:spacing w:before="92" w:line="219" w:lineRule="auto"/>
              <w:ind w:left="1135"/>
              <w:jc w:val="left"/>
              <w:rPr>
                <w:rFonts w:ascii="宋体" w:hAnsi="宋体" w:eastAsia="宋体" w:cs="宋体"/>
                <w:sz w:val="20"/>
                <w:szCs w:val="20"/>
              </w:rPr>
            </w:pPr>
            <w:r>
              <w:rPr>
                <w:rFonts w:ascii="宋体" w:hAnsi="宋体" w:eastAsia="宋体" w:cs="宋体"/>
                <w:spacing w:val="-2"/>
                <w:sz w:val="20"/>
                <w:szCs w:val="20"/>
              </w:rPr>
              <w:t>其中：公车购置</w:t>
            </w:r>
          </w:p>
        </w:tc>
        <w:tc>
          <w:tcPr>
            <w:tcW w:w="2098" w:type="dxa"/>
            <w:gridSpan w:val="2"/>
            <w:vAlign w:val="top"/>
          </w:tcPr>
          <w:p w14:paraId="74E42B5E">
            <w:pPr>
              <w:pStyle w:val="10"/>
              <w:jc w:val="center"/>
            </w:pPr>
          </w:p>
        </w:tc>
        <w:tc>
          <w:tcPr>
            <w:tcW w:w="1988" w:type="dxa"/>
            <w:gridSpan w:val="2"/>
            <w:vAlign w:val="top"/>
          </w:tcPr>
          <w:p w14:paraId="60DCE0E0">
            <w:pPr>
              <w:pStyle w:val="10"/>
              <w:jc w:val="center"/>
            </w:pPr>
          </w:p>
        </w:tc>
        <w:tc>
          <w:tcPr>
            <w:tcW w:w="1903" w:type="dxa"/>
            <w:gridSpan w:val="2"/>
            <w:vAlign w:val="top"/>
          </w:tcPr>
          <w:p w14:paraId="5727B23C">
            <w:pPr>
              <w:pStyle w:val="10"/>
              <w:jc w:val="center"/>
            </w:pPr>
          </w:p>
        </w:tc>
      </w:tr>
      <w:tr w14:paraId="7C50DD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31" w:type="dxa"/>
            <w:vAlign w:val="top"/>
          </w:tcPr>
          <w:p w14:paraId="76FED548">
            <w:pPr>
              <w:spacing w:before="82" w:line="219" w:lineRule="auto"/>
              <w:ind w:left="1335"/>
              <w:jc w:val="left"/>
              <w:rPr>
                <w:rFonts w:ascii="宋体" w:hAnsi="宋体" w:eastAsia="宋体" w:cs="宋体"/>
                <w:sz w:val="20"/>
                <w:szCs w:val="20"/>
              </w:rPr>
            </w:pPr>
            <w:r>
              <w:rPr>
                <w:rFonts w:ascii="宋体" w:hAnsi="宋体" w:eastAsia="宋体" w:cs="宋体"/>
                <w:spacing w:val="2"/>
                <w:sz w:val="20"/>
                <w:szCs w:val="20"/>
              </w:rPr>
              <w:t>公车运行维护</w:t>
            </w:r>
          </w:p>
        </w:tc>
        <w:tc>
          <w:tcPr>
            <w:tcW w:w="2098" w:type="dxa"/>
            <w:gridSpan w:val="2"/>
            <w:vAlign w:val="top"/>
          </w:tcPr>
          <w:p w14:paraId="171A8B3D">
            <w:pPr>
              <w:pStyle w:val="10"/>
              <w:jc w:val="center"/>
            </w:pPr>
          </w:p>
        </w:tc>
        <w:tc>
          <w:tcPr>
            <w:tcW w:w="1988" w:type="dxa"/>
            <w:gridSpan w:val="2"/>
            <w:vAlign w:val="top"/>
          </w:tcPr>
          <w:p w14:paraId="4B3EDEBF">
            <w:pPr>
              <w:pStyle w:val="10"/>
              <w:jc w:val="center"/>
            </w:pPr>
          </w:p>
        </w:tc>
        <w:tc>
          <w:tcPr>
            <w:tcW w:w="1903" w:type="dxa"/>
            <w:gridSpan w:val="2"/>
            <w:vAlign w:val="top"/>
          </w:tcPr>
          <w:p w14:paraId="6B05608E">
            <w:pPr>
              <w:pStyle w:val="10"/>
              <w:jc w:val="center"/>
            </w:pPr>
          </w:p>
        </w:tc>
      </w:tr>
      <w:tr w14:paraId="435CAF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31" w:type="dxa"/>
            <w:vAlign w:val="top"/>
          </w:tcPr>
          <w:p w14:paraId="52F72C97">
            <w:pPr>
              <w:spacing w:before="92" w:line="220" w:lineRule="auto"/>
              <w:ind w:left="1225"/>
              <w:jc w:val="left"/>
              <w:rPr>
                <w:rFonts w:ascii="宋体" w:hAnsi="宋体" w:eastAsia="宋体" w:cs="宋体"/>
                <w:sz w:val="20"/>
                <w:szCs w:val="20"/>
              </w:rPr>
            </w:pPr>
            <w:r>
              <w:rPr>
                <w:rFonts w:ascii="宋体" w:hAnsi="宋体" w:eastAsia="宋体" w:cs="宋体"/>
                <w:spacing w:val="2"/>
                <w:sz w:val="20"/>
                <w:szCs w:val="20"/>
              </w:rPr>
              <w:t>2、出国经费</w:t>
            </w:r>
          </w:p>
        </w:tc>
        <w:tc>
          <w:tcPr>
            <w:tcW w:w="2098" w:type="dxa"/>
            <w:gridSpan w:val="2"/>
            <w:vAlign w:val="top"/>
          </w:tcPr>
          <w:p w14:paraId="36EF5ACC">
            <w:pPr>
              <w:pStyle w:val="10"/>
              <w:jc w:val="center"/>
            </w:pPr>
          </w:p>
        </w:tc>
        <w:tc>
          <w:tcPr>
            <w:tcW w:w="1988" w:type="dxa"/>
            <w:gridSpan w:val="2"/>
            <w:vAlign w:val="top"/>
          </w:tcPr>
          <w:p w14:paraId="334D35DB">
            <w:pPr>
              <w:pStyle w:val="10"/>
              <w:jc w:val="center"/>
            </w:pPr>
          </w:p>
        </w:tc>
        <w:tc>
          <w:tcPr>
            <w:tcW w:w="1903" w:type="dxa"/>
            <w:gridSpan w:val="2"/>
            <w:vAlign w:val="top"/>
          </w:tcPr>
          <w:p w14:paraId="6258F323">
            <w:pPr>
              <w:pStyle w:val="10"/>
              <w:jc w:val="center"/>
            </w:pPr>
          </w:p>
        </w:tc>
      </w:tr>
      <w:tr w14:paraId="025972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3231" w:type="dxa"/>
            <w:vAlign w:val="top"/>
          </w:tcPr>
          <w:p w14:paraId="35FE5F20">
            <w:pPr>
              <w:spacing w:before="72" w:line="219" w:lineRule="auto"/>
              <w:ind w:left="1235"/>
              <w:jc w:val="left"/>
              <w:rPr>
                <w:rFonts w:ascii="宋体" w:hAnsi="宋体" w:eastAsia="宋体" w:cs="宋体"/>
                <w:sz w:val="20"/>
                <w:szCs w:val="20"/>
              </w:rPr>
            </w:pPr>
            <w:r>
              <w:rPr>
                <w:rFonts w:ascii="宋体" w:hAnsi="宋体" w:eastAsia="宋体" w:cs="宋体"/>
                <w:spacing w:val="1"/>
                <w:sz w:val="20"/>
                <w:szCs w:val="20"/>
              </w:rPr>
              <w:t>3、公务接待</w:t>
            </w:r>
          </w:p>
        </w:tc>
        <w:tc>
          <w:tcPr>
            <w:tcW w:w="2098" w:type="dxa"/>
            <w:gridSpan w:val="2"/>
            <w:vAlign w:val="top"/>
          </w:tcPr>
          <w:p w14:paraId="15A7890D">
            <w:pPr>
              <w:pStyle w:val="10"/>
              <w:jc w:val="center"/>
              <w:rPr>
                <w:rFonts w:hint="default" w:eastAsia="宋体"/>
                <w:lang w:val="en-US" w:eastAsia="zh-CN"/>
              </w:rPr>
            </w:pPr>
            <w:r>
              <w:rPr>
                <w:rFonts w:hint="eastAsia" w:eastAsia="宋体"/>
                <w:lang w:val="en-US" w:eastAsia="zh-CN"/>
              </w:rPr>
              <w:t>4.3</w:t>
            </w:r>
          </w:p>
        </w:tc>
        <w:tc>
          <w:tcPr>
            <w:tcW w:w="1988" w:type="dxa"/>
            <w:gridSpan w:val="2"/>
            <w:vAlign w:val="top"/>
          </w:tcPr>
          <w:p w14:paraId="61F96496">
            <w:pPr>
              <w:pStyle w:val="10"/>
              <w:jc w:val="center"/>
              <w:rPr>
                <w:rFonts w:hint="default" w:eastAsia="宋体"/>
                <w:lang w:val="en-US" w:eastAsia="zh-CN"/>
              </w:rPr>
            </w:pPr>
            <w:r>
              <w:rPr>
                <w:rFonts w:hint="eastAsia" w:eastAsia="宋体"/>
                <w:lang w:val="en-US" w:eastAsia="zh-CN"/>
              </w:rPr>
              <w:t>7.5</w:t>
            </w:r>
          </w:p>
        </w:tc>
        <w:tc>
          <w:tcPr>
            <w:tcW w:w="1903" w:type="dxa"/>
            <w:gridSpan w:val="2"/>
            <w:vAlign w:val="top"/>
          </w:tcPr>
          <w:p w14:paraId="68BC3ACB">
            <w:pPr>
              <w:pStyle w:val="10"/>
              <w:jc w:val="center"/>
              <w:rPr>
                <w:rFonts w:hint="default" w:eastAsia="宋体"/>
                <w:lang w:val="en-US" w:eastAsia="zh-CN"/>
              </w:rPr>
            </w:pPr>
            <w:r>
              <w:rPr>
                <w:rFonts w:hint="eastAsia" w:eastAsia="宋体"/>
                <w:lang w:val="en-US" w:eastAsia="zh-CN"/>
              </w:rPr>
              <w:t>4.23</w:t>
            </w:r>
          </w:p>
        </w:tc>
      </w:tr>
      <w:tr w14:paraId="7BAA5D1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31" w:type="dxa"/>
            <w:vAlign w:val="top"/>
          </w:tcPr>
          <w:p w14:paraId="6B70229F">
            <w:pPr>
              <w:spacing w:before="83" w:line="220" w:lineRule="auto"/>
              <w:ind w:left="1295"/>
              <w:jc w:val="left"/>
              <w:rPr>
                <w:rFonts w:ascii="宋体" w:hAnsi="宋体" w:eastAsia="宋体" w:cs="宋体"/>
                <w:sz w:val="20"/>
                <w:szCs w:val="20"/>
              </w:rPr>
            </w:pPr>
            <w:r>
              <w:rPr>
                <w:rFonts w:ascii="宋体" w:hAnsi="宋体" w:eastAsia="宋体" w:cs="宋体"/>
                <w:spacing w:val="-1"/>
                <w:sz w:val="20"/>
                <w:szCs w:val="20"/>
              </w:rPr>
              <w:t>项目支出：</w:t>
            </w:r>
          </w:p>
        </w:tc>
        <w:tc>
          <w:tcPr>
            <w:tcW w:w="2098" w:type="dxa"/>
            <w:gridSpan w:val="2"/>
            <w:vAlign w:val="top"/>
          </w:tcPr>
          <w:p w14:paraId="04C4FAF9">
            <w:pPr>
              <w:pStyle w:val="10"/>
              <w:jc w:val="center"/>
            </w:pPr>
          </w:p>
        </w:tc>
        <w:tc>
          <w:tcPr>
            <w:tcW w:w="1988" w:type="dxa"/>
            <w:gridSpan w:val="2"/>
            <w:vAlign w:val="top"/>
          </w:tcPr>
          <w:p w14:paraId="00026BF1">
            <w:pPr>
              <w:pStyle w:val="10"/>
              <w:jc w:val="center"/>
            </w:pPr>
          </w:p>
        </w:tc>
        <w:tc>
          <w:tcPr>
            <w:tcW w:w="1903" w:type="dxa"/>
            <w:gridSpan w:val="2"/>
            <w:vAlign w:val="top"/>
          </w:tcPr>
          <w:p w14:paraId="614A5ACC">
            <w:pPr>
              <w:pStyle w:val="10"/>
              <w:jc w:val="center"/>
            </w:pPr>
          </w:p>
        </w:tc>
      </w:tr>
      <w:tr w14:paraId="4947BA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31" w:type="dxa"/>
            <w:vAlign w:val="top"/>
          </w:tcPr>
          <w:p w14:paraId="0C769F56">
            <w:pPr>
              <w:spacing w:before="83" w:line="219" w:lineRule="auto"/>
              <w:ind w:left="1035"/>
              <w:jc w:val="left"/>
              <w:rPr>
                <w:rFonts w:ascii="宋体" w:hAnsi="宋体" w:eastAsia="宋体" w:cs="宋体"/>
                <w:sz w:val="20"/>
                <w:szCs w:val="20"/>
              </w:rPr>
            </w:pPr>
            <w:r>
              <w:rPr>
                <w:rFonts w:ascii="宋体" w:hAnsi="宋体" w:eastAsia="宋体" w:cs="宋体"/>
                <w:spacing w:val="1"/>
                <w:sz w:val="20"/>
                <w:szCs w:val="20"/>
              </w:rPr>
              <w:t>1、业务工作经费</w:t>
            </w:r>
          </w:p>
        </w:tc>
        <w:tc>
          <w:tcPr>
            <w:tcW w:w="2098" w:type="dxa"/>
            <w:gridSpan w:val="2"/>
            <w:vAlign w:val="top"/>
          </w:tcPr>
          <w:p w14:paraId="2897F98A">
            <w:pPr>
              <w:pStyle w:val="10"/>
              <w:jc w:val="center"/>
            </w:pPr>
          </w:p>
        </w:tc>
        <w:tc>
          <w:tcPr>
            <w:tcW w:w="1988" w:type="dxa"/>
            <w:gridSpan w:val="2"/>
            <w:vAlign w:val="top"/>
          </w:tcPr>
          <w:p w14:paraId="7499A711">
            <w:pPr>
              <w:pStyle w:val="10"/>
              <w:jc w:val="center"/>
            </w:pPr>
          </w:p>
        </w:tc>
        <w:tc>
          <w:tcPr>
            <w:tcW w:w="1903" w:type="dxa"/>
            <w:gridSpan w:val="2"/>
            <w:vAlign w:val="top"/>
          </w:tcPr>
          <w:p w14:paraId="03FB763D">
            <w:pPr>
              <w:pStyle w:val="10"/>
              <w:jc w:val="center"/>
            </w:pPr>
          </w:p>
        </w:tc>
      </w:tr>
      <w:tr w14:paraId="5EC380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 w:hRule="atLeast"/>
        </w:trPr>
        <w:tc>
          <w:tcPr>
            <w:tcW w:w="3231" w:type="dxa"/>
            <w:vAlign w:val="top"/>
          </w:tcPr>
          <w:p w14:paraId="1224048F">
            <w:pPr>
              <w:spacing w:before="94" w:line="220" w:lineRule="auto"/>
              <w:ind w:left="1035"/>
              <w:jc w:val="left"/>
              <w:rPr>
                <w:rFonts w:ascii="宋体" w:hAnsi="宋体" w:eastAsia="宋体" w:cs="宋体"/>
                <w:sz w:val="20"/>
                <w:szCs w:val="20"/>
              </w:rPr>
            </w:pPr>
            <w:r>
              <w:rPr>
                <w:rFonts w:ascii="宋体" w:hAnsi="宋体" w:eastAsia="宋体" w:cs="宋体"/>
                <w:spacing w:val="1"/>
                <w:sz w:val="20"/>
                <w:szCs w:val="20"/>
              </w:rPr>
              <w:t>2、运行维护经费</w:t>
            </w:r>
          </w:p>
        </w:tc>
        <w:tc>
          <w:tcPr>
            <w:tcW w:w="2098" w:type="dxa"/>
            <w:gridSpan w:val="2"/>
            <w:vAlign w:val="top"/>
          </w:tcPr>
          <w:p w14:paraId="7094C4F9">
            <w:pPr>
              <w:pStyle w:val="10"/>
              <w:jc w:val="center"/>
            </w:pPr>
          </w:p>
        </w:tc>
        <w:tc>
          <w:tcPr>
            <w:tcW w:w="1988" w:type="dxa"/>
            <w:gridSpan w:val="2"/>
            <w:vAlign w:val="top"/>
          </w:tcPr>
          <w:p w14:paraId="76D506AA">
            <w:pPr>
              <w:pStyle w:val="10"/>
              <w:jc w:val="center"/>
            </w:pPr>
          </w:p>
        </w:tc>
        <w:tc>
          <w:tcPr>
            <w:tcW w:w="1903" w:type="dxa"/>
            <w:gridSpan w:val="2"/>
            <w:vAlign w:val="top"/>
          </w:tcPr>
          <w:p w14:paraId="23399B68">
            <w:pPr>
              <w:pStyle w:val="10"/>
              <w:jc w:val="center"/>
            </w:pPr>
          </w:p>
        </w:tc>
      </w:tr>
      <w:tr w14:paraId="41537E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4A8679E6">
            <w:pPr>
              <w:spacing w:before="45" w:line="223" w:lineRule="auto"/>
              <w:ind w:left="1444" w:right="154" w:hanging="989"/>
              <w:jc w:val="left"/>
              <w:rPr>
                <w:rFonts w:ascii="宋体" w:hAnsi="宋体" w:eastAsia="宋体" w:cs="宋体"/>
                <w:sz w:val="20"/>
                <w:szCs w:val="20"/>
              </w:rPr>
            </w:pPr>
            <w:r>
              <w:rPr>
                <w:rFonts w:ascii="宋体" w:hAnsi="宋体" w:eastAsia="宋体" w:cs="宋体"/>
                <w:sz w:val="20"/>
                <w:szCs w:val="20"/>
              </w:rPr>
              <w:t>3、县级专项资金(一个专项一</w:t>
            </w:r>
            <w:r>
              <w:rPr>
                <w:rFonts w:ascii="宋体" w:hAnsi="宋体" w:eastAsia="宋体" w:cs="宋体"/>
                <w:spacing w:val="10"/>
                <w:sz w:val="20"/>
                <w:szCs w:val="20"/>
              </w:rPr>
              <w:t xml:space="preserve"> </w:t>
            </w:r>
            <w:r>
              <w:rPr>
                <w:rFonts w:ascii="宋体" w:hAnsi="宋体" w:eastAsia="宋体" w:cs="宋体"/>
                <w:spacing w:val="-6"/>
                <w:sz w:val="20"/>
                <w:szCs w:val="20"/>
              </w:rPr>
              <w:t>行</w:t>
            </w:r>
            <w:r>
              <w:rPr>
                <w:rFonts w:ascii="宋体" w:hAnsi="宋体" w:eastAsia="宋体" w:cs="宋体"/>
                <w:spacing w:val="-37"/>
                <w:sz w:val="20"/>
                <w:szCs w:val="20"/>
              </w:rPr>
              <w:t xml:space="preserve"> </w:t>
            </w:r>
            <w:r>
              <w:rPr>
                <w:rFonts w:ascii="宋体" w:hAnsi="宋体" w:eastAsia="宋体" w:cs="宋体"/>
                <w:spacing w:val="-6"/>
                <w:sz w:val="20"/>
                <w:szCs w:val="20"/>
              </w:rPr>
              <w:t>)</w:t>
            </w:r>
          </w:p>
        </w:tc>
        <w:tc>
          <w:tcPr>
            <w:tcW w:w="2098" w:type="dxa"/>
            <w:gridSpan w:val="2"/>
            <w:vAlign w:val="top"/>
          </w:tcPr>
          <w:p w14:paraId="1ACA6CA3">
            <w:pPr>
              <w:pStyle w:val="10"/>
              <w:jc w:val="center"/>
              <w:rPr>
                <w:rFonts w:hint="default" w:eastAsia="宋体"/>
                <w:lang w:val="en-US" w:eastAsia="zh-CN"/>
              </w:rPr>
            </w:pPr>
            <w:r>
              <w:rPr>
                <w:rFonts w:hint="eastAsia" w:eastAsia="宋体"/>
                <w:lang w:val="en-US" w:eastAsia="zh-CN"/>
              </w:rPr>
              <w:t>327.88</w:t>
            </w:r>
          </w:p>
        </w:tc>
        <w:tc>
          <w:tcPr>
            <w:tcW w:w="1988" w:type="dxa"/>
            <w:gridSpan w:val="2"/>
            <w:vAlign w:val="top"/>
          </w:tcPr>
          <w:p w14:paraId="7C554A8A">
            <w:pPr>
              <w:pStyle w:val="10"/>
              <w:jc w:val="center"/>
              <w:rPr>
                <w:rFonts w:hint="default" w:eastAsia="宋体"/>
                <w:lang w:val="en-US" w:eastAsia="zh-CN"/>
              </w:rPr>
            </w:pPr>
            <w:r>
              <w:rPr>
                <w:rFonts w:hint="eastAsia" w:eastAsia="宋体"/>
                <w:lang w:val="en-US" w:eastAsia="zh-CN"/>
              </w:rPr>
              <w:t>92</w:t>
            </w:r>
          </w:p>
        </w:tc>
        <w:tc>
          <w:tcPr>
            <w:tcW w:w="1903" w:type="dxa"/>
            <w:gridSpan w:val="2"/>
            <w:vAlign w:val="top"/>
          </w:tcPr>
          <w:p w14:paraId="187012F1">
            <w:pPr>
              <w:pStyle w:val="10"/>
              <w:jc w:val="center"/>
              <w:rPr>
                <w:rFonts w:hint="default" w:eastAsia="宋体"/>
                <w:lang w:val="en-US" w:eastAsia="zh-CN"/>
              </w:rPr>
            </w:pPr>
            <w:r>
              <w:rPr>
                <w:rFonts w:hint="eastAsia" w:eastAsia="宋体"/>
                <w:lang w:val="en-US" w:eastAsia="zh-CN"/>
              </w:rPr>
              <w:t>688.34</w:t>
            </w:r>
          </w:p>
        </w:tc>
      </w:tr>
      <w:tr w14:paraId="5D2B75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209838C2">
            <w:pPr>
              <w:spacing w:before="45" w:line="223" w:lineRule="auto"/>
              <w:ind w:left="1444" w:right="154" w:hanging="989"/>
              <w:jc w:val="left"/>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维稳协调</w:t>
            </w:r>
          </w:p>
        </w:tc>
        <w:tc>
          <w:tcPr>
            <w:tcW w:w="2098" w:type="dxa"/>
            <w:gridSpan w:val="2"/>
            <w:vAlign w:val="top"/>
          </w:tcPr>
          <w:p w14:paraId="36CABD13">
            <w:pPr>
              <w:pStyle w:val="10"/>
              <w:jc w:val="center"/>
              <w:rPr>
                <w:rFonts w:hint="default" w:eastAsia="宋体"/>
                <w:lang w:val="en-US" w:eastAsia="zh-CN"/>
              </w:rPr>
            </w:pPr>
            <w:r>
              <w:rPr>
                <w:rFonts w:hint="eastAsia" w:eastAsia="宋体"/>
                <w:lang w:val="en-US" w:eastAsia="zh-CN"/>
              </w:rPr>
              <w:t>165.7</w:t>
            </w:r>
          </w:p>
        </w:tc>
        <w:tc>
          <w:tcPr>
            <w:tcW w:w="1988" w:type="dxa"/>
            <w:gridSpan w:val="2"/>
            <w:vAlign w:val="top"/>
          </w:tcPr>
          <w:p w14:paraId="5380F4C8">
            <w:pPr>
              <w:pStyle w:val="10"/>
              <w:jc w:val="center"/>
              <w:rPr>
                <w:rFonts w:hint="default" w:eastAsia="宋体"/>
                <w:lang w:val="en-US" w:eastAsia="zh-CN"/>
              </w:rPr>
            </w:pPr>
            <w:r>
              <w:rPr>
                <w:rFonts w:hint="eastAsia" w:eastAsia="宋体"/>
                <w:lang w:val="en-US" w:eastAsia="zh-CN"/>
              </w:rPr>
              <w:t>40</w:t>
            </w:r>
          </w:p>
        </w:tc>
        <w:tc>
          <w:tcPr>
            <w:tcW w:w="1903" w:type="dxa"/>
            <w:gridSpan w:val="2"/>
            <w:vAlign w:val="top"/>
          </w:tcPr>
          <w:p w14:paraId="355BD693">
            <w:pPr>
              <w:pStyle w:val="10"/>
              <w:jc w:val="center"/>
              <w:rPr>
                <w:rFonts w:hint="default" w:eastAsia="宋体"/>
                <w:lang w:val="en-US" w:eastAsia="zh-CN"/>
              </w:rPr>
            </w:pPr>
            <w:r>
              <w:rPr>
                <w:rFonts w:hint="eastAsia" w:eastAsia="宋体"/>
                <w:lang w:val="en-US" w:eastAsia="zh-CN"/>
              </w:rPr>
              <w:t>222.29</w:t>
            </w:r>
          </w:p>
        </w:tc>
      </w:tr>
      <w:tr w14:paraId="3B7DE0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0860BEC1">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反电信诈骗</w:t>
            </w:r>
          </w:p>
        </w:tc>
        <w:tc>
          <w:tcPr>
            <w:tcW w:w="2098" w:type="dxa"/>
            <w:gridSpan w:val="2"/>
            <w:vAlign w:val="top"/>
          </w:tcPr>
          <w:p w14:paraId="419F905F">
            <w:pPr>
              <w:pStyle w:val="10"/>
              <w:jc w:val="center"/>
              <w:rPr>
                <w:rFonts w:hint="default" w:eastAsia="宋体"/>
                <w:lang w:val="en-US" w:eastAsia="zh-CN"/>
              </w:rPr>
            </w:pPr>
          </w:p>
        </w:tc>
        <w:tc>
          <w:tcPr>
            <w:tcW w:w="1988" w:type="dxa"/>
            <w:gridSpan w:val="2"/>
            <w:vAlign w:val="top"/>
          </w:tcPr>
          <w:p w14:paraId="5FE6A6E7">
            <w:pPr>
              <w:pStyle w:val="10"/>
              <w:jc w:val="center"/>
              <w:rPr>
                <w:rFonts w:hint="default" w:eastAsia="宋体"/>
                <w:lang w:val="en-US" w:eastAsia="zh-CN"/>
              </w:rPr>
            </w:pPr>
            <w:r>
              <w:rPr>
                <w:rFonts w:hint="eastAsia" w:eastAsia="宋体"/>
                <w:lang w:val="en-US" w:eastAsia="zh-CN"/>
              </w:rPr>
              <w:t>15</w:t>
            </w:r>
          </w:p>
        </w:tc>
        <w:tc>
          <w:tcPr>
            <w:tcW w:w="1903" w:type="dxa"/>
            <w:gridSpan w:val="2"/>
            <w:vAlign w:val="top"/>
          </w:tcPr>
          <w:p w14:paraId="3B78A15D">
            <w:pPr>
              <w:pStyle w:val="10"/>
              <w:jc w:val="center"/>
              <w:rPr>
                <w:rFonts w:hint="default" w:eastAsia="宋体"/>
                <w:lang w:val="en-US" w:eastAsia="zh-CN"/>
              </w:rPr>
            </w:pPr>
            <w:r>
              <w:rPr>
                <w:rFonts w:hint="eastAsia" w:eastAsia="宋体"/>
                <w:lang w:val="en-US" w:eastAsia="zh-CN"/>
              </w:rPr>
              <w:t>15</w:t>
            </w:r>
          </w:p>
        </w:tc>
      </w:tr>
      <w:tr w14:paraId="157267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612D273F">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防老人诈骗</w:t>
            </w:r>
          </w:p>
        </w:tc>
        <w:tc>
          <w:tcPr>
            <w:tcW w:w="2098" w:type="dxa"/>
            <w:gridSpan w:val="2"/>
            <w:vAlign w:val="top"/>
          </w:tcPr>
          <w:p w14:paraId="5DCB5EA2">
            <w:pPr>
              <w:pStyle w:val="10"/>
              <w:jc w:val="center"/>
            </w:pPr>
          </w:p>
        </w:tc>
        <w:tc>
          <w:tcPr>
            <w:tcW w:w="1988" w:type="dxa"/>
            <w:gridSpan w:val="2"/>
            <w:vAlign w:val="top"/>
          </w:tcPr>
          <w:p w14:paraId="044E17C6">
            <w:pPr>
              <w:pStyle w:val="10"/>
              <w:jc w:val="center"/>
              <w:rPr>
                <w:rFonts w:hint="default" w:eastAsia="宋体"/>
                <w:lang w:val="en-US" w:eastAsia="zh-CN"/>
              </w:rPr>
            </w:pPr>
            <w:r>
              <w:rPr>
                <w:rFonts w:hint="eastAsia" w:eastAsia="宋体"/>
                <w:lang w:val="en-US" w:eastAsia="zh-CN"/>
              </w:rPr>
              <w:t>12</w:t>
            </w:r>
          </w:p>
        </w:tc>
        <w:tc>
          <w:tcPr>
            <w:tcW w:w="1903" w:type="dxa"/>
            <w:gridSpan w:val="2"/>
            <w:vAlign w:val="top"/>
          </w:tcPr>
          <w:p w14:paraId="5F549458">
            <w:pPr>
              <w:pStyle w:val="10"/>
              <w:jc w:val="center"/>
              <w:rPr>
                <w:rFonts w:hint="default" w:eastAsia="宋体"/>
                <w:lang w:val="en-US" w:eastAsia="zh-CN"/>
              </w:rPr>
            </w:pPr>
            <w:r>
              <w:rPr>
                <w:rFonts w:hint="eastAsia" w:eastAsia="宋体"/>
                <w:lang w:val="en-US" w:eastAsia="zh-CN"/>
              </w:rPr>
              <w:t>12</w:t>
            </w:r>
          </w:p>
        </w:tc>
      </w:tr>
      <w:tr w14:paraId="454081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3231" w:type="dxa"/>
            <w:vAlign w:val="top"/>
          </w:tcPr>
          <w:p w14:paraId="17B797DC">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扫黑除恶</w:t>
            </w:r>
          </w:p>
        </w:tc>
        <w:tc>
          <w:tcPr>
            <w:tcW w:w="2098" w:type="dxa"/>
            <w:gridSpan w:val="2"/>
            <w:vAlign w:val="top"/>
          </w:tcPr>
          <w:p w14:paraId="216051C2">
            <w:pPr>
              <w:pStyle w:val="10"/>
              <w:jc w:val="center"/>
              <w:rPr>
                <w:rFonts w:hint="default" w:eastAsia="宋体"/>
                <w:lang w:val="en-US" w:eastAsia="zh-CN"/>
              </w:rPr>
            </w:pPr>
            <w:r>
              <w:rPr>
                <w:rFonts w:hint="eastAsia" w:eastAsia="宋体"/>
                <w:lang w:val="en-US" w:eastAsia="zh-CN"/>
              </w:rPr>
              <w:t>15.25</w:t>
            </w:r>
          </w:p>
        </w:tc>
        <w:tc>
          <w:tcPr>
            <w:tcW w:w="1988" w:type="dxa"/>
            <w:gridSpan w:val="2"/>
            <w:vAlign w:val="top"/>
          </w:tcPr>
          <w:p w14:paraId="112BA775">
            <w:pPr>
              <w:pStyle w:val="10"/>
              <w:jc w:val="center"/>
              <w:rPr>
                <w:rFonts w:hint="default" w:eastAsia="宋体"/>
                <w:lang w:val="en-US" w:eastAsia="zh-CN"/>
              </w:rPr>
            </w:pPr>
            <w:r>
              <w:rPr>
                <w:rFonts w:hint="eastAsia" w:eastAsia="宋体"/>
                <w:lang w:val="en-US" w:eastAsia="zh-CN"/>
              </w:rPr>
              <w:t>25</w:t>
            </w:r>
          </w:p>
        </w:tc>
        <w:tc>
          <w:tcPr>
            <w:tcW w:w="1903" w:type="dxa"/>
            <w:gridSpan w:val="2"/>
            <w:vAlign w:val="top"/>
          </w:tcPr>
          <w:p w14:paraId="6EEBE984">
            <w:pPr>
              <w:pStyle w:val="10"/>
              <w:jc w:val="center"/>
              <w:rPr>
                <w:rFonts w:hint="default" w:eastAsia="宋体"/>
                <w:lang w:val="en-US" w:eastAsia="zh-CN"/>
              </w:rPr>
            </w:pPr>
            <w:r>
              <w:rPr>
                <w:rFonts w:hint="eastAsia" w:eastAsia="宋体"/>
                <w:lang w:val="en-US" w:eastAsia="zh-CN"/>
              </w:rPr>
              <w:t>25</w:t>
            </w:r>
          </w:p>
        </w:tc>
      </w:tr>
      <w:tr w14:paraId="5732CA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3A5625C7">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岳阳市综治奖金</w:t>
            </w:r>
          </w:p>
        </w:tc>
        <w:tc>
          <w:tcPr>
            <w:tcW w:w="2098" w:type="dxa"/>
            <w:gridSpan w:val="2"/>
            <w:vAlign w:val="top"/>
          </w:tcPr>
          <w:p w14:paraId="55947D5D">
            <w:pPr>
              <w:pStyle w:val="10"/>
              <w:jc w:val="center"/>
            </w:pPr>
          </w:p>
        </w:tc>
        <w:tc>
          <w:tcPr>
            <w:tcW w:w="1988" w:type="dxa"/>
            <w:gridSpan w:val="2"/>
            <w:vAlign w:val="top"/>
          </w:tcPr>
          <w:p w14:paraId="361CC2BD">
            <w:pPr>
              <w:pStyle w:val="10"/>
              <w:jc w:val="center"/>
              <w:rPr>
                <w:rFonts w:hint="eastAsia" w:eastAsia="宋体"/>
                <w:lang w:val="en-US" w:eastAsia="zh-CN"/>
              </w:rPr>
            </w:pPr>
          </w:p>
        </w:tc>
        <w:tc>
          <w:tcPr>
            <w:tcW w:w="1903" w:type="dxa"/>
            <w:gridSpan w:val="2"/>
            <w:vAlign w:val="top"/>
          </w:tcPr>
          <w:p w14:paraId="1A076789">
            <w:pPr>
              <w:pStyle w:val="10"/>
              <w:jc w:val="center"/>
              <w:rPr>
                <w:rFonts w:hint="eastAsia" w:eastAsia="宋体"/>
                <w:lang w:val="en-US" w:eastAsia="zh-CN"/>
              </w:rPr>
            </w:pPr>
            <w:r>
              <w:rPr>
                <w:rFonts w:hint="eastAsia" w:eastAsia="宋体"/>
                <w:lang w:val="en-US" w:eastAsia="zh-CN"/>
              </w:rPr>
              <w:t>8</w:t>
            </w:r>
          </w:p>
        </w:tc>
      </w:tr>
      <w:tr w14:paraId="63D15D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563166ED">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双创资金</w:t>
            </w:r>
          </w:p>
        </w:tc>
        <w:tc>
          <w:tcPr>
            <w:tcW w:w="2098" w:type="dxa"/>
            <w:gridSpan w:val="2"/>
            <w:vAlign w:val="top"/>
          </w:tcPr>
          <w:p w14:paraId="6A5F5141">
            <w:pPr>
              <w:pStyle w:val="10"/>
              <w:jc w:val="center"/>
            </w:pPr>
          </w:p>
        </w:tc>
        <w:tc>
          <w:tcPr>
            <w:tcW w:w="1988" w:type="dxa"/>
            <w:gridSpan w:val="2"/>
            <w:vAlign w:val="top"/>
          </w:tcPr>
          <w:p w14:paraId="3812FBCB">
            <w:pPr>
              <w:pStyle w:val="10"/>
              <w:jc w:val="center"/>
            </w:pPr>
          </w:p>
        </w:tc>
        <w:tc>
          <w:tcPr>
            <w:tcW w:w="1903" w:type="dxa"/>
            <w:gridSpan w:val="2"/>
            <w:vAlign w:val="top"/>
          </w:tcPr>
          <w:p w14:paraId="6DC3B624">
            <w:pPr>
              <w:pStyle w:val="10"/>
              <w:jc w:val="center"/>
              <w:rPr>
                <w:rFonts w:hint="default" w:eastAsia="宋体"/>
                <w:lang w:val="en-US" w:eastAsia="zh-CN"/>
              </w:rPr>
            </w:pPr>
            <w:r>
              <w:rPr>
                <w:rFonts w:hint="eastAsia" w:eastAsia="宋体"/>
                <w:lang w:val="en-US" w:eastAsia="zh-CN"/>
              </w:rPr>
              <w:t>25.97</w:t>
            </w:r>
          </w:p>
        </w:tc>
      </w:tr>
      <w:tr w14:paraId="6183FD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23F79106">
            <w:pPr>
              <w:spacing w:before="45" w:line="223" w:lineRule="auto"/>
              <w:ind w:left="1444" w:right="154" w:hanging="989"/>
              <w:jc w:val="left"/>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11.18燃爆事故处理</w:t>
            </w:r>
          </w:p>
        </w:tc>
        <w:tc>
          <w:tcPr>
            <w:tcW w:w="2098" w:type="dxa"/>
            <w:gridSpan w:val="2"/>
            <w:vAlign w:val="top"/>
          </w:tcPr>
          <w:p w14:paraId="0A9D5EB4">
            <w:pPr>
              <w:pStyle w:val="10"/>
              <w:jc w:val="center"/>
            </w:pPr>
          </w:p>
        </w:tc>
        <w:tc>
          <w:tcPr>
            <w:tcW w:w="1988" w:type="dxa"/>
            <w:gridSpan w:val="2"/>
            <w:vAlign w:val="top"/>
          </w:tcPr>
          <w:p w14:paraId="3DD91BAC">
            <w:pPr>
              <w:pStyle w:val="10"/>
              <w:jc w:val="center"/>
            </w:pPr>
          </w:p>
        </w:tc>
        <w:tc>
          <w:tcPr>
            <w:tcW w:w="1903" w:type="dxa"/>
            <w:gridSpan w:val="2"/>
            <w:vAlign w:val="top"/>
          </w:tcPr>
          <w:p w14:paraId="4B3E932F">
            <w:pPr>
              <w:pStyle w:val="10"/>
              <w:jc w:val="center"/>
              <w:rPr>
                <w:rFonts w:hint="default" w:eastAsia="宋体"/>
                <w:lang w:val="en-US" w:eastAsia="zh-CN"/>
              </w:rPr>
            </w:pPr>
            <w:r>
              <w:rPr>
                <w:rFonts w:hint="eastAsia" w:eastAsia="宋体"/>
                <w:lang w:val="en-US" w:eastAsia="zh-CN"/>
              </w:rPr>
              <w:t>1.5</w:t>
            </w:r>
          </w:p>
        </w:tc>
      </w:tr>
      <w:tr w14:paraId="7AF1D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69034DA0">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公共安全感测评</w:t>
            </w:r>
          </w:p>
        </w:tc>
        <w:tc>
          <w:tcPr>
            <w:tcW w:w="2098" w:type="dxa"/>
            <w:gridSpan w:val="2"/>
            <w:vAlign w:val="top"/>
          </w:tcPr>
          <w:p w14:paraId="6820D925">
            <w:pPr>
              <w:pStyle w:val="10"/>
              <w:jc w:val="center"/>
              <w:rPr>
                <w:rFonts w:hint="default" w:eastAsia="宋体"/>
                <w:lang w:val="en-US" w:eastAsia="zh-CN"/>
              </w:rPr>
            </w:pPr>
            <w:r>
              <w:rPr>
                <w:rFonts w:hint="eastAsia" w:eastAsia="宋体"/>
                <w:lang w:val="en-US" w:eastAsia="zh-CN"/>
              </w:rPr>
              <w:t>51.83</w:t>
            </w:r>
          </w:p>
        </w:tc>
        <w:tc>
          <w:tcPr>
            <w:tcW w:w="1988" w:type="dxa"/>
            <w:gridSpan w:val="2"/>
            <w:vAlign w:val="top"/>
          </w:tcPr>
          <w:p w14:paraId="7F261F39">
            <w:pPr>
              <w:pStyle w:val="10"/>
              <w:jc w:val="center"/>
            </w:pPr>
          </w:p>
        </w:tc>
        <w:tc>
          <w:tcPr>
            <w:tcW w:w="1903" w:type="dxa"/>
            <w:gridSpan w:val="2"/>
            <w:vAlign w:val="top"/>
          </w:tcPr>
          <w:p w14:paraId="6D3EB3FB">
            <w:pPr>
              <w:pStyle w:val="10"/>
              <w:jc w:val="center"/>
              <w:rPr>
                <w:rFonts w:hint="default" w:eastAsia="宋体"/>
                <w:lang w:val="en-US" w:eastAsia="zh-CN"/>
              </w:rPr>
            </w:pPr>
            <w:r>
              <w:rPr>
                <w:rFonts w:hint="eastAsia" w:eastAsia="宋体"/>
                <w:lang w:val="en-US" w:eastAsia="zh-CN"/>
              </w:rPr>
              <w:t>54.59</w:t>
            </w:r>
          </w:p>
        </w:tc>
      </w:tr>
      <w:tr w14:paraId="3E00F8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3231" w:type="dxa"/>
            <w:vAlign w:val="top"/>
          </w:tcPr>
          <w:p w14:paraId="6568B8D1">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国际龙舟赛</w:t>
            </w:r>
          </w:p>
        </w:tc>
        <w:tc>
          <w:tcPr>
            <w:tcW w:w="2098" w:type="dxa"/>
            <w:gridSpan w:val="2"/>
            <w:vAlign w:val="top"/>
          </w:tcPr>
          <w:p w14:paraId="16F70DED">
            <w:pPr>
              <w:pStyle w:val="10"/>
              <w:jc w:val="center"/>
            </w:pPr>
          </w:p>
        </w:tc>
        <w:tc>
          <w:tcPr>
            <w:tcW w:w="1988" w:type="dxa"/>
            <w:gridSpan w:val="2"/>
            <w:vAlign w:val="top"/>
          </w:tcPr>
          <w:p w14:paraId="15444505">
            <w:pPr>
              <w:pStyle w:val="10"/>
              <w:jc w:val="center"/>
            </w:pPr>
          </w:p>
        </w:tc>
        <w:tc>
          <w:tcPr>
            <w:tcW w:w="1903" w:type="dxa"/>
            <w:gridSpan w:val="2"/>
            <w:vAlign w:val="top"/>
          </w:tcPr>
          <w:p w14:paraId="6B95EA6B">
            <w:pPr>
              <w:pStyle w:val="10"/>
              <w:jc w:val="center"/>
              <w:rPr>
                <w:rFonts w:hint="default" w:eastAsia="宋体"/>
                <w:lang w:val="en-US" w:eastAsia="zh-CN"/>
              </w:rPr>
            </w:pPr>
            <w:r>
              <w:rPr>
                <w:rFonts w:hint="eastAsia" w:eastAsia="宋体"/>
                <w:lang w:val="en-US" w:eastAsia="zh-CN"/>
              </w:rPr>
              <w:t>200</w:t>
            </w:r>
          </w:p>
        </w:tc>
      </w:tr>
      <w:tr w14:paraId="172E68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46DB7F18">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精神病患者监护人医疗保险费</w:t>
            </w:r>
          </w:p>
        </w:tc>
        <w:tc>
          <w:tcPr>
            <w:tcW w:w="2098" w:type="dxa"/>
            <w:gridSpan w:val="2"/>
            <w:vAlign w:val="top"/>
          </w:tcPr>
          <w:p w14:paraId="27BD172E">
            <w:pPr>
              <w:pStyle w:val="10"/>
              <w:jc w:val="center"/>
              <w:rPr>
                <w:rFonts w:hint="default" w:eastAsia="宋体"/>
                <w:lang w:val="en-US" w:eastAsia="zh-CN"/>
              </w:rPr>
            </w:pPr>
            <w:r>
              <w:rPr>
                <w:rFonts w:hint="eastAsia" w:eastAsia="宋体"/>
                <w:lang w:val="en-US" w:eastAsia="zh-CN"/>
              </w:rPr>
              <w:t>25</w:t>
            </w:r>
          </w:p>
        </w:tc>
        <w:tc>
          <w:tcPr>
            <w:tcW w:w="1988" w:type="dxa"/>
            <w:gridSpan w:val="2"/>
            <w:vAlign w:val="top"/>
          </w:tcPr>
          <w:p w14:paraId="2A57D359">
            <w:pPr>
              <w:pStyle w:val="10"/>
              <w:jc w:val="center"/>
              <w:rPr>
                <w:rFonts w:hint="default" w:eastAsia="宋体"/>
                <w:lang w:val="en-US" w:eastAsia="zh-CN"/>
              </w:rPr>
            </w:pPr>
            <w:r>
              <w:rPr>
                <w:rFonts w:hint="eastAsia" w:eastAsia="宋体"/>
                <w:lang w:val="en-US" w:eastAsia="zh-CN"/>
              </w:rPr>
              <w:t>25</w:t>
            </w:r>
          </w:p>
        </w:tc>
        <w:tc>
          <w:tcPr>
            <w:tcW w:w="1903" w:type="dxa"/>
            <w:gridSpan w:val="2"/>
            <w:vAlign w:val="top"/>
          </w:tcPr>
          <w:p w14:paraId="6657D440">
            <w:pPr>
              <w:pStyle w:val="10"/>
              <w:jc w:val="center"/>
              <w:rPr>
                <w:rFonts w:hint="default" w:eastAsia="宋体"/>
                <w:lang w:val="en-US" w:eastAsia="zh-CN"/>
              </w:rPr>
            </w:pPr>
            <w:r>
              <w:rPr>
                <w:rFonts w:hint="eastAsia" w:eastAsia="宋体"/>
                <w:lang w:val="en-US" w:eastAsia="zh-CN"/>
              </w:rPr>
              <w:t>25</w:t>
            </w:r>
          </w:p>
        </w:tc>
      </w:tr>
      <w:tr w14:paraId="466CC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4521C756">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省级司法救助</w:t>
            </w:r>
          </w:p>
        </w:tc>
        <w:tc>
          <w:tcPr>
            <w:tcW w:w="2098" w:type="dxa"/>
            <w:gridSpan w:val="2"/>
            <w:vAlign w:val="top"/>
          </w:tcPr>
          <w:p w14:paraId="76ADE1A6">
            <w:pPr>
              <w:pStyle w:val="10"/>
              <w:jc w:val="center"/>
              <w:rPr>
                <w:rFonts w:hint="default" w:eastAsia="宋体"/>
                <w:lang w:val="en-US" w:eastAsia="zh-CN"/>
              </w:rPr>
            </w:pPr>
            <w:r>
              <w:rPr>
                <w:rFonts w:hint="eastAsia" w:eastAsia="宋体"/>
                <w:lang w:val="en-US" w:eastAsia="zh-CN"/>
              </w:rPr>
              <w:t>42.3</w:t>
            </w:r>
          </w:p>
        </w:tc>
        <w:tc>
          <w:tcPr>
            <w:tcW w:w="1988" w:type="dxa"/>
            <w:gridSpan w:val="2"/>
            <w:vAlign w:val="top"/>
          </w:tcPr>
          <w:p w14:paraId="7CB59189">
            <w:pPr>
              <w:pStyle w:val="10"/>
              <w:jc w:val="center"/>
            </w:pPr>
          </w:p>
        </w:tc>
        <w:tc>
          <w:tcPr>
            <w:tcW w:w="1903" w:type="dxa"/>
            <w:gridSpan w:val="2"/>
            <w:vAlign w:val="top"/>
          </w:tcPr>
          <w:p w14:paraId="2FB2B555">
            <w:pPr>
              <w:pStyle w:val="10"/>
              <w:jc w:val="center"/>
              <w:rPr>
                <w:rFonts w:hint="default" w:eastAsia="宋体"/>
                <w:lang w:val="en-US" w:eastAsia="zh-CN"/>
              </w:rPr>
            </w:pPr>
            <w:r>
              <w:rPr>
                <w:rFonts w:hint="eastAsia" w:eastAsia="宋体"/>
                <w:lang w:val="en-US" w:eastAsia="zh-CN"/>
              </w:rPr>
              <w:t>47.68</w:t>
            </w:r>
          </w:p>
        </w:tc>
      </w:tr>
      <w:tr w14:paraId="75B23D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3231" w:type="dxa"/>
            <w:vAlign w:val="top"/>
          </w:tcPr>
          <w:p w14:paraId="71682E20">
            <w:pPr>
              <w:spacing w:before="45" w:line="223" w:lineRule="auto"/>
              <w:ind w:left="1444" w:right="154" w:hanging="989"/>
              <w:jc w:val="left"/>
              <w:rPr>
                <w:rFonts w:hint="eastAsia" w:ascii="宋体" w:hAnsi="宋体" w:eastAsia="宋体" w:cs="宋体"/>
                <w:sz w:val="20"/>
                <w:szCs w:val="20"/>
                <w:lang w:eastAsia="zh-CN"/>
              </w:rPr>
            </w:pPr>
            <w:r>
              <w:rPr>
                <w:rFonts w:hint="eastAsia" w:ascii="宋体" w:hAnsi="宋体" w:eastAsia="宋体" w:cs="宋体"/>
                <w:sz w:val="20"/>
                <w:szCs w:val="20"/>
                <w:lang w:eastAsia="zh-CN"/>
              </w:rPr>
              <w:t>政法委专项（网格化等）</w:t>
            </w:r>
          </w:p>
        </w:tc>
        <w:tc>
          <w:tcPr>
            <w:tcW w:w="2098" w:type="dxa"/>
            <w:gridSpan w:val="2"/>
            <w:vAlign w:val="top"/>
          </w:tcPr>
          <w:p w14:paraId="0AB8CBB7">
            <w:pPr>
              <w:pStyle w:val="10"/>
              <w:jc w:val="center"/>
              <w:rPr>
                <w:rFonts w:hint="default" w:eastAsia="宋体"/>
                <w:lang w:val="en-US" w:eastAsia="zh-CN"/>
              </w:rPr>
            </w:pPr>
            <w:r>
              <w:rPr>
                <w:rFonts w:hint="eastAsia" w:eastAsia="宋体"/>
                <w:lang w:val="en-US" w:eastAsia="zh-CN"/>
              </w:rPr>
              <w:t>27</w:t>
            </w:r>
          </w:p>
        </w:tc>
        <w:tc>
          <w:tcPr>
            <w:tcW w:w="1988" w:type="dxa"/>
            <w:gridSpan w:val="2"/>
            <w:vAlign w:val="top"/>
          </w:tcPr>
          <w:p w14:paraId="465E0943">
            <w:pPr>
              <w:pStyle w:val="10"/>
              <w:jc w:val="center"/>
            </w:pPr>
          </w:p>
        </w:tc>
        <w:tc>
          <w:tcPr>
            <w:tcW w:w="1903" w:type="dxa"/>
            <w:gridSpan w:val="2"/>
            <w:vAlign w:val="top"/>
          </w:tcPr>
          <w:p w14:paraId="46593987">
            <w:pPr>
              <w:pStyle w:val="10"/>
              <w:jc w:val="center"/>
              <w:rPr>
                <w:rFonts w:hint="default" w:eastAsia="宋体"/>
                <w:lang w:val="en-US" w:eastAsia="zh-CN"/>
              </w:rPr>
            </w:pPr>
            <w:r>
              <w:rPr>
                <w:rFonts w:hint="eastAsia" w:eastAsia="宋体"/>
                <w:lang w:val="en-US" w:eastAsia="zh-CN"/>
              </w:rPr>
              <w:t>51.31</w:t>
            </w:r>
          </w:p>
        </w:tc>
      </w:tr>
      <w:tr w14:paraId="07AFE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31" w:type="dxa"/>
            <w:vAlign w:val="top"/>
          </w:tcPr>
          <w:p w14:paraId="011BE672">
            <w:pPr>
              <w:spacing w:before="86" w:line="220" w:lineRule="auto"/>
              <w:ind w:left="1385"/>
              <w:jc w:val="left"/>
              <w:rPr>
                <w:rFonts w:ascii="宋体" w:hAnsi="宋体" w:eastAsia="宋体" w:cs="宋体"/>
                <w:sz w:val="20"/>
                <w:szCs w:val="20"/>
              </w:rPr>
            </w:pPr>
            <w:r>
              <w:rPr>
                <w:rFonts w:ascii="宋体" w:hAnsi="宋体" w:eastAsia="宋体" w:cs="宋体"/>
                <w:spacing w:val="3"/>
                <w:sz w:val="20"/>
                <w:szCs w:val="20"/>
              </w:rPr>
              <w:t>公用经费</w:t>
            </w:r>
          </w:p>
        </w:tc>
        <w:tc>
          <w:tcPr>
            <w:tcW w:w="2098" w:type="dxa"/>
            <w:gridSpan w:val="2"/>
            <w:vAlign w:val="top"/>
          </w:tcPr>
          <w:p w14:paraId="4D8F0BEA">
            <w:pPr>
              <w:pStyle w:val="10"/>
              <w:jc w:val="center"/>
              <w:rPr>
                <w:rFonts w:hint="default" w:eastAsia="宋体"/>
                <w:lang w:val="en-US" w:eastAsia="zh-CN"/>
              </w:rPr>
            </w:pPr>
            <w:r>
              <w:rPr>
                <w:rFonts w:hint="eastAsia" w:eastAsia="宋体"/>
                <w:lang w:val="en-US" w:eastAsia="zh-CN"/>
              </w:rPr>
              <w:t>42.59</w:t>
            </w:r>
          </w:p>
        </w:tc>
        <w:tc>
          <w:tcPr>
            <w:tcW w:w="1988" w:type="dxa"/>
            <w:gridSpan w:val="2"/>
            <w:vAlign w:val="top"/>
          </w:tcPr>
          <w:p w14:paraId="5EF4AE44">
            <w:pPr>
              <w:pStyle w:val="10"/>
              <w:jc w:val="center"/>
              <w:rPr>
                <w:rFonts w:hint="default" w:eastAsia="宋体"/>
                <w:lang w:val="en-US" w:eastAsia="zh-CN"/>
              </w:rPr>
            </w:pPr>
            <w:r>
              <w:rPr>
                <w:rFonts w:hint="eastAsia" w:eastAsia="宋体"/>
                <w:lang w:val="en-US" w:eastAsia="zh-CN"/>
              </w:rPr>
              <w:t>64.99</w:t>
            </w:r>
          </w:p>
        </w:tc>
        <w:tc>
          <w:tcPr>
            <w:tcW w:w="1903" w:type="dxa"/>
            <w:gridSpan w:val="2"/>
            <w:vAlign w:val="top"/>
          </w:tcPr>
          <w:p w14:paraId="2BA9E2C4">
            <w:pPr>
              <w:pStyle w:val="10"/>
              <w:jc w:val="center"/>
              <w:rPr>
                <w:rFonts w:hint="default" w:eastAsia="宋体"/>
                <w:lang w:val="en-US" w:eastAsia="zh-CN"/>
              </w:rPr>
            </w:pPr>
            <w:r>
              <w:rPr>
                <w:rFonts w:hint="eastAsia" w:eastAsia="宋体"/>
                <w:lang w:val="en-US" w:eastAsia="zh-CN"/>
              </w:rPr>
              <w:t>60.21</w:t>
            </w:r>
          </w:p>
        </w:tc>
      </w:tr>
      <w:tr w14:paraId="6DB486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31" w:type="dxa"/>
            <w:vAlign w:val="top"/>
          </w:tcPr>
          <w:p w14:paraId="636B734A">
            <w:pPr>
              <w:spacing w:before="86" w:line="219" w:lineRule="auto"/>
              <w:ind w:left="1135"/>
              <w:jc w:val="left"/>
              <w:rPr>
                <w:rFonts w:ascii="宋体" w:hAnsi="宋体" w:eastAsia="宋体" w:cs="宋体"/>
                <w:sz w:val="20"/>
                <w:szCs w:val="20"/>
              </w:rPr>
            </w:pPr>
            <w:r>
              <w:rPr>
                <w:rFonts w:ascii="宋体" w:hAnsi="宋体" w:eastAsia="宋体" w:cs="宋体"/>
                <w:spacing w:val="1"/>
                <w:sz w:val="20"/>
                <w:szCs w:val="20"/>
              </w:rPr>
              <w:t>其中：办公经费</w:t>
            </w:r>
          </w:p>
        </w:tc>
        <w:tc>
          <w:tcPr>
            <w:tcW w:w="2098" w:type="dxa"/>
            <w:gridSpan w:val="2"/>
            <w:vAlign w:val="top"/>
          </w:tcPr>
          <w:p w14:paraId="709FC4DA">
            <w:pPr>
              <w:pStyle w:val="10"/>
              <w:ind w:firstLine="524" w:firstLineChars="0"/>
              <w:jc w:val="center"/>
              <w:rPr>
                <w:rFonts w:hint="default" w:eastAsia="宋体"/>
                <w:lang w:val="en-US" w:eastAsia="zh-CN"/>
              </w:rPr>
            </w:pPr>
            <w:r>
              <w:rPr>
                <w:rFonts w:hint="eastAsia" w:eastAsia="宋体"/>
                <w:lang w:val="en-US" w:eastAsia="zh-CN"/>
              </w:rPr>
              <w:t>2.01</w:t>
            </w:r>
          </w:p>
        </w:tc>
        <w:tc>
          <w:tcPr>
            <w:tcW w:w="1988" w:type="dxa"/>
            <w:gridSpan w:val="2"/>
            <w:vAlign w:val="top"/>
          </w:tcPr>
          <w:p w14:paraId="12A7B991">
            <w:pPr>
              <w:pStyle w:val="10"/>
              <w:jc w:val="center"/>
              <w:rPr>
                <w:rFonts w:hint="default" w:eastAsia="宋体"/>
                <w:lang w:val="en-US" w:eastAsia="zh-CN"/>
              </w:rPr>
            </w:pPr>
            <w:r>
              <w:rPr>
                <w:rFonts w:hint="eastAsia" w:eastAsia="宋体"/>
                <w:lang w:val="en-US" w:eastAsia="zh-CN"/>
              </w:rPr>
              <w:t>3.25</w:t>
            </w:r>
          </w:p>
        </w:tc>
        <w:tc>
          <w:tcPr>
            <w:tcW w:w="1903" w:type="dxa"/>
            <w:gridSpan w:val="2"/>
            <w:vAlign w:val="top"/>
          </w:tcPr>
          <w:p w14:paraId="3D0A72E3">
            <w:pPr>
              <w:pStyle w:val="10"/>
              <w:jc w:val="center"/>
              <w:rPr>
                <w:rFonts w:hint="default" w:eastAsia="宋体"/>
                <w:lang w:val="en-US" w:eastAsia="zh-CN"/>
              </w:rPr>
            </w:pPr>
            <w:r>
              <w:rPr>
                <w:rFonts w:hint="eastAsia" w:eastAsia="宋体"/>
                <w:lang w:val="en-US" w:eastAsia="zh-CN"/>
              </w:rPr>
              <w:t>4.74</w:t>
            </w:r>
          </w:p>
        </w:tc>
      </w:tr>
      <w:tr w14:paraId="572355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31" w:type="dxa"/>
            <w:vAlign w:val="top"/>
          </w:tcPr>
          <w:p w14:paraId="6BF11D98">
            <w:pPr>
              <w:spacing w:before="96" w:line="219" w:lineRule="auto"/>
              <w:ind w:left="735"/>
              <w:jc w:val="left"/>
              <w:rPr>
                <w:rFonts w:ascii="宋体" w:hAnsi="宋体" w:eastAsia="宋体" w:cs="宋体"/>
                <w:sz w:val="20"/>
                <w:szCs w:val="20"/>
              </w:rPr>
            </w:pPr>
            <w:r>
              <w:rPr>
                <w:rFonts w:ascii="宋体" w:hAnsi="宋体" w:eastAsia="宋体" w:cs="宋体"/>
                <w:spacing w:val="1"/>
                <w:sz w:val="20"/>
                <w:szCs w:val="20"/>
              </w:rPr>
              <w:t>水费、电费、差旅费</w:t>
            </w:r>
          </w:p>
        </w:tc>
        <w:tc>
          <w:tcPr>
            <w:tcW w:w="2098" w:type="dxa"/>
            <w:gridSpan w:val="2"/>
            <w:vAlign w:val="top"/>
          </w:tcPr>
          <w:p w14:paraId="1071188E">
            <w:pPr>
              <w:pStyle w:val="10"/>
              <w:jc w:val="center"/>
              <w:rPr>
                <w:rFonts w:hint="default" w:eastAsia="宋体"/>
                <w:lang w:val="en-US" w:eastAsia="zh-CN"/>
              </w:rPr>
            </w:pPr>
            <w:r>
              <w:rPr>
                <w:rFonts w:hint="eastAsia" w:eastAsia="宋体"/>
                <w:lang w:val="en-US" w:eastAsia="zh-CN"/>
              </w:rPr>
              <w:t>7.45</w:t>
            </w:r>
          </w:p>
        </w:tc>
        <w:tc>
          <w:tcPr>
            <w:tcW w:w="1988" w:type="dxa"/>
            <w:gridSpan w:val="2"/>
            <w:vAlign w:val="top"/>
          </w:tcPr>
          <w:p w14:paraId="6579D58F">
            <w:pPr>
              <w:pStyle w:val="10"/>
              <w:jc w:val="center"/>
              <w:rPr>
                <w:rFonts w:hint="default" w:eastAsia="宋体"/>
                <w:lang w:val="en-US" w:eastAsia="zh-CN"/>
              </w:rPr>
            </w:pPr>
            <w:r>
              <w:rPr>
                <w:rFonts w:hint="eastAsia" w:eastAsia="宋体"/>
                <w:lang w:val="en-US" w:eastAsia="zh-CN"/>
              </w:rPr>
              <w:t>11.25</w:t>
            </w:r>
          </w:p>
        </w:tc>
        <w:tc>
          <w:tcPr>
            <w:tcW w:w="1903" w:type="dxa"/>
            <w:gridSpan w:val="2"/>
            <w:vAlign w:val="top"/>
          </w:tcPr>
          <w:p w14:paraId="55C04A8E">
            <w:pPr>
              <w:pStyle w:val="10"/>
              <w:jc w:val="center"/>
              <w:rPr>
                <w:rFonts w:hint="default" w:eastAsia="宋体"/>
                <w:lang w:val="en-US" w:eastAsia="zh-CN"/>
              </w:rPr>
            </w:pPr>
            <w:r>
              <w:rPr>
                <w:rFonts w:hint="eastAsia" w:eastAsia="宋体"/>
                <w:lang w:val="en-US" w:eastAsia="zh-CN"/>
              </w:rPr>
              <w:t>9.25</w:t>
            </w:r>
          </w:p>
        </w:tc>
      </w:tr>
      <w:tr w14:paraId="2C9316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231" w:type="dxa"/>
            <w:vAlign w:val="top"/>
          </w:tcPr>
          <w:p w14:paraId="668B408D">
            <w:pPr>
              <w:spacing w:before="84" w:line="219" w:lineRule="auto"/>
              <w:ind w:left="1135"/>
              <w:jc w:val="left"/>
              <w:rPr>
                <w:rFonts w:ascii="宋体" w:hAnsi="宋体" w:eastAsia="宋体" w:cs="宋体"/>
                <w:sz w:val="20"/>
                <w:szCs w:val="20"/>
              </w:rPr>
            </w:pPr>
            <w:r>
              <w:rPr>
                <w:rFonts w:ascii="宋体" w:hAnsi="宋体" w:eastAsia="宋体" w:cs="宋体"/>
                <w:spacing w:val="-1"/>
                <w:sz w:val="20"/>
                <w:szCs w:val="20"/>
              </w:rPr>
              <w:t>会议费、培训费</w:t>
            </w:r>
          </w:p>
        </w:tc>
        <w:tc>
          <w:tcPr>
            <w:tcW w:w="2098" w:type="dxa"/>
            <w:gridSpan w:val="2"/>
            <w:vAlign w:val="top"/>
          </w:tcPr>
          <w:p w14:paraId="37031F5C">
            <w:pPr>
              <w:pStyle w:val="10"/>
              <w:jc w:val="center"/>
              <w:rPr>
                <w:rFonts w:hint="default" w:eastAsia="宋体"/>
                <w:lang w:val="en-US" w:eastAsia="zh-CN"/>
              </w:rPr>
            </w:pPr>
            <w:r>
              <w:rPr>
                <w:rFonts w:hint="eastAsia" w:eastAsia="宋体"/>
                <w:lang w:val="en-US" w:eastAsia="zh-CN"/>
              </w:rPr>
              <w:t>2.05</w:t>
            </w:r>
          </w:p>
        </w:tc>
        <w:tc>
          <w:tcPr>
            <w:tcW w:w="1988" w:type="dxa"/>
            <w:gridSpan w:val="2"/>
            <w:vAlign w:val="top"/>
          </w:tcPr>
          <w:p w14:paraId="0D478181">
            <w:pPr>
              <w:pStyle w:val="10"/>
              <w:jc w:val="center"/>
              <w:rPr>
                <w:rFonts w:hint="eastAsia" w:eastAsia="宋体"/>
                <w:lang w:val="en-US" w:eastAsia="zh-CN"/>
              </w:rPr>
            </w:pPr>
            <w:r>
              <w:rPr>
                <w:rFonts w:hint="eastAsia" w:eastAsia="宋体"/>
                <w:lang w:val="en-US" w:eastAsia="zh-CN"/>
              </w:rPr>
              <w:t>5</w:t>
            </w:r>
          </w:p>
        </w:tc>
        <w:tc>
          <w:tcPr>
            <w:tcW w:w="1903" w:type="dxa"/>
            <w:gridSpan w:val="2"/>
            <w:vAlign w:val="top"/>
          </w:tcPr>
          <w:p w14:paraId="560D0DA8">
            <w:pPr>
              <w:pStyle w:val="10"/>
              <w:jc w:val="center"/>
              <w:rPr>
                <w:rFonts w:hint="default" w:eastAsia="宋体"/>
                <w:lang w:val="en-US" w:eastAsia="zh-CN"/>
              </w:rPr>
            </w:pPr>
            <w:r>
              <w:rPr>
                <w:rFonts w:hint="eastAsia" w:eastAsia="宋体"/>
                <w:lang w:val="en-US" w:eastAsia="zh-CN"/>
              </w:rPr>
              <w:t>4.62</w:t>
            </w:r>
          </w:p>
        </w:tc>
      </w:tr>
      <w:tr w14:paraId="0290AE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31" w:type="dxa"/>
            <w:vAlign w:val="top"/>
          </w:tcPr>
          <w:p w14:paraId="4015E9A5">
            <w:pPr>
              <w:spacing w:before="85" w:line="219" w:lineRule="auto"/>
              <w:ind w:left="1335"/>
              <w:jc w:val="left"/>
              <w:rPr>
                <w:rFonts w:ascii="宋体" w:hAnsi="宋体" w:eastAsia="宋体" w:cs="宋体"/>
                <w:sz w:val="20"/>
                <w:szCs w:val="20"/>
              </w:rPr>
            </w:pPr>
            <w:r>
              <w:rPr>
                <w:rFonts w:ascii="宋体" w:hAnsi="宋体" w:eastAsia="宋体" w:cs="宋体"/>
                <w:spacing w:val="-1"/>
                <w:sz w:val="20"/>
                <w:szCs w:val="20"/>
              </w:rPr>
              <w:t>政府采购金额</w:t>
            </w:r>
          </w:p>
        </w:tc>
        <w:tc>
          <w:tcPr>
            <w:tcW w:w="2098" w:type="dxa"/>
            <w:gridSpan w:val="2"/>
            <w:vAlign w:val="top"/>
          </w:tcPr>
          <w:p w14:paraId="56A70239">
            <w:pPr>
              <w:pStyle w:val="10"/>
              <w:jc w:val="center"/>
            </w:pPr>
          </w:p>
        </w:tc>
        <w:tc>
          <w:tcPr>
            <w:tcW w:w="1988" w:type="dxa"/>
            <w:gridSpan w:val="2"/>
            <w:vAlign w:val="top"/>
          </w:tcPr>
          <w:p w14:paraId="1C04EC61">
            <w:pPr>
              <w:pStyle w:val="10"/>
              <w:jc w:val="center"/>
              <w:rPr>
                <w:rFonts w:hint="default" w:eastAsia="宋体"/>
                <w:lang w:val="en-US" w:eastAsia="zh-CN"/>
              </w:rPr>
            </w:pPr>
            <w:r>
              <w:rPr>
                <w:rFonts w:hint="eastAsia" w:eastAsia="宋体"/>
                <w:lang w:val="en-US" w:eastAsia="zh-CN"/>
              </w:rPr>
              <w:t>11.2</w:t>
            </w:r>
          </w:p>
        </w:tc>
        <w:tc>
          <w:tcPr>
            <w:tcW w:w="1903" w:type="dxa"/>
            <w:gridSpan w:val="2"/>
            <w:vAlign w:val="top"/>
          </w:tcPr>
          <w:p w14:paraId="31652684">
            <w:pPr>
              <w:pStyle w:val="10"/>
              <w:jc w:val="center"/>
              <w:rPr>
                <w:rFonts w:hint="default" w:eastAsia="宋体"/>
                <w:lang w:val="en-US" w:eastAsia="zh-CN"/>
              </w:rPr>
            </w:pPr>
            <w:r>
              <w:rPr>
                <w:rFonts w:hint="eastAsia" w:eastAsia="宋体"/>
                <w:lang w:val="en-US" w:eastAsia="zh-CN"/>
              </w:rPr>
              <w:t>11.9</w:t>
            </w:r>
          </w:p>
        </w:tc>
      </w:tr>
      <w:tr w14:paraId="42CB6A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31" w:type="dxa"/>
            <w:vAlign w:val="top"/>
          </w:tcPr>
          <w:p w14:paraId="5338033C">
            <w:pPr>
              <w:spacing w:before="95" w:line="219" w:lineRule="auto"/>
              <w:ind w:left="535"/>
              <w:jc w:val="left"/>
              <w:rPr>
                <w:rFonts w:ascii="宋体" w:hAnsi="宋体" w:eastAsia="宋体" w:cs="宋体"/>
                <w:sz w:val="20"/>
                <w:szCs w:val="20"/>
              </w:rPr>
            </w:pPr>
            <w:r>
              <w:rPr>
                <w:rFonts w:ascii="宋体" w:hAnsi="宋体" w:eastAsia="宋体" w:cs="宋体"/>
                <w:spacing w:val="1"/>
                <w:sz w:val="20"/>
                <w:szCs w:val="20"/>
              </w:rPr>
              <w:t>部门基本支出预算调整</w:t>
            </w:r>
          </w:p>
        </w:tc>
        <w:tc>
          <w:tcPr>
            <w:tcW w:w="2098" w:type="dxa"/>
            <w:gridSpan w:val="2"/>
            <w:vAlign w:val="top"/>
          </w:tcPr>
          <w:p w14:paraId="41D04E00">
            <w:pPr>
              <w:pStyle w:val="10"/>
              <w:jc w:val="center"/>
            </w:pPr>
          </w:p>
        </w:tc>
        <w:tc>
          <w:tcPr>
            <w:tcW w:w="1988" w:type="dxa"/>
            <w:gridSpan w:val="2"/>
            <w:vAlign w:val="top"/>
          </w:tcPr>
          <w:p w14:paraId="7CD57B8D">
            <w:pPr>
              <w:pStyle w:val="10"/>
              <w:jc w:val="center"/>
              <w:rPr>
                <w:rFonts w:hint="default" w:eastAsia="宋体"/>
                <w:lang w:val="en-US" w:eastAsia="zh-CN"/>
              </w:rPr>
            </w:pPr>
            <w:r>
              <w:rPr>
                <w:rFonts w:hint="eastAsia" w:eastAsia="宋体"/>
                <w:lang w:val="en-US" w:eastAsia="zh-CN"/>
              </w:rPr>
              <w:t>346.59</w:t>
            </w:r>
          </w:p>
        </w:tc>
        <w:tc>
          <w:tcPr>
            <w:tcW w:w="1903" w:type="dxa"/>
            <w:gridSpan w:val="2"/>
            <w:vAlign w:val="top"/>
          </w:tcPr>
          <w:p w14:paraId="7686812D">
            <w:pPr>
              <w:pStyle w:val="10"/>
              <w:jc w:val="center"/>
              <w:rPr>
                <w:rFonts w:hint="default" w:eastAsia="宋体"/>
                <w:lang w:val="en-US" w:eastAsia="zh-CN"/>
              </w:rPr>
            </w:pPr>
            <w:r>
              <w:rPr>
                <w:rFonts w:hint="eastAsia" w:eastAsia="宋体"/>
                <w:lang w:val="en-US" w:eastAsia="zh-CN"/>
              </w:rPr>
              <w:t>373.42</w:t>
            </w:r>
          </w:p>
        </w:tc>
      </w:tr>
      <w:tr w14:paraId="34C66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31" w:type="dxa"/>
            <w:vMerge w:val="restart"/>
            <w:tcBorders>
              <w:bottom w:val="nil"/>
            </w:tcBorders>
            <w:vAlign w:val="top"/>
          </w:tcPr>
          <w:p w14:paraId="2913B618">
            <w:pPr>
              <w:pStyle w:val="10"/>
              <w:spacing w:line="279" w:lineRule="auto"/>
              <w:jc w:val="left"/>
            </w:pPr>
          </w:p>
          <w:p w14:paraId="2EB6A993">
            <w:pPr>
              <w:pStyle w:val="10"/>
              <w:spacing w:line="279" w:lineRule="auto"/>
              <w:jc w:val="left"/>
            </w:pPr>
          </w:p>
          <w:p w14:paraId="358379A2">
            <w:pPr>
              <w:spacing w:before="65" w:line="239" w:lineRule="auto"/>
              <w:ind w:left="935" w:right="642"/>
              <w:jc w:val="left"/>
              <w:rPr>
                <w:rFonts w:ascii="宋体" w:hAnsi="宋体" w:eastAsia="宋体" w:cs="宋体"/>
                <w:sz w:val="20"/>
                <w:szCs w:val="20"/>
              </w:rPr>
            </w:pPr>
            <w:r>
              <w:rPr>
                <w:rFonts w:ascii="宋体" w:hAnsi="宋体" w:eastAsia="宋体" w:cs="宋体"/>
                <w:spacing w:val="-1"/>
                <w:sz w:val="20"/>
                <w:szCs w:val="20"/>
              </w:rPr>
              <w:t>楼堂馆所控制情况</w:t>
            </w:r>
            <w:r>
              <w:rPr>
                <w:rFonts w:ascii="宋体" w:hAnsi="宋体" w:eastAsia="宋体" w:cs="宋体"/>
                <w:sz w:val="20"/>
                <w:szCs w:val="20"/>
              </w:rPr>
              <w:t xml:space="preserve"> </w:t>
            </w:r>
            <w:r>
              <w:rPr>
                <w:rFonts w:ascii="宋体" w:hAnsi="宋体" w:eastAsia="宋体" w:cs="宋体"/>
                <w:spacing w:val="3"/>
                <w:sz w:val="20"/>
                <w:szCs w:val="20"/>
              </w:rPr>
              <w:t>(2023年完工项目)</w:t>
            </w:r>
          </w:p>
        </w:tc>
        <w:tc>
          <w:tcPr>
            <w:tcW w:w="1149" w:type="dxa"/>
            <w:vAlign w:val="top"/>
          </w:tcPr>
          <w:p w14:paraId="56D73AD1">
            <w:pPr>
              <w:spacing w:before="306" w:line="233" w:lineRule="auto"/>
              <w:ind w:left="313" w:right="181" w:hanging="149"/>
              <w:jc w:val="left"/>
              <w:rPr>
                <w:rFonts w:ascii="宋体" w:hAnsi="宋体" w:eastAsia="宋体" w:cs="宋体"/>
                <w:sz w:val="20"/>
                <w:szCs w:val="20"/>
              </w:rPr>
            </w:pPr>
            <w:r>
              <w:rPr>
                <w:rFonts w:ascii="宋体" w:hAnsi="宋体" w:eastAsia="宋体" w:cs="宋体"/>
                <w:spacing w:val="-2"/>
                <w:sz w:val="20"/>
                <w:szCs w:val="20"/>
              </w:rPr>
              <w:t>批复规模</w:t>
            </w:r>
            <w:r>
              <w:rPr>
                <w:rFonts w:ascii="宋体" w:hAnsi="宋体" w:eastAsia="宋体" w:cs="宋体"/>
                <w:sz w:val="20"/>
                <w:szCs w:val="20"/>
              </w:rPr>
              <w:t xml:space="preserve"> </w:t>
            </w:r>
            <w:r>
              <w:rPr>
                <w:rFonts w:ascii="宋体" w:hAnsi="宋体" w:eastAsia="宋体" w:cs="宋体"/>
                <w:spacing w:val="-9"/>
                <w:sz w:val="20"/>
                <w:szCs w:val="20"/>
              </w:rPr>
              <w:t>(m²)</w:t>
            </w:r>
          </w:p>
        </w:tc>
        <w:tc>
          <w:tcPr>
            <w:tcW w:w="949" w:type="dxa"/>
            <w:vAlign w:val="top"/>
          </w:tcPr>
          <w:p w14:paraId="7EDDB16A">
            <w:pPr>
              <w:spacing w:before="296" w:line="233" w:lineRule="auto"/>
              <w:ind w:left="215" w:right="65" w:hanging="150"/>
              <w:jc w:val="left"/>
              <w:rPr>
                <w:rFonts w:ascii="宋体" w:hAnsi="宋体" w:eastAsia="宋体" w:cs="宋体"/>
                <w:sz w:val="20"/>
                <w:szCs w:val="20"/>
              </w:rPr>
            </w:pPr>
            <w:r>
              <w:rPr>
                <w:rFonts w:ascii="宋体" w:hAnsi="宋体" w:eastAsia="宋体" w:cs="宋体"/>
                <w:spacing w:val="2"/>
                <w:sz w:val="20"/>
                <w:szCs w:val="20"/>
              </w:rPr>
              <w:t>实际规模</w:t>
            </w:r>
            <w:r>
              <w:rPr>
                <w:rFonts w:ascii="宋体" w:hAnsi="宋体" w:eastAsia="宋体" w:cs="宋体"/>
                <w:sz w:val="20"/>
                <w:szCs w:val="20"/>
              </w:rPr>
              <w:t xml:space="preserve"> </w:t>
            </w:r>
            <w:r>
              <w:rPr>
                <w:rFonts w:ascii="宋体" w:hAnsi="宋体" w:eastAsia="宋体" w:cs="宋体"/>
                <w:spacing w:val="-9"/>
                <w:sz w:val="20"/>
                <w:szCs w:val="20"/>
              </w:rPr>
              <w:t>(m²)</w:t>
            </w:r>
          </w:p>
        </w:tc>
        <w:tc>
          <w:tcPr>
            <w:tcW w:w="929" w:type="dxa"/>
            <w:vAlign w:val="top"/>
          </w:tcPr>
          <w:p w14:paraId="325A3AFC">
            <w:pPr>
              <w:pStyle w:val="10"/>
              <w:spacing w:line="250" w:lineRule="auto"/>
              <w:jc w:val="left"/>
            </w:pPr>
          </w:p>
          <w:p w14:paraId="38FF3CBC">
            <w:pPr>
              <w:spacing w:before="65" w:line="225" w:lineRule="auto"/>
              <w:ind w:left="255" w:right="71" w:hanging="199"/>
              <w:jc w:val="left"/>
              <w:rPr>
                <w:rFonts w:ascii="宋体" w:hAnsi="宋体" w:eastAsia="宋体" w:cs="宋体"/>
                <w:sz w:val="20"/>
                <w:szCs w:val="20"/>
              </w:rPr>
            </w:pPr>
            <w:r>
              <w:rPr>
                <w:rFonts w:ascii="宋体" w:hAnsi="宋体" w:eastAsia="宋体" w:cs="宋体"/>
                <w:spacing w:val="-3"/>
                <w:sz w:val="20"/>
                <w:szCs w:val="20"/>
              </w:rPr>
              <w:t>规规模控</w:t>
            </w:r>
            <w:r>
              <w:rPr>
                <w:rFonts w:ascii="宋体" w:hAnsi="宋体" w:eastAsia="宋体" w:cs="宋体"/>
                <w:spacing w:val="2"/>
                <w:sz w:val="20"/>
                <w:szCs w:val="20"/>
              </w:rPr>
              <w:t xml:space="preserve"> </w:t>
            </w:r>
            <w:r>
              <w:rPr>
                <w:rFonts w:ascii="宋体" w:hAnsi="宋体" w:eastAsia="宋体" w:cs="宋体"/>
                <w:spacing w:val="-3"/>
                <w:sz w:val="20"/>
                <w:szCs w:val="20"/>
              </w:rPr>
              <w:t>制率</w:t>
            </w:r>
          </w:p>
        </w:tc>
        <w:tc>
          <w:tcPr>
            <w:tcW w:w="1059" w:type="dxa"/>
            <w:vAlign w:val="top"/>
          </w:tcPr>
          <w:p w14:paraId="7AA2D8AC">
            <w:pPr>
              <w:spacing w:before="277" w:line="219" w:lineRule="auto"/>
              <w:ind w:left="127"/>
              <w:jc w:val="left"/>
              <w:rPr>
                <w:rFonts w:ascii="宋体" w:hAnsi="宋体" w:eastAsia="宋体" w:cs="宋体"/>
                <w:sz w:val="20"/>
                <w:szCs w:val="20"/>
              </w:rPr>
            </w:pPr>
            <w:r>
              <w:rPr>
                <w:rFonts w:ascii="宋体" w:hAnsi="宋体" w:eastAsia="宋体" w:cs="宋体"/>
                <w:spacing w:val="3"/>
                <w:sz w:val="20"/>
                <w:szCs w:val="20"/>
              </w:rPr>
              <w:t>预算投资</w:t>
            </w:r>
          </w:p>
          <w:p w14:paraId="040F14CC">
            <w:pPr>
              <w:spacing w:before="33" w:line="220" w:lineRule="auto"/>
              <w:ind w:left="227"/>
              <w:jc w:val="left"/>
              <w:rPr>
                <w:rFonts w:ascii="宋体" w:hAnsi="宋体" w:eastAsia="宋体" w:cs="宋体"/>
                <w:sz w:val="20"/>
                <w:szCs w:val="20"/>
              </w:rPr>
            </w:pPr>
            <w:r>
              <w:rPr>
                <w:rFonts w:ascii="宋体" w:hAnsi="宋体" w:eastAsia="宋体" w:cs="宋体"/>
                <w:spacing w:val="10"/>
                <w:sz w:val="20"/>
                <w:szCs w:val="20"/>
              </w:rPr>
              <w:t>(万元)</w:t>
            </w:r>
          </w:p>
        </w:tc>
        <w:tc>
          <w:tcPr>
            <w:tcW w:w="1009" w:type="dxa"/>
            <w:vAlign w:val="top"/>
          </w:tcPr>
          <w:p w14:paraId="50C1FCE9">
            <w:pPr>
              <w:pStyle w:val="10"/>
              <w:spacing w:line="241" w:lineRule="auto"/>
              <w:jc w:val="left"/>
            </w:pPr>
          </w:p>
          <w:p w14:paraId="70078463">
            <w:pPr>
              <w:spacing w:before="65" w:line="230" w:lineRule="auto"/>
              <w:ind w:left="198" w:right="86" w:hanging="100"/>
              <w:jc w:val="left"/>
              <w:rPr>
                <w:rFonts w:ascii="宋体" w:hAnsi="宋体" w:eastAsia="宋体" w:cs="宋体"/>
                <w:sz w:val="20"/>
                <w:szCs w:val="20"/>
              </w:rPr>
            </w:pPr>
            <w:r>
              <w:rPr>
                <w:rFonts w:ascii="宋体" w:hAnsi="宋体" w:eastAsia="宋体" w:cs="宋体"/>
                <w:spacing w:val="3"/>
                <w:sz w:val="20"/>
                <w:szCs w:val="20"/>
              </w:rPr>
              <w:t>实际投资</w:t>
            </w:r>
            <w:r>
              <w:rPr>
                <w:rFonts w:ascii="宋体" w:hAnsi="宋体" w:eastAsia="宋体" w:cs="宋体"/>
                <w:spacing w:val="1"/>
                <w:sz w:val="20"/>
                <w:szCs w:val="20"/>
              </w:rPr>
              <w:t xml:space="preserve"> </w:t>
            </w:r>
            <w:r>
              <w:rPr>
                <w:rFonts w:ascii="宋体" w:hAnsi="宋体" w:eastAsia="宋体" w:cs="宋体"/>
                <w:spacing w:val="10"/>
                <w:sz w:val="20"/>
                <w:szCs w:val="20"/>
              </w:rPr>
              <w:t>(万元)</w:t>
            </w:r>
          </w:p>
        </w:tc>
        <w:tc>
          <w:tcPr>
            <w:tcW w:w="894" w:type="dxa"/>
            <w:vAlign w:val="top"/>
          </w:tcPr>
          <w:p w14:paraId="6F7A1454">
            <w:pPr>
              <w:pStyle w:val="10"/>
              <w:spacing w:line="250" w:lineRule="auto"/>
              <w:jc w:val="left"/>
            </w:pPr>
          </w:p>
          <w:p w14:paraId="2EB71F5C">
            <w:pPr>
              <w:spacing w:before="65" w:line="225" w:lineRule="auto"/>
              <w:ind w:left="168" w:right="35" w:hanging="109"/>
              <w:jc w:val="left"/>
              <w:rPr>
                <w:rFonts w:ascii="宋体" w:hAnsi="宋体" w:eastAsia="宋体" w:cs="宋体"/>
                <w:sz w:val="20"/>
                <w:szCs w:val="20"/>
              </w:rPr>
            </w:pPr>
            <w:r>
              <w:rPr>
                <w:rFonts w:ascii="宋体" w:hAnsi="宋体" w:eastAsia="宋体" w:cs="宋体"/>
                <w:spacing w:val="-3"/>
                <w:sz w:val="20"/>
                <w:szCs w:val="20"/>
              </w:rPr>
              <w:t>投资概算</w:t>
            </w:r>
            <w:r>
              <w:rPr>
                <w:rFonts w:ascii="宋体" w:hAnsi="宋体" w:eastAsia="宋体" w:cs="宋体"/>
                <w:sz w:val="20"/>
                <w:szCs w:val="20"/>
              </w:rPr>
              <w:t xml:space="preserve"> </w:t>
            </w:r>
            <w:r>
              <w:rPr>
                <w:rFonts w:ascii="宋体" w:hAnsi="宋体" w:eastAsia="宋体" w:cs="宋体"/>
                <w:spacing w:val="-2"/>
                <w:sz w:val="20"/>
                <w:szCs w:val="20"/>
              </w:rPr>
              <w:t>控制率</w:t>
            </w:r>
          </w:p>
        </w:tc>
      </w:tr>
      <w:tr w14:paraId="3D59F1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31" w:type="dxa"/>
            <w:vMerge w:val="continue"/>
            <w:tcBorders>
              <w:top w:val="nil"/>
            </w:tcBorders>
            <w:vAlign w:val="top"/>
          </w:tcPr>
          <w:p w14:paraId="08853709">
            <w:pPr>
              <w:pStyle w:val="10"/>
              <w:jc w:val="left"/>
            </w:pPr>
          </w:p>
        </w:tc>
        <w:tc>
          <w:tcPr>
            <w:tcW w:w="1149" w:type="dxa"/>
            <w:vAlign w:val="top"/>
          </w:tcPr>
          <w:p w14:paraId="3A2E8423">
            <w:pPr>
              <w:pStyle w:val="10"/>
              <w:jc w:val="left"/>
            </w:pPr>
          </w:p>
        </w:tc>
        <w:tc>
          <w:tcPr>
            <w:tcW w:w="949" w:type="dxa"/>
            <w:vAlign w:val="top"/>
          </w:tcPr>
          <w:p w14:paraId="126C884E">
            <w:pPr>
              <w:pStyle w:val="10"/>
              <w:jc w:val="left"/>
            </w:pPr>
          </w:p>
        </w:tc>
        <w:tc>
          <w:tcPr>
            <w:tcW w:w="929" w:type="dxa"/>
            <w:vAlign w:val="top"/>
          </w:tcPr>
          <w:p w14:paraId="77F79C0D">
            <w:pPr>
              <w:pStyle w:val="10"/>
              <w:jc w:val="left"/>
            </w:pPr>
          </w:p>
        </w:tc>
        <w:tc>
          <w:tcPr>
            <w:tcW w:w="1059" w:type="dxa"/>
            <w:vAlign w:val="top"/>
          </w:tcPr>
          <w:p w14:paraId="5E142384">
            <w:pPr>
              <w:pStyle w:val="10"/>
              <w:jc w:val="left"/>
            </w:pPr>
          </w:p>
        </w:tc>
        <w:tc>
          <w:tcPr>
            <w:tcW w:w="1009" w:type="dxa"/>
            <w:vAlign w:val="top"/>
          </w:tcPr>
          <w:p w14:paraId="30528767">
            <w:pPr>
              <w:pStyle w:val="10"/>
              <w:jc w:val="left"/>
            </w:pPr>
          </w:p>
        </w:tc>
        <w:tc>
          <w:tcPr>
            <w:tcW w:w="894" w:type="dxa"/>
            <w:vAlign w:val="top"/>
          </w:tcPr>
          <w:p w14:paraId="7FE066C3">
            <w:pPr>
              <w:pStyle w:val="10"/>
              <w:jc w:val="left"/>
            </w:pPr>
          </w:p>
        </w:tc>
      </w:tr>
      <w:tr w14:paraId="75A0C9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31" w:type="dxa"/>
            <w:vAlign w:val="top"/>
          </w:tcPr>
          <w:p w14:paraId="2FF152EE">
            <w:pPr>
              <w:spacing w:before="138" w:line="190" w:lineRule="auto"/>
              <w:ind w:left="935"/>
              <w:jc w:val="left"/>
              <w:rPr>
                <w:rFonts w:ascii="宋体" w:hAnsi="宋体" w:eastAsia="宋体" w:cs="宋体"/>
                <w:sz w:val="20"/>
                <w:szCs w:val="20"/>
              </w:rPr>
            </w:pPr>
            <w:r>
              <w:rPr>
                <w:rFonts w:ascii="宋体" w:hAnsi="宋体" w:eastAsia="宋体" w:cs="宋体"/>
                <w:spacing w:val="1"/>
                <w:sz w:val="20"/>
                <w:szCs w:val="20"/>
              </w:rPr>
              <w:t>厉行节约保障措施</w:t>
            </w:r>
          </w:p>
        </w:tc>
        <w:tc>
          <w:tcPr>
            <w:tcW w:w="5989" w:type="dxa"/>
            <w:gridSpan w:val="6"/>
            <w:vAlign w:val="top"/>
          </w:tcPr>
          <w:p w14:paraId="53EDE60E">
            <w:pPr>
              <w:pStyle w:val="10"/>
              <w:jc w:val="left"/>
              <w:rPr>
                <w:rFonts w:hint="eastAsia" w:eastAsia="宋体"/>
                <w:lang w:val="en-US" w:eastAsia="zh-CN"/>
              </w:rPr>
            </w:pPr>
            <w:r>
              <w:rPr>
                <w:rFonts w:hint="eastAsia" w:eastAsia="宋体"/>
                <w:lang w:val="en-US" w:eastAsia="zh-CN"/>
              </w:rPr>
              <w:t>公务接待餐尽量在食堂就餐</w:t>
            </w:r>
          </w:p>
        </w:tc>
      </w:tr>
    </w:tbl>
    <w:p w14:paraId="14C4AC1D">
      <w:pPr>
        <w:pStyle w:val="2"/>
        <w:spacing w:before="12" w:line="247" w:lineRule="auto"/>
        <w:ind w:left="8" w:right="343" w:hanging="9"/>
        <w:jc w:val="left"/>
        <w:rPr>
          <w:sz w:val="21"/>
          <w:szCs w:val="21"/>
        </w:rPr>
      </w:pPr>
      <w:r>
        <w:rPr>
          <w:rFonts w:hint="eastAsia" w:ascii="仿宋" w:hAnsi="仿宋" w:eastAsia="仿宋" w:cs="仿宋"/>
          <w:sz w:val="21"/>
          <w:szCs w:val="21"/>
        </w:rPr>
        <w:t>说明：“项目支出”需要填报基本支出以外的所有项目支出情况，“公用经费”填报</w:t>
      </w:r>
      <w:r>
        <w:rPr>
          <w:rFonts w:hint="eastAsia" w:ascii="仿宋" w:hAnsi="仿宋" w:eastAsia="仿宋" w:cs="仿宋"/>
          <w:spacing w:val="10"/>
          <w:sz w:val="21"/>
          <w:szCs w:val="21"/>
        </w:rPr>
        <w:t xml:space="preserve"> </w:t>
      </w:r>
      <w:r>
        <w:rPr>
          <w:rFonts w:hint="eastAsia" w:ascii="仿宋" w:hAnsi="仿宋" w:eastAsia="仿宋" w:cs="仿宋"/>
          <w:spacing w:val="21"/>
          <w:sz w:val="21"/>
          <w:szCs w:val="21"/>
        </w:rPr>
        <w:t>基本支出</w:t>
      </w:r>
      <w:r>
        <w:rPr>
          <w:spacing w:val="21"/>
          <w:sz w:val="21"/>
          <w:szCs w:val="21"/>
        </w:rPr>
        <w:t>中的一般商品和服务支出。</w:t>
      </w:r>
    </w:p>
    <w:p w14:paraId="14A0E9AA">
      <w:pPr>
        <w:pStyle w:val="2"/>
        <w:spacing w:before="67" w:line="228" w:lineRule="auto"/>
        <w:ind w:left="100"/>
        <w:jc w:val="left"/>
        <w:rPr>
          <w:sz w:val="21"/>
          <w:szCs w:val="21"/>
        </w:rPr>
      </w:pPr>
      <w:r>
        <w:rPr>
          <w:spacing w:val="-14"/>
          <w:position w:val="3"/>
          <w:sz w:val="21"/>
          <w:szCs w:val="21"/>
        </w:rPr>
        <w:t xml:space="preserve">填表人：       </w:t>
      </w:r>
      <w:r>
        <w:rPr>
          <w:spacing w:val="-14"/>
          <w:position w:val="2"/>
          <w:sz w:val="21"/>
          <w:szCs w:val="21"/>
        </w:rPr>
        <w:t xml:space="preserve">填报日期：   </w:t>
      </w:r>
      <w:r>
        <w:rPr>
          <w:rFonts w:hint="eastAsia"/>
          <w:spacing w:val="-14"/>
          <w:position w:val="2"/>
          <w:sz w:val="21"/>
          <w:szCs w:val="21"/>
          <w:lang w:val="en-US" w:eastAsia="zh-CN"/>
        </w:rPr>
        <w:t>2024.5.26</w:t>
      </w:r>
      <w:r>
        <w:rPr>
          <w:spacing w:val="-14"/>
          <w:position w:val="2"/>
          <w:sz w:val="21"/>
          <w:szCs w:val="21"/>
        </w:rPr>
        <w:t xml:space="preserve">   </w:t>
      </w:r>
      <w:r>
        <w:rPr>
          <w:spacing w:val="-14"/>
          <w:position w:val="1"/>
          <w:sz w:val="21"/>
          <w:szCs w:val="21"/>
        </w:rPr>
        <w:t xml:space="preserve">联系电话：   </w:t>
      </w:r>
      <w:r>
        <w:rPr>
          <w:rFonts w:hint="eastAsia"/>
          <w:spacing w:val="-14"/>
          <w:position w:val="1"/>
          <w:sz w:val="21"/>
          <w:szCs w:val="21"/>
          <w:lang w:val="en-US" w:eastAsia="zh-CN"/>
        </w:rPr>
        <w:t>13787995938</w:t>
      </w:r>
      <w:r>
        <w:rPr>
          <w:spacing w:val="-14"/>
          <w:position w:val="1"/>
          <w:sz w:val="21"/>
          <w:szCs w:val="21"/>
        </w:rPr>
        <w:t xml:space="preserve"> </w:t>
      </w:r>
      <w:r>
        <w:rPr>
          <w:spacing w:val="-15"/>
          <w:position w:val="1"/>
          <w:sz w:val="21"/>
          <w:szCs w:val="21"/>
        </w:rPr>
        <w:t xml:space="preserve">   </w:t>
      </w:r>
      <w:r>
        <w:rPr>
          <w:spacing w:val="-15"/>
          <w:position w:val="-3"/>
          <w:sz w:val="21"/>
          <w:szCs w:val="21"/>
        </w:rPr>
        <w:t>单位负责人签字：</w:t>
      </w:r>
    </w:p>
    <w:p w14:paraId="06EFEB10">
      <w:pPr>
        <w:spacing w:line="228" w:lineRule="auto"/>
        <w:jc w:val="left"/>
        <w:rPr>
          <w:sz w:val="21"/>
          <w:szCs w:val="21"/>
        </w:rPr>
        <w:sectPr>
          <w:footerReference r:id="rId5" w:type="default"/>
          <w:pgSz w:w="11900" w:h="16840"/>
          <w:pgMar w:top="1431" w:right="1345" w:bottom="400" w:left="1319" w:header="0" w:footer="0" w:gutter="0"/>
          <w:cols w:space="720" w:num="1"/>
        </w:sectPr>
      </w:pPr>
    </w:p>
    <w:p w14:paraId="6D24C817">
      <w:pPr>
        <w:spacing w:line="242" w:lineRule="auto"/>
        <w:jc w:val="left"/>
        <w:rPr>
          <w:rFonts w:ascii="Arial"/>
          <w:sz w:val="21"/>
        </w:rPr>
      </w:pPr>
    </w:p>
    <w:p w14:paraId="5AFDD22D">
      <w:pPr>
        <w:spacing w:line="242" w:lineRule="auto"/>
        <w:jc w:val="left"/>
        <w:rPr>
          <w:rFonts w:ascii="Arial"/>
          <w:sz w:val="21"/>
        </w:rPr>
      </w:pPr>
    </w:p>
    <w:p w14:paraId="48636C53">
      <w:pPr>
        <w:spacing w:line="243" w:lineRule="auto"/>
        <w:jc w:val="left"/>
        <w:rPr>
          <w:rFonts w:ascii="Arial"/>
          <w:sz w:val="21"/>
        </w:rPr>
      </w:pPr>
    </w:p>
    <w:p w14:paraId="05E6FE6C">
      <w:pPr>
        <w:pStyle w:val="2"/>
        <w:spacing w:before="97" w:line="222" w:lineRule="auto"/>
        <w:ind w:left="1294"/>
        <w:jc w:val="left"/>
        <w:rPr>
          <w:sz w:val="30"/>
          <w:szCs w:val="30"/>
        </w:rPr>
      </w:pPr>
      <w:r>
        <w:rPr>
          <w:spacing w:val="6"/>
          <w:sz w:val="30"/>
          <w:szCs w:val="30"/>
        </w:rPr>
        <w:t>附件2</w:t>
      </w:r>
    </w:p>
    <w:p w14:paraId="484CF66B">
      <w:pPr>
        <w:spacing w:before="86" w:line="221" w:lineRule="auto"/>
        <w:ind w:left="2191"/>
        <w:jc w:val="left"/>
        <w:rPr>
          <w:rFonts w:ascii="黑体" w:hAnsi="黑体" w:eastAsia="黑体" w:cs="黑体"/>
          <w:sz w:val="43"/>
          <w:szCs w:val="43"/>
        </w:rPr>
      </w:pPr>
      <w:r>
        <w:rPr>
          <w:rFonts w:ascii="黑体" w:hAnsi="黑体" w:eastAsia="黑体" w:cs="黑体"/>
          <w:b/>
          <w:bCs/>
          <w:spacing w:val="5"/>
          <w:sz w:val="43"/>
          <w:szCs w:val="43"/>
        </w:rPr>
        <w:t>2023年度部门整体支出绩效自评表</w:t>
      </w:r>
    </w:p>
    <w:p w14:paraId="7DEB815C">
      <w:pPr>
        <w:spacing w:before="61"/>
        <w:jc w:val="left"/>
      </w:pPr>
    </w:p>
    <w:tbl>
      <w:tblPr>
        <w:tblStyle w:val="9"/>
        <w:tblW w:w="0" w:type="auto"/>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24"/>
        <w:gridCol w:w="843"/>
        <w:gridCol w:w="849"/>
        <w:gridCol w:w="1965"/>
        <w:gridCol w:w="910"/>
        <w:gridCol w:w="1366"/>
        <w:gridCol w:w="754"/>
        <w:gridCol w:w="925"/>
        <w:gridCol w:w="1485"/>
      </w:tblGrid>
      <w:tr w14:paraId="3D71B1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4" w:hRule="atLeast"/>
        </w:trPr>
        <w:tc>
          <w:tcPr>
            <w:tcW w:w="0" w:type="auto"/>
            <w:vAlign w:val="top"/>
          </w:tcPr>
          <w:p w14:paraId="2B913026">
            <w:pPr>
              <w:spacing w:before="14"/>
              <w:ind w:left="314" w:right="96" w:hanging="200"/>
              <w:jc w:val="left"/>
              <w:rPr>
                <w:rFonts w:ascii="宋体" w:hAnsi="宋体" w:eastAsia="宋体" w:cs="宋体"/>
                <w:sz w:val="20"/>
                <w:szCs w:val="20"/>
              </w:rPr>
            </w:pPr>
            <w:r>
              <w:rPr>
                <w:rFonts w:ascii="宋体" w:hAnsi="宋体" w:eastAsia="宋体" w:cs="宋体"/>
                <w:spacing w:val="5"/>
                <w:sz w:val="20"/>
                <w:szCs w:val="20"/>
              </w:rPr>
              <w:t>预算部门</w:t>
            </w:r>
            <w:r>
              <w:rPr>
                <w:rFonts w:ascii="宋体" w:hAnsi="宋体" w:eastAsia="宋体" w:cs="宋体"/>
                <w:spacing w:val="1"/>
                <w:sz w:val="20"/>
                <w:szCs w:val="20"/>
              </w:rPr>
              <w:t xml:space="preserve"> </w:t>
            </w:r>
            <w:r>
              <w:rPr>
                <w:rFonts w:ascii="宋体" w:hAnsi="宋体" w:eastAsia="宋体" w:cs="宋体"/>
                <w:spacing w:val="5"/>
                <w:sz w:val="20"/>
                <w:szCs w:val="20"/>
              </w:rPr>
              <w:t>名称</w:t>
            </w:r>
          </w:p>
        </w:tc>
        <w:tc>
          <w:tcPr>
            <w:tcW w:w="0" w:type="auto"/>
            <w:gridSpan w:val="8"/>
            <w:vAlign w:val="top"/>
          </w:tcPr>
          <w:p w14:paraId="633C3FE8">
            <w:pPr>
              <w:pStyle w:val="10"/>
              <w:jc w:val="left"/>
              <w:rPr>
                <w:rFonts w:hint="eastAsia" w:eastAsia="宋体"/>
                <w:lang w:eastAsia="zh-CN"/>
              </w:rPr>
            </w:pPr>
            <w:r>
              <w:rPr>
                <w:rFonts w:hint="eastAsia" w:eastAsia="宋体"/>
                <w:lang w:eastAsia="zh-CN"/>
              </w:rPr>
              <w:t>汨罗市委政法委</w:t>
            </w:r>
          </w:p>
        </w:tc>
      </w:tr>
      <w:tr w14:paraId="3B2501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0" w:type="auto"/>
            <w:vMerge w:val="restart"/>
            <w:tcBorders>
              <w:bottom w:val="nil"/>
            </w:tcBorders>
            <w:vAlign w:val="top"/>
          </w:tcPr>
          <w:p w14:paraId="576E148A">
            <w:pPr>
              <w:pStyle w:val="10"/>
              <w:spacing w:line="319" w:lineRule="auto"/>
              <w:jc w:val="left"/>
            </w:pPr>
          </w:p>
          <w:p w14:paraId="4F8B8FAF">
            <w:pPr>
              <w:pStyle w:val="10"/>
              <w:spacing w:line="319" w:lineRule="auto"/>
              <w:jc w:val="left"/>
            </w:pPr>
          </w:p>
          <w:p w14:paraId="4544DCCA">
            <w:pPr>
              <w:pStyle w:val="10"/>
              <w:spacing w:line="320" w:lineRule="auto"/>
              <w:jc w:val="left"/>
            </w:pPr>
          </w:p>
          <w:p w14:paraId="7430FE05">
            <w:pPr>
              <w:spacing w:before="65" w:line="219" w:lineRule="auto"/>
              <w:jc w:val="left"/>
              <w:rPr>
                <w:rFonts w:ascii="宋体" w:hAnsi="宋体" w:eastAsia="宋体" w:cs="宋体"/>
                <w:sz w:val="20"/>
                <w:szCs w:val="20"/>
              </w:rPr>
            </w:pPr>
            <w:r>
              <w:rPr>
                <w:rFonts w:ascii="宋体" w:hAnsi="宋体" w:eastAsia="宋体" w:cs="宋体"/>
                <w:spacing w:val="3"/>
                <w:sz w:val="20"/>
                <w:szCs w:val="20"/>
              </w:rPr>
              <w:t>年度预算申</w:t>
            </w:r>
          </w:p>
          <w:p w14:paraId="077DF13E">
            <w:pPr>
              <w:spacing w:before="53" w:line="220" w:lineRule="auto"/>
              <w:ind w:left="114"/>
              <w:jc w:val="left"/>
              <w:rPr>
                <w:rFonts w:ascii="宋体" w:hAnsi="宋体" w:eastAsia="宋体" w:cs="宋体"/>
                <w:sz w:val="20"/>
                <w:szCs w:val="20"/>
              </w:rPr>
            </w:pPr>
            <w:r>
              <w:rPr>
                <w:rFonts w:ascii="宋体" w:hAnsi="宋体" w:eastAsia="宋体" w:cs="宋体"/>
                <w:spacing w:val="8"/>
                <w:sz w:val="20"/>
                <w:szCs w:val="20"/>
              </w:rPr>
              <w:t>请(万元)</w:t>
            </w:r>
          </w:p>
        </w:tc>
        <w:tc>
          <w:tcPr>
            <w:tcW w:w="0" w:type="auto"/>
            <w:gridSpan w:val="2"/>
            <w:vAlign w:val="top"/>
          </w:tcPr>
          <w:p w14:paraId="1A6DC8BC">
            <w:pPr>
              <w:pStyle w:val="10"/>
              <w:jc w:val="left"/>
            </w:pPr>
          </w:p>
        </w:tc>
        <w:tc>
          <w:tcPr>
            <w:tcW w:w="0" w:type="auto"/>
            <w:vAlign w:val="top"/>
          </w:tcPr>
          <w:p w14:paraId="399113B0">
            <w:pPr>
              <w:spacing w:before="38" w:line="281" w:lineRule="exact"/>
              <w:ind w:left="402"/>
              <w:jc w:val="left"/>
              <w:rPr>
                <w:rFonts w:ascii="宋体" w:hAnsi="宋体" w:eastAsia="宋体" w:cs="宋体"/>
                <w:sz w:val="20"/>
                <w:szCs w:val="20"/>
              </w:rPr>
            </w:pPr>
            <w:r>
              <w:rPr>
                <w:rFonts w:ascii="宋体" w:hAnsi="宋体" w:eastAsia="宋体" w:cs="宋体"/>
                <w:spacing w:val="-3"/>
                <w:position w:val="5"/>
                <w:sz w:val="20"/>
                <w:szCs w:val="20"/>
              </w:rPr>
              <w:t>年初</w:t>
            </w:r>
          </w:p>
          <w:p w14:paraId="7F68DA16">
            <w:pPr>
              <w:spacing w:line="203" w:lineRule="auto"/>
              <w:ind w:left="302"/>
              <w:jc w:val="left"/>
              <w:rPr>
                <w:rFonts w:ascii="宋体" w:hAnsi="宋体" w:eastAsia="宋体" w:cs="宋体"/>
                <w:sz w:val="20"/>
                <w:szCs w:val="20"/>
              </w:rPr>
            </w:pPr>
            <w:r>
              <w:rPr>
                <w:rFonts w:ascii="宋体" w:hAnsi="宋体" w:eastAsia="宋体" w:cs="宋体"/>
                <w:spacing w:val="-3"/>
                <w:sz w:val="20"/>
                <w:szCs w:val="20"/>
              </w:rPr>
              <w:t>预算数</w:t>
            </w:r>
          </w:p>
        </w:tc>
        <w:tc>
          <w:tcPr>
            <w:tcW w:w="0" w:type="auto"/>
            <w:vAlign w:val="top"/>
          </w:tcPr>
          <w:p w14:paraId="6371C645">
            <w:pPr>
              <w:spacing w:before="29" w:line="280" w:lineRule="exact"/>
              <w:ind w:left="443"/>
              <w:jc w:val="left"/>
              <w:rPr>
                <w:rFonts w:ascii="宋体" w:hAnsi="宋体" w:eastAsia="宋体" w:cs="宋体"/>
                <w:sz w:val="20"/>
                <w:szCs w:val="20"/>
              </w:rPr>
            </w:pPr>
            <w:r>
              <w:rPr>
                <w:rFonts w:ascii="宋体" w:hAnsi="宋体" w:eastAsia="宋体" w:cs="宋体"/>
                <w:spacing w:val="-2"/>
                <w:position w:val="5"/>
                <w:sz w:val="20"/>
                <w:szCs w:val="20"/>
              </w:rPr>
              <w:t>全年</w:t>
            </w:r>
          </w:p>
          <w:p w14:paraId="3360A41B">
            <w:pPr>
              <w:spacing w:line="212" w:lineRule="auto"/>
              <w:ind w:left="343"/>
              <w:jc w:val="left"/>
              <w:rPr>
                <w:rFonts w:ascii="宋体" w:hAnsi="宋体" w:eastAsia="宋体" w:cs="宋体"/>
                <w:sz w:val="20"/>
                <w:szCs w:val="20"/>
              </w:rPr>
            </w:pPr>
            <w:r>
              <w:rPr>
                <w:rFonts w:ascii="宋体" w:hAnsi="宋体" w:eastAsia="宋体" w:cs="宋体"/>
                <w:spacing w:val="-3"/>
                <w:sz w:val="20"/>
                <w:szCs w:val="20"/>
              </w:rPr>
              <w:t>预算数</w:t>
            </w:r>
          </w:p>
        </w:tc>
        <w:tc>
          <w:tcPr>
            <w:tcW w:w="0" w:type="auto"/>
            <w:vAlign w:val="top"/>
          </w:tcPr>
          <w:p w14:paraId="6D081B05">
            <w:pPr>
              <w:spacing w:before="8" w:line="301" w:lineRule="exact"/>
              <w:ind w:left="414"/>
              <w:jc w:val="left"/>
              <w:rPr>
                <w:rFonts w:ascii="宋体" w:hAnsi="宋体" w:eastAsia="宋体" w:cs="宋体"/>
                <w:sz w:val="20"/>
                <w:szCs w:val="20"/>
              </w:rPr>
            </w:pPr>
            <w:r>
              <w:rPr>
                <w:rFonts w:ascii="宋体" w:hAnsi="宋体" w:eastAsia="宋体" w:cs="宋体"/>
                <w:spacing w:val="-2"/>
                <w:position w:val="7"/>
                <w:sz w:val="20"/>
                <w:szCs w:val="20"/>
              </w:rPr>
              <w:t>全年</w:t>
            </w:r>
          </w:p>
          <w:p w14:paraId="2B20790F">
            <w:pPr>
              <w:spacing w:line="212" w:lineRule="auto"/>
              <w:ind w:left="314"/>
              <w:jc w:val="left"/>
              <w:rPr>
                <w:rFonts w:ascii="宋体" w:hAnsi="宋体" w:eastAsia="宋体" w:cs="宋体"/>
                <w:sz w:val="20"/>
                <w:szCs w:val="20"/>
              </w:rPr>
            </w:pPr>
            <w:r>
              <w:rPr>
                <w:rFonts w:ascii="宋体" w:hAnsi="宋体" w:eastAsia="宋体" w:cs="宋体"/>
                <w:spacing w:val="-2"/>
                <w:sz w:val="20"/>
                <w:szCs w:val="20"/>
              </w:rPr>
              <w:t>执行数</w:t>
            </w:r>
          </w:p>
        </w:tc>
        <w:tc>
          <w:tcPr>
            <w:tcW w:w="0" w:type="auto"/>
            <w:vAlign w:val="top"/>
          </w:tcPr>
          <w:p w14:paraId="483C0D0B">
            <w:pPr>
              <w:spacing w:before="179" w:line="219" w:lineRule="auto"/>
              <w:ind w:left="135"/>
              <w:jc w:val="left"/>
              <w:rPr>
                <w:rFonts w:ascii="宋体" w:hAnsi="宋体" w:eastAsia="宋体" w:cs="宋体"/>
                <w:sz w:val="20"/>
                <w:szCs w:val="20"/>
              </w:rPr>
            </w:pPr>
            <w:r>
              <w:rPr>
                <w:rFonts w:ascii="宋体" w:hAnsi="宋体" w:eastAsia="宋体" w:cs="宋体"/>
                <w:spacing w:val="-3"/>
                <w:sz w:val="20"/>
                <w:szCs w:val="20"/>
              </w:rPr>
              <w:t>分值</w:t>
            </w:r>
          </w:p>
        </w:tc>
        <w:tc>
          <w:tcPr>
            <w:tcW w:w="0" w:type="auto"/>
            <w:vAlign w:val="top"/>
          </w:tcPr>
          <w:p w14:paraId="4DA7F3AF">
            <w:pPr>
              <w:spacing w:before="179" w:line="219" w:lineRule="auto"/>
              <w:ind w:left="117"/>
              <w:jc w:val="left"/>
              <w:rPr>
                <w:rFonts w:ascii="宋体" w:hAnsi="宋体" w:eastAsia="宋体" w:cs="宋体"/>
                <w:sz w:val="20"/>
                <w:szCs w:val="20"/>
              </w:rPr>
            </w:pPr>
            <w:r>
              <w:rPr>
                <w:rFonts w:ascii="宋体" w:hAnsi="宋体" w:eastAsia="宋体" w:cs="宋体"/>
                <w:spacing w:val="-2"/>
                <w:sz w:val="20"/>
                <w:szCs w:val="20"/>
              </w:rPr>
              <w:t>执行率</w:t>
            </w:r>
          </w:p>
        </w:tc>
        <w:tc>
          <w:tcPr>
            <w:tcW w:w="0" w:type="auto"/>
            <w:vAlign w:val="top"/>
          </w:tcPr>
          <w:p w14:paraId="2CF0DCF2">
            <w:pPr>
              <w:spacing w:before="179" w:line="219" w:lineRule="auto"/>
              <w:ind w:left="697"/>
              <w:jc w:val="left"/>
              <w:rPr>
                <w:rFonts w:ascii="宋体" w:hAnsi="宋体" w:eastAsia="宋体" w:cs="宋体"/>
                <w:sz w:val="20"/>
                <w:szCs w:val="20"/>
              </w:rPr>
            </w:pPr>
            <w:r>
              <w:rPr>
                <w:rFonts w:ascii="宋体" w:hAnsi="宋体" w:eastAsia="宋体" w:cs="宋体"/>
                <w:spacing w:val="-3"/>
                <w:sz w:val="20"/>
                <w:szCs w:val="20"/>
              </w:rPr>
              <w:t>得分</w:t>
            </w:r>
          </w:p>
        </w:tc>
      </w:tr>
      <w:tr w14:paraId="039699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0" w:type="auto"/>
            <w:vMerge w:val="continue"/>
            <w:tcBorders>
              <w:top w:val="nil"/>
              <w:bottom w:val="nil"/>
            </w:tcBorders>
            <w:vAlign w:val="top"/>
          </w:tcPr>
          <w:p w14:paraId="68330EB7">
            <w:pPr>
              <w:pStyle w:val="10"/>
              <w:jc w:val="left"/>
            </w:pPr>
          </w:p>
        </w:tc>
        <w:tc>
          <w:tcPr>
            <w:tcW w:w="0" w:type="auto"/>
            <w:gridSpan w:val="2"/>
            <w:vAlign w:val="top"/>
          </w:tcPr>
          <w:p w14:paraId="4DE788E9">
            <w:pPr>
              <w:spacing w:before="40" w:line="203" w:lineRule="auto"/>
              <w:ind w:left="440"/>
              <w:jc w:val="left"/>
              <w:rPr>
                <w:rFonts w:ascii="宋体" w:hAnsi="宋体" w:eastAsia="宋体" w:cs="宋体"/>
                <w:sz w:val="20"/>
                <w:szCs w:val="20"/>
              </w:rPr>
            </w:pPr>
            <w:r>
              <w:rPr>
                <w:rFonts w:ascii="宋体" w:hAnsi="宋体" w:eastAsia="宋体" w:cs="宋体"/>
                <w:spacing w:val="-2"/>
                <w:sz w:val="20"/>
                <w:szCs w:val="20"/>
              </w:rPr>
              <w:t>年度资金总额</w:t>
            </w:r>
          </w:p>
        </w:tc>
        <w:tc>
          <w:tcPr>
            <w:tcW w:w="0" w:type="auto"/>
            <w:vAlign w:val="top"/>
          </w:tcPr>
          <w:p w14:paraId="79986A41">
            <w:pPr>
              <w:pStyle w:val="10"/>
              <w:jc w:val="left"/>
              <w:rPr>
                <w:rFonts w:hint="default" w:eastAsia="宋体"/>
                <w:lang w:val="en-US" w:eastAsia="zh-CN"/>
              </w:rPr>
            </w:pPr>
            <w:r>
              <w:rPr>
                <w:rFonts w:hint="eastAsia" w:eastAsia="宋体"/>
                <w:lang w:val="en-US" w:eastAsia="zh-CN"/>
              </w:rPr>
              <w:t>438.59</w:t>
            </w:r>
          </w:p>
        </w:tc>
        <w:tc>
          <w:tcPr>
            <w:tcW w:w="0" w:type="auto"/>
            <w:vAlign w:val="top"/>
          </w:tcPr>
          <w:p w14:paraId="79B74738">
            <w:pPr>
              <w:pStyle w:val="10"/>
              <w:jc w:val="left"/>
              <w:rPr>
                <w:rFonts w:hint="default" w:eastAsia="宋体"/>
                <w:lang w:val="en-US" w:eastAsia="zh-CN"/>
              </w:rPr>
            </w:pPr>
            <w:r>
              <w:rPr>
                <w:rFonts w:hint="eastAsia" w:eastAsia="宋体"/>
                <w:lang w:val="en-US" w:eastAsia="zh-CN"/>
              </w:rPr>
              <w:t>1061.76</w:t>
            </w:r>
          </w:p>
        </w:tc>
        <w:tc>
          <w:tcPr>
            <w:tcW w:w="0" w:type="auto"/>
            <w:vAlign w:val="top"/>
          </w:tcPr>
          <w:p w14:paraId="1C3AACC2">
            <w:pPr>
              <w:pStyle w:val="10"/>
              <w:jc w:val="left"/>
              <w:rPr>
                <w:rFonts w:hint="default" w:eastAsia="宋体"/>
                <w:lang w:val="en-US" w:eastAsia="zh-CN"/>
              </w:rPr>
            </w:pPr>
            <w:r>
              <w:rPr>
                <w:rFonts w:hint="eastAsia" w:eastAsia="宋体"/>
                <w:lang w:val="en-US" w:eastAsia="zh-CN"/>
              </w:rPr>
              <w:t>1061.76</w:t>
            </w:r>
          </w:p>
        </w:tc>
        <w:tc>
          <w:tcPr>
            <w:tcW w:w="0" w:type="auto"/>
            <w:vAlign w:val="top"/>
          </w:tcPr>
          <w:p w14:paraId="00D4F1F1">
            <w:pPr>
              <w:spacing w:before="91" w:line="168" w:lineRule="exact"/>
              <w:ind w:left="236"/>
              <w:jc w:val="left"/>
              <w:rPr>
                <w:rFonts w:ascii="宋体" w:hAnsi="宋体" w:eastAsia="宋体" w:cs="宋体"/>
                <w:sz w:val="20"/>
                <w:szCs w:val="20"/>
              </w:rPr>
            </w:pPr>
            <w:r>
              <w:rPr>
                <w:rFonts w:ascii="宋体" w:hAnsi="宋体" w:eastAsia="宋体" w:cs="宋体"/>
                <w:spacing w:val="-6"/>
                <w:position w:val="-2"/>
                <w:sz w:val="20"/>
                <w:szCs w:val="20"/>
              </w:rPr>
              <w:t>10</w:t>
            </w:r>
          </w:p>
        </w:tc>
        <w:tc>
          <w:tcPr>
            <w:tcW w:w="0" w:type="auto"/>
            <w:vAlign w:val="top"/>
          </w:tcPr>
          <w:p w14:paraId="4A0BA28D">
            <w:pPr>
              <w:pStyle w:val="10"/>
              <w:jc w:val="left"/>
              <w:rPr>
                <w:rFonts w:hint="default" w:eastAsia="宋体"/>
                <w:lang w:val="en-US" w:eastAsia="zh-CN"/>
              </w:rPr>
            </w:pPr>
            <w:r>
              <w:rPr>
                <w:rFonts w:hint="eastAsia" w:eastAsia="宋体"/>
                <w:lang w:val="en-US" w:eastAsia="zh-CN"/>
              </w:rPr>
              <w:t>100%</w:t>
            </w:r>
          </w:p>
        </w:tc>
        <w:tc>
          <w:tcPr>
            <w:tcW w:w="0" w:type="auto"/>
            <w:vAlign w:val="top"/>
          </w:tcPr>
          <w:p w14:paraId="48D7350E">
            <w:pPr>
              <w:pStyle w:val="10"/>
              <w:jc w:val="left"/>
              <w:rPr>
                <w:rFonts w:hint="default" w:eastAsia="宋体"/>
                <w:lang w:val="en-US" w:eastAsia="zh-CN"/>
              </w:rPr>
            </w:pPr>
            <w:r>
              <w:rPr>
                <w:rFonts w:hint="eastAsia" w:eastAsia="宋体"/>
                <w:lang w:val="en-US" w:eastAsia="zh-CN"/>
              </w:rPr>
              <w:t>10</w:t>
            </w:r>
          </w:p>
        </w:tc>
      </w:tr>
      <w:tr w14:paraId="02069F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vAlign w:val="top"/>
          </w:tcPr>
          <w:p w14:paraId="24C1C095">
            <w:pPr>
              <w:pStyle w:val="10"/>
              <w:jc w:val="left"/>
            </w:pPr>
          </w:p>
        </w:tc>
        <w:tc>
          <w:tcPr>
            <w:tcW w:w="0" w:type="auto"/>
            <w:gridSpan w:val="4"/>
            <w:vAlign w:val="top"/>
          </w:tcPr>
          <w:p w14:paraId="13BDB280">
            <w:pPr>
              <w:spacing w:before="40" w:line="203" w:lineRule="auto"/>
              <w:ind w:left="431"/>
              <w:jc w:val="left"/>
              <w:rPr>
                <w:rFonts w:ascii="宋体" w:hAnsi="宋体" w:eastAsia="宋体" w:cs="宋体"/>
                <w:sz w:val="20"/>
                <w:szCs w:val="20"/>
              </w:rPr>
            </w:pPr>
            <w:r>
              <w:rPr>
                <w:rFonts w:ascii="宋体" w:hAnsi="宋体" w:eastAsia="宋体" w:cs="宋体"/>
                <w:spacing w:val="-1"/>
                <w:sz w:val="20"/>
                <w:szCs w:val="20"/>
              </w:rPr>
              <w:t>按收入性质分：</w:t>
            </w:r>
          </w:p>
        </w:tc>
        <w:tc>
          <w:tcPr>
            <w:tcW w:w="0" w:type="auto"/>
            <w:gridSpan w:val="4"/>
            <w:vAlign w:val="top"/>
          </w:tcPr>
          <w:p w14:paraId="2378C8D8">
            <w:pPr>
              <w:spacing w:before="40" w:line="203" w:lineRule="auto"/>
              <w:ind w:left="454"/>
              <w:jc w:val="left"/>
              <w:rPr>
                <w:rFonts w:ascii="宋体" w:hAnsi="宋体" w:eastAsia="宋体" w:cs="宋体"/>
                <w:sz w:val="20"/>
                <w:szCs w:val="20"/>
              </w:rPr>
            </w:pPr>
            <w:r>
              <w:rPr>
                <w:rFonts w:ascii="宋体" w:hAnsi="宋体" w:eastAsia="宋体" w:cs="宋体"/>
                <w:sz w:val="20"/>
                <w:szCs w:val="20"/>
              </w:rPr>
              <w:t>按支出性质分：</w:t>
            </w:r>
          </w:p>
        </w:tc>
      </w:tr>
      <w:tr w14:paraId="776A2E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0" w:type="auto"/>
            <w:vMerge w:val="continue"/>
            <w:tcBorders>
              <w:top w:val="nil"/>
              <w:bottom w:val="nil"/>
            </w:tcBorders>
            <w:vAlign w:val="top"/>
          </w:tcPr>
          <w:p w14:paraId="01334A62">
            <w:pPr>
              <w:pStyle w:val="10"/>
              <w:jc w:val="left"/>
            </w:pPr>
          </w:p>
        </w:tc>
        <w:tc>
          <w:tcPr>
            <w:tcW w:w="0" w:type="auto"/>
            <w:gridSpan w:val="4"/>
            <w:vAlign w:val="top"/>
          </w:tcPr>
          <w:p w14:paraId="0B33DCAA">
            <w:pPr>
              <w:spacing w:before="40" w:line="212" w:lineRule="auto"/>
              <w:ind w:left="421"/>
              <w:jc w:val="left"/>
              <w:rPr>
                <w:rFonts w:hint="default" w:ascii="宋体" w:hAnsi="宋体" w:eastAsia="宋体" w:cs="宋体"/>
                <w:sz w:val="20"/>
                <w:szCs w:val="20"/>
                <w:lang w:val="en-US" w:eastAsia="zh-CN"/>
              </w:rPr>
            </w:pPr>
            <w:r>
              <w:rPr>
                <w:rFonts w:ascii="宋体" w:hAnsi="宋体" w:eastAsia="宋体" w:cs="宋体"/>
                <w:spacing w:val="-12"/>
                <w:sz w:val="20"/>
                <w:szCs w:val="20"/>
              </w:rPr>
              <w:t>其中：</w:t>
            </w:r>
            <w:r>
              <w:rPr>
                <w:rFonts w:ascii="宋体" w:hAnsi="宋体" w:eastAsia="宋体" w:cs="宋体"/>
                <w:spacing w:val="20"/>
                <w:sz w:val="20"/>
                <w:szCs w:val="20"/>
              </w:rPr>
              <w:t xml:space="preserve"> </w:t>
            </w:r>
            <w:r>
              <w:rPr>
                <w:rFonts w:ascii="宋体" w:hAnsi="宋体" w:eastAsia="宋体" w:cs="宋体"/>
                <w:spacing w:val="-12"/>
                <w:sz w:val="20"/>
                <w:szCs w:val="20"/>
              </w:rPr>
              <w:t>一般公共预算：</w:t>
            </w:r>
            <w:r>
              <w:rPr>
                <w:rFonts w:hint="eastAsia" w:ascii="宋体" w:hAnsi="宋体" w:eastAsia="宋体" w:cs="宋体"/>
                <w:spacing w:val="-12"/>
                <w:sz w:val="20"/>
                <w:szCs w:val="20"/>
                <w:lang w:val="en-US" w:eastAsia="zh-CN"/>
              </w:rPr>
              <w:t>1061.76</w:t>
            </w:r>
          </w:p>
        </w:tc>
        <w:tc>
          <w:tcPr>
            <w:tcW w:w="0" w:type="auto"/>
            <w:gridSpan w:val="4"/>
            <w:vAlign w:val="top"/>
          </w:tcPr>
          <w:p w14:paraId="0892A189">
            <w:pPr>
              <w:spacing w:before="39" w:line="213" w:lineRule="auto"/>
              <w:ind w:left="454"/>
              <w:jc w:val="left"/>
              <w:rPr>
                <w:rFonts w:hint="default" w:ascii="宋体" w:hAnsi="宋体" w:eastAsia="宋体" w:cs="宋体"/>
                <w:sz w:val="20"/>
                <w:szCs w:val="20"/>
                <w:lang w:val="en-US" w:eastAsia="zh-CN"/>
              </w:rPr>
            </w:pPr>
            <w:r>
              <w:rPr>
                <w:rFonts w:ascii="宋体" w:hAnsi="宋体" w:eastAsia="宋体" w:cs="宋体"/>
                <w:sz w:val="20"/>
                <w:szCs w:val="20"/>
              </w:rPr>
              <w:t>其中：基本支出：</w:t>
            </w:r>
            <w:r>
              <w:rPr>
                <w:rFonts w:hint="eastAsia" w:ascii="宋体" w:hAnsi="宋体" w:eastAsia="宋体" w:cs="宋体"/>
                <w:sz w:val="20"/>
                <w:szCs w:val="20"/>
                <w:lang w:val="en-US" w:eastAsia="zh-CN"/>
              </w:rPr>
              <w:t>373.42</w:t>
            </w:r>
          </w:p>
        </w:tc>
      </w:tr>
      <w:tr w14:paraId="05C381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vAlign w:val="top"/>
          </w:tcPr>
          <w:p w14:paraId="145D6846">
            <w:pPr>
              <w:pStyle w:val="10"/>
              <w:jc w:val="left"/>
            </w:pPr>
          </w:p>
        </w:tc>
        <w:tc>
          <w:tcPr>
            <w:tcW w:w="0" w:type="auto"/>
            <w:gridSpan w:val="4"/>
            <w:vAlign w:val="top"/>
          </w:tcPr>
          <w:p w14:paraId="33A8F5A9">
            <w:pPr>
              <w:spacing w:before="38" w:line="204" w:lineRule="auto"/>
              <w:ind w:left="1031"/>
              <w:jc w:val="left"/>
              <w:rPr>
                <w:rFonts w:ascii="宋体" w:hAnsi="宋体" w:eastAsia="宋体" w:cs="宋体"/>
                <w:sz w:val="20"/>
                <w:szCs w:val="20"/>
              </w:rPr>
            </w:pPr>
            <w:r>
              <w:rPr>
                <w:rFonts w:ascii="宋体" w:hAnsi="宋体" w:eastAsia="宋体" w:cs="宋体"/>
                <w:spacing w:val="-1"/>
                <w:sz w:val="20"/>
                <w:szCs w:val="20"/>
              </w:rPr>
              <w:t>政府性基金拨款</w:t>
            </w:r>
          </w:p>
        </w:tc>
        <w:tc>
          <w:tcPr>
            <w:tcW w:w="0" w:type="auto"/>
            <w:gridSpan w:val="4"/>
            <w:vAlign w:val="top"/>
          </w:tcPr>
          <w:p w14:paraId="5A7F3420">
            <w:pPr>
              <w:spacing w:before="41" w:line="202" w:lineRule="auto"/>
              <w:ind w:left="1024"/>
              <w:jc w:val="left"/>
              <w:rPr>
                <w:rFonts w:hint="default" w:ascii="宋体" w:hAnsi="宋体" w:eastAsia="宋体" w:cs="宋体"/>
                <w:sz w:val="20"/>
                <w:szCs w:val="20"/>
                <w:lang w:val="en-US" w:eastAsia="zh-CN"/>
              </w:rPr>
            </w:pPr>
            <w:r>
              <w:rPr>
                <w:rFonts w:ascii="宋体" w:hAnsi="宋体" w:eastAsia="宋体" w:cs="宋体"/>
                <w:spacing w:val="-1"/>
                <w:sz w:val="20"/>
                <w:szCs w:val="20"/>
              </w:rPr>
              <w:t>项目支出：</w:t>
            </w:r>
            <w:r>
              <w:rPr>
                <w:rFonts w:hint="eastAsia" w:ascii="宋体" w:hAnsi="宋体" w:eastAsia="宋体" w:cs="宋体"/>
                <w:spacing w:val="-1"/>
                <w:sz w:val="20"/>
                <w:szCs w:val="20"/>
                <w:lang w:val="en-US" w:eastAsia="zh-CN"/>
              </w:rPr>
              <w:t>688.34</w:t>
            </w:r>
          </w:p>
        </w:tc>
      </w:tr>
      <w:tr w14:paraId="63D809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0" w:type="auto"/>
            <w:vMerge w:val="continue"/>
            <w:tcBorders>
              <w:top w:val="nil"/>
              <w:bottom w:val="nil"/>
            </w:tcBorders>
            <w:vAlign w:val="top"/>
          </w:tcPr>
          <w:p w14:paraId="3252FC01">
            <w:pPr>
              <w:pStyle w:val="10"/>
              <w:jc w:val="left"/>
            </w:pPr>
          </w:p>
        </w:tc>
        <w:tc>
          <w:tcPr>
            <w:tcW w:w="0" w:type="auto"/>
            <w:gridSpan w:val="4"/>
            <w:vAlign w:val="top"/>
          </w:tcPr>
          <w:p w14:paraId="2C191747">
            <w:pPr>
              <w:spacing w:before="50" w:line="211" w:lineRule="auto"/>
              <w:ind w:left="1031"/>
              <w:jc w:val="left"/>
              <w:rPr>
                <w:rFonts w:ascii="宋体" w:hAnsi="宋体" w:eastAsia="宋体" w:cs="宋体"/>
                <w:sz w:val="20"/>
                <w:szCs w:val="20"/>
              </w:rPr>
            </w:pPr>
            <w:r>
              <w:rPr>
                <w:rFonts w:ascii="宋体" w:hAnsi="宋体" w:eastAsia="宋体" w:cs="宋体"/>
                <w:spacing w:val="-1"/>
                <w:sz w:val="20"/>
                <w:szCs w:val="20"/>
              </w:rPr>
              <w:t>纳入专户管理的非税收入拨款：</w:t>
            </w:r>
          </w:p>
        </w:tc>
        <w:tc>
          <w:tcPr>
            <w:tcW w:w="0" w:type="auto"/>
            <w:gridSpan w:val="4"/>
            <w:vAlign w:val="top"/>
          </w:tcPr>
          <w:p w14:paraId="13758F59">
            <w:pPr>
              <w:pStyle w:val="10"/>
              <w:jc w:val="left"/>
            </w:pPr>
          </w:p>
        </w:tc>
      </w:tr>
      <w:tr w14:paraId="40348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tcBorders>
            <w:vAlign w:val="top"/>
          </w:tcPr>
          <w:p w14:paraId="2CC15D1A">
            <w:pPr>
              <w:pStyle w:val="10"/>
              <w:jc w:val="left"/>
            </w:pPr>
          </w:p>
        </w:tc>
        <w:tc>
          <w:tcPr>
            <w:tcW w:w="0" w:type="auto"/>
            <w:gridSpan w:val="4"/>
            <w:vAlign w:val="top"/>
          </w:tcPr>
          <w:p w14:paraId="2FB8E2D3">
            <w:pPr>
              <w:spacing w:before="42" w:line="201" w:lineRule="auto"/>
              <w:ind w:left="1031"/>
              <w:jc w:val="left"/>
              <w:rPr>
                <w:rFonts w:ascii="宋体" w:hAnsi="宋体" w:eastAsia="宋体" w:cs="宋体"/>
                <w:sz w:val="20"/>
                <w:szCs w:val="20"/>
              </w:rPr>
            </w:pPr>
            <w:r>
              <w:rPr>
                <w:rFonts w:ascii="宋体" w:hAnsi="宋体" w:eastAsia="宋体" w:cs="宋体"/>
                <w:spacing w:val="-1"/>
                <w:sz w:val="20"/>
                <w:szCs w:val="20"/>
              </w:rPr>
              <w:t>其他资金：</w:t>
            </w:r>
          </w:p>
        </w:tc>
        <w:tc>
          <w:tcPr>
            <w:tcW w:w="0" w:type="auto"/>
            <w:gridSpan w:val="4"/>
            <w:vAlign w:val="top"/>
          </w:tcPr>
          <w:p w14:paraId="26240B99">
            <w:pPr>
              <w:pStyle w:val="10"/>
              <w:jc w:val="left"/>
            </w:pPr>
          </w:p>
        </w:tc>
      </w:tr>
      <w:tr w14:paraId="75C0A3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restart"/>
            <w:tcBorders>
              <w:bottom w:val="nil"/>
            </w:tcBorders>
            <w:vAlign w:val="top"/>
          </w:tcPr>
          <w:p w14:paraId="4222D3C0">
            <w:pPr>
              <w:spacing w:before="30"/>
              <w:ind w:left="314" w:right="127" w:hanging="200"/>
              <w:jc w:val="left"/>
              <w:rPr>
                <w:rFonts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2"/>
                <w:sz w:val="20"/>
                <w:szCs w:val="20"/>
              </w:rPr>
              <w:t xml:space="preserve"> </w:t>
            </w:r>
            <w:r>
              <w:rPr>
                <w:rFonts w:ascii="宋体" w:hAnsi="宋体" w:eastAsia="宋体" w:cs="宋体"/>
                <w:spacing w:val="8"/>
                <w:sz w:val="20"/>
                <w:szCs w:val="20"/>
              </w:rPr>
              <w:t>目标</w:t>
            </w:r>
          </w:p>
        </w:tc>
        <w:tc>
          <w:tcPr>
            <w:tcW w:w="0" w:type="auto"/>
            <w:gridSpan w:val="4"/>
            <w:vAlign w:val="top"/>
          </w:tcPr>
          <w:p w14:paraId="078D5FBE">
            <w:pPr>
              <w:spacing w:before="42" w:line="201" w:lineRule="auto"/>
              <w:ind w:left="421"/>
              <w:jc w:val="left"/>
              <w:rPr>
                <w:rFonts w:ascii="宋体" w:hAnsi="宋体" w:eastAsia="宋体" w:cs="宋体"/>
                <w:sz w:val="20"/>
                <w:szCs w:val="20"/>
              </w:rPr>
            </w:pPr>
            <w:r>
              <w:rPr>
                <w:rFonts w:ascii="宋体" w:hAnsi="宋体" w:eastAsia="宋体" w:cs="宋体"/>
                <w:spacing w:val="-2"/>
                <w:sz w:val="20"/>
                <w:szCs w:val="20"/>
              </w:rPr>
              <w:t>预期目标</w:t>
            </w:r>
          </w:p>
        </w:tc>
        <w:tc>
          <w:tcPr>
            <w:tcW w:w="0" w:type="auto"/>
            <w:gridSpan w:val="4"/>
            <w:vAlign w:val="top"/>
          </w:tcPr>
          <w:p w14:paraId="4B36A48B">
            <w:pPr>
              <w:spacing w:before="41" w:line="202" w:lineRule="auto"/>
              <w:ind w:left="1684"/>
              <w:jc w:val="left"/>
              <w:rPr>
                <w:rFonts w:ascii="宋体" w:hAnsi="宋体" w:eastAsia="宋体" w:cs="宋体"/>
                <w:sz w:val="20"/>
                <w:szCs w:val="20"/>
              </w:rPr>
            </w:pPr>
            <w:r>
              <w:rPr>
                <w:rFonts w:ascii="宋体" w:hAnsi="宋体" w:eastAsia="宋体" w:cs="宋体"/>
                <w:spacing w:val="1"/>
                <w:sz w:val="20"/>
                <w:szCs w:val="20"/>
              </w:rPr>
              <w:t>实际完成情况</w:t>
            </w:r>
          </w:p>
        </w:tc>
      </w:tr>
      <w:tr w14:paraId="376EE8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0" w:type="auto"/>
            <w:vMerge w:val="continue"/>
            <w:tcBorders>
              <w:top w:val="nil"/>
            </w:tcBorders>
            <w:vAlign w:val="top"/>
          </w:tcPr>
          <w:p w14:paraId="26D6C187">
            <w:pPr>
              <w:pStyle w:val="10"/>
              <w:jc w:val="left"/>
            </w:pPr>
          </w:p>
        </w:tc>
        <w:tc>
          <w:tcPr>
            <w:tcW w:w="0" w:type="auto"/>
            <w:gridSpan w:val="4"/>
            <w:vAlign w:val="top"/>
          </w:tcPr>
          <w:p w14:paraId="2A5A4E29">
            <w:pPr>
              <w:pStyle w:val="10"/>
              <w:jc w:val="left"/>
              <w:rPr>
                <w:rFonts w:hint="eastAsia"/>
              </w:rPr>
            </w:pPr>
            <w:r>
              <w:rPr>
                <w:rFonts w:hint="eastAsia"/>
              </w:rPr>
              <w:t xml:space="preserve">1、做好综治、涉法涉诉、信访案件处理、化解社会矛盾、反恐反邪教维护国家安全、“双创”等日常工作，推进法治汨罗建设。2、维稳协调工作：做好重大节日安保，及时预防和化解群体性事件，协调好突发性和重大案（事）件，及时排查化解矛盾，定期研判稳定形势。3、开展好扫黑除恶常态化工作。 </w:t>
            </w:r>
          </w:p>
          <w:p w14:paraId="1C573384">
            <w:pPr>
              <w:pStyle w:val="10"/>
              <w:jc w:val="left"/>
              <w:rPr>
                <w:rFonts w:hint="eastAsia"/>
              </w:rPr>
            </w:pPr>
          </w:p>
          <w:p w14:paraId="43AA2119">
            <w:pPr>
              <w:pStyle w:val="10"/>
              <w:jc w:val="left"/>
            </w:pPr>
          </w:p>
        </w:tc>
        <w:tc>
          <w:tcPr>
            <w:tcW w:w="0" w:type="auto"/>
            <w:gridSpan w:val="4"/>
            <w:vAlign w:val="top"/>
          </w:tcPr>
          <w:p w14:paraId="5E39637A">
            <w:pPr>
              <w:pStyle w:val="10"/>
              <w:jc w:val="left"/>
              <w:rPr>
                <w:rFonts w:hint="eastAsia"/>
              </w:rPr>
            </w:pPr>
            <w:r>
              <w:rPr>
                <w:rFonts w:hint="eastAsia"/>
              </w:rPr>
              <w:t xml:space="preserve">1、做好综治、涉法涉诉、信访案件处理、化解社会矛盾、反恐反邪教维护国家安全、“双创”等日常工作，推进法治汨罗建设。2、维稳协调工作：做好重大节日安保，及时预防和化解群体性事件，协调好突发性和重大案（事）件，及时排查化解矛盾，定期研判稳定形势。3、开展好扫黑除恶常态化工作。 </w:t>
            </w:r>
          </w:p>
          <w:p w14:paraId="6944A233">
            <w:pPr>
              <w:pStyle w:val="10"/>
              <w:jc w:val="left"/>
            </w:pPr>
          </w:p>
        </w:tc>
      </w:tr>
      <w:tr w14:paraId="6F8B16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9" w:hRule="atLeast"/>
        </w:trPr>
        <w:tc>
          <w:tcPr>
            <w:tcW w:w="0" w:type="auto"/>
            <w:vMerge w:val="restart"/>
            <w:tcBorders>
              <w:bottom w:val="nil"/>
            </w:tcBorders>
            <w:textDirection w:val="tbRlV"/>
            <w:vAlign w:val="top"/>
          </w:tcPr>
          <w:p w14:paraId="604962C2">
            <w:pPr>
              <w:pStyle w:val="10"/>
              <w:spacing w:line="457" w:lineRule="auto"/>
              <w:jc w:val="left"/>
            </w:pPr>
          </w:p>
          <w:p w14:paraId="7F22DD54">
            <w:pPr>
              <w:spacing w:before="67" w:line="217" w:lineRule="auto"/>
              <w:ind w:left="2953"/>
              <w:jc w:val="left"/>
              <w:rPr>
                <w:rFonts w:ascii="宋体" w:hAnsi="宋体" w:eastAsia="宋体" w:cs="宋体"/>
                <w:sz w:val="20"/>
                <w:szCs w:val="20"/>
              </w:rPr>
            </w:pPr>
            <w:r>
              <w:rPr>
                <w:rFonts w:ascii="宋体" w:hAnsi="宋体" w:eastAsia="宋体" w:cs="宋体"/>
                <w:sz w:val="20"/>
                <w:szCs w:val="20"/>
              </w:rPr>
              <w:t>绩效指标</w:t>
            </w:r>
          </w:p>
        </w:tc>
        <w:tc>
          <w:tcPr>
            <w:tcW w:w="0" w:type="auto"/>
            <w:vAlign w:val="top"/>
          </w:tcPr>
          <w:p w14:paraId="609EC373">
            <w:pPr>
              <w:pStyle w:val="10"/>
              <w:spacing w:line="245" w:lineRule="auto"/>
              <w:jc w:val="left"/>
            </w:pPr>
          </w:p>
          <w:p w14:paraId="70AC6F81">
            <w:pPr>
              <w:spacing w:before="65" w:line="220" w:lineRule="auto"/>
              <w:ind w:left="111"/>
              <w:jc w:val="left"/>
              <w:rPr>
                <w:rFonts w:ascii="宋体" w:hAnsi="宋体" w:eastAsia="宋体" w:cs="宋体"/>
                <w:sz w:val="20"/>
                <w:szCs w:val="20"/>
              </w:rPr>
            </w:pPr>
            <w:r>
              <w:rPr>
                <w:rFonts w:ascii="宋体" w:hAnsi="宋体" w:eastAsia="宋体" w:cs="宋体"/>
                <w:spacing w:val="-3"/>
                <w:sz w:val="20"/>
                <w:szCs w:val="20"/>
              </w:rPr>
              <w:t>一级指标</w:t>
            </w:r>
          </w:p>
        </w:tc>
        <w:tc>
          <w:tcPr>
            <w:tcW w:w="0" w:type="auto"/>
            <w:vAlign w:val="top"/>
          </w:tcPr>
          <w:p w14:paraId="5F5A1F1E">
            <w:pPr>
              <w:pStyle w:val="10"/>
              <w:spacing w:line="245" w:lineRule="auto"/>
              <w:jc w:val="left"/>
            </w:pPr>
          </w:p>
          <w:p w14:paraId="59C49719">
            <w:pPr>
              <w:spacing w:before="65" w:line="220" w:lineRule="auto"/>
              <w:ind w:left="101"/>
              <w:jc w:val="left"/>
              <w:rPr>
                <w:rFonts w:ascii="宋体" w:hAnsi="宋体" w:eastAsia="宋体" w:cs="宋体"/>
                <w:sz w:val="20"/>
                <w:szCs w:val="20"/>
              </w:rPr>
            </w:pPr>
            <w:r>
              <w:rPr>
                <w:rFonts w:ascii="宋体" w:hAnsi="宋体" w:eastAsia="宋体" w:cs="宋体"/>
                <w:spacing w:val="-3"/>
                <w:sz w:val="20"/>
                <w:szCs w:val="20"/>
              </w:rPr>
              <w:t>二级指标</w:t>
            </w:r>
          </w:p>
        </w:tc>
        <w:tc>
          <w:tcPr>
            <w:tcW w:w="0" w:type="auto"/>
            <w:vAlign w:val="top"/>
          </w:tcPr>
          <w:p w14:paraId="176DA818">
            <w:pPr>
              <w:pStyle w:val="10"/>
              <w:spacing w:line="245" w:lineRule="auto"/>
              <w:jc w:val="left"/>
            </w:pPr>
          </w:p>
          <w:p w14:paraId="6A8A03D6">
            <w:pPr>
              <w:spacing w:before="65" w:line="220" w:lineRule="auto"/>
              <w:ind w:left="202"/>
              <w:jc w:val="left"/>
              <w:rPr>
                <w:rFonts w:ascii="宋体" w:hAnsi="宋体" w:eastAsia="宋体" w:cs="宋体"/>
                <w:sz w:val="20"/>
                <w:szCs w:val="20"/>
              </w:rPr>
            </w:pPr>
            <w:r>
              <w:rPr>
                <w:rFonts w:ascii="宋体" w:hAnsi="宋体" w:eastAsia="宋体" w:cs="宋体"/>
                <w:spacing w:val="-2"/>
                <w:sz w:val="20"/>
                <w:szCs w:val="20"/>
              </w:rPr>
              <w:t>三级指标</w:t>
            </w:r>
          </w:p>
        </w:tc>
        <w:tc>
          <w:tcPr>
            <w:tcW w:w="0" w:type="auto"/>
            <w:vAlign w:val="top"/>
          </w:tcPr>
          <w:p w14:paraId="293FF9CD">
            <w:pPr>
              <w:pStyle w:val="10"/>
              <w:spacing w:line="244" w:lineRule="auto"/>
              <w:jc w:val="left"/>
            </w:pPr>
          </w:p>
          <w:p w14:paraId="188DE957">
            <w:pPr>
              <w:spacing w:before="65" w:line="219" w:lineRule="auto"/>
              <w:ind w:left="143"/>
              <w:jc w:val="left"/>
              <w:rPr>
                <w:rFonts w:ascii="宋体" w:hAnsi="宋体" w:eastAsia="宋体" w:cs="宋体"/>
                <w:sz w:val="20"/>
                <w:szCs w:val="20"/>
              </w:rPr>
            </w:pPr>
            <w:r>
              <w:rPr>
                <w:rFonts w:ascii="宋体" w:hAnsi="宋体" w:eastAsia="宋体" w:cs="宋体"/>
                <w:spacing w:val="-2"/>
                <w:sz w:val="20"/>
                <w:szCs w:val="20"/>
              </w:rPr>
              <w:t>年度指标值</w:t>
            </w:r>
          </w:p>
        </w:tc>
        <w:tc>
          <w:tcPr>
            <w:tcW w:w="0" w:type="auto"/>
            <w:vAlign w:val="top"/>
          </w:tcPr>
          <w:p w14:paraId="334C3542">
            <w:pPr>
              <w:pStyle w:val="10"/>
              <w:spacing w:line="244" w:lineRule="auto"/>
              <w:jc w:val="left"/>
            </w:pPr>
          </w:p>
          <w:p w14:paraId="7B98EB1E">
            <w:pPr>
              <w:spacing w:before="65" w:line="219" w:lineRule="auto"/>
              <w:ind w:left="114"/>
              <w:jc w:val="left"/>
              <w:rPr>
                <w:rFonts w:ascii="宋体" w:hAnsi="宋体" w:eastAsia="宋体" w:cs="宋体"/>
                <w:sz w:val="20"/>
                <w:szCs w:val="20"/>
              </w:rPr>
            </w:pPr>
            <w:r>
              <w:rPr>
                <w:rFonts w:ascii="宋体" w:hAnsi="宋体" w:eastAsia="宋体" w:cs="宋体"/>
                <w:spacing w:val="1"/>
                <w:sz w:val="20"/>
                <w:szCs w:val="20"/>
              </w:rPr>
              <w:t>实际完成值</w:t>
            </w:r>
          </w:p>
        </w:tc>
        <w:tc>
          <w:tcPr>
            <w:tcW w:w="0" w:type="auto"/>
            <w:vAlign w:val="top"/>
          </w:tcPr>
          <w:p w14:paraId="5C532231">
            <w:pPr>
              <w:pStyle w:val="10"/>
              <w:spacing w:line="244" w:lineRule="auto"/>
              <w:jc w:val="left"/>
            </w:pPr>
          </w:p>
          <w:p w14:paraId="165BD61B">
            <w:pPr>
              <w:spacing w:before="65" w:line="219" w:lineRule="auto"/>
              <w:ind w:left="135"/>
              <w:jc w:val="left"/>
              <w:rPr>
                <w:rFonts w:ascii="宋体" w:hAnsi="宋体" w:eastAsia="宋体" w:cs="宋体"/>
                <w:sz w:val="20"/>
                <w:szCs w:val="20"/>
              </w:rPr>
            </w:pPr>
            <w:r>
              <w:rPr>
                <w:rFonts w:ascii="宋体" w:hAnsi="宋体" w:eastAsia="宋体" w:cs="宋体"/>
                <w:spacing w:val="-3"/>
                <w:sz w:val="20"/>
                <w:szCs w:val="20"/>
              </w:rPr>
              <w:t>分值</w:t>
            </w:r>
          </w:p>
        </w:tc>
        <w:tc>
          <w:tcPr>
            <w:tcW w:w="0" w:type="auto"/>
            <w:vAlign w:val="top"/>
          </w:tcPr>
          <w:p w14:paraId="4A05F191">
            <w:pPr>
              <w:pStyle w:val="10"/>
              <w:spacing w:line="244" w:lineRule="auto"/>
              <w:jc w:val="left"/>
            </w:pPr>
          </w:p>
          <w:p w14:paraId="6E32B6AF">
            <w:pPr>
              <w:spacing w:before="65" w:line="219" w:lineRule="auto"/>
              <w:ind w:left="216"/>
              <w:jc w:val="left"/>
              <w:rPr>
                <w:rFonts w:ascii="宋体" w:hAnsi="宋体" w:eastAsia="宋体" w:cs="宋体"/>
                <w:sz w:val="20"/>
                <w:szCs w:val="20"/>
              </w:rPr>
            </w:pPr>
            <w:r>
              <w:rPr>
                <w:rFonts w:ascii="宋体" w:hAnsi="宋体" w:eastAsia="宋体" w:cs="宋体"/>
                <w:spacing w:val="-3"/>
                <w:sz w:val="20"/>
                <w:szCs w:val="20"/>
              </w:rPr>
              <w:t>得分</w:t>
            </w:r>
          </w:p>
        </w:tc>
        <w:tc>
          <w:tcPr>
            <w:tcW w:w="0" w:type="auto"/>
            <w:vAlign w:val="top"/>
          </w:tcPr>
          <w:p w14:paraId="07A1673F">
            <w:pPr>
              <w:spacing w:before="51" w:line="219" w:lineRule="auto"/>
              <w:ind w:left="287"/>
              <w:jc w:val="left"/>
              <w:rPr>
                <w:rFonts w:ascii="宋体" w:hAnsi="宋体" w:eastAsia="宋体" w:cs="宋体"/>
                <w:sz w:val="20"/>
                <w:szCs w:val="20"/>
              </w:rPr>
            </w:pPr>
            <w:r>
              <w:rPr>
                <w:rFonts w:ascii="宋体" w:hAnsi="宋体" w:eastAsia="宋体" w:cs="宋体"/>
                <w:spacing w:val="5"/>
                <w:sz w:val="20"/>
                <w:szCs w:val="20"/>
              </w:rPr>
              <w:t>偏差原因</w:t>
            </w:r>
          </w:p>
          <w:p w14:paraId="47B7640B">
            <w:pPr>
              <w:spacing w:before="23" w:line="220" w:lineRule="auto"/>
              <w:ind w:left="387"/>
              <w:jc w:val="left"/>
              <w:rPr>
                <w:rFonts w:ascii="宋体" w:hAnsi="宋体" w:eastAsia="宋体" w:cs="宋体"/>
                <w:sz w:val="20"/>
                <w:szCs w:val="20"/>
              </w:rPr>
            </w:pPr>
            <w:r>
              <w:rPr>
                <w:rFonts w:ascii="宋体" w:hAnsi="宋体" w:eastAsia="宋体" w:cs="宋体"/>
                <w:spacing w:val="3"/>
                <w:sz w:val="20"/>
                <w:szCs w:val="20"/>
              </w:rPr>
              <w:t>分析及</w:t>
            </w:r>
          </w:p>
          <w:p w14:paraId="6ED33275">
            <w:pPr>
              <w:spacing w:before="41" w:line="201" w:lineRule="auto"/>
              <w:ind w:left="287"/>
              <w:jc w:val="left"/>
              <w:rPr>
                <w:rFonts w:ascii="宋体" w:hAnsi="宋体" w:eastAsia="宋体" w:cs="宋体"/>
                <w:sz w:val="20"/>
                <w:szCs w:val="20"/>
              </w:rPr>
            </w:pPr>
            <w:r>
              <w:rPr>
                <w:rFonts w:ascii="宋体" w:hAnsi="宋体" w:eastAsia="宋体" w:cs="宋体"/>
                <w:spacing w:val="2"/>
                <w:sz w:val="20"/>
                <w:szCs w:val="20"/>
              </w:rPr>
              <w:t>改进措施</w:t>
            </w:r>
          </w:p>
        </w:tc>
      </w:tr>
      <w:tr w14:paraId="05AEB7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61" w:hRule="atLeast"/>
        </w:trPr>
        <w:tc>
          <w:tcPr>
            <w:tcW w:w="0" w:type="auto"/>
            <w:vMerge w:val="continue"/>
            <w:tcBorders>
              <w:top w:val="nil"/>
              <w:bottom w:val="nil"/>
            </w:tcBorders>
            <w:textDirection w:val="tbRlV"/>
            <w:vAlign w:val="top"/>
          </w:tcPr>
          <w:p w14:paraId="2FFC78E4">
            <w:pPr>
              <w:pStyle w:val="10"/>
              <w:jc w:val="left"/>
            </w:pPr>
          </w:p>
        </w:tc>
        <w:tc>
          <w:tcPr>
            <w:tcW w:w="0" w:type="auto"/>
            <w:vMerge w:val="restart"/>
            <w:tcBorders>
              <w:bottom w:val="nil"/>
            </w:tcBorders>
            <w:vAlign w:val="top"/>
          </w:tcPr>
          <w:p w14:paraId="3EB6E726">
            <w:pPr>
              <w:pStyle w:val="10"/>
              <w:spacing w:line="277" w:lineRule="auto"/>
              <w:jc w:val="left"/>
            </w:pPr>
          </w:p>
          <w:p w14:paraId="2EB4B39F">
            <w:pPr>
              <w:pStyle w:val="10"/>
              <w:spacing w:line="278" w:lineRule="auto"/>
              <w:jc w:val="left"/>
            </w:pPr>
          </w:p>
          <w:p w14:paraId="62C5E6B2">
            <w:pPr>
              <w:spacing w:before="65" w:line="219" w:lineRule="auto"/>
              <w:ind w:left="111"/>
              <w:jc w:val="left"/>
              <w:rPr>
                <w:rFonts w:ascii="宋体" w:hAnsi="宋体" w:eastAsia="宋体" w:cs="宋体"/>
                <w:sz w:val="20"/>
                <w:szCs w:val="20"/>
              </w:rPr>
            </w:pPr>
            <w:r>
              <w:rPr>
                <w:rFonts w:ascii="宋体" w:hAnsi="宋体" w:eastAsia="宋体" w:cs="宋体"/>
                <w:spacing w:val="-2"/>
                <w:sz w:val="20"/>
                <w:szCs w:val="20"/>
              </w:rPr>
              <w:t>产出指标</w:t>
            </w:r>
          </w:p>
          <w:p w14:paraId="7A486870">
            <w:pPr>
              <w:spacing w:before="53" w:line="220" w:lineRule="auto"/>
              <w:ind w:left="210"/>
              <w:jc w:val="left"/>
              <w:rPr>
                <w:rFonts w:ascii="宋体" w:hAnsi="宋体" w:eastAsia="宋体" w:cs="宋体"/>
                <w:sz w:val="20"/>
                <w:szCs w:val="20"/>
              </w:rPr>
            </w:pPr>
            <w:r>
              <w:rPr>
                <w:rFonts w:ascii="宋体" w:hAnsi="宋体" w:eastAsia="宋体" w:cs="宋体"/>
                <w:spacing w:val="8"/>
                <w:sz w:val="20"/>
                <w:szCs w:val="20"/>
              </w:rPr>
              <w:t>(50分)</w:t>
            </w:r>
          </w:p>
        </w:tc>
        <w:tc>
          <w:tcPr>
            <w:tcW w:w="0" w:type="auto"/>
            <w:vMerge w:val="restart"/>
            <w:tcBorders>
              <w:bottom w:val="nil"/>
            </w:tcBorders>
            <w:vAlign w:val="top"/>
          </w:tcPr>
          <w:p w14:paraId="005DA2EA">
            <w:pPr>
              <w:spacing w:before="182" w:line="219" w:lineRule="auto"/>
              <w:ind w:left="101"/>
              <w:jc w:val="left"/>
              <w:rPr>
                <w:rFonts w:ascii="宋体" w:hAnsi="宋体" w:eastAsia="宋体" w:cs="宋体"/>
                <w:sz w:val="20"/>
                <w:szCs w:val="20"/>
              </w:rPr>
            </w:pPr>
            <w:r>
              <w:rPr>
                <w:rFonts w:ascii="宋体" w:hAnsi="宋体" w:eastAsia="宋体" w:cs="宋体"/>
                <w:spacing w:val="-2"/>
                <w:sz w:val="20"/>
                <w:szCs w:val="20"/>
              </w:rPr>
              <w:t>数量指标</w:t>
            </w:r>
          </w:p>
        </w:tc>
        <w:tc>
          <w:tcPr>
            <w:tcW w:w="0" w:type="auto"/>
            <w:vAlign w:val="top"/>
          </w:tcPr>
          <w:p w14:paraId="6B4FB1E5">
            <w:pPr>
              <w:pStyle w:val="10"/>
              <w:jc w:val="left"/>
              <w:rPr>
                <w:rFonts w:hint="default" w:eastAsia="宋体"/>
                <w:lang w:val="en-US" w:eastAsia="zh-CN"/>
              </w:rPr>
            </w:pPr>
            <w:r>
              <w:rPr>
                <w:rFonts w:hint="default" w:eastAsia="宋体"/>
                <w:lang w:val="en-US" w:eastAsia="zh-CN"/>
              </w:rPr>
              <w:t xml:space="preserve">1、网格化管理进一步完善 </w:t>
            </w:r>
          </w:p>
        </w:tc>
        <w:tc>
          <w:tcPr>
            <w:tcW w:w="0" w:type="auto"/>
            <w:vAlign w:val="top"/>
          </w:tcPr>
          <w:p w14:paraId="402626A6">
            <w:pPr>
              <w:pStyle w:val="10"/>
              <w:jc w:val="left"/>
              <w:rPr>
                <w:rFonts w:hint="default" w:eastAsia="宋体"/>
                <w:lang w:val="en-US" w:eastAsia="zh-CN"/>
              </w:rPr>
            </w:pPr>
            <w:r>
              <w:rPr>
                <w:rFonts w:hint="eastAsia" w:eastAsia="宋体"/>
                <w:lang w:val="en-US" w:eastAsia="zh-CN"/>
              </w:rPr>
              <w:t xml:space="preserve">100                                                                                      </w:t>
            </w:r>
          </w:p>
        </w:tc>
        <w:tc>
          <w:tcPr>
            <w:tcW w:w="0" w:type="auto"/>
            <w:vAlign w:val="top"/>
          </w:tcPr>
          <w:p w14:paraId="106BAB55">
            <w:pPr>
              <w:pStyle w:val="10"/>
              <w:jc w:val="left"/>
              <w:rPr>
                <w:rFonts w:hint="default" w:eastAsia="宋体"/>
                <w:lang w:val="en-US" w:eastAsia="zh-CN"/>
              </w:rPr>
            </w:pPr>
            <w:r>
              <w:rPr>
                <w:rFonts w:hint="eastAsia" w:eastAsia="宋体"/>
                <w:lang w:val="en-US" w:eastAsia="zh-CN"/>
              </w:rPr>
              <w:t>95</w:t>
            </w:r>
          </w:p>
        </w:tc>
        <w:tc>
          <w:tcPr>
            <w:tcW w:w="0" w:type="auto"/>
            <w:vAlign w:val="top"/>
          </w:tcPr>
          <w:p w14:paraId="4610CCA7">
            <w:pPr>
              <w:pStyle w:val="10"/>
              <w:jc w:val="left"/>
              <w:rPr>
                <w:rFonts w:hint="default" w:eastAsia="宋体"/>
                <w:lang w:val="en-US" w:eastAsia="zh-CN"/>
              </w:rPr>
            </w:pPr>
            <w:r>
              <w:rPr>
                <w:rFonts w:hint="eastAsia" w:eastAsia="宋体"/>
                <w:lang w:val="en-US" w:eastAsia="zh-CN"/>
              </w:rPr>
              <w:t>6</w:t>
            </w:r>
          </w:p>
        </w:tc>
        <w:tc>
          <w:tcPr>
            <w:tcW w:w="0" w:type="auto"/>
            <w:tcBorders>
              <w:bottom w:val="single" w:color="auto" w:sz="4" w:space="0"/>
              <w:right w:val="single" w:color="auto" w:sz="4" w:space="0"/>
            </w:tcBorders>
            <w:vAlign w:val="top"/>
          </w:tcPr>
          <w:p w14:paraId="7E5CEA4E">
            <w:pPr>
              <w:pStyle w:val="10"/>
              <w:jc w:val="left"/>
              <w:rPr>
                <w:rFonts w:hint="default"/>
                <w:lang w:val="en-US" w:eastAsia="zh-CN"/>
              </w:rPr>
            </w:pPr>
            <w:r>
              <w:rPr>
                <w:rFonts w:hint="eastAsia" w:eastAsia="宋体"/>
                <w:lang w:val="en-US" w:eastAsia="zh-CN"/>
              </w:rPr>
              <w:t>5</w:t>
            </w:r>
          </w:p>
          <w:tbl>
            <w:tblPr>
              <w:tblStyle w:val="6"/>
              <w:tblW w:w="0" w:type="auto"/>
              <w:tblInd w:w="-102"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40"/>
            </w:tblGrid>
            <w:tr w14:paraId="45693B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25" w:hRule="atLeast"/>
              </w:trPr>
              <w:tc>
                <w:tcPr>
                  <w:tcW w:w="240" w:type="dxa"/>
                  <w:tcBorders>
                    <w:top w:val="nil"/>
                    <w:left w:val="single" w:color="000000" w:sz="4" w:space="0"/>
                    <w:bottom w:val="nil"/>
                    <w:right w:val="nil"/>
                  </w:tcBorders>
                  <w:shd w:val="clear" w:color="auto" w:fill="FFFFFF"/>
                  <w:vAlign w:val="center"/>
                </w:tcPr>
                <w:p w14:paraId="64BB4435">
                  <w:pPr>
                    <w:rPr>
                      <w:rFonts w:hint="default"/>
                      <w:lang w:val="en-US"/>
                    </w:rPr>
                  </w:pPr>
                </w:p>
              </w:tc>
            </w:tr>
          </w:tbl>
          <w:p w14:paraId="6EE88D78">
            <w:pPr>
              <w:pStyle w:val="10"/>
              <w:jc w:val="left"/>
            </w:pPr>
          </w:p>
        </w:tc>
        <w:tc>
          <w:tcPr>
            <w:tcW w:w="0" w:type="auto"/>
            <w:tcBorders>
              <w:left w:val="single" w:color="auto" w:sz="4" w:space="0"/>
              <w:bottom w:val="single" w:color="auto" w:sz="4" w:space="0"/>
            </w:tcBorders>
            <w:vAlign w:val="top"/>
          </w:tcPr>
          <w:p w14:paraId="7B7DA1C5">
            <w:pPr>
              <w:pStyle w:val="10"/>
              <w:jc w:val="left"/>
            </w:pPr>
          </w:p>
        </w:tc>
      </w:tr>
      <w:tr w14:paraId="17D1F4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2242EA55">
            <w:pPr>
              <w:pStyle w:val="10"/>
              <w:jc w:val="left"/>
            </w:pPr>
          </w:p>
        </w:tc>
        <w:tc>
          <w:tcPr>
            <w:tcW w:w="0" w:type="auto"/>
            <w:vMerge w:val="continue"/>
            <w:vAlign w:val="top"/>
          </w:tcPr>
          <w:p w14:paraId="2A33CD8D">
            <w:pPr>
              <w:spacing w:before="53" w:line="220" w:lineRule="auto"/>
              <w:ind w:left="210"/>
              <w:jc w:val="left"/>
              <w:rPr>
                <w:rFonts w:ascii="宋体" w:hAnsi="宋体" w:eastAsia="宋体" w:cs="宋体"/>
                <w:spacing w:val="8"/>
                <w:sz w:val="20"/>
                <w:szCs w:val="20"/>
              </w:rPr>
            </w:pPr>
          </w:p>
        </w:tc>
        <w:tc>
          <w:tcPr>
            <w:tcW w:w="0" w:type="auto"/>
            <w:vMerge w:val="continue"/>
            <w:vAlign w:val="top"/>
          </w:tcPr>
          <w:p w14:paraId="416F73CF">
            <w:pPr>
              <w:spacing w:before="182" w:line="219" w:lineRule="auto"/>
              <w:ind w:left="101"/>
              <w:jc w:val="left"/>
              <w:rPr>
                <w:rFonts w:ascii="宋体" w:hAnsi="宋体" w:eastAsia="宋体" w:cs="宋体"/>
                <w:spacing w:val="-2"/>
                <w:sz w:val="20"/>
                <w:szCs w:val="20"/>
              </w:rPr>
            </w:pPr>
          </w:p>
        </w:tc>
        <w:tc>
          <w:tcPr>
            <w:tcW w:w="0" w:type="auto"/>
            <w:vAlign w:val="top"/>
          </w:tcPr>
          <w:p w14:paraId="62145E48">
            <w:pPr>
              <w:pStyle w:val="10"/>
              <w:jc w:val="left"/>
              <w:rPr>
                <w:rFonts w:hint="default" w:eastAsia="宋体"/>
                <w:lang w:val="en-US" w:eastAsia="zh-CN"/>
              </w:rPr>
            </w:pPr>
            <w:r>
              <w:rPr>
                <w:rFonts w:hint="default" w:eastAsia="宋体"/>
                <w:lang w:val="en-US" w:eastAsia="zh-CN"/>
              </w:rPr>
              <w:t>2.综治民调全年1次，创全省</w:t>
            </w:r>
            <w:r>
              <w:rPr>
                <w:rFonts w:hint="eastAsia" w:eastAsia="宋体"/>
                <w:lang w:val="en-US" w:eastAsia="zh-CN"/>
              </w:rPr>
              <w:t>先进</w:t>
            </w:r>
            <w:r>
              <w:rPr>
                <w:rFonts w:hint="default" w:eastAsia="宋体"/>
                <w:lang w:val="en-US" w:eastAsia="zh-CN"/>
              </w:rPr>
              <w:t>。</w:t>
            </w:r>
          </w:p>
        </w:tc>
        <w:tc>
          <w:tcPr>
            <w:tcW w:w="0" w:type="auto"/>
            <w:vAlign w:val="top"/>
          </w:tcPr>
          <w:p w14:paraId="5DDEB5DB">
            <w:pPr>
              <w:pStyle w:val="10"/>
              <w:jc w:val="left"/>
            </w:pPr>
            <w:r>
              <w:rPr>
                <w:rFonts w:hint="eastAsia" w:eastAsia="宋体"/>
                <w:lang w:val="en-US" w:eastAsia="zh-CN"/>
              </w:rPr>
              <w:t xml:space="preserve">100%  </w:t>
            </w:r>
          </w:p>
        </w:tc>
        <w:tc>
          <w:tcPr>
            <w:tcW w:w="0" w:type="auto"/>
            <w:vAlign w:val="top"/>
          </w:tcPr>
          <w:p w14:paraId="109BE7C9">
            <w:pPr>
              <w:pStyle w:val="10"/>
              <w:jc w:val="left"/>
              <w:rPr>
                <w:rFonts w:hint="default" w:eastAsia="宋体"/>
                <w:lang w:val="en-US" w:eastAsia="zh-CN"/>
              </w:rPr>
            </w:pPr>
            <w:r>
              <w:rPr>
                <w:rFonts w:hint="eastAsia" w:eastAsia="宋体"/>
                <w:lang w:val="en-US" w:eastAsia="zh-CN"/>
              </w:rPr>
              <w:t>90%</w:t>
            </w:r>
          </w:p>
        </w:tc>
        <w:tc>
          <w:tcPr>
            <w:tcW w:w="0" w:type="auto"/>
            <w:vAlign w:val="top"/>
          </w:tcPr>
          <w:p w14:paraId="6A839041">
            <w:pPr>
              <w:pStyle w:val="10"/>
              <w:jc w:val="left"/>
              <w:rPr>
                <w:rFonts w:hint="default" w:eastAsia="宋体"/>
                <w:lang w:val="en-US" w:eastAsia="zh-CN"/>
              </w:rPr>
            </w:pPr>
            <w:r>
              <w:rPr>
                <w:rFonts w:hint="eastAsia" w:eastAsia="宋体"/>
                <w:lang w:val="en-US" w:eastAsia="zh-CN"/>
              </w:rPr>
              <w:t>6</w:t>
            </w:r>
          </w:p>
        </w:tc>
        <w:tc>
          <w:tcPr>
            <w:tcW w:w="0" w:type="auto"/>
            <w:tcBorders>
              <w:top w:val="single" w:color="auto" w:sz="4" w:space="0"/>
            </w:tcBorders>
            <w:vAlign w:val="top"/>
          </w:tcPr>
          <w:p w14:paraId="2F16D67D">
            <w:pPr>
              <w:pStyle w:val="10"/>
              <w:jc w:val="left"/>
              <w:rPr>
                <w:rFonts w:hint="default" w:eastAsia="宋体"/>
                <w:lang w:val="en-US" w:eastAsia="zh-CN"/>
              </w:rPr>
            </w:pPr>
            <w:r>
              <w:rPr>
                <w:rFonts w:hint="eastAsia" w:eastAsia="宋体"/>
                <w:lang w:val="en-US" w:eastAsia="zh-CN"/>
              </w:rPr>
              <w:t>5</w:t>
            </w:r>
          </w:p>
        </w:tc>
        <w:tc>
          <w:tcPr>
            <w:tcW w:w="0" w:type="auto"/>
            <w:tcBorders>
              <w:top w:val="single" w:color="auto" w:sz="4" w:space="0"/>
            </w:tcBorders>
            <w:vAlign w:val="top"/>
          </w:tcPr>
          <w:p w14:paraId="52C89749">
            <w:pPr>
              <w:pStyle w:val="10"/>
              <w:jc w:val="left"/>
              <w:rPr>
                <w:rFonts w:hint="eastAsia" w:eastAsia="宋体"/>
                <w:b/>
                <w:bCs/>
                <w:lang w:eastAsia="zh-CN"/>
              </w:rPr>
            </w:pPr>
          </w:p>
        </w:tc>
      </w:tr>
      <w:tr w14:paraId="0A16E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 w:hRule="atLeast"/>
        </w:trPr>
        <w:tc>
          <w:tcPr>
            <w:tcW w:w="0" w:type="auto"/>
            <w:vMerge w:val="continue"/>
            <w:tcBorders>
              <w:top w:val="nil"/>
              <w:bottom w:val="nil"/>
            </w:tcBorders>
            <w:textDirection w:val="tbRlV"/>
            <w:vAlign w:val="top"/>
          </w:tcPr>
          <w:p w14:paraId="060C6A3C">
            <w:pPr>
              <w:pStyle w:val="10"/>
              <w:jc w:val="left"/>
            </w:pPr>
          </w:p>
        </w:tc>
        <w:tc>
          <w:tcPr>
            <w:tcW w:w="0" w:type="auto"/>
            <w:vMerge w:val="continue"/>
            <w:vAlign w:val="top"/>
          </w:tcPr>
          <w:p w14:paraId="553F1B5B">
            <w:pPr>
              <w:spacing w:before="53" w:line="220" w:lineRule="auto"/>
              <w:ind w:left="210"/>
              <w:jc w:val="left"/>
              <w:rPr>
                <w:rFonts w:ascii="宋体" w:hAnsi="宋体" w:eastAsia="宋体" w:cs="宋体"/>
                <w:spacing w:val="8"/>
                <w:sz w:val="20"/>
                <w:szCs w:val="20"/>
              </w:rPr>
            </w:pPr>
          </w:p>
        </w:tc>
        <w:tc>
          <w:tcPr>
            <w:tcW w:w="0" w:type="auto"/>
            <w:vMerge w:val="continue"/>
            <w:vAlign w:val="top"/>
          </w:tcPr>
          <w:p w14:paraId="398BE0D3">
            <w:pPr>
              <w:spacing w:before="182" w:line="219" w:lineRule="auto"/>
              <w:ind w:left="101"/>
              <w:jc w:val="left"/>
              <w:rPr>
                <w:rFonts w:ascii="宋体" w:hAnsi="宋体" w:eastAsia="宋体" w:cs="宋体"/>
                <w:spacing w:val="-2"/>
                <w:sz w:val="20"/>
                <w:szCs w:val="20"/>
              </w:rPr>
            </w:pPr>
          </w:p>
        </w:tc>
        <w:tc>
          <w:tcPr>
            <w:tcW w:w="0" w:type="auto"/>
            <w:vAlign w:val="top"/>
          </w:tcPr>
          <w:p w14:paraId="400E4C6C">
            <w:pPr>
              <w:pStyle w:val="10"/>
              <w:jc w:val="left"/>
              <w:rPr>
                <w:rFonts w:hint="default" w:eastAsia="宋体"/>
                <w:lang w:val="en-US" w:eastAsia="zh-CN"/>
              </w:rPr>
            </w:pPr>
            <w:r>
              <w:rPr>
                <w:rFonts w:hint="default" w:eastAsia="宋体"/>
                <w:lang w:val="en-US" w:eastAsia="zh-CN"/>
              </w:rPr>
              <w:t>3、扫黑除恶常态化</w:t>
            </w:r>
            <w:r>
              <w:rPr>
                <w:rFonts w:hint="eastAsia" w:eastAsia="宋体"/>
                <w:lang w:val="en-US" w:eastAsia="zh-CN"/>
              </w:rPr>
              <w:t>及宣传</w:t>
            </w:r>
            <w:r>
              <w:rPr>
                <w:rFonts w:hint="default" w:eastAsia="宋体"/>
                <w:lang w:val="en-US" w:eastAsia="zh-CN"/>
              </w:rPr>
              <w:t>工作持续开展。</w:t>
            </w:r>
          </w:p>
        </w:tc>
        <w:tc>
          <w:tcPr>
            <w:tcW w:w="0" w:type="auto"/>
            <w:vAlign w:val="top"/>
          </w:tcPr>
          <w:p w14:paraId="72B63C69">
            <w:pPr>
              <w:pStyle w:val="10"/>
              <w:jc w:val="left"/>
            </w:pPr>
            <w:r>
              <w:rPr>
                <w:rFonts w:hint="eastAsia" w:eastAsia="宋体"/>
                <w:lang w:val="en-US" w:eastAsia="zh-CN"/>
              </w:rPr>
              <w:t xml:space="preserve">100%  </w:t>
            </w:r>
          </w:p>
        </w:tc>
        <w:tc>
          <w:tcPr>
            <w:tcW w:w="0" w:type="auto"/>
            <w:vAlign w:val="top"/>
          </w:tcPr>
          <w:p w14:paraId="2CBA368D">
            <w:pPr>
              <w:pStyle w:val="10"/>
              <w:jc w:val="left"/>
              <w:rPr>
                <w:rFonts w:hint="default" w:eastAsia="宋体"/>
                <w:lang w:val="en-US" w:eastAsia="zh-CN"/>
              </w:rPr>
            </w:pPr>
            <w:r>
              <w:rPr>
                <w:rFonts w:hint="eastAsia" w:eastAsia="宋体"/>
                <w:lang w:val="en-US" w:eastAsia="zh-CN"/>
              </w:rPr>
              <w:t>95%</w:t>
            </w:r>
          </w:p>
        </w:tc>
        <w:tc>
          <w:tcPr>
            <w:tcW w:w="0" w:type="auto"/>
            <w:vAlign w:val="top"/>
          </w:tcPr>
          <w:p w14:paraId="7AAC465A">
            <w:pPr>
              <w:pStyle w:val="10"/>
              <w:jc w:val="left"/>
              <w:rPr>
                <w:rFonts w:hint="default" w:eastAsia="宋体"/>
                <w:lang w:val="en-US" w:eastAsia="zh-CN"/>
              </w:rPr>
            </w:pPr>
            <w:r>
              <w:rPr>
                <w:rFonts w:hint="eastAsia" w:eastAsia="宋体"/>
                <w:lang w:val="en-US" w:eastAsia="zh-CN"/>
              </w:rPr>
              <w:t>6</w:t>
            </w:r>
          </w:p>
        </w:tc>
        <w:tc>
          <w:tcPr>
            <w:tcW w:w="0" w:type="auto"/>
            <w:vAlign w:val="top"/>
          </w:tcPr>
          <w:p w14:paraId="3D6BD989">
            <w:pPr>
              <w:pStyle w:val="10"/>
              <w:jc w:val="left"/>
              <w:rPr>
                <w:rFonts w:hint="default" w:eastAsia="宋体"/>
                <w:lang w:val="en-US" w:eastAsia="zh-CN"/>
              </w:rPr>
            </w:pPr>
            <w:r>
              <w:rPr>
                <w:rFonts w:hint="eastAsia" w:eastAsia="宋体"/>
                <w:lang w:val="en-US" w:eastAsia="zh-CN"/>
              </w:rPr>
              <w:t>6</w:t>
            </w:r>
          </w:p>
        </w:tc>
        <w:tc>
          <w:tcPr>
            <w:tcW w:w="0" w:type="auto"/>
            <w:vAlign w:val="top"/>
          </w:tcPr>
          <w:p w14:paraId="6C9FD83C">
            <w:pPr>
              <w:pStyle w:val="10"/>
              <w:jc w:val="left"/>
            </w:pPr>
          </w:p>
        </w:tc>
      </w:tr>
      <w:tr w14:paraId="09D253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57" w:hRule="atLeast"/>
        </w:trPr>
        <w:tc>
          <w:tcPr>
            <w:tcW w:w="0" w:type="auto"/>
            <w:vMerge w:val="continue"/>
            <w:tcBorders>
              <w:top w:val="nil"/>
              <w:bottom w:val="nil"/>
            </w:tcBorders>
            <w:textDirection w:val="tbRlV"/>
            <w:vAlign w:val="top"/>
          </w:tcPr>
          <w:p w14:paraId="389E9C33">
            <w:pPr>
              <w:pStyle w:val="10"/>
              <w:jc w:val="left"/>
            </w:pPr>
          </w:p>
        </w:tc>
        <w:tc>
          <w:tcPr>
            <w:tcW w:w="0" w:type="auto"/>
            <w:vMerge w:val="continue"/>
            <w:vAlign w:val="top"/>
          </w:tcPr>
          <w:p w14:paraId="27AD0304">
            <w:pPr>
              <w:spacing w:before="53" w:line="220" w:lineRule="auto"/>
              <w:ind w:left="210"/>
              <w:jc w:val="left"/>
              <w:rPr>
                <w:rFonts w:ascii="宋体" w:hAnsi="宋体" w:eastAsia="宋体" w:cs="宋体"/>
                <w:spacing w:val="8"/>
                <w:sz w:val="20"/>
                <w:szCs w:val="20"/>
              </w:rPr>
            </w:pPr>
          </w:p>
        </w:tc>
        <w:tc>
          <w:tcPr>
            <w:tcW w:w="0" w:type="auto"/>
            <w:vMerge w:val="continue"/>
            <w:vAlign w:val="top"/>
          </w:tcPr>
          <w:p w14:paraId="3DE14769">
            <w:pPr>
              <w:spacing w:before="182" w:line="219" w:lineRule="auto"/>
              <w:ind w:left="101"/>
              <w:jc w:val="left"/>
              <w:rPr>
                <w:rFonts w:ascii="宋体" w:hAnsi="宋体" w:eastAsia="宋体" w:cs="宋体"/>
                <w:spacing w:val="-2"/>
                <w:sz w:val="20"/>
                <w:szCs w:val="20"/>
              </w:rPr>
            </w:pPr>
          </w:p>
        </w:tc>
        <w:tc>
          <w:tcPr>
            <w:tcW w:w="0" w:type="auto"/>
            <w:vAlign w:val="top"/>
          </w:tcPr>
          <w:p w14:paraId="72AB5214">
            <w:pPr>
              <w:pStyle w:val="10"/>
              <w:jc w:val="left"/>
              <w:rPr>
                <w:rFonts w:hint="default" w:eastAsia="宋体"/>
                <w:lang w:val="en-US" w:eastAsia="zh-CN"/>
              </w:rPr>
            </w:pPr>
            <w:r>
              <w:rPr>
                <w:rFonts w:hint="default" w:eastAsia="宋体"/>
                <w:lang w:val="en-US" w:eastAsia="zh-CN"/>
              </w:rPr>
              <w:t>4.维护大局稳定，</w:t>
            </w:r>
            <w:r>
              <w:rPr>
                <w:rFonts w:hint="eastAsia" w:eastAsia="宋体"/>
                <w:lang w:val="en-US" w:eastAsia="zh-CN"/>
              </w:rPr>
              <w:t>减少越级上访</w:t>
            </w:r>
          </w:p>
        </w:tc>
        <w:tc>
          <w:tcPr>
            <w:tcW w:w="0" w:type="auto"/>
            <w:vAlign w:val="top"/>
          </w:tcPr>
          <w:p w14:paraId="6B2E1279">
            <w:pPr>
              <w:pStyle w:val="10"/>
              <w:jc w:val="left"/>
            </w:pPr>
            <w:r>
              <w:rPr>
                <w:rFonts w:hint="eastAsia" w:eastAsia="宋体"/>
                <w:lang w:val="en-US" w:eastAsia="zh-CN"/>
              </w:rPr>
              <w:t xml:space="preserve">100%  </w:t>
            </w:r>
          </w:p>
        </w:tc>
        <w:tc>
          <w:tcPr>
            <w:tcW w:w="0" w:type="auto"/>
            <w:vAlign w:val="top"/>
          </w:tcPr>
          <w:p w14:paraId="0AB1D695">
            <w:pPr>
              <w:pStyle w:val="10"/>
              <w:jc w:val="left"/>
              <w:rPr>
                <w:rFonts w:hint="default" w:eastAsia="宋体"/>
                <w:lang w:val="en-US" w:eastAsia="zh-CN"/>
              </w:rPr>
            </w:pPr>
            <w:r>
              <w:rPr>
                <w:rFonts w:hint="eastAsia" w:eastAsia="宋体"/>
                <w:lang w:val="en-US" w:eastAsia="zh-CN"/>
              </w:rPr>
              <w:t>90%</w:t>
            </w:r>
          </w:p>
        </w:tc>
        <w:tc>
          <w:tcPr>
            <w:tcW w:w="0" w:type="auto"/>
            <w:vAlign w:val="top"/>
          </w:tcPr>
          <w:p w14:paraId="4AB45E24">
            <w:pPr>
              <w:pStyle w:val="10"/>
              <w:jc w:val="left"/>
              <w:rPr>
                <w:rFonts w:hint="default" w:eastAsia="宋体"/>
                <w:lang w:val="en-US" w:eastAsia="zh-CN"/>
              </w:rPr>
            </w:pPr>
            <w:r>
              <w:rPr>
                <w:rFonts w:hint="eastAsia" w:eastAsia="宋体"/>
                <w:lang w:val="en-US" w:eastAsia="zh-CN"/>
              </w:rPr>
              <w:t>6</w:t>
            </w:r>
          </w:p>
        </w:tc>
        <w:tc>
          <w:tcPr>
            <w:tcW w:w="0" w:type="auto"/>
            <w:vAlign w:val="top"/>
          </w:tcPr>
          <w:p w14:paraId="6D35E24F">
            <w:pPr>
              <w:pStyle w:val="10"/>
              <w:jc w:val="left"/>
              <w:rPr>
                <w:rFonts w:hint="default" w:eastAsia="宋体"/>
                <w:lang w:val="en-US" w:eastAsia="zh-CN"/>
              </w:rPr>
            </w:pPr>
            <w:r>
              <w:rPr>
                <w:rFonts w:hint="eastAsia" w:eastAsia="宋体"/>
                <w:lang w:val="en-US" w:eastAsia="zh-CN"/>
              </w:rPr>
              <w:t>5</w:t>
            </w:r>
          </w:p>
        </w:tc>
        <w:tc>
          <w:tcPr>
            <w:tcW w:w="0" w:type="auto"/>
            <w:vAlign w:val="top"/>
          </w:tcPr>
          <w:p w14:paraId="3F3FD29E">
            <w:pPr>
              <w:pStyle w:val="10"/>
              <w:jc w:val="left"/>
              <w:rPr>
                <w:rFonts w:hint="eastAsia" w:eastAsia="宋体"/>
                <w:lang w:eastAsia="zh-CN"/>
              </w:rPr>
            </w:pPr>
            <w:r>
              <w:rPr>
                <w:rFonts w:hint="eastAsia" w:eastAsia="宋体"/>
                <w:lang w:val="en-US" w:eastAsia="zh-CN"/>
              </w:rPr>
              <w:t xml:space="preserve"> </w:t>
            </w:r>
          </w:p>
        </w:tc>
      </w:tr>
      <w:tr w14:paraId="5B38BA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66210E1E">
            <w:pPr>
              <w:pStyle w:val="10"/>
              <w:jc w:val="left"/>
            </w:pPr>
          </w:p>
        </w:tc>
        <w:tc>
          <w:tcPr>
            <w:tcW w:w="0" w:type="auto"/>
            <w:vMerge w:val="continue"/>
            <w:tcBorders>
              <w:top w:val="nil"/>
              <w:bottom w:val="nil"/>
            </w:tcBorders>
            <w:vAlign w:val="top"/>
          </w:tcPr>
          <w:p w14:paraId="5A899F1B">
            <w:pPr>
              <w:pStyle w:val="10"/>
              <w:jc w:val="left"/>
            </w:pPr>
          </w:p>
        </w:tc>
        <w:tc>
          <w:tcPr>
            <w:tcW w:w="0" w:type="auto"/>
            <w:vMerge w:val="continue"/>
            <w:tcBorders>
              <w:top w:val="nil"/>
            </w:tcBorders>
            <w:vAlign w:val="top"/>
          </w:tcPr>
          <w:p w14:paraId="650A9B23">
            <w:pPr>
              <w:pStyle w:val="10"/>
              <w:jc w:val="left"/>
            </w:pPr>
          </w:p>
        </w:tc>
        <w:tc>
          <w:tcPr>
            <w:tcW w:w="0" w:type="auto"/>
            <w:vAlign w:val="top"/>
          </w:tcPr>
          <w:p w14:paraId="0CBF7963">
            <w:pPr>
              <w:pStyle w:val="10"/>
              <w:jc w:val="left"/>
            </w:pPr>
            <w:r>
              <w:rPr>
                <w:rFonts w:hint="eastAsia"/>
              </w:rPr>
              <w:t>5.</w:t>
            </w:r>
            <w:r>
              <w:rPr>
                <w:rFonts w:hint="eastAsia" w:eastAsia="宋体"/>
                <w:lang w:eastAsia="zh-CN"/>
              </w:rPr>
              <w:t>减少</w:t>
            </w:r>
            <w:r>
              <w:rPr>
                <w:rFonts w:hint="eastAsia"/>
              </w:rPr>
              <w:t>电信诈骗和老人被诈骗人次</w:t>
            </w:r>
          </w:p>
        </w:tc>
        <w:tc>
          <w:tcPr>
            <w:tcW w:w="0" w:type="auto"/>
            <w:vAlign w:val="top"/>
          </w:tcPr>
          <w:p w14:paraId="30BF1433">
            <w:pPr>
              <w:pStyle w:val="10"/>
              <w:jc w:val="left"/>
            </w:pPr>
            <w:r>
              <w:rPr>
                <w:rFonts w:hint="eastAsia" w:eastAsia="宋体"/>
                <w:lang w:val="en-US" w:eastAsia="zh-CN"/>
              </w:rPr>
              <w:t xml:space="preserve">100%  </w:t>
            </w:r>
          </w:p>
        </w:tc>
        <w:tc>
          <w:tcPr>
            <w:tcW w:w="0" w:type="auto"/>
            <w:vAlign w:val="top"/>
          </w:tcPr>
          <w:p w14:paraId="4B769C2B">
            <w:pPr>
              <w:pStyle w:val="10"/>
              <w:jc w:val="left"/>
              <w:rPr>
                <w:rFonts w:hint="default" w:eastAsia="宋体"/>
                <w:lang w:val="en-US" w:eastAsia="zh-CN"/>
              </w:rPr>
            </w:pPr>
            <w:r>
              <w:rPr>
                <w:rFonts w:hint="eastAsia" w:eastAsia="宋体"/>
                <w:lang w:val="en-US" w:eastAsia="zh-CN"/>
              </w:rPr>
              <w:t>90%</w:t>
            </w:r>
          </w:p>
        </w:tc>
        <w:tc>
          <w:tcPr>
            <w:tcW w:w="0" w:type="auto"/>
            <w:vAlign w:val="top"/>
          </w:tcPr>
          <w:p w14:paraId="7C492E1D">
            <w:pPr>
              <w:pStyle w:val="10"/>
              <w:jc w:val="left"/>
              <w:rPr>
                <w:rFonts w:hint="default" w:eastAsia="宋体"/>
                <w:lang w:val="en-US" w:eastAsia="zh-CN"/>
              </w:rPr>
            </w:pPr>
            <w:r>
              <w:rPr>
                <w:rFonts w:hint="eastAsia" w:eastAsia="宋体"/>
                <w:lang w:val="en-US" w:eastAsia="zh-CN"/>
              </w:rPr>
              <w:t>6</w:t>
            </w:r>
          </w:p>
        </w:tc>
        <w:tc>
          <w:tcPr>
            <w:tcW w:w="0" w:type="auto"/>
            <w:vAlign w:val="top"/>
          </w:tcPr>
          <w:p w14:paraId="1F4BA5D0">
            <w:pPr>
              <w:pStyle w:val="10"/>
              <w:jc w:val="left"/>
              <w:rPr>
                <w:rFonts w:hint="default" w:eastAsia="宋体"/>
                <w:lang w:val="en-US" w:eastAsia="zh-CN"/>
              </w:rPr>
            </w:pPr>
            <w:r>
              <w:rPr>
                <w:rFonts w:hint="eastAsia" w:eastAsia="宋体"/>
                <w:lang w:val="en-US" w:eastAsia="zh-CN"/>
              </w:rPr>
              <w:t>5</w:t>
            </w:r>
          </w:p>
        </w:tc>
        <w:tc>
          <w:tcPr>
            <w:tcW w:w="0" w:type="auto"/>
            <w:vAlign w:val="top"/>
          </w:tcPr>
          <w:p w14:paraId="244D8B68">
            <w:pPr>
              <w:pStyle w:val="10"/>
              <w:jc w:val="left"/>
              <w:rPr>
                <w:rFonts w:hint="eastAsia" w:eastAsia="宋体"/>
                <w:lang w:eastAsia="zh-CN"/>
              </w:rPr>
            </w:pPr>
          </w:p>
        </w:tc>
      </w:tr>
      <w:tr w14:paraId="7EF94C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631318BD">
            <w:pPr>
              <w:pStyle w:val="10"/>
              <w:jc w:val="left"/>
            </w:pPr>
          </w:p>
        </w:tc>
        <w:tc>
          <w:tcPr>
            <w:tcW w:w="0" w:type="auto"/>
            <w:vMerge w:val="continue"/>
            <w:tcBorders>
              <w:top w:val="nil"/>
              <w:bottom w:val="nil"/>
            </w:tcBorders>
            <w:vAlign w:val="top"/>
          </w:tcPr>
          <w:p w14:paraId="5B0FC722">
            <w:pPr>
              <w:pStyle w:val="10"/>
              <w:jc w:val="left"/>
            </w:pPr>
          </w:p>
        </w:tc>
        <w:tc>
          <w:tcPr>
            <w:tcW w:w="0" w:type="auto"/>
            <w:vMerge w:val="restart"/>
            <w:tcBorders>
              <w:bottom w:val="nil"/>
            </w:tcBorders>
            <w:vAlign w:val="top"/>
          </w:tcPr>
          <w:p w14:paraId="7BB0591D">
            <w:pPr>
              <w:spacing w:before="192" w:line="220" w:lineRule="auto"/>
              <w:ind w:left="101"/>
              <w:jc w:val="left"/>
              <w:rPr>
                <w:rFonts w:ascii="宋体" w:hAnsi="宋体" w:eastAsia="宋体" w:cs="宋体"/>
                <w:sz w:val="20"/>
                <w:szCs w:val="20"/>
              </w:rPr>
            </w:pPr>
            <w:r>
              <w:rPr>
                <w:rFonts w:ascii="宋体" w:hAnsi="宋体" w:eastAsia="宋体" w:cs="宋体"/>
                <w:spacing w:val="-2"/>
                <w:sz w:val="20"/>
                <w:szCs w:val="20"/>
              </w:rPr>
              <w:t>质量指标</w:t>
            </w:r>
          </w:p>
        </w:tc>
        <w:tc>
          <w:tcPr>
            <w:tcW w:w="0" w:type="auto"/>
            <w:vAlign w:val="top"/>
          </w:tcPr>
          <w:p w14:paraId="79E8E000">
            <w:pPr>
              <w:pStyle w:val="10"/>
              <w:jc w:val="left"/>
            </w:pPr>
            <w:r>
              <w:rPr>
                <w:rFonts w:hint="eastAsia"/>
              </w:rPr>
              <w:t>民调电话接听率争取达到100%，做到合法合规</w:t>
            </w:r>
          </w:p>
        </w:tc>
        <w:tc>
          <w:tcPr>
            <w:tcW w:w="0" w:type="auto"/>
            <w:vAlign w:val="top"/>
          </w:tcPr>
          <w:p w14:paraId="7548B281">
            <w:pPr>
              <w:pStyle w:val="10"/>
              <w:jc w:val="left"/>
              <w:rPr>
                <w:rFonts w:hint="default" w:eastAsia="宋体"/>
                <w:lang w:val="en-US" w:eastAsia="zh-CN"/>
              </w:rPr>
            </w:pPr>
            <w:r>
              <w:rPr>
                <w:rFonts w:hint="eastAsia" w:eastAsia="宋体"/>
                <w:lang w:val="en-US" w:eastAsia="zh-CN"/>
              </w:rPr>
              <w:t>100%</w:t>
            </w:r>
          </w:p>
        </w:tc>
        <w:tc>
          <w:tcPr>
            <w:tcW w:w="0" w:type="auto"/>
            <w:vAlign w:val="top"/>
          </w:tcPr>
          <w:p w14:paraId="40451B82">
            <w:pPr>
              <w:pStyle w:val="10"/>
              <w:jc w:val="left"/>
              <w:rPr>
                <w:rFonts w:hint="default" w:eastAsia="宋体"/>
                <w:lang w:val="en-US" w:eastAsia="zh-CN"/>
              </w:rPr>
            </w:pPr>
            <w:r>
              <w:rPr>
                <w:rFonts w:hint="eastAsia" w:eastAsia="宋体"/>
                <w:lang w:val="en-US" w:eastAsia="zh-CN"/>
              </w:rPr>
              <w:t>90%</w:t>
            </w:r>
          </w:p>
        </w:tc>
        <w:tc>
          <w:tcPr>
            <w:tcW w:w="0" w:type="auto"/>
            <w:vAlign w:val="top"/>
          </w:tcPr>
          <w:p w14:paraId="0B34BFDF">
            <w:pPr>
              <w:pStyle w:val="10"/>
              <w:jc w:val="left"/>
              <w:rPr>
                <w:rFonts w:hint="default" w:eastAsia="宋体"/>
                <w:lang w:val="en-US" w:eastAsia="zh-CN"/>
              </w:rPr>
            </w:pPr>
            <w:r>
              <w:rPr>
                <w:rFonts w:hint="eastAsia" w:eastAsia="宋体"/>
                <w:lang w:val="en-US" w:eastAsia="zh-CN"/>
              </w:rPr>
              <w:t>10</w:t>
            </w:r>
          </w:p>
        </w:tc>
        <w:tc>
          <w:tcPr>
            <w:tcW w:w="0" w:type="auto"/>
            <w:vAlign w:val="top"/>
          </w:tcPr>
          <w:p w14:paraId="7EB0FD4C">
            <w:pPr>
              <w:pStyle w:val="10"/>
              <w:jc w:val="left"/>
              <w:rPr>
                <w:rFonts w:hint="default" w:eastAsia="宋体"/>
                <w:lang w:val="en-US" w:eastAsia="zh-CN"/>
              </w:rPr>
            </w:pPr>
            <w:r>
              <w:rPr>
                <w:rFonts w:hint="eastAsia" w:eastAsia="宋体"/>
                <w:lang w:val="en-US" w:eastAsia="zh-CN"/>
              </w:rPr>
              <w:t>9</w:t>
            </w:r>
          </w:p>
        </w:tc>
        <w:tc>
          <w:tcPr>
            <w:tcW w:w="0" w:type="auto"/>
            <w:vAlign w:val="top"/>
          </w:tcPr>
          <w:p w14:paraId="100CADAF">
            <w:pPr>
              <w:pStyle w:val="10"/>
              <w:jc w:val="left"/>
            </w:pPr>
          </w:p>
        </w:tc>
      </w:tr>
      <w:tr w14:paraId="5F3A1A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9" w:hRule="atLeast"/>
        </w:trPr>
        <w:tc>
          <w:tcPr>
            <w:tcW w:w="0" w:type="auto"/>
            <w:vMerge w:val="continue"/>
            <w:tcBorders>
              <w:top w:val="nil"/>
              <w:bottom w:val="nil"/>
            </w:tcBorders>
            <w:textDirection w:val="tbRlV"/>
            <w:vAlign w:val="top"/>
          </w:tcPr>
          <w:p w14:paraId="0ABF6B69">
            <w:pPr>
              <w:pStyle w:val="10"/>
              <w:jc w:val="left"/>
            </w:pPr>
          </w:p>
        </w:tc>
        <w:tc>
          <w:tcPr>
            <w:tcW w:w="0" w:type="auto"/>
            <w:vMerge w:val="continue"/>
            <w:tcBorders>
              <w:top w:val="nil"/>
              <w:bottom w:val="nil"/>
            </w:tcBorders>
            <w:vAlign w:val="top"/>
          </w:tcPr>
          <w:p w14:paraId="21107A0E">
            <w:pPr>
              <w:pStyle w:val="10"/>
              <w:jc w:val="left"/>
            </w:pPr>
          </w:p>
        </w:tc>
        <w:tc>
          <w:tcPr>
            <w:tcW w:w="0" w:type="auto"/>
            <w:vMerge w:val="continue"/>
            <w:tcBorders>
              <w:top w:val="nil"/>
            </w:tcBorders>
            <w:vAlign w:val="top"/>
          </w:tcPr>
          <w:p w14:paraId="616CDDD5">
            <w:pPr>
              <w:pStyle w:val="10"/>
              <w:jc w:val="left"/>
            </w:pPr>
          </w:p>
        </w:tc>
        <w:tc>
          <w:tcPr>
            <w:tcW w:w="0" w:type="auto"/>
            <w:vAlign w:val="top"/>
          </w:tcPr>
          <w:p w14:paraId="44A5CA95">
            <w:pPr>
              <w:pStyle w:val="10"/>
              <w:jc w:val="left"/>
            </w:pPr>
          </w:p>
        </w:tc>
        <w:tc>
          <w:tcPr>
            <w:tcW w:w="0" w:type="auto"/>
            <w:vAlign w:val="top"/>
          </w:tcPr>
          <w:p w14:paraId="2ABBB977">
            <w:pPr>
              <w:pStyle w:val="10"/>
              <w:jc w:val="left"/>
            </w:pPr>
          </w:p>
        </w:tc>
        <w:tc>
          <w:tcPr>
            <w:tcW w:w="0" w:type="auto"/>
            <w:vAlign w:val="top"/>
          </w:tcPr>
          <w:p w14:paraId="7DEDD639">
            <w:pPr>
              <w:pStyle w:val="10"/>
              <w:jc w:val="left"/>
            </w:pPr>
          </w:p>
        </w:tc>
        <w:tc>
          <w:tcPr>
            <w:tcW w:w="0" w:type="auto"/>
            <w:vAlign w:val="top"/>
          </w:tcPr>
          <w:p w14:paraId="6C4ECEA4">
            <w:pPr>
              <w:pStyle w:val="10"/>
              <w:jc w:val="left"/>
            </w:pPr>
          </w:p>
        </w:tc>
        <w:tc>
          <w:tcPr>
            <w:tcW w:w="0" w:type="auto"/>
            <w:vAlign w:val="top"/>
          </w:tcPr>
          <w:p w14:paraId="307381BD">
            <w:pPr>
              <w:pStyle w:val="10"/>
              <w:jc w:val="left"/>
            </w:pPr>
          </w:p>
        </w:tc>
        <w:tc>
          <w:tcPr>
            <w:tcW w:w="0" w:type="auto"/>
            <w:vAlign w:val="top"/>
          </w:tcPr>
          <w:p w14:paraId="4F9F5DAB">
            <w:pPr>
              <w:pStyle w:val="10"/>
              <w:jc w:val="left"/>
            </w:pPr>
          </w:p>
        </w:tc>
      </w:tr>
      <w:tr w14:paraId="5A8654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4616F6CA">
            <w:pPr>
              <w:pStyle w:val="10"/>
              <w:jc w:val="left"/>
            </w:pPr>
          </w:p>
        </w:tc>
        <w:tc>
          <w:tcPr>
            <w:tcW w:w="0" w:type="auto"/>
            <w:vMerge w:val="continue"/>
            <w:tcBorders>
              <w:top w:val="nil"/>
              <w:bottom w:val="nil"/>
            </w:tcBorders>
            <w:vAlign w:val="top"/>
          </w:tcPr>
          <w:p w14:paraId="2D0619AA">
            <w:pPr>
              <w:pStyle w:val="10"/>
              <w:jc w:val="left"/>
            </w:pPr>
          </w:p>
        </w:tc>
        <w:tc>
          <w:tcPr>
            <w:tcW w:w="0" w:type="auto"/>
            <w:vMerge w:val="restart"/>
            <w:tcBorders>
              <w:bottom w:val="nil"/>
            </w:tcBorders>
            <w:vAlign w:val="top"/>
          </w:tcPr>
          <w:p w14:paraId="1A419A2F">
            <w:pPr>
              <w:spacing w:before="193" w:line="220" w:lineRule="auto"/>
              <w:ind w:left="101"/>
              <w:jc w:val="left"/>
              <w:rPr>
                <w:rFonts w:ascii="宋体" w:hAnsi="宋体" w:eastAsia="宋体" w:cs="宋体"/>
                <w:sz w:val="20"/>
                <w:szCs w:val="20"/>
              </w:rPr>
            </w:pPr>
            <w:r>
              <w:rPr>
                <w:rFonts w:ascii="宋体" w:hAnsi="宋体" w:eastAsia="宋体" w:cs="宋体"/>
                <w:spacing w:val="1"/>
                <w:sz w:val="20"/>
                <w:szCs w:val="20"/>
              </w:rPr>
              <w:t>时效指标</w:t>
            </w:r>
          </w:p>
        </w:tc>
        <w:tc>
          <w:tcPr>
            <w:tcW w:w="0" w:type="auto"/>
            <w:vAlign w:val="top"/>
          </w:tcPr>
          <w:p w14:paraId="7428DFC7">
            <w:pPr>
              <w:pStyle w:val="10"/>
              <w:jc w:val="left"/>
            </w:pPr>
            <w:r>
              <w:rPr>
                <w:rFonts w:hint="eastAsia"/>
              </w:rPr>
              <w:t>按时完成绩效目标任务</w:t>
            </w:r>
          </w:p>
        </w:tc>
        <w:tc>
          <w:tcPr>
            <w:tcW w:w="0" w:type="auto"/>
            <w:vAlign w:val="top"/>
          </w:tcPr>
          <w:p w14:paraId="2FC36FF2">
            <w:pPr>
              <w:pStyle w:val="10"/>
              <w:jc w:val="left"/>
              <w:rPr>
                <w:rFonts w:hint="eastAsia" w:eastAsia="宋体"/>
                <w:lang w:val="en-US" w:eastAsia="zh-CN"/>
              </w:rPr>
            </w:pPr>
            <w:r>
              <w:rPr>
                <w:rFonts w:hint="eastAsia" w:eastAsia="宋体"/>
                <w:lang w:val="en-US" w:eastAsia="zh-CN"/>
              </w:rPr>
              <w:t>1年</w:t>
            </w:r>
          </w:p>
        </w:tc>
        <w:tc>
          <w:tcPr>
            <w:tcW w:w="0" w:type="auto"/>
            <w:vAlign w:val="top"/>
          </w:tcPr>
          <w:p w14:paraId="644B2B8D">
            <w:pPr>
              <w:pStyle w:val="10"/>
              <w:jc w:val="left"/>
              <w:rPr>
                <w:rFonts w:hint="eastAsia" w:eastAsia="宋体"/>
                <w:lang w:val="en-US" w:eastAsia="zh-CN"/>
              </w:rPr>
            </w:pPr>
            <w:r>
              <w:rPr>
                <w:rFonts w:hint="eastAsia" w:eastAsia="宋体"/>
                <w:lang w:val="en-US" w:eastAsia="zh-CN"/>
              </w:rPr>
              <w:t>1年</w:t>
            </w:r>
          </w:p>
        </w:tc>
        <w:tc>
          <w:tcPr>
            <w:tcW w:w="0" w:type="auto"/>
            <w:vAlign w:val="top"/>
          </w:tcPr>
          <w:p w14:paraId="379E5E30">
            <w:pPr>
              <w:pStyle w:val="10"/>
              <w:jc w:val="left"/>
              <w:rPr>
                <w:rFonts w:hint="default" w:eastAsia="宋体"/>
                <w:lang w:val="en-US" w:eastAsia="zh-CN"/>
              </w:rPr>
            </w:pPr>
            <w:r>
              <w:rPr>
                <w:rFonts w:hint="eastAsia" w:eastAsia="宋体"/>
                <w:lang w:val="en-US" w:eastAsia="zh-CN"/>
              </w:rPr>
              <w:t>5</w:t>
            </w:r>
          </w:p>
        </w:tc>
        <w:tc>
          <w:tcPr>
            <w:tcW w:w="0" w:type="auto"/>
            <w:vAlign w:val="top"/>
          </w:tcPr>
          <w:p w14:paraId="74BC995E">
            <w:pPr>
              <w:pStyle w:val="10"/>
              <w:jc w:val="left"/>
              <w:rPr>
                <w:rFonts w:hint="default" w:eastAsia="宋体"/>
                <w:lang w:val="en-US" w:eastAsia="zh-CN"/>
              </w:rPr>
            </w:pPr>
            <w:r>
              <w:rPr>
                <w:rFonts w:hint="eastAsia" w:eastAsia="宋体"/>
                <w:lang w:val="en-US" w:eastAsia="zh-CN"/>
              </w:rPr>
              <w:t>5</w:t>
            </w:r>
          </w:p>
        </w:tc>
        <w:tc>
          <w:tcPr>
            <w:tcW w:w="0" w:type="auto"/>
            <w:vAlign w:val="top"/>
          </w:tcPr>
          <w:p w14:paraId="0D10DEB2">
            <w:pPr>
              <w:pStyle w:val="10"/>
              <w:jc w:val="left"/>
            </w:pPr>
          </w:p>
        </w:tc>
      </w:tr>
      <w:tr w14:paraId="3CDA76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0" w:type="auto"/>
            <w:vMerge w:val="continue"/>
            <w:tcBorders>
              <w:top w:val="nil"/>
              <w:bottom w:val="nil"/>
            </w:tcBorders>
            <w:textDirection w:val="tbRlV"/>
            <w:vAlign w:val="top"/>
          </w:tcPr>
          <w:p w14:paraId="2C6983B0">
            <w:pPr>
              <w:pStyle w:val="10"/>
              <w:jc w:val="left"/>
            </w:pPr>
          </w:p>
        </w:tc>
        <w:tc>
          <w:tcPr>
            <w:tcW w:w="0" w:type="auto"/>
            <w:vMerge w:val="continue"/>
            <w:tcBorders>
              <w:top w:val="nil"/>
              <w:bottom w:val="nil"/>
            </w:tcBorders>
            <w:vAlign w:val="top"/>
          </w:tcPr>
          <w:p w14:paraId="2CF15F4B">
            <w:pPr>
              <w:pStyle w:val="10"/>
              <w:jc w:val="left"/>
            </w:pPr>
          </w:p>
        </w:tc>
        <w:tc>
          <w:tcPr>
            <w:tcW w:w="0" w:type="auto"/>
            <w:vMerge w:val="continue"/>
            <w:tcBorders>
              <w:top w:val="nil"/>
            </w:tcBorders>
            <w:vAlign w:val="top"/>
          </w:tcPr>
          <w:p w14:paraId="7536B769">
            <w:pPr>
              <w:pStyle w:val="10"/>
              <w:jc w:val="left"/>
            </w:pPr>
          </w:p>
        </w:tc>
        <w:tc>
          <w:tcPr>
            <w:tcW w:w="0" w:type="auto"/>
            <w:vAlign w:val="top"/>
          </w:tcPr>
          <w:p w14:paraId="0CFF2817">
            <w:pPr>
              <w:pStyle w:val="10"/>
              <w:jc w:val="left"/>
            </w:pPr>
          </w:p>
        </w:tc>
        <w:tc>
          <w:tcPr>
            <w:tcW w:w="0" w:type="auto"/>
            <w:vAlign w:val="top"/>
          </w:tcPr>
          <w:p w14:paraId="0C6EB13F">
            <w:pPr>
              <w:pStyle w:val="10"/>
              <w:jc w:val="left"/>
            </w:pPr>
          </w:p>
        </w:tc>
        <w:tc>
          <w:tcPr>
            <w:tcW w:w="0" w:type="auto"/>
            <w:vAlign w:val="top"/>
          </w:tcPr>
          <w:p w14:paraId="30216355">
            <w:pPr>
              <w:pStyle w:val="10"/>
              <w:jc w:val="left"/>
            </w:pPr>
          </w:p>
        </w:tc>
        <w:tc>
          <w:tcPr>
            <w:tcW w:w="0" w:type="auto"/>
            <w:vAlign w:val="top"/>
          </w:tcPr>
          <w:p w14:paraId="78E83C98">
            <w:pPr>
              <w:pStyle w:val="10"/>
              <w:jc w:val="left"/>
            </w:pPr>
          </w:p>
        </w:tc>
        <w:tc>
          <w:tcPr>
            <w:tcW w:w="0" w:type="auto"/>
            <w:vAlign w:val="top"/>
          </w:tcPr>
          <w:p w14:paraId="53D52BF0">
            <w:pPr>
              <w:pStyle w:val="10"/>
              <w:jc w:val="left"/>
            </w:pPr>
          </w:p>
        </w:tc>
        <w:tc>
          <w:tcPr>
            <w:tcW w:w="0" w:type="auto"/>
            <w:vAlign w:val="top"/>
          </w:tcPr>
          <w:p w14:paraId="1F980838">
            <w:pPr>
              <w:pStyle w:val="10"/>
              <w:jc w:val="left"/>
            </w:pPr>
          </w:p>
        </w:tc>
      </w:tr>
      <w:tr w14:paraId="3D414F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0" w:type="auto"/>
            <w:vMerge w:val="continue"/>
            <w:tcBorders>
              <w:top w:val="nil"/>
              <w:bottom w:val="nil"/>
            </w:tcBorders>
            <w:textDirection w:val="tbRlV"/>
            <w:vAlign w:val="top"/>
          </w:tcPr>
          <w:p w14:paraId="33540BDD">
            <w:pPr>
              <w:pStyle w:val="10"/>
              <w:jc w:val="left"/>
            </w:pPr>
          </w:p>
        </w:tc>
        <w:tc>
          <w:tcPr>
            <w:tcW w:w="0" w:type="auto"/>
            <w:vMerge w:val="continue"/>
            <w:tcBorders>
              <w:top w:val="nil"/>
              <w:bottom w:val="nil"/>
            </w:tcBorders>
            <w:vAlign w:val="top"/>
          </w:tcPr>
          <w:p w14:paraId="4BB8C3E2">
            <w:pPr>
              <w:pStyle w:val="10"/>
              <w:jc w:val="left"/>
            </w:pPr>
          </w:p>
        </w:tc>
        <w:tc>
          <w:tcPr>
            <w:tcW w:w="0" w:type="auto"/>
            <w:vMerge w:val="restart"/>
            <w:tcBorders>
              <w:bottom w:val="nil"/>
            </w:tcBorders>
            <w:vAlign w:val="top"/>
          </w:tcPr>
          <w:p w14:paraId="1F71DC52">
            <w:pPr>
              <w:spacing w:before="181" w:line="219" w:lineRule="auto"/>
              <w:ind w:left="101"/>
              <w:jc w:val="left"/>
              <w:rPr>
                <w:rFonts w:ascii="宋体" w:hAnsi="宋体" w:eastAsia="宋体" w:cs="宋体"/>
                <w:sz w:val="20"/>
                <w:szCs w:val="20"/>
              </w:rPr>
            </w:pPr>
            <w:r>
              <w:rPr>
                <w:rFonts w:ascii="宋体" w:hAnsi="宋体" w:eastAsia="宋体" w:cs="宋体"/>
                <w:spacing w:val="-2"/>
                <w:sz w:val="20"/>
                <w:szCs w:val="20"/>
              </w:rPr>
              <w:t>成本指标</w:t>
            </w:r>
          </w:p>
        </w:tc>
        <w:tc>
          <w:tcPr>
            <w:tcW w:w="0" w:type="auto"/>
            <w:vAlign w:val="top"/>
          </w:tcPr>
          <w:p w14:paraId="4B97DEBF">
            <w:pPr>
              <w:pStyle w:val="10"/>
              <w:jc w:val="left"/>
            </w:pPr>
            <w:r>
              <w:rPr>
                <w:rFonts w:hint="eastAsia"/>
              </w:rPr>
              <w:t>严格控制在年度预算资金范围内</w:t>
            </w:r>
          </w:p>
        </w:tc>
        <w:tc>
          <w:tcPr>
            <w:tcW w:w="0" w:type="auto"/>
            <w:vAlign w:val="top"/>
          </w:tcPr>
          <w:p w14:paraId="2272A210">
            <w:pPr>
              <w:pStyle w:val="10"/>
              <w:jc w:val="left"/>
              <w:rPr>
                <w:rFonts w:hint="default" w:eastAsia="宋体"/>
                <w:lang w:val="en-US" w:eastAsia="zh-CN"/>
              </w:rPr>
            </w:pPr>
            <w:r>
              <w:rPr>
                <w:rFonts w:hint="eastAsia" w:eastAsia="宋体"/>
                <w:lang w:val="en-US" w:eastAsia="zh-CN"/>
              </w:rPr>
              <w:t>90%</w:t>
            </w:r>
          </w:p>
        </w:tc>
        <w:tc>
          <w:tcPr>
            <w:tcW w:w="0" w:type="auto"/>
            <w:vAlign w:val="top"/>
          </w:tcPr>
          <w:p w14:paraId="72778EC0">
            <w:pPr>
              <w:pStyle w:val="10"/>
              <w:jc w:val="left"/>
              <w:rPr>
                <w:rFonts w:hint="default" w:eastAsia="宋体"/>
                <w:lang w:val="en-US" w:eastAsia="zh-CN"/>
              </w:rPr>
            </w:pPr>
            <w:r>
              <w:rPr>
                <w:rFonts w:hint="eastAsia" w:eastAsia="宋体"/>
                <w:lang w:val="en-US" w:eastAsia="zh-CN"/>
              </w:rPr>
              <w:t>90%</w:t>
            </w:r>
          </w:p>
        </w:tc>
        <w:tc>
          <w:tcPr>
            <w:tcW w:w="0" w:type="auto"/>
            <w:vAlign w:val="top"/>
          </w:tcPr>
          <w:p w14:paraId="468D751E">
            <w:pPr>
              <w:pStyle w:val="10"/>
              <w:jc w:val="left"/>
              <w:rPr>
                <w:rFonts w:hint="default" w:eastAsia="宋体"/>
                <w:lang w:val="en-US" w:eastAsia="zh-CN"/>
              </w:rPr>
            </w:pPr>
            <w:r>
              <w:rPr>
                <w:rFonts w:hint="eastAsia" w:eastAsia="宋体"/>
                <w:lang w:val="en-US" w:eastAsia="zh-CN"/>
              </w:rPr>
              <w:t>5</w:t>
            </w:r>
          </w:p>
        </w:tc>
        <w:tc>
          <w:tcPr>
            <w:tcW w:w="0" w:type="auto"/>
            <w:vAlign w:val="top"/>
          </w:tcPr>
          <w:p w14:paraId="6C84F262">
            <w:pPr>
              <w:pStyle w:val="10"/>
              <w:jc w:val="left"/>
              <w:rPr>
                <w:rFonts w:hint="default" w:eastAsia="宋体"/>
                <w:lang w:val="en-US" w:eastAsia="zh-CN"/>
              </w:rPr>
            </w:pPr>
            <w:r>
              <w:rPr>
                <w:rFonts w:hint="eastAsia" w:eastAsia="宋体"/>
                <w:lang w:val="en-US" w:eastAsia="zh-CN"/>
              </w:rPr>
              <w:t>5</w:t>
            </w:r>
          </w:p>
        </w:tc>
        <w:tc>
          <w:tcPr>
            <w:tcW w:w="0" w:type="auto"/>
            <w:vAlign w:val="top"/>
          </w:tcPr>
          <w:p w14:paraId="416E38AA">
            <w:pPr>
              <w:pStyle w:val="10"/>
              <w:jc w:val="left"/>
            </w:pPr>
          </w:p>
        </w:tc>
      </w:tr>
      <w:tr w14:paraId="2644D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7A235F73">
            <w:pPr>
              <w:pStyle w:val="10"/>
              <w:jc w:val="left"/>
            </w:pPr>
          </w:p>
        </w:tc>
        <w:tc>
          <w:tcPr>
            <w:tcW w:w="0" w:type="auto"/>
            <w:vMerge w:val="continue"/>
            <w:tcBorders>
              <w:top w:val="nil"/>
            </w:tcBorders>
            <w:vAlign w:val="top"/>
          </w:tcPr>
          <w:p w14:paraId="0F656672">
            <w:pPr>
              <w:pStyle w:val="10"/>
              <w:jc w:val="left"/>
            </w:pPr>
          </w:p>
        </w:tc>
        <w:tc>
          <w:tcPr>
            <w:tcW w:w="0" w:type="auto"/>
            <w:vMerge w:val="continue"/>
            <w:tcBorders>
              <w:top w:val="nil"/>
            </w:tcBorders>
            <w:vAlign w:val="top"/>
          </w:tcPr>
          <w:p w14:paraId="515AD723">
            <w:pPr>
              <w:pStyle w:val="10"/>
              <w:jc w:val="left"/>
            </w:pPr>
          </w:p>
        </w:tc>
        <w:tc>
          <w:tcPr>
            <w:tcW w:w="0" w:type="auto"/>
            <w:vAlign w:val="top"/>
          </w:tcPr>
          <w:p w14:paraId="06C21C7F">
            <w:pPr>
              <w:pStyle w:val="10"/>
              <w:jc w:val="left"/>
            </w:pPr>
          </w:p>
        </w:tc>
        <w:tc>
          <w:tcPr>
            <w:tcW w:w="0" w:type="auto"/>
            <w:vAlign w:val="top"/>
          </w:tcPr>
          <w:p w14:paraId="0D27F3D9">
            <w:pPr>
              <w:pStyle w:val="10"/>
              <w:jc w:val="left"/>
            </w:pPr>
          </w:p>
        </w:tc>
        <w:tc>
          <w:tcPr>
            <w:tcW w:w="0" w:type="auto"/>
            <w:vAlign w:val="top"/>
          </w:tcPr>
          <w:p w14:paraId="78D98580">
            <w:pPr>
              <w:pStyle w:val="10"/>
              <w:jc w:val="left"/>
            </w:pPr>
          </w:p>
        </w:tc>
        <w:tc>
          <w:tcPr>
            <w:tcW w:w="0" w:type="auto"/>
            <w:vAlign w:val="top"/>
          </w:tcPr>
          <w:p w14:paraId="2C34A236">
            <w:pPr>
              <w:pStyle w:val="10"/>
              <w:jc w:val="left"/>
            </w:pPr>
          </w:p>
        </w:tc>
        <w:tc>
          <w:tcPr>
            <w:tcW w:w="0" w:type="auto"/>
            <w:vAlign w:val="top"/>
          </w:tcPr>
          <w:p w14:paraId="4AB79FB5">
            <w:pPr>
              <w:pStyle w:val="10"/>
              <w:jc w:val="left"/>
            </w:pPr>
          </w:p>
        </w:tc>
        <w:tc>
          <w:tcPr>
            <w:tcW w:w="0" w:type="auto"/>
            <w:vAlign w:val="top"/>
          </w:tcPr>
          <w:p w14:paraId="29B143EA">
            <w:pPr>
              <w:pStyle w:val="10"/>
              <w:jc w:val="left"/>
            </w:pPr>
          </w:p>
        </w:tc>
      </w:tr>
      <w:tr w14:paraId="0E8419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1A149E7D">
            <w:pPr>
              <w:pStyle w:val="10"/>
              <w:jc w:val="left"/>
            </w:pPr>
          </w:p>
        </w:tc>
        <w:tc>
          <w:tcPr>
            <w:tcW w:w="0" w:type="auto"/>
            <w:vMerge w:val="restart"/>
            <w:tcBorders>
              <w:bottom w:val="nil"/>
            </w:tcBorders>
            <w:vAlign w:val="top"/>
          </w:tcPr>
          <w:p w14:paraId="2272895F">
            <w:pPr>
              <w:pStyle w:val="10"/>
              <w:spacing w:line="281" w:lineRule="auto"/>
              <w:jc w:val="left"/>
            </w:pPr>
          </w:p>
          <w:p w14:paraId="171B3041">
            <w:pPr>
              <w:pStyle w:val="10"/>
              <w:spacing w:line="281" w:lineRule="auto"/>
              <w:jc w:val="left"/>
            </w:pPr>
          </w:p>
          <w:p w14:paraId="6E140207">
            <w:pPr>
              <w:pStyle w:val="10"/>
              <w:spacing w:line="282" w:lineRule="auto"/>
              <w:jc w:val="left"/>
            </w:pPr>
          </w:p>
          <w:p w14:paraId="1503A894">
            <w:pPr>
              <w:spacing w:before="65" w:line="220" w:lineRule="auto"/>
              <w:ind w:left="111"/>
              <w:jc w:val="left"/>
              <w:rPr>
                <w:rFonts w:ascii="宋体" w:hAnsi="宋体" w:eastAsia="宋体" w:cs="宋体"/>
                <w:sz w:val="20"/>
                <w:szCs w:val="20"/>
              </w:rPr>
            </w:pPr>
            <w:r>
              <w:rPr>
                <w:rFonts w:ascii="宋体" w:hAnsi="宋体" w:eastAsia="宋体" w:cs="宋体"/>
                <w:spacing w:val="1"/>
                <w:sz w:val="20"/>
                <w:szCs w:val="20"/>
              </w:rPr>
              <w:t>效益指标</w:t>
            </w:r>
          </w:p>
          <w:p w14:paraId="1A66F864">
            <w:pPr>
              <w:spacing w:before="31" w:line="220" w:lineRule="auto"/>
              <w:ind w:left="210"/>
              <w:jc w:val="left"/>
              <w:rPr>
                <w:rFonts w:ascii="宋体" w:hAnsi="宋体" w:eastAsia="宋体" w:cs="宋体"/>
                <w:sz w:val="20"/>
                <w:szCs w:val="20"/>
              </w:rPr>
            </w:pPr>
            <w:r>
              <w:rPr>
                <w:rFonts w:ascii="宋体" w:hAnsi="宋体" w:eastAsia="宋体" w:cs="宋体"/>
                <w:spacing w:val="8"/>
                <w:sz w:val="20"/>
                <w:szCs w:val="20"/>
              </w:rPr>
              <w:t>(30分)</w:t>
            </w:r>
          </w:p>
        </w:tc>
        <w:tc>
          <w:tcPr>
            <w:tcW w:w="0" w:type="auto"/>
            <w:vMerge w:val="restart"/>
            <w:tcBorders>
              <w:bottom w:val="nil"/>
            </w:tcBorders>
            <w:vAlign w:val="top"/>
          </w:tcPr>
          <w:p w14:paraId="280DF474">
            <w:pPr>
              <w:spacing w:before="64" w:line="224" w:lineRule="auto"/>
              <w:ind w:left="301" w:right="126" w:hanging="200"/>
              <w:jc w:val="left"/>
              <w:rPr>
                <w:rFonts w:ascii="宋体" w:hAnsi="宋体" w:eastAsia="宋体" w:cs="宋体"/>
                <w:sz w:val="20"/>
                <w:szCs w:val="20"/>
              </w:rPr>
            </w:pPr>
            <w:r>
              <w:rPr>
                <w:rFonts w:ascii="宋体" w:hAnsi="宋体" w:eastAsia="宋体" w:cs="宋体"/>
                <w:spacing w:val="-3"/>
                <w:sz w:val="20"/>
                <w:szCs w:val="20"/>
              </w:rPr>
              <w:t>经济效益</w:t>
            </w:r>
            <w:r>
              <w:rPr>
                <w:rFonts w:ascii="宋体" w:hAnsi="宋体" w:eastAsia="宋体" w:cs="宋体"/>
                <w:spacing w:val="1"/>
                <w:sz w:val="20"/>
                <w:szCs w:val="20"/>
              </w:rPr>
              <w:t xml:space="preserve"> </w:t>
            </w:r>
            <w:r>
              <w:rPr>
                <w:rFonts w:ascii="宋体" w:hAnsi="宋体" w:eastAsia="宋体" w:cs="宋体"/>
                <w:spacing w:val="-3"/>
                <w:sz w:val="20"/>
                <w:szCs w:val="20"/>
              </w:rPr>
              <w:t>指标</w:t>
            </w:r>
          </w:p>
        </w:tc>
        <w:tc>
          <w:tcPr>
            <w:tcW w:w="0" w:type="auto"/>
            <w:vAlign w:val="top"/>
          </w:tcPr>
          <w:p w14:paraId="48C47057">
            <w:pPr>
              <w:pStyle w:val="10"/>
              <w:jc w:val="left"/>
            </w:pPr>
            <w:r>
              <w:rPr>
                <w:rFonts w:hint="eastAsia"/>
              </w:rPr>
              <w:t xml:space="preserve"> 优化资源配置，提高财政资金使用效益</w:t>
            </w:r>
          </w:p>
        </w:tc>
        <w:tc>
          <w:tcPr>
            <w:tcW w:w="0" w:type="auto"/>
            <w:vAlign w:val="top"/>
          </w:tcPr>
          <w:p w14:paraId="450FF103">
            <w:pPr>
              <w:pStyle w:val="10"/>
              <w:jc w:val="left"/>
              <w:rPr>
                <w:rFonts w:hint="default" w:eastAsia="宋体"/>
                <w:lang w:val="en-US" w:eastAsia="zh-CN"/>
              </w:rPr>
            </w:pPr>
            <w:r>
              <w:rPr>
                <w:rFonts w:hint="eastAsia" w:eastAsia="宋体"/>
                <w:lang w:val="en-US" w:eastAsia="zh-CN"/>
              </w:rPr>
              <w:t>90%</w:t>
            </w:r>
          </w:p>
        </w:tc>
        <w:tc>
          <w:tcPr>
            <w:tcW w:w="0" w:type="auto"/>
            <w:vAlign w:val="top"/>
          </w:tcPr>
          <w:p w14:paraId="38F85AEE">
            <w:pPr>
              <w:pStyle w:val="10"/>
              <w:jc w:val="left"/>
              <w:rPr>
                <w:rFonts w:hint="default" w:eastAsia="宋体"/>
                <w:lang w:val="en-US" w:eastAsia="zh-CN"/>
              </w:rPr>
            </w:pPr>
            <w:r>
              <w:rPr>
                <w:rFonts w:hint="eastAsia" w:eastAsia="宋体"/>
                <w:lang w:val="en-US" w:eastAsia="zh-CN"/>
              </w:rPr>
              <w:t>90%</w:t>
            </w:r>
          </w:p>
        </w:tc>
        <w:tc>
          <w:tcPr>
            <w:tcW w:w="0" w:type="auto"/>
            <w:vAlign w:val="top"/>
          </w:tcPr>
          <w:p w14:paraId="2188486F">
            <w:pPr>
              <w:pStyle w:val="10"/>
              <w:jc w:val="left"/>
              <w:rPr>
                <w:rFonts w:hint="default" w:eastAsia="宋体"/>
                <w:lang w:val="en-US" w:eastAsia="zh-CN"/>
              </w:rPr>
            </w:pPr>
            <w:r>
              <w:rPr>
                <w:rFonts w:hint="eastAsia" w:eastAsia="宋体"/>
                <w:lang w:val="en-US" w:eastAsia="zh-CN"/>
              </w:rPr>
              <w:t>10</w:t>
            </w:r>
          </w:p>
        </w:tc>
        <w:tc>
          <w:tcPr>
            <w:tcW w:w="0" w:type="auto"/>
            <w:vAlign w:val="top"/>
          </w:tcPr>
          <w:p w14:paraId="7A97B82F">
            <w:pPr>
              <w:pStyle w:val="10"/>
              <w:jc w:val="left"/>
              <w:rPr>
                <w:rFonts w:hint="default" w:eastAsia="宋体"/>
                <w:lang w:val="en-US" w:eastAsia="zh-CN"/>
              </w:rPr>
            </w:pPr>
            <w:r>
              <w:rPr>
                <w:rFonts w:hint="eastAsia" w:eastAsia="宋体"/>
                <w:lang w:val="en-US" w:eastAsia="zh-CN"/>
              </w:rPr>
              <w:t>10</w:t>
            </w:r>
          </w:p>
        </w:tc>
        <w:tc>
          <w:tcPr>
            <w:tcW w:w="0" w:type="auto"/>
            <w:vAlign w:val="top"/>
          </w:tcPr>
          <w:p w14:paraId="520A2B9E">
            <w:pPr>
              <w:pStyle w:val="10"/>
              <w:jc w:val="left"/>
            </w:pPr>
          </w:p>
        </w:tc>
      </w:tr>
      <w:tr w14:paraId="00FD86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0" w:type="auto"/>
            <w:vMerge w:val="continue"/>
            <w:tcBorders>
              <w:top w:val="nil"/>
              <w:bottom w:val="nil"/>
            </w:tcBorders>
            <w:textDirection w:val="tbRlV"/>
            <w:vAlign w:val="top"/>
          </w:tcPr>
          <w:p w14:paraId="52A10D68">
            <w:pPr>
              <w:pStyle w:val="10"/>
              <w:jc w:val="left"/>
            </w:pPr>
          </w:p>
        </w:tc>
        <w:tc>
          <w:tcPr>
            <w:tcW w:w="0" w:type="auto"/>
            <w:vMerge w:val="continue"/>
            <w:tcBorders>
              <w:top w:val="nil"/>
              <w:bottom w:val="nil"/>
            </w:tcBorders>
            <w:vAlign w:val="top"/>
          </w:tcPr>
          <w:p w14:paraId="1B7D97D9">
            <w:pPr>
              <w:pStyle w:val="10"/>
              <w:jc w:val="left"/>
            </w:pPr>
          </w:p>
        </w:tc>
        <w:tc>
          <w:tcPr>
            <w:tcW w:w="0" w:type="auto"/>
            <w:vMerge w:val="continue"/>
            <w:tcBorders>
              <w:top w:val="nil"/>
            </w:tcBorders>
            <w:vAlign w:val="top"/>
          </w:tcPr>
          <w:p w14:paraId="1790A38C">
            <w:pPr>
              <w:pStyle w:val="10"/>
              <w:jc w:val="left"/>
            </w:pPr>
          </w:p>
        </w:tc>
        <w:tc>
          <w:tcPr>
            <w:tcW w:w="0" w:type="auto"/>
            <w:vAlign w:val="top"/>
          </w:tcPr>
          <w:p w14:paraId="22C92622">
            <w:pPr>
              <w:pStyle w:val="10"/>
              <w:jc w:val="left"/>
            </w:pPr>
          </w:p>
        </w:tc>
        <w:tc>
          <w:tcPr>
            <w:tcW w:w="0" w:type="auto"/>
            <w:vAlign w:val="top"/>
          </w:tcPr>
          <w:p w14:paraId="688C4F00">
            <w:pPr>
              <w:pStyle w:val="10"/>
              <w:jc w:val="left"/>
            </w:pPr>
          </w:p>
        </w:tc>
        <w:tc>
          <w:tcPr>
            <w:tcW w:w="0" w:type="auto"/>
            <w:vAlign w:val="top"/>
          </w:tcPr>
          <w:p w14:paraId="2B2715B0">
            <w:pPr>
              <w:pStyle w:val="10"/>
              <w:jc w:val="left"/>
            </w:pPr>
          </w:p>
        </w:tc>
        <w:tc>
          <w:tcPr>
            <w:tcW w:w="0" w:type="auto"/>
            <w:vAlign w:val="top"/>
          </w:tcPr>
          <w:p w14:paraId="2F64D7D4">
            <w:pPr>
              <w:pStyle w:val="10"/>
              <w:jc w:val="left"/>
            </w:pPr>
          </w:p>
        </w:tc>
        <w:tc>
          <w:tcPr>
            <w:tcW w:w="0" w:type="auto"/>
            <w:vAlign w:val="top"/>
          </w:tcPr>
          <w:p w14:paraId="35FDB6B4">
            <w:pPr>
              <w:pStyle w:val="10"/>
              <w:jc w:val="left"/>
            </w:pPr>
          </w:p>
        </w:tc>
        <w:tc>
          <w:tcPr>
            <w:tcW w:w="0" w:type="auto"/>
            <w:vAlign w:val="top"/>
          </w:tcPr>
          <w:p w14:paraId="671832AB">
            <w:pPr>
              <w:pStyle w:val="10"/>
              <w:jc w:val="left"/>
            </w:pPr>
          </w:p>
        </w:tc>
      </w:tr>
      <w:tr w14:paraId="4C78C7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0" w:type="auto"/>
            <w:vMerge w:val="continue"/>
            <w:tcBorders>
              <w:top w:val="nil"/>
              <w:bottom w:val="nil"/>
            </w:tcBorders>
            <w:textDirection w:val="tbRlV"/>
            <w:vAlign w:val="top"/>
          </w:tcPr>
          <w:p w14:paraId="7241E400">
            <w:pPr>
              <w:pStyle w:val="10"/>
              <w:jc w:val="left"/>
            </w:pPr>
          </w:p>
        </w:tc>
        <w:tc>
          <w:tcPr>
            <w:tcW w:w="0" w:type="auto"/>
            <w:vMerge w:val="continue"/>
            <w:tcBorders>
              <w:top w:val="nil"/>
              <w:bottom w:val="nil"/>
            </w:tcBorders>
            <w:vAlign w:val="top"/>
          </w:tcPr>
          <w:p w14:paraId="46780913">
            <w:pPr>
              <w:pStyle w:val="10"/>
              <w:jc w:val="left"/>
            </w:pPr>
          </w:p>
        </w:tc>
        <w:tc>
          <w:tcPr>
            <w:tcW w:w="0" w:type="auto"/>
            <w:vMerge w:val="restart"/>
            <w:tcBorders>
              <w:bottom w:val="nil"/>
            </w:tcBorders>
            <w:vAlign w:val="top"/>
          </w:tcPr>
          <w:p w14:paraId="0CAD833F">
            <w:pPr>
              <w:spacing w:before="42" w:line="229" w:lineRule="auto"/>
              <w:ind w:left="301" w:right="126" w:hanging="200"/>
              <w:jc w:val="left"/>
              <w:rPr>
                <w:rFonts w:ascii="宋体" w:hAnsi="宋体" w:eastAsia="宋体" w:cs="宋体"/>
                <w:sz w:val="20"/>
                <w:szCs w:val="20"/>
              </w:rPr>
            </w:pPr>
            <w:r>
              <w:rPr>
                <w:rFonts w:ascii="宋体" w:hAnsi="宋体" w:eastAsia="宋体" w:cs="宋体"/>
                <w:spacing w:val="-3"/>
                <w:sz w:val="20"/>
                <w:szCs w:val="20"/>
              </w:rPr>
              <w:t>社会效益</w:t>
            </w:r>
            <w:r>
              <w:rPr>
                <w:rFonts w:ascii="宋体" w:hAnsi="宋体" w:eastAsia="宋体" w:cs="宋体"/>
                <w:spacing w:val="1"/>
                <w:sz w:val="20"/>
                <w:szCs w:val="20"/>
              </w:rPr>
              <w:t xml:space="preserve"> </w:t>
            </w:r>
            <w:r>
              <w:rPr>
                <w:rFonts w:ascii="宋体" w:hAnsi="宋体" w:eastAsia="宋体" w:cs="宋体"/>
                <w:spacing w:val="-3"/>
                <w:sz w:val="20"/>
                <w:szCs w:val="20"/>
              </w:rPr>
              <w:t>指标</w:t>
            </w:r>
          </w:p>
        </w:tc>
        <w:tc>
          <w:tcPr>
            <w:tcW w:w="0" w:type="auto"/>
            <w:vAlign w:val="top"/>
          </w:tcPr>
          <w:p w14:paraId="515FA93D">
            <w:pPr>
              <w:pStyle w:val="10"/>
              <w:jc w:val="left"/>
            </w:pPr>
            <w:r>
              <w:rPr>
                <w:rFonts w:hint="eastAsia"/>
              </w:rPr>
              <w:t>维护社会政治稳定，金融安全、扫黑除恶、保证大局、长治久安、提供司法救助</w:t>
            </w:r>
          </w:p>
        </w:tc>
        <w:tc>
          <w:tcPr>
            <w:tcW w:w="0" w:type="auto"/>
            <w:vAlign w:val="top"/>
          </w:tcPr>
          <w:p w14:paraId="29E1CD59">
            <w:pPr>
              <w:pStyle w:val="10"/>
              <w:jc w:val="left"/>
              <w:rPr>
                <w:rFonts w:hint="default" w:eastAsia="宋体"/>
                <w:lang w:val="en-US" w:eastAsia="zh-CN"/>
              </w:rPr>
            </w:pPr>
            <w:r>
              <w:rPr>
                <w:rFonts w:hint="eastAsia" w:eastAsia="宋体"/>
                <w:lang w:val="en-US" w:eastAsia="zh-CN"/>
              </w:rPr>
              <w:t>90%</w:t>
            </w:r>
          </w:p>
        </w:tc>
        <w:tc>
          <w:tcPr>
            <w:tcW w:w="0" w:type="auto"/>
            <w:vAlign w:val="top"/>
          </w:tcPr>
          <w:p w14:paraId="437831F1">
            <w:pPr>
              <w:pStyle w:val="10"/>
              <w:jc w:val="left"/>
              <w:rPr>
                <w:rFonts w:hint="default" w:eastAsia="宋体"/>
                <w:lang w:val="en-US" w:eastAsia="zh-CN"/>
              </w:rPr>
            </w:pPr>
            <w:r>
              <w:rPr>
                <w:rFonts w:hint="eastAsia" w:eastAsia="宋体"/>
                <w:lang w:val="en-US" w:eastAsia="zh-CN"/>
              </w:rPr>
              <w:t>90%</w:t>
            </w:r>
          </w:p>
        </w:tc>
        <w:tc>
          <w:tcPr>
            <w:tcW w:w="0" w:type="auto"/>
            <w:vAlign w:val="top"/>
          </w:tcPr>
          <w:p w14:paraId="09950039">
            <w:pPr>
              <w:pStyle w:val="10"/>
              <w:jc w:val="left"/>
              <w:rPr>
                <w:rFonts w:hint="default" w:eastAsia="宋体"/>
                <w:lang w:val="en-US" w:eastAsia="zh-CN"/>
              </w:rPr>
            </w:pPr>
            <w:r>
              <w:rPr>
                <w:rFonts w:hint="eastAsia" w:eastAsia="宋体"/>
                <w:lang w:val="en-US" w:eastAsia="zh-CN"/>
              </w:rPr>
              <w:t>10</w:t>
            </w:r>
          </w:p>
        </w:tc>
        <w:tc>
          <w:tcPr>
            <w:tcW w:w="0" w:type="auto"/>
            <w:vAlign w:val="top"/>
          </w:tcPr>
          <w:p w14:paraId="2D89E417">
            <w:pPr>
              <w:pStyle w:val="10"/>
              <w:jc w:val="left"/>
              <w:rPr>
                <w:rFonts w:hint="default" w:eastAsia="宋体"/>
                <w:lang w:val="en-US" w:eastAsia="zh-CN"/>
              </w:rPr>
            </w:pPr>
            <w:r>
              <w:rPr>
                <w:rFonts w:hint="eastAsia" w:eastAsia="宋体"/>
                <w:lang w:val="en-US" w:eastAsia="zh-CN"/>
              </w:rPr>
              <w:t>10</w:t>
            </w:r>
          </w:p>
        </w:tc>
        <w:tc>
          <w:tcPr>
            <w:tcW w:w="0" w:type="auto"/>
            <w:vAlign w:val="top"/>
          </w:tcPr>
          <w:p w14:paraId="498C26F9">
            <w:pPr>
              <w:pStyle w:val="10"/>
              <w:jc w:val="left"/>
            </w:pPr>
          </w:p>
        </w:tc>
      </w:tr>
      <w:tr w14:paraId="7CD398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048285B9">
            <w:pPr>
              <w:pStyle w:val="10"/>
              <w:jc w:val="left"/>
            </w:pPr>
          </w:p>
        </w:tc>
        <w:tc>
          <w:tcPr>
            <w:tcW w:w="0" w:type="auto"/>
            <w:vMerge w:val="continue"/>
            <w:tcBorders>
              <w:top w:val="nil"/>
              <w:bottom w:val="nil"/>
            </w:tcBorders>
            <w:vAlign w:val="top"/>
          </w:tcPr>
          <w:p w14:paraId="7645A1F1">
            <w:pPr>
              <w:pStyle w:val="10"/>
              <w:jc w:val="left"/>
            </w:pPr>
          </w:p>
        </w:tc>
        <w:tc>
          <w:tcPr>
            <w:tcW w:w="0" w:type="auto"/>
            <w:vMerge w:val="continue"/>
            <w:tcBorders>
              <w:top w:val="nil"/>
            </w:tcBorders>
            <w:vAlign w:val="top"/>
          </w:tcPr>
          <w:p w14:paraId="783E3C8D">
            <w:pPr>
              <w:pStyle w:val="10"/>
              <w:jc w:val="left"/>
            </w:pPr>
          </w:p>
        </w:tc>
        <w:tc>
          <w:tcPr>
            <w:tcW w:w="0" w:type="auto"/>
            <w:vAlign w:val="top"/>
          </w:tcPr>
          <w:p w14:paraId="11A705E2">
            <w:pPr>
              <w:pStyle w:val="10"/>
              <w:jc w:val="left"/>
            </w:pPr>
          </w:p>
        </w:tc>
        <w:tc>
          <w:tcPr>
            <w:tcW w:w="0" w:type="auto"/>
            <w:vAlign w:val="top"/>
          </w:tcPr>
          <w:p w14:paraId="3A6B9723">
            <w:pPr>
              <w:pStyle w:val="10"/>
              <w:jc w:val="left"/>
            </w:pPr>
          </w:p>
        </w:tc>
        <w:tc>
          <w:tcPr>
            <w:tcW w:w="0" w:type="auto"/>
            <w:vAlign w:val="top"/>
          </w:tcPr>
          <w:p w14:paraId="13F9C264">
            <w:pPr>
              <w:pStyle w:val="10"/>
              <w:jc w:val="left"/>
            </w:pPr>
          </w:p>
        </w:tc>
        <w:tc>
          <w:tcPr>
            <w:tcW w:w="0" w:type="auto"/>
            <w:vAlign w:val="top"/>
          </w:tcPr>
          <w:p w14:paraId="2DC50B1D">
            <w:pPr>
              <w:pStyle w:val="10"/>
              <w:jc w:val="left"/>
            </w:pPr>
          </w:p>
        </w:tc>
        <w:tc>
          <w:tcPr>
            <w:tcW w:w="0" w:type="auto"/>
            <w:vAlign w:val="top"/>
          </w:tcPr>
          <w:p w14:paraId="4E4149EA">
            <w:pPr>
              <w:pStyle w:val="10"/>
              <w:jc w:val="left"/>
            </w:pPr>
          </w:p>
        </w:tc>
        <w:tc>
          <w:tcPr>
            <w:tcW w:w="0" w:type="auto"/>
            <w:vAlign w:val="top"/>
          </w:tcPr>
          <w:p w14:paraId="71ACF85D">
            <w:pPr>
              <w:pStyle w:val="10"/>
              <w:jc w:val="left"/>
            </w:pPr>
          </w:p>
        </w:tc>
      </w:tr>
      <w:tr w14:paraId="39D5F2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15FFA7FE">
            <w:pPr>
              <w:pStyle w:val="10"/>
              <w:jc w:val="left"/>
            </w:pPr>
          </w:p>
        </w:tc>
        <w:tc>
          <w:tcPr>
            <w:tcW w:w="0" w:type="auto"/>
            <w:vMerge w:val="continue"/>
            <w:tcBorders>
              <w:top w:val="nil"/>
              <w:bottom w:val="nil"/>
            </w:tcBorders>
            <w:vAlign w:val="top"/>
          </w:tcPr>
          <w:p w14:paraId="5E3EF996">
            <w:pPr>
              <w:pStyle w:val="10"/>
              <w:jc w:val="left"/>
            </w:pPr>
          </w:p>
        </w:tc>
        <w:tc>
          <w:tcPr>
            <w:tcW w:w="0" w:type="auto"/>
            <w:vMerge w:val="restart"/>
            <w:tcBorders>
              <w:bottom w:val="nil"/>
            </w:tcBorders>
            <w:vAlign w:val="top"/>
          </w:tcPr>
          <w:p w14:paraId="145ECE61">
            <w:pPr>
              <w:spacing w:before="54" w:line="228" w:lineRule="auto"/>
              <w:ind w:left="301" w:right="126" w:hanging="200"/>
              <w:jc w:val="left"/>
              <w:rPr>
                <w:rFonts w:ascii="宋体" w:hAnsi="宋体" w:eastAsia="宋体" w:cs="宋体"/>
                <w:sz w:val="20"/>
                <w:szCs w:val="20"/>
              </w:rPr>
            </w:pPr>
            <w:r>
              <w:rPr>
                <w:rFonts w:ascii="宋体" w:hAnsi="宋体" w:eastAsia="宋体" w:cs="宋体"/>
                <w:spacing w:val="-3"/>
                <w:sz w:val="20"/>
                <w:szCs w:val="20"/>
              </w:rPr>
              <w:t>生态效益</w:t>
            </w:r>
            <w:r>
              <w:rPr>
                <w:rFonts w:ascii="宋体" w:hAnsi="宋体" w:eastAsia="宋体" w:cs="宋体"/>
                <w:spacing w:val="1"/>
                <w:sz w:val="20"/>
                <w:szCs w:val="20"/>
              </w:rPr>
              <w:t xml:space="preserve"> </w:t>
            </w:r>
            <w:r>
              <w:rPr>
                <w:rFonts w:ascii="宋体" w:hAnsi="宋体" w:eastAsia="宋体" w:cs="宋体"/>
                <w:spacing w:val="-3"/>
                <w:sz w:val="20"/>
                <w:szCs w:val="20"/>
              </w:rPr>
              <w:t>指标</w:t>
            </w:r>
          </w:p>
        </w:tc>
        <w:tc>
          <w:tcPr>
            <w:tcW w:w="0" w:type="auto"/>
            <w:vAlign w:val="top"/>
          </w:tcPr>
          <w:p w14:paraId="01E10AD8">
            <w:pPr>
              <w:pStyle w:val="10"/>
              <w:jc w:val="left"/>
            </w:pPr>
            <w:r>
              <w:rPr>
                <w:rFonts w:hint="eastAsia"/>
              </w:rPr>
              <w:t xml:space="preserve"> 形成风清气正的良好政治环境</w:t>
            </w:r>
          </w:p>
        </w:tc>
        <w:tc>
          <w:tcPr>
            <w:tcW w:w="0" w:type="auto"/>
            <w:vAlign w:val="top"/>
          </w:tcPr>
          <w:p w14:paraId="14ECD218">
            <w:pPr>
              <w:pStyle w:val="10"/>
              <w:jc w:val="left"/>
              <w:rPr>
                <w:rFonts w:hint="default" w:eastAsia="宋体"/>
                <w:lang w:val="en-US" w:eastAsia="zh-CN"/>
              </w:rPr>
            </w:pPr>
            <w:r>
              <w:rPr>
                <w:rFonts w:hint="eastAsia" w:eastAsia="宋体"/>
                <w:lang w:val="en-US" w:eastAsia="zh-CN"/>
              </w:rPr>
              <w:t>90%</w:t>
            </w:r>
          </w:p>
        </w:tc>
        <w:tc>
          <w:tcPr>
            <w:tcW w:w="0" w:type="auto"/>
            <w:vAlign w:val="top"/>
          </w:tcPr>
          <w:p w14:paraId="6E4C39EB">
            <w:pPr>
              <w:pStyle w:val="10"/>
              <w:jc w:val="left"/>
              <w:rPr>
                <w:rFonts w:hint="default" w:eastAsia="宋体"/>
                <w:lang w:val="en-US" w:eastAsia="zh-CN"/>
              </w:rPr>
            </w:pPr>
            <w:r>
              <w:rPr>
                <w:rFonts w:hint="eastAsia" w:eastAsia="宋体"/>
                <w:lang w:val="en-US" w:eastAsia="zh-CN"/>
              </w:rPr>
              <w:t>90%</w:t>
            </w:r>
          </w:p>
        </w:tc>
        <w:tc>
          <w:tcPr>
            <w:tcW w:w="0" w:type="auto"/>
            <w:vAlign w:val="top"/>
          </w:tcPr>
          <w:p w14:paraId="4D74BBC7">
            <w:pPr>
              <w:pStyle w:val="10"/>
              <w:jc w:val="left"/>
              <w:rPr>
                <w:rFonts w:hint="eastAsia" w:eastAsia="宋体"/>
                <w:lang w:val="en-US" w:eastAsia="zh-CN"/>
              </w:rPr>
            </w:pPr>
            <w:r>
              <w:rPr>
                <w:rFonts w:hint="eastAsia" w:eastAsia="宋体"/>
                <w:lang w:val="en-US" w:eastAsia="zh-CN"/>
              </w:rPr>
              <w:t>5</w:t>
            </w:r>
          </w:p>
        </w:tc>
        <w:tc>
          <w:tcPr>
            <w:tcW w:w="0" w:type="auto"/>
            <w:vAlign w:val="top"/>
          </w:tcPr>
          <w:p w14:paraId="24490429">
            <w:pPr>
              <w:pStyle w:val="10"/>
              <w:jc w:val="left"/>
              <w:rPr>
                <w:rFonts w:hint="eastAsia" w:eastAsia="宋体"/>
                <w:lang w:val="en-US" w:eastAsia="zh-CN"/>
              </w:rPr>
            </w:pPr>
            <w:r>
              <w:rPr>
                <w:rFonts w:hint="eastAsia" w:eastAsia="宋体"/>
                <w:lang w:val="en-US" w:eastAsia="zh-CN"/>
              </w:rPr>
              <w:t>5</w:t>
            </w:r>
          </w:p>
        </w:tc>
        <w:tc>
          <w:tcPr>
            <w:tcW w:w="0" w:type="auto"/>
            <w:vAlign w:val="top"/>
          </w:tcPr>
          <w:p w14:paraId="11EB6902">
            <w:pPr>
              <w:pStyle w:val="10"/>
              <w:jc w:val="left"/>
            </w:pPr>
          </w:p>
        </w:tc>
      </w:tr>
      <w:tr w14:paraId="715DC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0" w:type="auto"/>
            <w:vMerge w:val="continue"/>
            <w:tcBorders>
              <w:top w:val="nil"/>
              <w:bottom w:val="nil"/>
            </w:tcBorders>
            <w:textDirection w:val="tbRlV"/>
            <w:vAlign w:val="top"/>
          </w:tcPr>
          <w:p w14:paraId="0238D5DC">
            <w:pPr>
              <w:pStyle w:val="10"/>
              <w:jc w:val="left"/>
            </w:pPr>
          </w:p>
        </w:tc>
        <w:tc>
          <w:tcPr>
            <w:tcW w:w="0" w:type="auto"/>
            <w:vMerge w:val="continue"/>
            <w:tcBorders>
              <w:top w:val="nil"/>
              <w:bottom w:val="nil"/>
            </w:tcBorders>
            <w:vAlign w:val="top"/>
          </w:tcPr>
          <w:p w14:paraId="55AFB808">
            <w:pPr>
              <w:pStyle w:val="10"/>
              <w:jc w:val="left"/>
            </w:pPr>
          </w:p>
        </w:tc>
        <w:tc>
          <w:tcPr>
            <w:tcW w:w="0" w:type="auto"/>
            <w:vMerge w:val="continue"/>
            <w:tcBorders>
              <w:top w:val="nil"/>
            </w:tcBorders>
            <w:vAlign w:val="top"/>
          </w:tcPr>
          <w:p w14:paraId="66D18AA7">
            <w:pPr>
              <w:pStyle w:val="10"/>
              <w:jc w:val="left"/>
            </w:pPr>
          </w:p>
        </w:tc>
        <w:tc>
          <w:tcPr>
            <w:tcW w:w="0" w:type="auto"/>
            <w:vAlign w:val="top"/>
          </w:tcPr>
          <w:p w14:paraId="3EADCCD2">
            <w:pPr>
              <w:pStyle w:val="10"/>
              <w:jc w:val="left"/>
            </w:pPr>
          </w:p>
        </w:tc>
        <w:tc>
          <w:tcPr>
            <w:tcW w:w="0" w:type="auto"/>
            <w:vAlign w:val="top"/>
          </w:tcPr>
          <w:p w14:paraId="691571F2">
            <w:pPr>
              <w:pStyle w:val="10"/>
              <w:jc w:val="left"/>
            </w:pPr>
          </w:p>
        </w:tc>
        <w:tc>
          <w:tcPr>
            <w:tcW w:w="0" w:type="auto"/>
            <w:vAlign w:val="top"/>
          </w:tcPr>
          <w:p w14:paraId="42775234">
            <w:pPr>
              <w:pStyle w:val="10"/>
              <w:jc w:val="left"/>
            </w:pPr>
          </w:p>
        </w:tc>
        <w:tc>
          <w:tcPr>
            <w:tcW w:w="0" w:type="auto"/>
            <w:vAlign w:val="top"/>
          </w:tcPr>
          <w:p w14:paraId="5189A921">
            <w:pPr>
              <w:pStyle w:val="10"/>
              <w:jc w:val="left"/>
            </w:pPr>
          </w:p>
        </w:tc>
        <w:tc>
          <w:tcPr>
            <w:tcW w:w="0" w:type="auto"/>
            <w:vAlign w:val="top"/>
          </w:tcPr>
          <w:p w14:paraId="13A28E85">
            <w:pPr>
              <w:pStyle w:val="10"/>
              <w:jc w:val="left"/>
            </w:pPr>
          </w:p>
        </w:tc>
        <w:tc>
          <w:tcPr>
            <w:tcW w:w="0" w:type="auto"/>
            <w:vAlign w:val="top"/>
          </w:tcPr>
          <w:p w14:paraId="64BF8DE5">
            <w:pPr>
              <w:pStyle w:val="10"/>
              <w:jc w:val="left"/>
            </w:pPr>
          </w:p>
        </w:tc>
      </w:tr>
      <w:tr w14:paraId="05E9E9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 w:hRule="atLeast"/>
        </w:trPr>
        <w:tc>
          <w:tcPr>
            <w:tcW w:w="0" w:type="auto"/>
            <w:vMerge w:val="continue"/>
            <w:tcBorders>
              <w:top w:val="nil"/>
              <w:bottom w:val="nil"/>
            </w:tcBorders>
            <w:textDirection w:val="tbRlV"/>
            <w:vAlign w:val="top"/>
          </w:tcPr>
          <w:p w14:paraId="75B077EB">
            <w:pPr>
              <w:pStyle w:val="10"/>
              <w:jc w:val="left"/>
            </w:pPr>
          </w:p>
        </w:tc>
        <w:tc>
          <w:tcPr>
            <w:tcW w:w="0" w:type="auto"/>
            <w:vMerge w:val="continue"/>
            <w:tcBorders>
              <w:top w:val="nil"/>
              <w:bottom w:val="nil"/>
            </w:tcBorders>
            <w:vAlign w:val="top"/>
          </w:tcPr>
          <w:p w14:paraId="0B45CB97">
            <w:pPr>
              <w:pStyle w:val="10"/>
              <w:jc w:val="left"/>
            </w:pPr>
          </w:p>
        </w:tc>
        <w:tc>
          <w:tcPr>
            <w:tcW w:w="0" w:type="auto"/>
            <w:vMerge w:val="restart"/>
            <w:tcBorders>
              <w:bottom w:val="nil"/>
            </w:tcBorders>
            <w:vAlign w:val="top"/>
          </w:tcPr>
          <w:p w14:paraId="32E4B4C3">
            <w:pPr>
              <w:spacing w:before="66" w:line="219" w:lineRule="auto"/>
              <w:ind w:left="101"/>
              <w:jc w:val="left"/>
              <w:rPr>
                <w:rFonts w:ascii="宋体" w:hAnsi="宋体" w:eastAsia="宋体" w:cs="宋体"/>
                <w:sz w:val="20"/>
                <w:szCs w:val="20"/>
              </w:rPr>
            </w:pPr>
            <w:r>
              <w:rPr>
                <w:rFonts w:ascii="宋体" w:hAnsi="宋体" w:eastAsia="宋体" w:cs="宋体"/>
                <w:spacing w:val="-2"/>
                <w:sz w:val="20"/>
                <w:szCs w:val="20"/>
              </w:rPr>
              <w:t>可持续影</w:t>
            </w:r>
          </w:p>
          <w:p w14:paraId="3DDC403A">
            <w:pPr>
              <w:spacing w:before="23" w:line="214" w:lineRule="auto"/>
              <w:ind w:left="201"/>
              <w:jc w:val="left"/>
              <w:rPr>
                <w:rFonts w:ascii="宋体" w:hAnsi="宋体" w:eastAsia="宋体" w:cs="宋体"/>
                <w:sz w:val="20"/>
                <w:szCs w:val="20"/>
              </w:rPr>
            </w:pPr>
            <w:r>
              <w:rPr>
                <w:rFonts w:ascii="宋体" w:hAnsi="宋体" w:eastAsia="宋体" w:cs="宋体"/>
                <w:spacing w:val="2"/>
                <w:sz w:val="20"/>
                <w:szCs w:val="20"/>
              </w:rPr>
              <w:t>响指标</w:t>
            </w:r>
          </w:p>
        </w:tc>
        <w:tc>
          <w:tcPr>
            <w:tcW w:w="0" w:type="auto"/>
            <w:vAlign w:val="top"/>
          </w:tcPr>
          <w:p w14:paraId="5BCCCB9C">
            <w:pPr>
              <w:pStyle w:val="10"/>
              <w:jc w:val="left"/>
            </w:pPr>
            <w:r>
              <w:rPr>
                <w:rFonts w:hint="eastAsia"/>
              </w:rPr>
              <w:t>加强全面从严治党，提升执政党形象</w:t>
            </w:r>
          </w:p>
        </w:tc>
        <w:tc>
          <w:tcPr>
            <w:tcW w:w="0" w:type="auto"/>
            <w:vAlign w:val="top"/>
          </w:tcPr>
          <w:p w14:paraId="270FA437">
            <w:pPr>
              <w:pStyle w:val="10"/>
              <w:jc w:val="left"/>
              <w:rPr>
                <w:rFonts w:hint="default" w:eastAsia="宋体"/>
                <w:lang w:val="en-US" w:eastAsia="zh-CN"/>
              </w:rPr>
            </w:pPr>
            <w:r>
              <w:rPr>
                <w:rFonts w:hint="eastAsia" w:eastAsia="宋体"/>
                <w:lang w:val="en-US" w:eastAsia="zh-CN"/>
              </w:rPr>
              <w:t>90%</w:t>
            </w:r>
          </w:p>
        </w:tc>
        <w:tc>
          <w:tcPr>
            <w:tcW w:w="0" w:type="auto"/>
            <w:vAlign w:val="top"/>
          </w:tcPr>
          <w:p w14:paraId="11EB2375">
            <w:pPr>
              <w:pStyle w:val="10"/>
              <w:jc w:val="left"/>
              <w:rPr>
                <w:rFonts w:hint="default" w:eastAsia="宋体"/>
                <w:lang w:val="en-US" w:eastAsia="zh-CN"/>
              </w:rPr>
            </w:pPr>
            <w:r>
              <w:rPr>
                <w:rFonts w:hint="eastAsia" w:eastAsia="宋体"/>
                <w:lang w:val="en-US" w:eastAsia="zh-CN"/>
              </w:rPr>
              <w:t>90%</w:t>
            </w:r>
          </w:p>
        </w:tc>
        <w:tc>
          <w:tcPr>
            <w:tcW w:w="0" w:type="auto"/>
            <w:vAlign w:val="top"/>
          </w:tcPr>
          <w:p w14:paraId="7B51CB8C">
            <w:pPr>
              <w:pStyle w:val="10"/>
              <w:jc w:val="left"/>
              <w:rPr>
                <w:rFonts w:hint="eastAsia" w:eastAsia="宋体"/>
                <w:lang w:val="en-US" w:eastAsia="zh-CN"/>
              </w:rPr>
            </w:pPr>
            <w:r>
              <w:rPr>
                <w:rFonts w:hint="eastAsia" w:eastAsia="宋体"/>
                <w:lang w:val="en-US" w:eastAsia="zh-CN"/>
              </w:rPr>
              <w:t>5</w:t>
            </w:r>
          </w:p>
        </w:tc>
        <w:tc>
          <w:tcPr>
            <w:tcW w:w="0" w:type="auto"/>
            <w:vAlign w:val="top"/>
          </w:tcPr>
          <w:p w14:paraId="295EB639">
            <w:pPr>
              <w:pStyle w:val="10"/>
              <w:jc w:val="left"/>
              <w:rPr>
                <w:rFonts w:hint="eastAsia" w:eastAsia="宋体"/>
                <w:lang w:val="en-US" w:eastAsia="zh-CN"/>
              </w:rPr>
            </w:pPr>
            <w:r>
              <w:rPr>
                <w:rFonts w:hint="eastAsia" w:eastAsia="宋体"/>
                <w:lang w:val="en-US" w:eastAsia="zh-CN"/>
              </w:rPr>
              <w:t>5</w:t>
            </w:r>
          </w:p>
        </w:tc>
        <w:tc>
          <w:tcPr>
            <w:tcW w:w="0" w:type="auto"/>
            <w:vAlign w:val="top"/>
          </w:tcPr>
          <w:p w14:paraId="77F10AA7">
            <w:pPr>
              <w:pStyle w:val="10"/>
              <w:jc w:val="left"/>
            </w:pPr>
          </w:p>
        </w:tc>
      </w:tr>
      <w:tr w14:paraId="3863A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634FD97D">
            <w:pPr>
              <w:pStyle w:val="10"/>
              <w:jc w:val="left"/>
            </w:pPr>
          </w:p>
        </w:tc>
        <w:tc>
          <w:tcPr>
            <w:tcW w:w="0" w:type="auto"/>
            <w:vMerge w:val="continue"/>
            <w:tcBorders>
              <w:top w:val="nil"/>
            </w:tcBorders>
            <w:vAlign w:val="top"/>
          </w:tcPr>
          <w:p w14:paraId="2670CBB6">
            <w:pPr>
              <w:pStyle w:val="10"/>
              <w:jc w:val="left"/>
            </w:pPr>
          </w:p>
        </w:tc>
        <w:tc>
          <w:tcPr>
            <w:tcW w:w="0" w:type="auto"/>
            <w:vMerge w:val="continue"/>
            <w:tcBorders>
              <w:top w:val="nil"/>
            </w:tcBorders>
            <w:vAlign w:val="top"/>
          </w:tcPr>
          <w:p w14:paraId="18A75056">
            <w:pPr>
              <w:pStyle w:val="10"/>
              <w:jc w:val="left"/>
            </w:pPr>
          </w:p>
        </w:tc>
        <w:tc>
          <w:tcPr>
            <w:tcW w:w="0" w:type="auto"/>
            <w:vAlign w:val="top"/>
          </w:tcPr>
          <w:p w14:paraId="2E9D13C3">
            <w:pPr>
              <w:pStyle w:val="10"/>
              <w:jc w:val="left"/>
            </w:pPr>
          </w:p>
        </w:tc>
        <w:tc>
          <w:tcPr>
            <w:tcW w:w="0" w:type="auto"/>
            <w:vAlign w:val="top"/>
          </w:tcPr>
          <w:p w14:paraId="4B4E2DBF">
            <w:pPr>
              <w:pStyle w:val="10"/>
              <w:jc w:val="left"/>
            </w:pPr>
          </w:p>
        </w:tc>
        <w:tc>
          <w:tcPr>
            <w:tcW w:w="0" w:type="auto"/>
            <w:vAlign w:val="top"/>
          </w:tcPr>
          <w:p w14:paraId="202DED77">
            <w:pPr>
              <w:pStyle w:val="10"/>
              <w:jc w:val="left"/>
            </w:pPr>
          </w:p>
        </w:tc>
        <w:tc>
          <w:tcPr>
            <w:tcW w:w="0" w:type="auto"/>
            <w:vAlign w:val="top"/>
          </w:tcPr>
          <w:p w14:paraId="00E0C7F8">
            <w:pPr>
              <w:pStyle w:val="10"/>
              <w:jc w:val="left"/>
            </w:pPr>
          </w:p>
        </w:tc>
        <w:tc>
          <w:tcPr>
            <w:tcW w:w="0" w:type="auto"/>
            <w:vAlign w:val="top"/>
          </w:tcPr>
          <w:p w14:paraId="3A6F7C34">
            <w:pPr>
              <w:pStyle w:val="10"/>
              <w:jc w:val="left"/>
            </w:pPr>
          </w:p>
        </w:tc>
        <w:tc>
          <w:tcPr>
            <w:tcW w:w="0" w:type="auto"/>
            <w:vAlign w:val="top"/>
          </w:tcPr>
          <w:p w14:paraId="3F35D398">
            <w:pPr>
              <w:pStyle w:val="10"/>
              <w:jc w:val="left"/>
            </w:pPr>
          </w:p>
        </w:tc>
      </w:tr>
      <w:tr w14:paraId="74F0A4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0" w:type="auto"/>
            <w:vMerge w:val="continue"/>
            <w:tcBorders>
              <w:top w:val="nil"/>
              <w:bottom w:val="nil"/>
            </w:tcBorders>
            <w:textDirection w:val="tbRlV"/>
            <w:vAlign w:val="top"/>
          </w:tcPr>
          <w:p w14:paraId="711D9FCF">
            <w:pPr>
              <w:pStyle w:val="10"/>
              <w:jc w:val="left"/>
            </w:pPr>
          </w:p>
        </w:tc>
        <w:tc>
          <w:tcPr>
            <w:tcW w:w="0" w:type="auto"/>
            <w:vMerge w:val="restart"/>
            <w:tcBorders>
              <w:bottom w:val="nil"/>
            </w:tcBorders>
            <w:vAlign w:val="top"/>
          </w:tcPr>
          <w:p w14:paraId="3C91FE97">
            <w:pPr>
              <w:spacing w:before="226"/>
              <w:ind w:left="210" w:right="35" w:hanging="200"/>
              <w:jc w:val="left"/>
              <w:rPr>
                <w:rFonts w:ascii="宋体" w:hAnsi="宋体" w:eastAsia="宋体" w:cs="宋体"/>
                <w:sz w:val="20"/>
                <w:szCs w:val="20"/>
              </w:rPr>
            </w:pPr>
            <w:r>
              <w:rPr>
                <w:rFonts w:ascii="宋体" w:hAnsi="宋体" w:eastAsia="宋体" w:cs="宋体"/>
                <w:spacing w:val="-2"/>
                <w:sz w:val="20"/>
                <w:szCs w:val="20"/>
              </w:rPr>
              <w:t>满意度指标</w:t>
            </w:r>
            <w:r>
              <w:rPr>
                <w:rFonts w:ascii="宋体" w:hAnsi="宋体" w:eastAsia="宋体" w:cs="宋体"/>
                <w:spacing w:val="1"/>
                <w:sz w:val="20"/>
                <w:szCs w:val="20"/>
              </w:rPr>
              <w:t xml:space="preserve"> </w:t>
            </w:r>
            <w:r>
              <w:rPr>
                <w:rFonts w:ascii="宋体" w:hAnsi="宋体" w:eastAsia="宋体" w:cs="宋体"/>
                <w:spacing w:val="8"/>
                <w:sz w:val="20"/>
                <w:szCs w:val="20"/>
              </w:rPr>
              <w:t>(10分)</w:t>
            </w:r>
          </w:p>
        </w:tc>
        <w:tc>
          <w:tcPr>
            <w:tcW w:w="0" w:type="auto"/>
            <w:vMerge w:val="restart"/>
            <w:tcBorders>
              <w:bottom w:val="nil"/>
            </w:tcBorders>
            <w:vAlign w:val="top"/>
          </w:tcPr>
          <w:p w14:paraId="1998170C">
            <w:pPr>
              <w:spacing w:before="97" w:line="219" w:lineRule="auto"/>
              <w:ind w:left="101"/>
              <w:jc w:val="left"/>
              <w:rPr>
                <w:rFonts w:ascii="宋体" w:hAnsi="宋体" w:eastAsia="宋体" w:cs="宋体"/>
                <w:sz w:val="20"/>
                <w:szCs w:val="20"/>
              </w:rPr>
            </w:pPr>
            <w:r>
              <w:rPr>
                <w:rFonts w:ascii="宋体" w:hAnsi="宋体" w:eastAsia="宋体" w:cs="宋体"/>
                <w:spacing w:val="-2"/>
                <w:sz w:val="20"/>
                <w:szCs w:val="20"/>
              </w:rPr>
              <w:t>服务对象</w:t>
            </w:r>
          </w:p>
          <w:p w14:paraId="4219737A">
            <w:pPr>
              <w:spacing w:before="32" w:line="219" w:lineRule="auto"/>
              <w:ind w:left="101"/>
              <w:jc w:val="left"/>
              <w:rPr>
                <w:rFonts w:ascii="宋体" w:hAnsi="宋体" w:eastAsia="宋体" w:cs="宋体"/>
                <w:sz w:val="20"/>
                <w:szCs w:val="20"/>
              </w:rPr>
            </w:pPr>
            <w:r>
              <w:rPr>
                <w:rFonts w:ascii="宋体" w:hAnsi="宋体" w:eastAsia="宋体" w:cs="宋体"/>
                <w:spacing w:val="3"/>
                <w:sz w:val="20"/>
                <w:szCs w:val="20"/>
              </w:rPr>
              <w:t>满意度指</w:t>
            </w:r>
          </w:p>
          <w:p w14:paraId="308CF3D4">
            <w:pPr>
              <w:spacing w:before="33" w:line="220" w:lineRule="auto"/>
              <w:ind w:left="401"/>
              <w:jc w:val="left"/>
              <w:rPr>
                <w:rFonts w:ascii="宋体" w:hAnsi="宋体" w:eastAsia="宋体" w:cs="宋体"/>
                <w:sz w:val="20"/>
                <w:szCs w:val="20"/>
              </w:rPr>
            </w:pPr>
            <w:r>
              <w:rPr>
                <w:rFonts w:ascii="宋体" w:hAnsi="宋体" w:eastAsia="宋体" w:cs="宋体"/>
                <w:sz w:val="20"/>
                <w:szCs w:val="20"/>
              </w:rPr>
              <w:t>标</w:t>
            </w:r>
          </w:p>
        </w:tc>
        <w:tc>
          <w:tcPr>
            <w:tcW w:w="0" w:type="auto"/>
            <w:vAlign w:val="top"/>
          </w:tcPr>
          <w:p w14:paraId="62C6DF45">
            <w:pPr>
              <w:pStyle w:val="10"/>
              <w:jc w:val="left"/>
            </w:pPr>
            <w:r>
              <w:rPr>
                <w:rFonts w:hint="eastAsia"/>
              </w:rPr>
              <w:t xml:space="preserve"> 群众对党政机关执行力及服务更加满意</w:t>
            </w:r>
          </w:p>
        </w:tc>
        <w:tc>
          <w:tcPr>
            <w:tcW w:w="0" w:type="auto"/>
            <w:vAlign w:val="top"/>
          </w:tcPr>
          <w:p w14:paraId="41F792F3">
            <w:pPr>
              <w:pStyle w:val="10"/>
              <w:jc w:val="left"/>
              <w:rPr>
                <w:rFonts w:hint="default" w:eastAsia="宋体"/>
                <w:lang w:val="en-US" w:eastAsia="zh-CN"/>
              </w:rPr>
            </w:pPr>
            <w:r>
              <w:rPr>
                <w:rFonts w:hint="eastAsia" w:eastAsia="宋体"/>
                <w:lang w:val="en-US" w:eastAsia="zh-CN"/>
              </w:rPr>
              <w:t>90%</w:t>
            </w:r>
          </w:p>
        </w:tc>
        <w:tc>
          <w:tcPr>
            <w:tcW w:w="0" w:type="auto"/>
            <w:vAlign w:val="top"/>
          </w:tcPr>
          <w:p w14:paraId="13B06FF9">
            <w:pPr>
              <w:pStyle w:val="10"/>
              <w:jc w:val="left"/>
              <w:rPr>
                <w:rFonts w:hint="default" w:eastAsia="宋体"/>
                <w:lang w:val="en-US" w:eastAsia="zh-CN"/>
              </w:rPr>
            </w:pPr>
            <w:r>
              <w:rPr>
                <w:rFonts w:hint="eastAsia" w:eastAsia="宋体"/>
                <w:lang w:val="en-US" w:eastAsia="zh-CN"/>
              </w:rPr>
              <w:t>90%</w:t>
            </w:r>
          </w:p>
        </w:tc>
        <w:tc>
          <w:tcPr>
            <w:tcW w:w="0" w:type="auto"/>
            <w:vAlign w:val="top"/>
          </w:tcPr>
          <w:p w14:paraId="782FDCCA">
            <w:pPr>
              <w:pStyle w:val="10"/>
              <w:jc w:val="left"/>
              <w:rPr>
                <w:rFonts w:hint="default" w:eastAsia="宋体"/>
                <w:lang w:val="en-US" w:eastAsia="zh-CN"/>
              </w:rPr>
            </w:pPr>
            <w:r>
              <w:rPr>
                <w:rFonts w:hint="eastAsia" w:eastAsia="宋体"/>
                <w:lang w:val="en-US" w:eastAsia="zh-CN"/>
              </w:rPr>
              <w:t>10</w:t>
            </w:r>
          </w:p>
        </w:tc>
        <w:tc>
          <w:tcPr>
            <w:tcW w:w="0" w:type="auto"/>
            <w:vAlign w:val="top"/>
          </w:tcPr>
          <w:p w14:paraId="0C21824B">
            <w:pPr>
              <w:pStyle w:val="10"/>
              <w:jc w:val="left"/>
              <w:rPr>
                <w:rFonts w:hint="default" w:eastAsia="宋体"/>
                <w:lang w:val="en-US" w:eastAsia="zh-CN"/>
              </w:rPr>
            </w:pPr>
            <w:r>
              <w:rPr>
                <w:rFonts w:hint="eastAsia" w:eastAsia="宋体"/>
                <w:lang w:val="en-US" w:eastAsia="zh-CN"/>
              </w:rPr>
              <w:t>10</w:t>
            </w:r>
          </w:p>
        </w:tc>
        <w:tc>
          <w:tcPr>
            <w:tcW w:w="0" w:type="auto"/>
            <w:vAlign w:val="top"/>
          </w:tcPr>
          <w:p w14:paraId="40A1AF71">
            <w:pPr>
              <w:pStyle w:val="10"/>
              <w:jc w:val="left"/>
            </w:pPr>
          </w:p>
        </w:tc>
      </w:tr>
      <w:tr w14:paraId="05114F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0" w:type="auto"/>
            <w:vMerge w:val="continue"/>
            <w:tcBorders>
              <w:top w:val="nil"/>
              <w:bottom w:val="nil"/>
            </w:tcBorders>
            <w:textDirection w:val="tbRlV"/>
            <w:vAlign w:val="top"/>
          </w:tcPr>
          <w:p w14:paraId="18008C4C">
            <w:pPr>
              <w:pStyle w:val="10"/>
              <w:jc w:val="left"/>
            </w:pPr>
          </w:p>
        </w:tc>
        <w:tc>
          <w:tcPr>
            <w:tcW w:w="0" w:type="auto"/>
            <w:vMerge w:val="continue"/>
            <w:tcBorders>
              <w:top w:val="nil"/>
              <w:bottom w:val="nil"/>
            </w:tcBorders>
            <w:vAlign w:val="top"/>
          </w:tcPr>
          <w:p w14:paraId="5DDFAAFB">
            <w:pPr>
              <w:pStyle w:val="10"/>
              <w:jc w:val="left"/>
            </w:pPr>
          </w:p>
        </w:tc>
        <w:tc>
          <w:tcPr>
            <w:tcW w:w="0" w:type="auto"/>
            <w:vMerge w:val="continue"/>
            <w:tcBorders>
              <w:top w:val="nil"/>
              <w:bottom w:val="nil"/>
            </w:tcBorders>
            <w:vAlign w:val="top"/>
          </w:tcPr>
          <w:p w14:paraId="14486AE7">
            <w:pPr>
              <w:pStyle w:val="10"/>
              <w:jc w:val="left"/>
            </w:pPr>
          </w:p>
        </w:tc>
        <w:tc>
          <w:tcPr>
            <w:tcW w:w="0" w:type="auto"/>
            <w:vAlign w:val="top"/>
          </w:tcPr>
          <w:p w14:paraId="7AEF5A80">
            <w:pPr>
              <w:pStyle w:val="10"/>
              <w:jc w:val="left"/>
            </w:pPr>
          </w:p>
        </w:tc>
        <w:tc>
          <w:tcPr>
            <w:tcW w:w="0" w:type="auto"/>
            <w:vAlign w:val="top"/>
          </w:tcPr>
          <w:p w14:paraId="66A1CA29">
            <w:pPr>
              <w:pStyle w:val="10"/>
              <w:jc w:val="left"/>
            </w:pPr>
          </w:p>
        </w:tc>
        <w:tc>
          <w:tcPr>
            <w:tcW w:w="0" w:type="auto"/>
            <w:vAlign w:val="top"/>
          </w:tcPr>
          <w:p w14:paraId="723A8A8C">
            <w:pPr>
              <w:pStyle w:val="10"/>
              <w:jc w:val="left"/>
            </w:pPr>
          </w:p>
        </w:tc>
        <w:tc>
          <w:tcPr>
            <w:tcW w:w="0" w:type="auto"/>
            <w:vAlign w:val="top"/>
          </w:tcPr>
          <w:p w14:paraId="2E0AC74B">
            <w:pPr>
              <w:pStyle w:val="10"/>
              <w:jc w:val="left"/>
              <w:rPr>
                <w:rFonts w:hint="default" w:eastAsia="宋体"/>
                <w:lang w:val="en-US" w:eastAsia="zh-CN"/>
              </w:rPr>
            </w:pPr>
          </w:p>
        </w:tc>
        <w:tc>
          <w:tcPr>
            <w:tcW w:w="0" w:type="auto"/>
            <w:vAlign w:val="top"/>
          </w:tcPr>
          <w:p w14:paraId="737974A8">
            <w:pPr>
              <w:pStyle w:val="10"/>
              <w:jc w:val="left"/>
            </w:pPr>
          </w:p>
        </w:tc>
        <w:tc>
          <w:tcPr>
            <w:tcW w:w="0" w:type="auto"/>
            <w:vAlign w:val="top"/>
          </w:tcPr>
          <w:p w14:paraId="21B48B29">
            <w:pPr>
              <w:pStyle w:val="10"/>
              <w:jc w:val="left"/>
            </w:pPr>
          </w:p>
        </w:tc>
      </w:tr>
      <w:tr w14:paraId="026A4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0" w:type="auto"/>
            <w:vMerge w:val="continue"/>
            <w:tcBorders>
              <w:top w:val="nil"/>
            </w:tcBorders>
            <w:textDirection w:val="tbRlV"/>
            <w:vAlign w:val="top"/>
          </w:tcPr>
          <w:p w14:paraId="4E433FBA">
            <w:pPr>
              <w:pStyle w:val="10"/>
              <w:jc w:val="left"/>
            </w:pPr>
          </w:p>
        </w:tc>
        <w:tc>
          <w:tcPr>
            <w:tcW w:w="0" w:type="auto"/>
            <w:vMerge w:val="continue"/>
            <w:tcBorders>
              <w:top w:val="nil"/>
            </w:tcBorders>
            <w:vAlign w:val="top"/>
          </w:tcPr>
          <w:p w14:paraId="70986107">
            <w:pPr>
              <w:pStyle w:val="10"/>
              <w:jc w:val="left"/>
            </w:pPr>
          </w:p>
        </w:tc>
        <w:tc>
          <w:tcPr>
            <w:tcW w:w="0" w:type="auto"/>
            <w:vMerge w:val="continue"/>
            <w:tcBorders>
              <w:top w:val="nil"/>
            </w:tcBorders>
            <w:vAlign w:val="top"/>
          </w:tcPr>
          <w:p w14:paraId="60245B00">
            <w:pPr>
              <w:pStyle w:val="10"/>
              <w:jc w:val="left"/>
            </w:pPr>
          </w:p>
        </w:tc>
        <w:tc>
          <w:tcPr>
            <w:tcW w:w="0" w:type="auto"/>
            <w:vAlign w:val="top"/>
          </w:tcPr>
          <w:p w14:paraId="0498610F">
            <w:pPr>
              <w:pStyle w:val="10"/>
              <w:jc w:val="left"/>
            </w:pPr>
          </w:p>
        </w:tc>
        <w:tc>
          <w:tcPr>
            <w:tcW w:w="0" w:type="auto"/>
            <w:vAlign w:val="top"/>
          </w:tcPr>
          <w:p w14:paraId="0FF9134F">
            <w:pPr>
              <w:pStyle w:val="10"/>
              <w:jc w:val="left"/>
            </w:pPr>
          </w:p>
        </w:tc>
        <w:tc>
          <w:tcPr>
            <w:tcW w:w="0" w:type="auto"/>
            <w:vAlign w:val="top"/>
          </w:tcPr>
          <w:p w14:paraId="5CA65838">
            <w:pPr>
              <w:pStyle w:val="10"/>
              <w:jc w:val="left"/>
            </w:pPr>
          </w:p>
        </w:tc>
        <w:tc>
          <w:tcPr>
            <w:tcW w:w="0" w:type="auto"/>
            <w:vAlign w:val="top"/>
          </w:tcPr>
          <w:p w14:paraId="503787B3">
            <w:pPr>
              <w:pStyle w:val="10"/>
              <w:jc w:val="left"/>
            </w:pPr>
          </w:p>
        </w:tc>
        <w:tc>
          <w:tcPr>
            <w:tcW w:w="0" w:type="auto"/>
            <w:vAlign w:val="top"/>
          </w:tcPr>
          <w:p w14:paraId="3B8B64E4">
            <w:pPr>
              <w:pStyle w:val="10"/>
              <w:jc w:val="left"/>
            </w:pPr>
          </w:p>
        </w:tc>
        <w:tc>
          <w:tcPr>
            <w:tcW w:w="0" w:type="auto"/>
            <w:vAlign w:val="top"/>
          </w:tcPr>
          <w:p w14:paraId="1D8DC8C8">
            <w:pPr>
              <w:pStyle w:val="10"/>
              <w:jc w:val="left"/>
            </w:pPr>
          </w:p>
        </w:tc>
      </w:tr>
      <w:tr w14:paraId="3186D6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5" w:hRule="atLeast"/>
        </w:trPr>
        <w:tc>
          <w:tcPr>
            <w:tcW w:w="0" w:type="auto"/>
            <w:gridSpan w:val="6"/>
            <w:vAlign w:val="top"/>
          </w:tcPr>
          <w:p w14:paraId="2BEFB203">
            <w:pPr>
              <w:spacing w:line="250" w:lineRule="exact"/>
              <w:ind w:firstLine="3424"/>
              <w:jc w:val="left"/>
            </w:pPr>
            <w:r>
              <w:rPr>
                <w:position w:val="-5"/>
              </w:rPr>
              <w:drawing>
                <wp:inline distT="0" distB="0" distL="0" distR="0">
                  <wp:extent cx="285750" cy="158750"/>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
                          <a:stretch>
                            <a:fillRect/>
                          </a:stretch>
                        </pic:blipFill>
                        <pic:spPr>
                          <a:xfrm>
                            <a:off x="0" y="0"/>
                            <a:ext cx="285786" cy="158801"/>
                          </a:xfrm>
                          <a:prstGeom prst="rect">
                            <a:avLst/>
                          </a:prstGeom>
                        </pic:spPr>
                      </pic:pic>
                    </a:graphicData>
                  </a:graphic>
                </wp:inline>
              </w:drawing>
            </w:r>
          </w:p>
        </w:tc>
        <w:tc>
          <w:tcPr>
            <w:tcW w:w="0" w:type="auto"/>
            <w:vAlign w:val="top"/>
          </w:tcPr>
          <w:p w14:paraId="48E970E8">
            <w:pPr>
              <w:spacing w:before="98" w:line="167" w:lineRule="exact"/>
              <w:ind w:left="185"/>
              <w:jc w:val="left"/>
              <w:rPr>
                <w:rFonts w:ascii="宋体" w:hAnsi="宋体" w:eastAsia="宋体" w:cs="宋体"/>
                <w:sz w:val="20"/>
                <w:szCs w:val="20"/>
              </w:rPr>
            </w:pPr>
            <w:r>
              <w:rPr>
                <w:rFonts w:ascii="宋体" w:hAnsi="宋体" w:eastAsia="宋体" w:cs="宋体"/>
                <w:spacing w:val="-6"/>
                <w:position w:val="-2"/>
                <w:sz w:val="20"/>
                <w:szCs w:val="20"/>
              </w:rPr>
              <w:t>100</w:t>
            </w:r>
          </w:p>
        </w:tc>
        <w:tc>
          <w:tcPr>
            <w:tcW w:w="0" w:type="auto"/>
            <w:vAlign w:val="top"/>
          </w:tcPr>
          <w:p w14:paraId="6FCA5AAF">
            <w:pPr>
              <w:pStyle w:val="10"/>
              <w:jc w:val="left"/>
              <w:rPr>
                <w:rFonts w:hint="default" w:eastAsia="宋体"/>
                <w:lang w:val="en-US" w:eastAsia="zh-CN"/>
              </w:rPr>
            </w:pPr>
            <w:r>
              <w:rPr>
                <w:rFonts w:hint="eastAsia" w:eastAsia="宋体"/>
                <w:lang w:val="en-US" w:eastAsia="zh-CN"/>
              </w:rPr>
              <w:t>95</w:t>
            </w:r>
          </w:p>
        </w:tc>
        <w:tc>
          <w:tcPr>
            <w:tcW w:w="0" w:type="auto"/>
            <w:vAlign w:val="top"/>
          </w:tcPr>
          <w:p w14:paraId="3BE29811">
            <w:pPr>
              <w:pStyle w:val="10"/>
              <w:jc w:val="left"/>
            </w:pPr>
          </w:p>
        </w:tc>
      </w:tr>
    </w:tbl>
    <w:tbl>
      <w:tblPr>
        <w:tblStyle w:val="7"/>
        <w:tblpPr w:leftFromText="180" w:rightFromText="180" w:vertAnchor="text" w:tblpX="11233" w:tblpY="-15571"/>
        <w:tblOverlap w:val="never"/>
        <w:tblW w:w="4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
      </w:tblGrid>
      <w:tr w14:paraId="2F870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 w:hRule="atLeast"/>
        </w:trPr>
        <w:tc>
          <w:tcPr>
            <w:tcW w:w="434" w:type="dxa"/>
          </w:tcPr>
          <w:p w14:paraId="3D38F00F">
            <w:pPr>
              <w:widowControl w:val="0"/>
              <w:spacing w:line="258" w:lineRule="auto"/>
              <w:jc w:val="left"/>
              <w:rPr>
                <w:rFonts w:ascii="Arial"/>
                <w:sz w:val="21"/>
                <w:vertAlign w:val="baseline"/>
              </w:rPr>
            </w:pPr>
          </w:p>
        </w:tc>
      </w:tr>
    </w:tbl>
    <w:tbl>
      <w:tblPr>
        <w:tblStyle w:val="7"/>
        <w:tblpPr w:leftFromText="180" w:rightFromText="180" w:vertAnchor="text" w:tblpX="11233" w:tblpY="-15496"/>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44"/>
      </w:tblGrid>
      <w:tr w14:paraId="785E0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2744" w:type="dxa"/>
          </w:tcPr>
          <w:p w14:paraId="385BCCA9">
            <w:pPr>
              <w:widowControl w:val="0"/>
              <w:spacing w:line="258" w:lineRule="auto"/>
              <w:jc w:val="left"/>
              <w:rPr>
                <w:rFonts w:ascii="Arial"/>
                <w:sz w:val="21"/>
                <w:vertAlign w:val="baseline"/>
              </w:rPr>
            </w:pPr>
          </w:p>
        </w:tc>
      </w:tr>
    </w:tbl>
    <w:p w14:paraId="1C5828CE">
      <w:pPr>
        <w:spacing w:line="258" w:lineRule="auto"/>
        <w:jc w:val="left"/>
        <w:rPr>
          <w:rFonts w:ascii="Arial"/>
          <w:sz w:val="21"/>
        </w:rPr>
      </w:pPr>
    </w:p>
    <w:p w14:paraId="2C3B9DFE">
      <w:pPr>
        <w:pStyle w:val="2"/>
        <w:spacing w:before="62" w:line="231" w:lineRule="auto"/>
        <w:ind w:left="754"/>
        <w:jc w:val="left"/>
        <w:rPr>
          <w:sz w:val="19"/>
          <w:szCs w:val="19"/>
        </w:rPr>
      </w:pPr>
      <w:r>
        <w:rPr>
          <w:spacing w:val="-6"/>
          <w:sz w:val="19"/>
          <w:szCs w:val="19"/>
        </w:rPr>
        <w:t xml:space="preserve">填表人：             </w:t>
      </w:r>
      <w:r>
        <w:rPr>
          <w:spacing w:val="-6"/>
          <w:position w:val="-1"/>
          <w:sz w:val="19"/>
          <w:szCs w:val="19"/>
        </w:rPr>
        <w:t>填报日期：</w:t>
      </w:r>
      <w:r>
        <w:rPr>
          <w:spacing w:val="5"/>
          <w:position w:val="-1"/>
          <w:sz w:val="19"/>
          <w:szCs w:val="19"/>
        </w:rPr>
        <w:t xml:space="preserve">                </w:t>
      </w:r>
      <w:r>
        <w:rPr>
          <w:spacing w:val="-6"/>
          <w:position w:val="1"/>
          <w:sz w:val="19"/>
          <w:szCs w:val="19"/>
        </w:rPr>
        <w:t xml:space="preserve">联系电话：    </w:t>
      </w:r>
      <w:r>
        <w:rPr>
          <w:spacing w:val="-7"/>
          <w:position w:val="1"/>
          <w:sz w:val="19"/>
          <w:szCs w:val="19"/>
        </w:rPr>
        <w:t xml:space="preserve">          </w:t>
      </w:r>
      <w:r>
        <w:rPr>
          <w:spacing w:val="-7"/>
          <w:sz w:val="19"/>
          <w:szCs w:val="19"/>
        </w:rPr>
        <w:t>单位负责人签字：</w:t>
      </w:r>
    </w:p>
    <w:p w14:paraId="3991B940">
      <w:pPr>
        <w:spacing w:line="231" w:lineRule="auto"/>
        <w:jc w:val="left"/>
        <w:rPr>
          <w:sz w:val="19"/>
          <w:szCs w:val="19"/>
        </w:rPr>
        <w:sectPr>
          <w:pgSz w:w="11900" w:h="16840"/>
          <w:pgMar w:top="1431" w:right="1304" w:bottom="400" w:left="775" w:header="0" w:footer="0" w:gutter="0"/>
          <w:cols w:space="720" w:num="1"/>
        </w:sectPr>
      </w:pPr>
    </w:p>
    <w:p w14:paraId="7B9C93CC">
      <w:pPr>
        <w:spacing w:line="278" w:lineRule="auto"/>
        <w:jc w:val="left"/>
        <w:rPr>
          <w:rFonts w:ascii="Arial"/>
          <w:sz w:val="21"/>
        </w:rPr>
      </w:pPr>
    </w:p>
    <w:p w14:paraId="1B389DB8">
      <w:pPr>
        <w:spacing w:line="278" w:lineRule="auto"/>
        <w:jc w:val="left"/>
        <w:rPr>
          <w:rFonts w:ascii="Arial"/>
          <w:sz w:val="21"/>
        </w:rPr>
      </w:pPr>
    </w:p>
    <w:p w14:paraId="0F86FABF">
      <w:pPr>
        <w:spacing w:before="88" w:line="219" w:lineRule="auto"/>
        <w:ind w:left="964"/>
        <w:jc w:val="left"/>
        <w:rPr>
          <w:rFonts w:ascii="宋体" w:hAnsi="宋体" w:eastAsia="宋体" w:cs="宋体"/>
          <w:sz w:val="27"/>
          <w:szCs w:val="27"/>
        </w:rPr>
      </w:pPr>
      <w:r>
        <w:rPr>
          <w:rFonts w:ascii="宋体" w:hAnsi="宋体" w:eastAsia="宋体" w:cs="宋体"/>
          <w:spacing w:val="3"/>
          <w:sz w:val="27"/>
          <w:szCs w:val="27"/>
        </w:rPr>
        <w:t>附件3</w:t>
      </w:r>
    </w:p>
    <w:p w14:paraId="5106D6CA">
      <w:pPr>
        <w:spacing w:before="148" w:line="221" w:lineRule="auto"/>
        <w:ind w:left="2371"/>
        <w:jc w:val="left"/>
        <w:rPr>
          <w:rFonts w:ascii="黑体" w:hAnsi="黑体" w:eastAsia="黑体" w:cs="黑体"/>
          <w:sz w:val="43"/>
          <w:szCs w:val="43"/>
        </w:rPr>
      </w:pPr>
      <w:r>
        <w:rPr>
          <w:rFonts w:ascii="黑体" w:hAnsi="黑体" w:eastAsia="黑体" w:cs="黑体"/>
          <w:b/>
          <w:bCs/>
          <w:spacing w:val="8"/>
          <w:sz w:val="43"/>
          <w:szCs w:val="43"/>
        </w:rPr>
        <w:t>2023年度项目支出绩效自评表</w:t>
      </w:r>
    </w:p>
    <w:p w14:paraId="43AEE6FA">
      <w:pPr>
        <w:spacing w:line="182" w:lineRule="exact"/>
        <w:jc w:val="left"/>
      </w:pPr>
    </w:p>
    <w:tbl>
      <w:tblPr>
        <w:tblStyle w:val="9"/>
        <w:tblW w:w="944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44"/>
        <w:gridCol w:w="1039"/>
        <w:gridCol w:w="1228"/>
        <w:gridCol w:w="1019"/>
        <w:gridCol w:w="1089"/>
        <w:gridCol w:w="1079"/>
        <w:gridCol w:w="799"/>
        <w:gridCol w:w="829"/>
        <w:gridCol w:w="1323"/>
      </w:tblGrid>
      <w:tr w14:paraId="0539CE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4" w:hRule="atLeast"/>
        </w:trPr>
        <w:tc>
          <w:tcPr>
            <w:tcW w:w="1044" w:type="dxa"/>
            <w:vAlign w:val="top"/>
          </w:tcPr>
          <w:p w14:paraId="0729F55D">
            <w:pPr>
              <w:spacing w:before="13" w:line="241" w:lineRule="auto"/>
              <w:ind w:left="314" w:right="94" w:hanging="200"/>
              <w:jc w:val="left"/>
              <w:rPr>
                <w:rFonts w:ascii="宋体" w:hAnsi="宋体" w:eastAsia="宋体" w:cs="宋体"/>
                <w:sz w:val="20"/>
                <w:szCs w:val="20"/>
              </w:rPr>
            </w:pPr>
            <w:r>
              <w:rPr>
                <w:rFonts w:ascii="宋体" w:hAnsi="宋体" w:eastAsia="宋体" w:cs="宋体"/>
                <w:spacing w:val="6"/>
                <w:sz w:val="20"/>
                <w:szCs w:val="20"/>
              </w:rPr>
              <w:t>项目支出</w:t>
            </w:r>
            <w:r>
              <w:rPr>
                <w:rFonts w:ascii="宋体" w:hAnsi="宋体" w:eastAsia="宋体" w:cs="宋体"/>
                <w:sz w:val="20"/>
                <w:szCs w:val="20"/>
              </w:rPr>
              <w:t xml:space="preserve"> </w:t>
            </w:r>
            <w:r>
              <w:rPr>
                <w:rFonts w:ascii="宋体" w:hAnsi="宋体" w:eastAsia="宋体" w:cs="宋体"/>
                <w:spacing w:val="5"/>
                <w:sz w:val="20"/>
                <w:szCs w:val="20"/>
              </w:rPr>
              <w:t>名称</w:t>
            </w:r>
          </w:p>
        </w:tc>
        <w:tc>
          <w:tcPr>
            <w:tcW w:w="8405" w:type="dxa"/>
            <w:gridSpan w:val="8"/>
            <w:vAlign w:val="top"/>
          </w:tcPr>
          <w:p w14:paraId="6C5BCD4C">
            <w:pPr>
              <w:pStyle w:val="10"/>
              <w:jc w:val="left"/>
              <w:rPr>
                <w:rFonts w:hint="eastAsia" w:eastAsia="宋体"/>
                <w:lang w:eastAsia="zh-CN"/>
              </w:rPr>
            </w:pPr>
            <w:r>
              <w:rPr>
                <w:rFonts w:hint="eastAsia" w:eastAsia="宋体"/>
                <w:lang w:eastAsia="zh-CN"/>
              </w:rPr>
              <w:t>维稳协调</w:t>
            </w:r>
          </w:p>
        </w:tc>
      </w:tr>
      <w:tr w14:paraId="3C4AB9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044" w:type="dxa"/>
            <w:vAlign w:val="top"/>
          </w:tcPr>
          <w:p w14:paraId="4F93D126">
            <w:pPr>
              <w:spacing w:before="179" w:line="219" w:lineRule="auto"/>
              <w:ind w:left="114"/>
              <w:jc w:val="left"/>
              <w:rPr>
                <w:rFonts w:ascii="宋体" w:hAnsi="宋体" w:eastAsia="宋体" w:cs="宋体"/>
                <w:sz w:val="20"/>
                <w:szCs w:val="20"/>
              </w:rPr>
            </w:pPr>
            <w:r>
              <w:rPr>
                <w:rFonts w:ascii="宋体" w:hAnsi="宋体" w:eastAsia="宋体" w:cs="宋体"/>
                <w:spacing w:val="5"/>
                <w:sz w:val="20"/>
                <w:szCs w:val="20"/>
              </w:rPr>
              <w:t>主管部门</w:t>
            </w:r>
          </w:p>
        </w:tc>
        <w:tc>
          <w:tcPr>
            <w:tcW w:w="4375" w:type="dxa"/>
            <w:gridSpan w:val="4"/>
            <w:vAlign w:val="top"/>
          </w:tcPr>
          <w:p w14:paraId="75E57BB2">
            <w:pPr>
              <w:pStyle w:val="10"/>
              <w:jc w:val="left"/>
            </w:pPr>
          </w:p>
        </w:tc>
        <w:tc>
          <w:tcPr>
            <w:tcW w:w="1079" w:type="dxa"/>
            <w:vAlign w:val="top"/>
          </w:tcPr>
          <w:p w14:paraId="6CC4647B">
            <w:pPr>
              <w:spacing w:before="39"/>
              <w:ind w:left="335"/>
              <w:jc w:val="left"/>
              <w:rPr>
                <w:rFonts w:ascii="宋体" w:hAnsi="宋体" w:eastAsia="宋体" w:cs="宋体"/>
                <w:sz w:val="20"/>
                <w:szCs w:val="20"/>
              </w:rPr>
            </w:pPr>
            <w:r>
              <w:rPr>
                <w:rFonts w:ascii="宋体" w:hAnsi="宋体" w:eastAsia="宋体" w:cs="宋体"/>
                <w:spacing w:val="4"/>
                <w:sz w:val="20"/>
                <w:szCs w:val="20"/>
              </w:rPr>
              <w:t>实施</w:t>
            </w:r>
          </w:p>
          <w:p w14:paraId="4AD9E0A9">
            <w:pPr>
              <w:spacing w:line="220" w:lineRule="auto"/>
              <w:ind w:left="335"/>
              <w:jc w:val="left"/>
              <w:rPr>
                <w:rFonts w:ascii="宋体" w:hAnsi="宋体" w:eastAsia="宋体" w:cs="宋体"/>
                <w:sz w:val="20"/>
                <w:szCs w:val="20"/>
              </w:rPr>
            </w:pPr>
            <w:r>
              <w:rPr>
                <w:rFonts w:ascii="宋体" w:hAnsi="宋体" w:eastAsia="宋体" w:cs="宋体"/>
                <w:spacing w:val="-3"/>
                <w:sz w:val="20"/>
                <w:szCs w:val="20"/>
              </w:rPr>
              <w:t>单位</w:t>
            </w:r>
          </w:p>
        </w:tc>
        <w:tc>
          <w:tcPr>
            <w:tcW w:w="2951" w:type="dxa"/>
            <w:gridSpan w:val="3"/>
            <w:vAlign w:val="top"/>
          </w:tcPr>
          <w:p w14:paraId="41881AF0">
            <w:pPr>
              <w:pStyle w:val="10"/>
              <w:jc w:val="left"/>
              <w:rPr>
                <w:rFonts w:hint="eastAsia" w:eastAsia="宋体"/>
                <w:lang w:eastAsia="zh-CN"/>
              </w:rPr>
            </w:pPr>
            <w:r>
              <w:rPr>
                <w:rFonts w:hint="eastAsia" w:eastAsia="宋体"/>
                <w:lang w:eastAsia="zh-CN"/>
              </w:rPr>
              <w:t>政法委</w:t>
            </w:r>
          </w:p>
        </w:tc>
      </w:tr>
      <w:tr w14:paraId="70DD4E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39" w:hRule="atLeast"/>
        </w:trPr>
        <w:tc>
          <w:tcPr>
            <w:tcW w:w="1044" w:type="dxa"/>
            <w:vMerge w:val="restart"/>
            <w:tcBorders>
              <w:bottom w:val="nil"/>
            </w:tcBorders>
            <w:vAlign w:val="top"/>
          </w:tcPr>
          <w:p w14:paraId="074C5BE9">
            <w:pPr>
              <w:pStyle w:val="10"/>
              <w:spacing w:line="276" w:lineRule="auto"/>
              <w:jc w:val="left"/>
            </w:pPr>
          </w:p>
          <w:p w14:paraId="0CDF21DF">
            <w:pPr>
              <w:pStyle w:val="10"/>
              <w:spacing w:line="276" w:lineRule="auto"/>
              <w:jc w:val="left"/>
            </w:pPr>
          </w:p>
          <w:p w14:paraId="3DA53461">
            <w:pPr>
              <w:spacing w:before="65" w:line="220" w:lineRule="auto"/>
              <w:ind w:left="114"/>
              <w:jc w:val="left"/>
              <w:rPr>
                <w:rFonts w:ascii="宋体" w:hAnsi="宋体" w:eastAsia="宋体" w:cs="宋体"/>
                <w:sz w:val="20"/>
                <w:szCs w:val="20"/>
              </w:rPr>
            </w:pPr>
            <w:r>
              <w:rPr>
                <w:rFonts w:ascii="宋体" w:hAnsi="宋体" w:eastAsia="宋体" w:cs="宋体"/>
                <w:spacing w:val="-3"/>
                <w:sz w:val="20"/>
                <w:szCs w:val="20"/>
              </w:rPr>
              <w:t>项目资金</w:t>
            </w:r>
          </w:p>
          <w:p w14:paraId="569A4149">
            <w:pPr>
              <w:spacing w:before="11" w:line="220" w:lineRule="auto"/>
              <w:ind w:left="214"/>
              <w:jc w:val="left"/>
              <w:rPr>
                <w:rFonts w:ascii="宋体" w:hAnsi="宋体" w:eastAsia="宋体" w:cs="宋体"/>
                <w:sz w:val="20"/>
                <w:szCs w:val="20"/>
              </w:rPr>
            </w:pPr>
            <w:r>
              <w:rPr>
                <w:rFonts w:ascii="宋体" w:hAnsi="宋体" w:eastAsia="宋体" w:cs="宋体"/>
                <w:spacing w:val="10"/>
                <w:sz w:val="20"/>
                <w:szCs w:val="20"/>
              </w:rPr>
              <w:t>(万元)</w:t>
            </w:r>
          </w:p>
        </w:tc>
        <w:tc>
          <w:tcPr>
            <w:tcW w:w="2267" w:type="dxa"/>
            <w:gridSpan w:val="2"/>
            <w:vAlign w:val="top"/>
          </w:tcPr>
          <w:p w14:paraId="349FC44B">
            <w:pPr>
              <w:pStyle w:val="10"/>
              <w:jc w:val="left"/>
            </w:pPr>
          </w:p>
        </w:tc>
        <w:tc>
          <w:tcPr>
            <w:tcW w:w="1019" w:type="dxa"/>
            <w:vAlign w:val="top"/>
          </w:tcPr>
          <w:p w14:paraId="279CD615">
            <w:pPr>
              <w:spacing w:before="29" w:line="222" w:lineRule="auto"/>
              <w:ind w:left="303"/>
              <w:jc w:val="left"/>
              <w:rPr>
                <w:rFonts w:ascii="宋体" w:hAnsi="宋体" w:eastAsia="宋体" w:cs="宋体"/>
                <w:sz w:val="20"/>
                <w:szCs w:val="20"/>
              </w:rPr>
            </w:pPr>
            <w:r>
              <w:rPr>
                <w:rFonts w:ascii="宋体" w:hAnsi="宋体" w:eastAsia="宋体" w:cs="宋体"/>
                <w:spacing w:val="-3"/>
                <w:sz w:val="20"/>
                <w:szCs w:val="20"/>
              </w:rPr>
              <w:t>年初</w:t>
            </w:r>
          </w:p>
          <w:p w14:paraId="14C347BD">
            <w:pPr>
              <w:spacing w:line="219" w:lineRule="auto"/>
              <w:ind w:left="204"/>
              <w:jc w:val="left"/>
              <w:rPr>
                <w:rFonts w:ascii="宋体" w:hAnsi="宋体" w:eastAsia="宋体" w:cs="宋体"/>
                <w:sz w:val="20"/>
                <w:szCs w:val="20"/>
              </w:rPr>
            </w:pPr>
            <w:r>
              <w:rPr>
                <w:rFonts w:ascii="宋体" w:hAnsi="宋体" w:eastAsia="宋体" w:cs="宋体"/>
                <w:spacing w:val="-3"/>
                <w:sz w:val="20"/>
                <w:szCs w:val="20"/>
              </w:rPr>
              <w:t>预算数</w:t>
            </w:r>
          </w:p>
        </w:tc>
        <w:tc>
          <w:tcPr>
            <w:tcW w:w="1089" w:type="dxa"/>
            <w:vAlign w:val="top"/>
          </w:tcPr>
          <w:p w14:paraId="1363B70B">
            <w:pPr>
              <w:spacing w:before="30"/>
              <w:ind w:left="334"/>
              <w:jc w:val="left"/>
              <w:rPr>
                <w:rFonts w:ascii="宋体" w:hAnsi="宋体" w:eastAsia="宋体" w:cs="宋体"/>
                <w:sz w:val="20"/>
                <w:szCs w:val="20"/>
              </w:rPr>
            </w:pPr>
            <w:r>
              <w:rPr>
                <w:rFonts w:ascii="宋体" w:hAnsi="宋体" w:eastAsia="宋体" w:cs="宋体"/>
                <w:spacing w:val="-2"/>
                <w:sz w:val="20"/>
                <w:szCs w:val="20"/>
              </w:rPr>
              <w:t>全年</w:t>
            </w:r>
          </w:p>
          <w:p w14:paraId="235BE265">
            <w:pPr>
              <w:spacing w:line="219" w:lineRule="auto"/>
              <w:ind w:left="234"/>
              <w:jc w:val="left"/>
              <w:rPr>
                <w:rFonts w:ascii="宋体" w:hAnsi="宋体" w:eastAsia="宋体" w:cs="宋体"/>
                <w:sz w:val="20"/>
                <w:szCs w:val="20"/>
              </w:rPr>
            </w:pPr>
            <w:r>
              <w:rPr>
                <w:rFonts w:ascii="宋体" w:hAnsi="宋体" w:eastAsia="宋体" w:cs="宋体"/>
                <w:spacing w:val="-3"/>
                <w:sz w:val="20"/>
                <w:szCs w:val="20"/>
              </w:rPr>
              <w:t>预算数</w:t>
            </w:r>
          </w:p>
        </w:tc>
        <w:tc>
          <w:tcPr>
            <w:tcW w:w="1079" w:type="dxa"/>
            <w:vAlign w:val="top"/>
          </w:tcPr>
          <w:p w14:paraId="61EA9B25">
            <w:pPr>
              <w:spacing w:before="40"/>
              <w:ind w:left="335"/>
              <w:jc w:val="left"/>
              <w:rPr>
                <w:rFonts w:ascii="宋体" w:hAnsi="宋体" w:eastAsia="宋体" w:cs="宋体"/>
                <w:sz w:val="20"/>
                <w:szCs w:val="20"/>
              </w:rPr>
            </w:pPr>
            <w:r>
              <w:rPr>
                <w:rFonts w:ascii="宋体" w:hAnsi="宋体" w:eastAsia="宋体" w:cs="宋体"/>
                <w:spacing w:val="-2"/>
                <w:sz w:val="20"/>
                <w:szCs w:val="20"/>
              </w:rPr>
              <w:t>全年</w:t>
            </w:r>
          </w:p>
          <w:p w14:paraId="788F8259">
            <w:pPr>
              <w:spacing w:line="211" w:lineRule="auto"/>
              <w:ind w:left="235"/>
              <w:jc w:val="left"/>
              <w:rPr>
                <w:rFonts w:ascii="宋体" w:hAnsi="宋体" w:eastAsia="宋体" w:cs="宋体"/>
                <w:sz w:val="20"/>
                <w:szCs w:val="20"/>
              </w:rPr>
            </w:pPr>
            <w:r>
              <w:rPr>
                <w:rFonts w:ascii="宋体" w:hAnsi="宋体" w:eastAsia="宋体" w:cs="宋体"/>
                <w:spacing w:val="-2"/>
                <w:sz w:val="20"/>
                <w:szCs w:val="20"/>
              </w:rPr>
              <w:t>执行数</w:t>
            </w:r>
          </w:p>
        </w:tc>
        <w:tc>
          <w:tcPr>
            <w:tcW w:w="799" w:type="dxa"/>
            <w:vAlign w:val="top"/>
          </w:tcPr>
          <w:p w14:paraId="3105B25D">
            <w:pPr>
              <w:spacing w:before="170" w:line="219" w:lineRule="auto"/>
              <w:ind w:left="196"/>
              <w:jc w:val="left"/>
              <w:rPr>
                <w:rFonts w:ascii="宋体" w:hAnsi="宋体" w:eastAsia="宋体" w:cs="宋体"/>
                <w:sz w:val="20"/>
                <w:szCs w:val="20"/>
              </w:rPr>
            </w:pPr>
            <w:r>
              <w:rPr>
                <w:rFonts w:ascii="宋体" w:hAnsi="宋体" w:eastAsia="宋体" w:cs="宋体"/>
                <w:spacing w:val="-3"/>
                <w:sz w:val="20"/>
                <w:szCs w:val="20"/>
              </w:rPr>
              <w:t>分值</w:t>
            </w:r>
          </w:p>
        </w:tc>
        <w:tc>
          <w:tcPr>
            <w:tcW w:w="829" w:type="dxa"/>
            <w:vAlign w:val="top"/>
          </w:tcPr>
          <w:p w14:paraId="38570C4A">
            <w:pPr>
              <w:spacing w:before="170" w:line="219" w:lineRule="auto"/>
              <w:ind w:left="108"/>
              <w:jc w:val="left"/>
              <w:rPr>
                <w:rFonts w:ascii="宋体" w:hAnsi="宋体" w:eastAsia="宋体" w:cs="宋体"/>
                <w:sz w:val="20"/>
                <w:szCs w:val="20"/>
              </w:rPr>
            </w:pPr>
            <w:r>
              <w:rPr>
                <w:rFonts w:ascii="宋体" w:hAnsi="宋体" w:eastAsia="宋体" w:cs="宋体"/>
                <w:spacing w:val="-2"/>
                <w:sz w:val="20"/>
                <w:szCs w:val="20"/>
              </w:rPr>
              <w:t>执行率</w:t>
            </w:r>
          </w:p>
        </w:tc>
        <w:tc>
          <w:tcPr>
            <w:tcW w:w="1323" w:type="dxa"/>
            <w:vAlign w:val="top"/>
          </w:tcPr>
          <w:p w14:paraId="5F189E94">
            <w:pPr>
              <w:spacing w:before="170" w:line="219" w:lineRule="auto"/>
              <w:ind w:left="668"/>
              <w:jc w:val="left"/>
              <w:rPr>
                <w:rFonts w:ascii="宋体" w:hAnsi="宋体" w:eastAsia="宋体" w:cs="宋体"/>
                <w:sz w:val="20"/>
                <w:szCs w:val="20"/>
              </w:rPr>
            </w:pPr>
            <w:r>
              <w:rPr>
                <w:rFonts w:ascii="宋体" w:hAnsi="宋体" w:eastAsia="宋体" w:cs="宋体"/>
                <w:spacing w:val="-3"/>
                <w:sz w:val="20"/>
                <w:szCs w:val="20"/>
              </w:rPr>
              <w:t>得分</w:t>
            </w:r>
          </w:p>
        </w:tc>
      </w:tr>
      <w:tr w14:paraId="2A5814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44" w:type="dxa"/>
            <w:vMerge w:val="continue"/>
            <w:tcBorders>
              <w:top w:val="nil"/>
              <w:bottom w:val="nil"/>
            </w:tcBorders>
            <w:vAlign w:val="top"/>
          </w:tcPr>
          <w:p w14:paraId="6DBB91FF">
            <w:pPr>
              <w:pStyle w:val="10"/>
              <w:jc w:val="left"/>
            </w:pPr>
          </w:p>
        </w:tc>
        <w:tc>
          <w:tcPr>
            <w:tcW w:w="2267" w:type="dxa"/>
            <w:gridSpan w:val="2"/>
            <w:vAlign w:val="top"/>
          </w:tcPr>
          <w:p w14:paraId="2083365F">
            <w:pPr>
              <w:spacing w:before="41" w:line="211" w:lineRule="auto"/>
              <w:ind w:left="520"/>
              <w:jc w:val="left"/>
              <w:rPr>
                <w:rFonts w:ascii="宋体" w:hAnsi="宋体" w:eastAsia="宋体" w:cs="宋体"/>
                <w:sz w:val="20"/>
                <w:szCs w:val="20"/>
              </w:rPr>
            </w:pPr>
            <w:r>
              <w:rPr>
                <w:rFonts w:ascii="宋体" w:hAnsi="宋体" w:eastAsia="宋体" w:cs="宋体"/>
                <w:spacing w:val="-2"/>
                <w:sz w:val="20"/>
                <w:szCs w:val="20"/>
              </w:rPr>
              <w:t>年度资金总额</w:t>
            </w:r>
          </w:p>
        </w:tc>
        <w:tc>
          <w:tcPr>
            <w:tcW w:w="1019" w:type="dxa"/>
            <w:vAlign w:val="top"/>
          </w:tcPr>
          <w:p w14:paraId="5FA5B7AA">
            <w:pPr>
              <w:pStyle w:val="10"/>
              <w:ind w:firstLine="567" w:firstLineChars="0"/>
              <w:jc w:val="left"/>
              <w:rPr>
                <w:rFonts w:hint="default" w:eastAsia="宋体"/>
                <w:lang w:val="en-US" w:eastAsia="zh-CN"/>
              </w:rPr>
            </w:pPr>
            <w:r>
              <w:rPr>
                <w:rFonts w:hint="eastAsia" w:eastAsia="宋体"/>
                <w:lang w:val="en-US" w:eastAsia="zh-CN"/>
              </w:rPr>
              <w:t>40</w:t>
            </w:r>
          </w:p>
        </w:tc>
        <w:tc>
          <w:tcPr>
            <w:tcW w:w="1089" w:type="dxa"/>
            <w:vAlign w:val="top"/>
          </w:tcPr>
          <w:p w14:paraId="10FE5538">
            <w:pPr>
              <w:pStyle w:val="10"/>
              <w:jc w:val="left"/>
              <w:rPr>
                <w:rFonts w:hint="default" w:eastAsia="宋体"/>
                <w:lang w:val="en-US" w:eastAsia="zh-CN"/>
              </w:rPr>
            </w:pPr>
            <w:r>
              <w:rPr>
                <w:rFonts w:hint="eastAsia" w:eastAsia="宋体"/>
                <w:lang w:val="en-US" w:eastAsia="zh-CN"/>
              </w:rPr>
              <w:t>222.29</w:t>
            </w:r>
          </w:p>
        </w:tc>
        <w:tc>
          <w:tcPr>
            <w:tcW w:w="1079" w:type="dxa"/>
            <w:vAlign w:val="top"/>
          </w:tcPr>
          <w:p w14:paraId="0354931C">
            <w:pPr>
              <w:pStyle w:val="10"/>
              <w:jc w:val="left"/>
              <w:rPr>
                <w:rFonts w:hint="default" w:eastAsia="宋体"/>
                <w:lang w:val="en-US" w:eastAsia="zh-CN"/>
              </w:rPr>
            </w:pPr>
            <w:r>
              <w:rPr>
                <w:rFonts w:hint="eastAsia" w:eastAsia="宋体"/>
                <w:lang w:val="en-US" w:eastAsia="zh-CN"/>
              </w:rPr>
              <w:t>222.29</w:t>
            </w:r>
          </w:p>
        </w:tc>
        <w:tc>
          <w:tcPr>
            <w:tcW w:w="799" w:type="dxa"/>
            <w:vAlign w:val="top"/>
          </w:tcPr>
          <w:p w14:paraId="64DDF259">
            <w:pPr>
              <w:spacing w:before="92" w:line="164" w:lineRule="auto"/>
              <w:ind w:left="297"/>
              <w:jc w:val="left"/>
              <w:rPr>
                <w:rFonts w:ascii="宋体" w:hAnsi="宋体" w:eastAsia="宋体" w:cs="宋体"/>
                <w:sz w:val="20"/>
                <w:szCs w:val="20"/>
              </w:rPr>
            </w:pPr>
            <w:r>
              <w:rPr>
                <w:rFonts w:ascii="宋体" w:hAnsi="宋体" w:eastAsia="宋体" w:cs="宋体"/>
                <w:spacing w:val="-6"/>
                <w:sz w:val="20"/>
                <w:szCs w:val="20"/>
              </w:rPr>
              <w:t>10</w:t>
            </w:r>
          </w:p>
        </w:tc>
        <w:tc>
          <w:tcPr>
            <w:tcW w:w="829" w:type="dxa"/>
            <w:vAlign w:val="top"/>
          </w:tcPr>
          <w:p w14:paraId="07D04F42">
            <w:pPr>
              <w:pStyle w:val="10"/>
              <w:jc w:val="left"/>
              <w:rPr>
                <w:rFonts w:hint="default" w:eastAsia="宋体"/>
                <w:lang w:val="en-US" w:eastAsia="zh-CN"/>
              </w:rPr>
            </w:pPr>
            <w:r>
              <w:rPr>
                <w:rFonts w:hint="eastAsia" w:eastAsia="宋体"/>
                <w:lang w:val="en-US" w:eastAsia="zh-CN"/>
              </w:rPr>
              <w:t>100%</w:t>
            </w:r>
          </w:p>
        </w:tc>
        <w:tc>
          <w:tcPr>
            <w:tcW w:w="1323" w:type="dxa"/>
            <w:vAlign w:val="top"/>
          </w:tcPr>
          <w:p w14:paraId="02B32B4E">
            <w:pPr>
              <w:pStyle w:val="10"/>
              <w:jc w:val="left"/>
            </w:pPr>
          </w:p>
        </w:tc>
      </w:tr>
      <w:tr w14:paraId="42383B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vAlign w:val="top"/>
          </w:tcPr>
          <w:p w14:paraId="1BBB586C">
            <w:pPr>
              <w:pStyle w:val="10"/>
              <w:jc w:val="left"/>
            </w:pPr>
          </w:p>
        </w:tc>
        <w:tc>
          <w:tcPr>
            <w:tcW w:w="2267" w:type="dxa"/>
            <w:gridSpan w:val="2"/>
            <w:vAlign w:val="top"/>
          </w:tcPr>
          <w:p w14:paraId="7494BECE">
            <w:pPr>
              <w:spacing w:before="41" w:line="202" w:lineRule="auto"/>
              <w:ind w:left="220"/>
              <w:jc w:val="left"/>
              <w:rPr>
                <w:rFonts w:ascii="宋体" w:hAnsi="宋体" w:eastAsia="宋体" w:cs="宋体"/>
                <w:sz w:val="20"/>
                <w:szCs w:val="20"/>
              </w:rPr>
            </w:pPr>
            <w:r>
              <w:rPr>
                <w:rFonts w:ascii="宋体" w:hAnsi="宋体" w:eastAsia="宋体" w:cs="宋体"/>
                <w:spacing w:val="-1"/>
                <w:sz w:val="20"/>
                <w:szCs w:val="20"/>
              </w:rPr>
              <w:t>其中：当年财政拨款</w:t>
            </w:r>
          </w:p>
        </w:tc>
        <w:tc>
          <w:tcPr>
            <w:tcW w:w="1019" w:type="dxa"/>
            <w:vAlign w:val="top"/>
          </w:tcPr>
          <w:p w14:paraId="4DF807DD">
            <w:pPr>
              <w:pStyle w:val="10"/>
              <w:jc w:val="left"/>
            </w:pPr>
          </w:p>
        </w:tc>
        <w:tc>
          <w:tcPr>
            <w:tcW w:w="1089" w:type="dxa"/>
            <w:vAlign w:val="top"/>
          </w:tcPr>
          <w:p w14:paraId="7353EF85">
            <w:pPr>
              <w:pStyle w:val="10"/>
              <w:jc w:val="left"/>
            </w:pPr>
          </w:p>
        </w:tc>
        <w:tc>
          <w:tcPr>
            <w:tcW w:w="1079" w:type="dxa"/>
            <w:vAlign w:val="top"/>
          </w:tcPr>
          <w:p w14:paraId="4B15A37D">
            <w:pPr>
              <w:pStyle w:val="10"/>
              <w:jc w:val="left"/>
            </w:pPr>
          </w:p>
        </w:tc>
        <w:tc>
          <w:tcPr>
            <w:tcW w:w="799" w:type="dxa"/>
            <w:vAlign w:val="top"/>
          </w:tcPr>
          <w:p w14:paraId="38CF4B8B">
            <w:pPr>
              <w:pStyle w:val="10"/>
              <w:jc w:val="left"/>
            </w:pPr>
          </w:p>
        </w:tc>
        <w:tc>
          <w:tcPr>
            <w:tcW w:w="829" w:type="dxa"/>
            <w:vAlign w:val="top"/>
          </w:tcPr>
          <w:p w14:paraId="0BC95700">
            <w:pPr>
              <w:pStyle w:val="10"/>
              <w:jc w:val="left"/>
            </w:pPr>
          </w:p>
        </w:tc>
        <w:tc>
          <w:tcPr>
            <w:tcW w:w="1323" w:type="dxa"/>
            <w:vAlign w:val="top"/>
          </w:tcPr>
          <w:p w14:paraId="7CA7A336">
            <w:pPr>
              <w:pStyle w:val="10"/>
              <w:jc w:val="left"/>
            </w:pPr>
          </w:p>
        </w:tc>
      </w:tr>
      <w:tr w14:paraId="15F0A6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vAlign w:val="top"/>
          </w:tcPr>
          <w:p w14:paraId="26A36C57">
            <w:pPr>
              <w:pStyle w:val="10"/>
              <w:jc w:val="left"/>
            </w:pPr>
          </w:p>
        </w:tc>
        <w:tc>
          <w:tcPr>
            <w:tcW w:w="2267" w:type="dxa"/>
            <w:gridSpan w:val="2"/>
            <w:vAlign w:val="top"/>
          </w:tcPr>
          <w:p w14:paraId="0D06BB89">
            <w:pPr>
              <w:spacing w:before="41" w:line="202" w:lineRule="auto"/>
              <w:ind w:left="830"/>
              <w:jc w:val="left"/>
              <w:rPr>
                <w:rFonts w:ascii="宋体" w:hAnsi="宋体" w:eastAsia="宋体" w:cs="宋体"/>
                <w:sz w:val="20"/>
                <w:szCs w:val="20"/>
              </w:rPr>
            </w:pPr>
            <w:r>
              <w:rPr>
                <w:rFonts w:ascii="宋体" w:hAnsi="宋体" w:eastAsia="宋体" w:cs="宋体"/>
                <w:spacing w:val="-2"/>
                <w:sz w:val="20"/>
                <w:szCs w:val="20"/>
              </w:rPr>
              <w:t>上年结转资金</w:t>
            </w:r>
          </w:p>
        </w:tc>
        <w:tc>
          <w:tcPr>
            <w:tcW w:w="1019" w:type="dxa"/>
            <w:vAlign w:val="top"/>
          </w:tcPr>
          <w:p w14:paraId="4A3CE268">
            <w:pPr>
              <w:pStyle w:val="10"/>
              <w:jc w:val="left"/>
            </w:pPr>
          </w:p>
        </w:tc>
        <w:tc>
          <w:tcPr>
            <w:tcW w:w="1089" w:type="dxa"/>
            <w:vAlign w:val="top"/>
          </w:tcPr>
          <w:p w14:paraId="5208D868">
            <w:pPr>
              <w:pStyle w:val="10"/>
              <w:jc w:val="left"/>
            </w:pPr>
          </w:p>
        </w:tc>
        <w:tc>
          <w:tcPr>
            <w:tcW w:w="1079" w:type="dxa"/>
            <w:vAlign w:val="top"/>
          </w:tcPr>
          <w:p w14:paraId="6E8F67D1">
            <w:pPr>
              <w:pStyle w:val="10"/>
              <w:jc w:val="left"/>
            </w:pPr>
          </w:p>
        </w:tc>
        <w:tc>
          <w:tcPr>
            <w:tcW w:w="799" w:type="dxa"/>
            <w:vAlign w:val="top"/>
          </w:tcPr>
          <w:p w14:paraId="0E861D4D">
            <w:pPr>
              <w:pStyle w:val="10"/>
              <w:jc w:val="left"/>
            </w:pPr>
          </w:p>
        </w:tc>
        <w:tc>
          <w:tcPr>
            <w:tcW w:w="829" w:type="dxa"/>
            <w:vAlign w:val="top"/>
          </w:tcPr>
          <w:p w14:paraId="64AB3A3E">
            <w:pPr>
              <w:pStyle w:val="10"/>
              <w:jc w:val="left"/>
            </w:pPr>
          </w:p>
        </w:tc>
        <w:tc>
          <w:tcPr>
            <w:tcW w:w="1323" w:type="dxa"/>
            <w:vAlign w:val="top"/>
          </w:tcPr>
          <w:p w14:paraId="500CAB99">
            <w:pPr>
              <w:pStyle w:val="10"/>
              <w:jc w:val="left"/>
            </w:pPr>
          </w:p>
        </w:tc>
      </w:tr>
      <w:tr w14:paraId="197AC6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044" w:type="dxa"/>
            <w:vMerge w:val="continue"/>
            <w:tcBorders>
              <w:top w:val="nil"/>
            </w:tcBorders>
            <w:vAlign w:val="top"/>
          </w:tcPr>
          <w:p w14:paraId="09819812">
            <w:pPr>
              <w:pStyle w:val="10"/>
              <w:jc w:val="left"/>
            </w:pPr>
          </w:p>
        </w:tc>
        <w:tc>
          <w:tcPr>
            <w:tcW w:w="2267" w:type="dxa"/>
            <w:gridSpan w:val="2"/>
            <w:vAlign w:val="top"/>
          </w:tcPr>
          <w:p w14:paraId="5FB2F445">
            <w:pPr>
              <w:spacing w:before="41" w:line="210" w:lineRule="auto"/>
              <w:ind w:left="1021"/>
              <w:jc w:val="left"/>
              <w:rPr>
                <w:rFonts w:ascii="宋体" w:hAnsi="宋体" w:eastAsia="宋体" w:cs="宋体"/>
                <w:sz w:val="20"/>
                <w:szCs w:val="20"/>
              </w:rPr>
            </w:pPr>
            <w:r>
              <w:rPr>
                <w:rFonts w:ascii="宋体" w:hAnsi="宋体" w:eastAsia="宋体" w:cs="宋体"/>
                <w:spacing w:val="-2"/>
                <w:sz w:val="20"/>
                <w:szCs w:val="20"/>
              </w:rPr>
              <w:t>其他资金</w:t>
            </w:r>
          </w:p>
        </w:tc>
        <w:tc>
          <w:tcPr>
            <w:tcW w:w="1019" w:type="dxa"/>
            <w:vAlign w:val="top"/>
          </w:tcPr>
          <w:p w14:paraId="4D145204">
            <w:pPr>
              <w:pStyle w:val="10"/>
              <w:jc w:val="left"/>
            </w:pPr>
          </w:p>
        </w:tc>
        <w:tc>
          <w:tcPr>
            <w:tcW w:w="1089" w:type="dxa"/>
            <w:vAlign w:val="top"/>
          </w:tcPr>
          <w:p w14:paraId="7D335EEF">
            <w:pPr>
              <w:pStyle w:val="10"/>
              <w:jc w:val="left"/>
            </w:pPr>
          </w:p>
        </w:tc>
        <w:tc>
          <w:tcPr>
            <w:tcW w:w="1079" w:type="dxa"/>
            <w:vAlign w:val="top"/>
          </w:tcPr>
          <w:p w14:paraId="434A4683">
            <w:pPr>
              <w:pStyle w:val="10"/>
              <w:jc w:val="left"/>
            </w:pPr>
          </w:p>
        </w:tc>
        <w:tc>
          <w:tcPr>
            <w:tcW w:w="799" w:type="dxa"/>
            <w:vAlign w:val="top"/>
          </w:tcPr>
          <w:p w14:paraId="4C9D9EC4">
            <w:pPr>
              <w:pStyle w:val="10"/>
              <w:jc w:val="left"/>
            </w:pPr>
          </w:p>
        </w:tc>
        <w:tc>
          <w:tcPr>
            <w:tcW w:w="829" w:type="dxa"/>
            <w:vAlign w:val="top"/>
          </w:tcPr>
          <w:p w14:paraId="5710C404">
            <w:pPr>
              <w:pStyle w:val="10"/>
              <w:jc w:val="left"/>
            </w:pPr>
          </w:p>
        </w:tc>
        <w:tc>
          <w:tcPr>
            <w:tcW w:w="1323" w:type="dxa"/>
            <w:vAlign w:val="top"/>
          </w:tcPr>
          <w:p w14:paraId="3641BD08">
            <w:pPr>
              <w:pStyle w:val="10"/>
              <w:jc w:val="left"/>
            </w:pPr>
          </w:p>
        </w:tc>
      </w:tr>
      <w:tr w14:paraId="1EBD3F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44" w:type="dxa"/>
            <w:vMerge w:val="restart"/>
            <w:tcBorders>
              <w:bottom w:val="nil"/>
            </w:tcBorders>
            <w:vAlign w:val="top"/>
          </w:tcPr>
          <w:p w14:paraId="33ADC851">
            <w:pPr>
              <w:spacing w:before="21"/>
              <w:ind w:left="314" w:right="127" w:hanging="200"/>
              <w:jc w:val="left"/>
              <w:rPr>
                <w:rFonts w:ascii="宋体" w:hAnsi="宋体" w:eastAsia="宋体" w:cs="宋体"/>
                <w:sz w:val="20"/>
                <w:szCs w:val="20"/>
              </w:rPr>
            </w:pPr>
            <w:r>
              <w:rPr>
                <w:rFonts w:ascii="宋体" w:hAnsi="宋体" w:eastAsia="宋体" w:cs="宋体"/>
                <w:spacing w:val="-3"/>
                <w:sz w:val="20"/>
                <w:szCs w:val="20"/>
              </w:rPr>
              <w:t>年度总体</w:t>
            </w:r>
            <w:r>
              <w:rPr>
                <w:rFonts w:ascii="宋体" w:hAnsi="宋体" w:eastAsia="宋体" w:cs="宋体"/>
                <w:spacing w:val="2"/>
                <w:sz w:val="20"/>
                <w:szCs w:val="20"/>
              </w:rPr>
              <w:t xml:space="preserve"> </w:t>
            </w:r>
            <w:r>
              <w:rPr>
                <w:rFonts w:ascii="宋体" w:hAnsi="宋体" w:eastAsia="宋体" w:cs="宋体"/>
                <w:spacing w:val="8"/>
                <w:sz w:val="20"/>
                <w:szCs w:val="20"/>
              </w:rPr>
              <w:t>目标</w:t>
            </w:r>
          </w:p>
        </w:tc>
        <w:tc>
          <w:tcPr>
            <w:tcW w:w="4375" w:type="dxa"/>
            <w:gridSpan w:val="4"/>
            <w:vAlign w:val="top"/>
          </w:tcPr>
          <w:p w14:paraId="7E052EB1">
            <w:pPr>
              <w:spacing w:before="42" w:line="210" w:lineRule="auto"/>
              <w:ind w:left="1990"/>
              <w:jc w:val="left"/>
              <w:rPr>
                <w:rFonts w:ascii="宋体" w:hAnsi="宋体" w:eastAsia="宋体" w:cs="宋体"/>
                <w:sz w:val="20"/>
                <w:szCs w:val="20"/>
              </w:rPr>
            </w:pPr>
            <w:r>
              <w:rPr>
                <w:rFonts w:ascii="宋体" w:hAnsi="宋体" w:eastAsia="宋体" w:cs="宋体"/>
                <w:spacing w:val="-2"/>
                <w:sz w:val="20"/>
                <w:szCs w:val="20"/>
              </w:rPr>
              <w:t>预期目标</w:t>
            </w:r>
          </w:p>
        </w:tc>
        <w:tc>
          <w:tcPr>
            <w:tcW w:w="4030" w:type="dxa"/>
            <w:gridSpan w:val="4"/>
            <w:vAlign w:val="top"/>
          </w:tcPr>
          <w:p w14:paraId="0AE36BFE">
            <w:pPr>
              <w:spacing w:before="42" w:line="210" w:lineRule="auto"/>
              <w:ind w:left="1615"/>
              <w:jc w:val="left"/>
              <w:rPr>
                <w:rFonts w:ascii="宋体" w:hAnsi="宋体" w:eastAsia="宋体" w:cs="宋体"/>
                <w:sz w:val="20"/>
                <w:szCs w:val="20"/>
              </w:rPr>
            </w:pPr>
            <w:r>
              <w:rPr>
                <w:rFonts w:ascii="宋体" w:hAnsi="宋体" w:eastAsia="宋体" w:cs="宋体"/>
                <w:spacing w:val="1"/>
                <w:sz w:val="20"/>
                <w:szCs w:val="20"/>
              </w:rPr>
              <w:t>实际完成情况</w:t>
            </w:r>
          </w:p>
        </w:tc>
      </w:tr>
      <w:tr w14:paraId="74E0EC3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tcBorders>
            <w:vAlign w:val="top"/>
          </w:tcPr>
          <w:p w14:paraId="2020D01F">
            <w:pPr>
              <w:pStyle w:val="10"/>
              <w:jc w:val="left"/>
            </w:pPr>
          </w:p>
        </w:tc>
        <w:tc>
          <w:tcPr>
            <w:tcW w:w="4375" w:type="dxa"/>
            <w:gridSpan w:val="4"/>
            <w:vAlign w:val="top"/>
          </w:tcPr>
          <w:p w14:paraId="3C703D6B">
            <w:pPr>
              <w:pStyle w:val="10"/>
              <w:jc w:val="left"/>
            </w:pPr>
            <w:r>
              <w:rPr>
                <w:rFonts w:hint="eastAsia"/>
              </w:rPr>
              <w:t>维护社会大局持续稳定，做好重大节假日安全保卫、及时预防和化解群体性事件，协调好突发性和重大（案）事件，及时排查化解矛盾纠纷，定期研判稳定形势，促进社会公平正义，保证人民群众安居乐业，做到无人进京上访。</w:t>
            </w:r>
          </w:p>
        </w:tc>
        <w:tc>
          <w:tcPr>
            <w:tcW w:w="4030" w:type="dxa"/>
            <w:gridSpan w:val="4"/>
            <w:vAlign w:val="top"/>
          </w:tcPr>
          <w:p w14:paraId="1A110135">
            <w:pPr>
              <w:pStyle w:val="10"/>
              <w:jc w:val="left"/>
            </w:pPr>
            <w:r>
              <w:rPr>
                <w:rFonts w:hint="eastAsia"/>
              </w:rPr>
              <w:t>维护社会大局持续稳定，做好重大节假日安全保卫、及时预防和化解群体性事件，协调好突发性和重大（案）事件，及时排查化解矛盾纠纷，定期研判稳定形势，促进社会公平正义，保证人民群众安居乐业，</w:t>
            </w:r>
            <w:r>
              <w:rPr>
                <w:rFonts w:hint="eastAsia" w:eastAsia="宋体"/>
                <w:lang w:eastAsia="zh-CN"/>
              </w:rPr>
              <w:t>减少了</w:t>
            </w:r>
            <w:r>
              <w:rPr>
                <w:rFonts w:hint="eastAsia"/>
              </w:rPr>
              <w:t>无人进京上访。</w:t>
            </w:r>
          </w:p>
        </w:tc>
      </w:tr>
      <w:tr w14:paraId="4799E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atLeast"/>
        </w:trPr>
        <w:tc>
          <w:tcPr>
            <w:tcW w:w="1044" w:type="dxa"/>
            <w:vMerge w:val="restart"/>
            <w:tcBorders>
              <w:bottom w:val="nil"/>
            </w:tcBorders>
            <w:textDirection w:val="tbRlV"/>
            <w:vAlign w:val="top"/>
          </w:tcPr>
          <w:p w14:paraId="56394277">
            <w:pPr>
              <w:pStyle w:val="10"/>
              <w:spacing w:line="257" w:lineRule="auto"/>
              <w:jc w:val="left"/>
            </w:pPr>
          </w:p>
          <w:p w14:paraId="0E251A87">
            <w:pPr>
              <w:pStyle w:val="10"/>
              <w:spacing w:line="258" w:lineRule="auto"/>
              <w:jc w:val="left"/>
            </w:pPr>
          </w:p>
          <w:p w14:paraId="1A69FA65">
            <w:pPr>
              <w:spacing w:before="67" w:line="217" w:lineRule="auto"/>
              <w:ind w:left="2554"/>
              <w:jc w:val="left"/>
              <w:rPr>
                <w:rFonts w:ascii="宋体" w:hAnsi="宋体" w:eastAsia="宋体" w:cs="宋体"/>
                <w:sz w:val="20"/>
                <w:szCs w:val="20"/>
              </w:rPr>
            </w:pPr>
            <w:r>
              <w:rPr>
                <w:rFonts w:ascii="宋体" w:hAnsi="宋体" w:eastAsia="宋体" w:cs="宋体"/>
                <w:sz w:val="20"/>
                <w:szCs w:val="20"/>
              </w:rPr>
              <w:t>绩效指标</w:t>
            </w:r>
          </w:p>
        </w:tc>
        <w:tc>
          <w:tcPr>
            <w:tcW w:w="1039" w:type="dxa"/>
            <w:vAlign w:val="top"/>
          </w:tcPr>
          <w:p w14:paraId="072F1010">
            <w:pPr>
              <w:spacing w:before="182" w:line="220" w:lineRule="auto"/>
              <w:ind w:left="111"/>
              <w:jc w:val="left"/>
              <w:rPr>
                <w:rFonts w:ascii="宋体" w:hAnsi="宋体" w:eastAsia="宋体" w:cs="宋体"/>
                <w:sz w:val="20"/>
                <w:szCs w:val="20"/>
              </w:rPr>
            </w:pPr>
            <w:r>
              <w:rPr>
                <w:rFonts w:ascii="宋体" w:hAnsi="宋体" w:eastAsia="宋体" w:cs="宋体"/>
                <w:spacing w:val="-3"/>
                <w:sz w:val="20"/>
                <w:szCs w:val="20"/>
              </w:rPr>
              <w:t>一级指标</w:t>
            </w:r>
          </w:p>
        </w:tc>
        <w:tc>
          <w:tcPr>
            <w:tcW w:w="1228" w:type="dxa"/>
            <w:vAlign w:val="top"/>
          </w:tcPr>
          <w:p w14:paraId="2D659B97">
            <w:pPr>
              <w:spacing w:before="182" w:line="220" w:lineRule="auto"/>
              <w:ind w:left="201"/>
              <w:jc w:val="left"/>
              <w:rPr>
                <w:rFonts w:ascii="宋体" w:hAnsi="宋体" w:eastAsia="宋体" w:cs="宋体"/>
                <w:sz w:val="20"/>
                <w:szCs w:val="20"/>
              </w:rPr>
            </w:pPr>
            <w:r>
              <w:rPr>
                <w:rFonts w:ascii="宋体" w:hAnsi="宋体" w:eastAsia="宋体" w:cs="宋体"/>
                <w:spacing w:val="-3"/>
                <w:sz w:val="20"/>
                <w:szCs w:val="20"/>
              </w:rPr>
              <w:t>二级指标</w:t>
            </w:r>
          </w:p>
        </w:tc>
        <w:tc>
          <w:tcPr>
            <w:tcW w:w="1019" w:type="dxa"/>
            <w:vAlign w:val="top"/>
          </w:tcPr>
          <w:p w14:paraId="0E66DB8B">
            <w:pPr>
              <w:spacing w:before="182" w:line="220" w:lineRule="auto"/>
              <w:ind w:left="103"/>
              <w:jc w:val="left"/>
              <w:rPr>
                <w:rFonts w:ascii="宋体" w:hAnsi="宋体" w:eastAsia="宋体" w:cs="宋体"/>
                <w:sz w:val="20"/>
                <w:szCs w:val="20"/>
              </w:rPr>
            </w:pPr>
            <w:r>
              <w:rPr>
                <w:rFonts w:ascii="宋体" w:hAnsi="宋体" w:eastAsia="宋体" w:cs="宋体"/>
                <w:spacing w:val="-2"/>
                <w:sz w:val="20"/>
                <w:szCs w:val="20"/>
              </w:rPr>
              <w:t>三级指标</w:t>
            </w:r>
          </w:p>
        </w:tc>
        <w:tc>
          <w:tcPr>
            <w:tcW w:w="1089" w:type="dxa"/>
            <w:vAlign w:val="top"/>
          </w:tcPr>
          <w:p w14:paraId="56391970">
            <w:pPr>
              <w:spacing w:before="182" w:line="219" w:lineRule="auto"/>
              <w:ind w:left="34"/>
              <w:jc w:val="left"/>
              <w:rPr>
                <w:rFonts w:ascii="宋体" w:hAnsi="宋体" w:eastAsia="宋体" w:cs="宋体"/>
                <w:sz w:val="20"/>
                <w:szCs w:val="20"/>
              </w:rPr>
            </w:pPr>
            <w:r>
              <w:rPr>
                <w:rFonts w:ascii="宋体" w:hAnsi="宋体" w:eastAsia="宋体" w:cs="宋体"/>
                <w:spacing w:val="-2"/>
                <w:sz w:val="20"/>
                <w:szCs w:val="20"/>
              </w:rPr>
              <w:t>年度指标值</w:t>
            </w:r>
          </w:p>
        </w:tc>
        <w:tc>
          <w:tcPr>
            <w:tcW w:w="1079" w:type="dxa"/>
            <w:vAlign w:val="top"/>
          </w:tcPr>
          <w:p w14:paraId="1CFB271C">
            <w:pPr>
              <w:spacing w:before="182" w:line="219" w:lineRule="auto"/>
              <w:ind w:left="35"/>
              <w:jc w:val="left"/>
              <w:rPr>
                <w:rFonts w:ascii="宋体" w:hAnsi="宋体" w:eastAsia="宋体" w:cs="宋体"/>
                <w:sz w:val="20"/>
                <w:szCs w:val="20"/>
              </w:rPr>
            </w:pPr>
            <w:r>
              <w:rPr>
                <w:rFonts w:ascii="宋体" w:hAnsi="宋体" w:eastAsia="宋体" w:cs="宋体"/>
                <w:spacing w:val="1"/>
                <w:sz w:val="20"/>
                <w:szCs w:val="20"/>
              </w:rPr>
              <w:t>实际完成值</w:t>
            </w:r>
          </w:p>
        </w:tc>
        <w:tc>
          <w:tcPr>
            <w:tcW w:w="799" w:type="dxa"/>
            <w:vAlign w:val="top"/>
          </w:tcPr>
          <w:p w14:paraId="626C5AA2">
            <w:pPr>
              <w:spacing w:before="182" w:line="219" w:lineRule="auto"/>
              <w:ind w:left="196"/>
              <w:jc w:val="left"/>
              <w:rPr>
                <w:rFonts w:ascii="宋体" w:hAnsi="宋体" w:eastAsia="宋体" w:cs="宋体"/>
                <w:sz w:val="20"/>
                <w:szCs w:val="20"/>
              </w:rPr>
            </w:pPr>
            <w:r>
              <w:rPr>
                <w:rFonts w:ascii="宋体" w:hAnsi="宋体" w:eastAsia="宋体" w:cs="宋体"/>
                <w:spacing w:val="-3"/>
                <w:sz w:val="20"/>
                <w:szCs w:val="20"/>
              </w:rPr>
              <w:t>分值</w:t>
            </w:r>
          </w:p>
        </w:tc>
        <w:tc>
          <w:tcPr>
            <w:tcW w:w="829" w:type="dxa"/>
            <w:vAlign w:val="top"/>
          </w:tcPr>
          <w:p w14:paraId="29F0877A">
            <w:pPr>
              <w:spacing w:before="182" w:line="219" w:lineRule="auto"/>
              <w:ind w:left="207"/>
              <w:jc w:val="left"/>
              <w:rPr>
                <w:rFonts w:ascii="宋体" w:hAnsi="宋体" w:eastAsia="宋体" w:cs="宋体"/>
                <w:sz w:val="20"/>
                <w:szCs w:val="20"/>
              </w:rPr>
            </w:pPr>
            <w:r>
              <w:rPr>
                <w:rFonts w:ascii="宋体" w:hAnsi="宋体" w:eastAsia="宋体" w:cs="宋体"/>
                <w:spacing w:val="-3"/>
                <w:sz w:val="20"/>
                <w:szCs w:val="20"/>
              </w:rPr>
              <w:t>得分</w:t>
            </w:r>
          </w:p>
        </w:tc>
        <w:tc>
          <w:tcPr>
            <w:tcW w:w="1323" w:type="dxa"/>
            <w:vAlign w:val="top"/>
          </w:tcPr>
          <w:p w14:paraId="44885AA5">
            <w:pPr>
              <w:spacing w:before="42" w:line="229" w:lineRule="auto"/>
              <w:ind w:left="158" w:right="61" w:hanging="100"/>
              <w:jc w:val="left"/>
              <w:rPr>
                <w:rFonts w:ascii="宋体" w:hAnsi="宋体" w:eastAsia="宋体" w:cs="宋体"/>
                <w:sz w:val="20"/>
                <w:szCs w:val="20"/>
              </w:rPr>
            </w:pPr>
            <w:r>
              <w:rPr>
                <w:rFonts w:ascii="宋体" w:hAnsi="宋体" w:eastAsia="宋体" w:cs="宋体"/>
                <w:spacing w:val="-2"/>
                <w:sz w:val="20"/>
                <w:szCs w:val="20"/>
              </w:rPr>
              <w:t>偏差原因分析</w:t>
            </w:r>
            <w:r>
              <w:rPr>
                <w:rFonts w:ascii="宋体" w:hAnsi="宋体" w:eastAsia="宋体" w:cs="宋体"/>
                <w:spacing w:val="3"/>
                <w:sz w:val="20"/>
                <w:szCs w:val="20"/>
              </w:rPr>
              <w:t xml:space="preserve"> </w:t>
            </w:r>
            <w:r>
              <w:rPr>
                <w:rFonts w:ascii="宋体" w:hAnsi="宋体" w:eastAsia="宋体" w:cs="宋体"/>
                <w:spacing w:val="-2"/>
                <w:sz w:val="20"/>
                <w:szCs w:val="20"/>
              </w:rPr>
              <w:t>及改进措施</w:t>
            </w:r>
          </w:p>
        </w:tc>
      </w:tr>
      <w:tr w14:paraId="2E4A6D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7E16B4BC">
            <w:pPr>
              <w:pStyle w:val="10"/>
              <w:jc w:val="left"/>
            </w:pPr>
          </w:p>
        </w:tc>
        <w:tc>
          <w:tcPr>
            <w:tcW w:w="1039" w:type="dxa"/>
            <w:vMerge w:val="restart"/>
            <w:tcBorders>
              <w:bottom w:val="nil"/>
            </w:tcBorders>
            <w:vAlign w:val="top"/>
          </w:tcPr>
          <w:p w14:paraId="22155EF3">
            <w:pPr>
              <w:pStyle w:val="10"/>
              <w:spacing w:line="274" w:lineRule="auto"/>
              <w:jc w:val="left"/>
            </w:pPr>
          </w:p>
          <w:p w14:paraId="681D91C4">
            <w:pPr>
              <w:pStyle w:val="10"/>
              <w:spacing w:line="274" w:lineRule="auto"/>
              <w:jc w:val="left"/>
            </w:pPr>
          </w:p>
          <w:p w14:paraId="20349682">
            <w:pPr>
              <w:pStyle w:val="10"/>
              <w:spacing w:line="275" w:lineRule="auto"/>
              <w:jc w:val="left"/>
            </w:pPr>
          </w:p>
          <w:p w14:paraId="40D27FC3">
            <w:pPr>
              <w:spacing w:before="65" w:line="219" w:lineRule="auto"/>
              <w:ind w:left="111"/>
              <w:jc w:val="left"/>
              <w:rPr>
                <w:rFonts w:ascii="宋体" w:hAnsi="宋体" w:eastAsia="宋体" w:cs="宋体"/>
                <w:sz w:val="20"/>
                <w:szCs w:val="20"/>
              </w:rPr>
            </w:pPr>
            <w:r>
              <w:rPr>
                <w:rFonts w:ascii="宋体" w:hAnsi="宋体" w:eastAsia="宋体" w:cs="宋体"/>
                <w:spacing w:val="-2"/>
                <w:sz w:val="20"/>
                <w:szCs w:val="20"/>
              </w:rPr>
              <w:t>产出指标</w:t>
            </w:r>
          </w:p>
          <w:p w14:paraId="3143F699">
            <w:pPr>
              <w:spacing w:before="53" w:line="220" w:lineRule="auto"/>
              <w:ind w:left="210"/>
              <w:jc w:val="left"/>
              <w:rPr>
                <w:rFonts w:ascii="宋体" w:hAnsi="宋体" w:eastAsia="宋体" w:cs="宋体"/>
                <w:sz w:val="20"/>
                <w:szCs w:val="20"/>
              </w:rPr>
            </w:pPr>
            <w:r>
              <w:rPr>
                <w:rFonts w:ascii="宋体" w:hAnsi="宋体" w:eastAsia="宋体" w:cs="宋体"/>
                <w:spacing w:val="8"/>
                <w:sz w:val="20"/>
                <w:szCs w:val="20"/>
              </w:rPr>
              <w:t>(50分)</w:t>
            </w:r>
          </w:p>
        </w:tc>
        <w:tc>
          <w:tcPr>
            <w:tcW w:w="1228" w:type="dxa"/>
            <w:vMerge w:val="restart"/>
            <w:tcBorders>
              <w:bottom w:val="nil"/>
            </w:tcBorders>
            <w:vAlign w:val="top"/>
          </w:tcPr>
          <w:p w14:paraId="66B3AB0D">
            <w:pPr>
              <w:spacing w:before="183" w:line="219" w:lineRule="auto"/>
              <w:ind w:left="201"/>
              <w:jc w:val="left"/>
              <w:rPr>
                <w:rFonts w:ascii="宋体" w:hAnsi="宋体" w:eastAsia="宋体" w:cs="宋体"/>
                <w:sz w:val="20"/>
                <w:szCs w:val="20"/>
              </w:rPr>
            </w:pPr>
            <w:r>
              <w:rPr>
                <w:rFonts w:ascii="宋体" w:hAnsi="宋体" w:eastAsia="宋体" w:cs="宋体"/>
                <w:spacing w:val="-2"/>
                <w:sz w:val="20"/>
                <w:szCs w:val="20"/>
              </w:rPr>
              <w:t>数量指标</w:t>
            </w:r>
          </w:p>
        </w:tc>
        <w:tc>
          <w:tcPr>
            <w:tcW w:w="1019" w:type="dxa"/>
            <w:vAlign w:val="top"/>
          </w:tcPr>
          <w:p w14:paraId="03F0C6C5">
            <w:pPr>
              <w:pStyle w:val="10"/>
              <w:jc w:val="left"/>
              <w:rPr>
                <w:rFonts w:hint="eastAsia" w:eastAsia="宋体"/>
                <w:lang w:eastAsia="zh-CN"/>
              </w:rPr>
            </w:pPr>
            <w:r>
              <w:rPr>
                <w:rFonts w:hint="eastAsia" w:eastAsia="宋体"/>
                <w:lang w:eastAsia="zh-CN"/>
              </w:rPr>
              <w:t>维稳协调接访率</w:t>
            </w:r>
          </w:p>
        </w:tc>
        <w:tc>
          <w:tcPr>
            <w:tcW w:w="1089" w:type="dxa"/>
            <w:vAlign w:val="top"/>
          </w:tcPr>
          <w:p w14:paraId="24C8CADB">
            <w:pPr>
              <w:pStyle w:val="10"/>
              <w:jc w:val="left"/>
              <w:rPr>
                <w:rFonts w:hint="default" w:eastAsia="宋体"/>
                <w:lang w:val="en-US" w:eastAsia="zh-CN"/>
              </w:rPr>
            </w:pPr>
            <w:r>
              <w:rPr>
                <w:rFonts w:hint="eastAsia" w:eastAsia="宋体"/>
                <w:lang w:val="en-US" w:eastAsia="zh-CN"/>
              </w:rPr>
              <w:t>100</w:t>
            </w:r>
          </w:p>
        </w:tc>
        <w:tc>
          <w:tcPr>
            <w:tcW w:w="1079" w:type="dxa"/>
            <w:vAlign w:val="top"/>
          </w:tcPr>
          <w:p w14:paraId="210AB8ED">
            <w:pPr>
              <w:pStyle w:val="10"/>
              <w:jc w:val="left"/>
              <w:rPr>
                <w:rFonts w:hint="default" w:eastAsia="宋体"/>
                <w:lang w:val="en-US" w:eastAsia="zh-CN"/>
              </w:rPr>
            </w:pPr>
            <w:r>
              <w:rPr>
                <w:rFonts w:hint="eastAsia" w:eastAsia="宋体"/>
                <w:lang w:val="en-US" w:eastAsia="zh-CN"/>
              </w:rPr>
              <w:t>95</w:t>
            </w:r>
          </w:p>
        </w:tc>
        <w:tc>
          <w:tcPr>
            <w:tcW w:w="799" w:type="dxa"/>
            <w:vAlign w:val="top"/>
          </w:tcPr>
          <w:p w14:paraId="456470FE">
            <w:pPr>
              <w:pStyle w:val="10"/>
              <w:jc w:val="left"/>
              <w:rPr>
                <w:rFonts w:hint="default" w:eastAsia="宋体"/>
                <w:lang w:val="en-US" w:eastAsia="zh-CN"/>
              </w:rPr>
            </w:pPr>
            <w:r>
              <w:rPr>
                <w:rFonts w:hint="eastAsia" w:eastAsia="宋体"/>
                <w:lang w:val="en-US" w:eastAsia="zh-CN"/>
              </w:rPr>
              <w:t>15</w:t>
            </w:r>
          </w:p>
        </w:tc>
        <w:tc>
          <w:tcPr>
            <w:tcW w:w="829" w:type="dxa"/>
            <w:vAlign w:val="top"/>
          </w:tcPr>
          <w:p w14:paraId="078CAAEF">
            <w:pPr>
              <w:pStyle w:val="10"/>
              <w:jc w:val="left"/>
              <w:rPr>
                <w:rFonts w:hint="default" w:eastAsia="宋体"/>
                <w:lang w:val="en-US" w:eastAsia="zh-CN"/>
              </w:rPr>
            </w:pPr>
            <w:r>
              <w:rPr>
                <w:rFonts w:hint="eastAsia" w:eastAsia="宋体"/>
                <w:lang w:val="en-US" w:eastAsia="zh-CN"/>
              </w:rPr>
              <w:t>14</w:t>
            </w:r>
          </w:p>
        </w:tc>
        <w:tc>
          <w:tcPr>
            <w:tcW w:w="1323" w:type="dxa"/>
            <w:vAlign w:val="top"/>
          </w:tcPr>
          <w:p w14:paraId="251E2F99">
            <w:pPr>
              <w:pStyle w:val="10"/>
              <w:jc w:val="left"/>
            </w:pPr>
          </w:p>
        </w:tc>
      </w:tr>
      <w:tr w14:paraId="47D9F0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044" w:type="dxa"/>
            <w:vMerge w:val="continue"/>
            <w:tcBorders>
              <w:top w:val="nil"/>
              <w:bottom w:val="nil"/>
            </w:tcBorders>
            <w:textDirection w:val="tbRlV"/>
            <w:vAlign w:val="top"/>
          </w:tcPr>
          <w:p w14:paraId="462DDE13">
            <w:pPr>
              <w:pStyle w:val="10"/>
              <w:jc w:val="left"/>
            </w:pPr>
          </w:p>
        </w:tc>
        <w:tc>
          <w:tcPr>
            <w:tcW w:w="1039" w:type="dxa"/>
            <w:vMerge w:val="continue"/>
            <w:tcBorders>
              <w:top w:val="nil"/>
              <w:bottom w:val="nil"/>
            </w:tcBorders>
            <w:vAlign w:val="top"/>
          </w:tcPr>
          <w:p w14:paraId="3B234272">
            <w:pPr>
              <w:pStyle w:val="10"/>
              <w:jc w:val="left"/>
            </w:pPr>
          </w:p>
        </w:tc>
        <w:tc>
          <w:tcPr>
            <w:tcW w:w="1228" w:type="dxa"/>
            <w:vMerge w:val="continue"/>
            <w:tcBorders>
              <w:top w:val="nil"/>
            </w:tcBorders>
            <w:vAlign w:val="top"/>
          </w:tcPr>
          <w:p w14:paraId="131F64EB">
            <w:pPr>
              <w:pStyle w:val="10"/>
              <w:jc w:val="left"/>
            </w:pPr>
          </w:p>
        </w:tc>
        <w:tc>
          <w:tcPr>
            <w:tcW w:w="1019" w:type="dxa"/>
            <w:vAlign w:val="top"/>
          </w:tcPr>
          <w:p w14:paraId="435DCE24">
            <w:pPr>
              <w:pStyle w:val="10"/>
              <w:jc w:val="left"/>
            </w:pPr>
          </w:p>
        </w:tc>
        <w:tc>
          <w:tcPr>
            <w:tcW w:w="1089" w:type="dxa"/>
            <w:vAlign w:val="top"/>
          </w:tcPr>
          <w:p w14:paraId="62940B8C">
            <w:pPr>
              <w:pStyle w:val="10"/>
              <w:jc w:val="left"/>
            </w:pPr>
          </w:p>
        </w:tc>
        <w:tc>
          <w:tcPr>
            <w:tcW w:w="1079" w:type="dxa"/>
            <w:vAlign w:val="top"/>
          </w:tcPr>
          <w:p w14:paraId="3242E202">
            <w:pPr>
              <w:pStyle w:val="10"/>
              <w:jc w:val="left"/>
            </w:pPr>
          </w:p>
        </w:tc>
        <w:tc>
          <w:tcPr>
            <w:tcW w:w="799" w:type="dxa"/>
            <w:vAlign w:val="top"/>
          </w:tcPr>
          <w:p w14:paraId="531AED7E">
            <w:pPr>
              <w:pStyle w:val="10"/>
              <w:jc w:val="left"/>
            </w:pPr>
          </w:p>
        </w:tc>
        <w:tc>
          <w:tcPr>
            <w:tcW w:w="829" w:type="dxa"/>
            <w:vAlign w:val="top"/>
          </w:tcPr>
          <w:p w14:paraId="5B4C3885">
            <w:pPr>
              <w:pStyle w:val="10"/>
              <w:jc w:val="left"/>
            </w:pPr>
          </w:p>
        </w:tc>
        <w:tc>
          <w:tcPr>
            <w:tcW w:w="1323" w:type="dxa"/>
            <w:vAlign w:val="top"/>
          </w:tcPr>
          <w:p w14:paraId="59E756F9">
            <w:pPr>
              <w:pStyle w:val="10"/>
              <w:jc w:val="left"/>
            </w:pPr>
          </w:p>
        </w:tc>
      </w:tr>
      <w:tr w14:paraId="67D6E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44" w:type="dxa"/>
            <w:vMerge w:val="continue"/>
            <w:tcBorders>
              <w:top w:val="nil"/>
              <w:bottom w:val="nil"/>
            </w:tcBorders>
            <w:textDirection w:val="tbRlV"/>
            <w:vAlign w:val="top"/>
          </w:tcPr>
          <w:p w14:paraId="52CCC7E8">
            <w:pPr>
              <w:pStyle w:val="10"/>
              <w:jc w:val="left"/>
            </w:pPr>
          </w:p>
        </w:tc>
        <w:tc>
          <w:tcPr>
            <w:tcW w:w="1039" w:type="dxa"/>
            <w:vMerge w:val="continue"/>
            <w:tcBorders>
              <w:top w:val="nil"/>
              <w:bottom w:val="nil"/>
            </w:tcBorders>
            <w:vAlign w:val="top"/>
          </w:tcPr>
          <w:p w14:paraId="3D48C8DF">
            <w:pPr>
              <w:pStyle w:val="10"/>
              <w:jc w:val="left"/>
            </w:pPr>
          </w:p>
        </w:tc>
        <w:tc>
          <w:tcPr>
            <w:tcW w:w="1228" w:type="dxa"/>
            <w:vMerge w:val="restart"/>
            <w:tcBorders>
              <w:bottom w:val="nil"/>
            </w:tcBorders>
            <w:vAlign w:val="top"/>
          </w:tcPr>
          <w:p w14:paraId="7431C77D">
            <w:pPr>
              <w:spacing w:before="184" w:line="220" w:lineRule="auto"/>
              <w:ind w:left="201"/>
              <w:jc w:val="left"/>
              <w:rPr>
                <w:rFonts w:ascii="宋体" w:hAnsi="宋体" w:eastAsia="宋体" w:cs="宋体"/>
                <w:sz w:val="20"/>
                <w:szCs w:val="20"/>
              </w:rPr>
            </w:pPr>
            <w:r>
              <w:rPr>
                <w:rFonts w:ascii="宋体" w:hAnsi="宋体" w:eastAsia="宋体" w:cs="宋体"/>
                <w:spacing w:val="-2"/>
                <w:sz w:val="20"/>
                <w:szCs w:val="20"/>
              </w:rPr>
              <w:t>质量指标</w:t>
            </w:r>
          </w:p>
        </w:tc>
        <w:tc>
          <w:tcPr>
            <w:tcW w:w="1019" w:type="dxa"/>
            <w:vAlign w:val="top"/>
          </w:tcPr>
          <w:p w14:paraId="277D59BA">
            <w:pPr>
              <w:pStyle w:val="10"/>
              <w:jc w:val="left"/>
              <w:rPr>
                <w:rFonts w:hint="eastAsia" w:eastAsia="宋体"/>
                <w:lang w:eastAsia="zh-CN"/>
              </w:rPr>
            </w:pPr>
            <w:r>
              <w:rPr>
                <w:rFonts w:hint="eastAsia" w:eastAsia="宋体"/>
                <w:lang w:eastAsia="zh-CN"/>
              </w:rPr>
              <w:t>社会稳定</w:t>
            </w:r>
          </w:p>
        </w:tc>
        <w:tc>
          <w:tcPr>
            <w:tcW w:w="1089" w:type="dxa"/>
            <w:vAlign w:val="top"/>
          </w:tcPr>
          <w:p w14:paraId="2249DFBD">
            <w:pPr>
              <w:pStyle w:val="10"/>
              <w:jc w:val="left"/>
              <w:rPr>
                <w:rFonts w:hint="eastAsia" w:eastAsia="宋体"/>
                <w:lang w:eastAsia="zh-CN"/>
              </w:rPr>
            </w:pPr>
            <w:r>
              <w:rPr>
                <w:rFonts w:hint="eastAsia" w:eastAsia="宋体"/>
                <w:lang w:eastAsia="zh-CN"/>
              </w:rPr>
              <w:t>好</w:t>
            </w:r>
          </w:p>
        </w:tc>
        <w:tc>
          <w:tcPr>
            <w:tcW w:w="1079" w:type="dxa"/>
            <w:vAlign w:val="top"/>
          </w:tcPr>
          <w:p w14:paraId="0B5C4BAB">
            <w:pPr>
              <w:pStyle w:val="10"/>
              <w:jc w:val="left"/>
              <w:rPr>
                <w:rFonts w:hint="default" w:eastAsia="宋体"/>
                <w:lang w:val="en-US" w:eastAsia="zh-CN"/>
              </w:rPr>
            </w:pPr>
            <w:r>
              <w:rPr>
                <w:rFonts w:hint="eastAsia" w:eastAsia="宋体"/>
                <w:lang w:val="en-US" w:eastAsia="zh-CN"/>
              </w:rPr>
              <w:t>好</w:t>
            </w:r>
          </w:p>
        </w:tc>
        <w:tc>
          <w:tcPr>
            <w:tcW w:w="799" w:type="dxa"/>
            <w:vAlign w:val="top"/>
          </w:tcPr>
          <w:p w14:paraId="406B287B">
            <w:pPr>
              <w:pStyle w:val="10"/>
              <w:jc w:val="left"/>
              <w:rPr>
                <w:rFonts w:hint="default" w:eastAsia="宋体"/>
                <w:lang w:val="en-US" w:eastAsia="zh-CN"/>
              </w:rPr>
            </w:pPr>
            <w:r>
              <w:rPr>
                <w:rFonts w:hint="eastAsia" w:eastAsia="宋体"/>
                <w:lang w:val="en-US" w:eastAsia="zh-CN"/>
              </w:rPr>
              <w:t>15</w:t>
            </w:r>
          </w:p>
        </w:tc>
        <w:tc>
          <w:tcPr>
            <w:tcW w:w="829" w:type="dxa"/>
            <w:vAlign w:val="top"/>
          </w:tcPr>
          <w:p w14:paraId="0A3818C6">
            <w:pPr>
              <w:pStyle w:val="10"/>
              <w:jc w:val="left"/>
              <w:rPr>
                <w:rFonts w:hint="default" w:eastAsia="宋体"/>
                <w:lang w:val="en-US" w:eastAsia="zh-CN"/>
              </w:rPr>
            </w:pPr>
            <w:r>
              <w:rPr>
                <w:rFonts w:hint="eastAsia" w:eastAsia="宋体"/>
                <w:lang w:val="en-US" w:eastAsia="zh-CN"/>
              </w:rPr>
              <w:t>14</w:t>
            </w:r>
          </w:p>
        </w:tc>
        <w:tc>
          <w:tcPr>
            <w:tcW w:w="1323" w:type="dxa"/>
            <w:vAlign w:val="top"/>
          </w:tcPr>
          <w:p w14:paraId="48EB271E">
            <w:pPr>
              <w:pStyle w:val="10"/>
              <w:jc w:val="left"/>
            </w:pPr>
          </w:p>
        </w:tc>
      </w:tr>
      <w:tr w14:paraId="43909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265AF6D6">
            <w:pPr>
              <w:pStyle w:val="10"/>
              <w:jc w:val="left"/>
            </w:pPr>
          </w:p>
        </w:tc>
        <w:tc>
          <w:tcPr>
            <w:tcW w:w="1039" w:type="dxa"/>
            <w:vMerge w:val="continue"/>
            <w:tcBorders>
              <w:top w:val="nil"/>
              <w:bottom w:val="nil"/>
            </w:tcBorders>
            <w:vAlign w:val="top"/>
          </w:tcPr>
          <w:p w14:paraId="419162DE">
            <w:pPr>
              <w:pStyle w:val="10"/>
              <w:jc w:val="left"/>
            </w:pPr>
          </w:p>
        </w:tc>
        <w:tc>
          <w:tcPr>
            <w:tcW w:w="1228" w:type="dxa"/>
            <w:vMerge w:val="continue"/>
            <w:tcBorders>
              <w:top w:val="nil"/>
            </w:tcBorders>
            <w:vAlign w:val="top"/>
          </w:tcPr>
          <w:p w14:paraId="5CA58E32">
            <w:pPr>
              <w:pStyle w:val="10"/>
              <w:jc w:val="left"/>
            </w:pPr>
          </w:p>
        </w:tc>
        <w:tc>
          <w:tcPr>
            <w:tcW w:w="1019" w:type="dxa"/>
            <w:vAlign w:val="top"/>
          </w:tcPr>
          <w:p w14:paraId="429EEEB0">
            <w:pPr>
              <w:pStyle w:val="10"/>
              <w:jc w:val="left"/>
            </w:pPr>
          </w:p>
        </w:tc>
        <w:tc>
          <w:tcPr>
            <w:tcW w:w="1089" w:type="dxa"/>
            <w:vAlign w:val="top"/>
          </w:tcPr>
          <w:p w14:paraId="2604B78A">
            <w:pPr>
              <w:pStyle w:val="10"/>
              <w:jc w:val="left"/>
            </w:pPr>
          </w:p>
        </w:tc>
        <w:tc>
          <w:tcPr>
            <w:tcW w:w="1079" w:type="dxa"/>
            <w:vAlign w:val="top"/>
          </w:tcPr>
          <w:p w14:paraId="6365C3BD">
            <w:pPr>
              <w:pStyle w:val="10"/>
              <w:jc w:val="left"/>
            </w:pPr>
          </w:p>
        </w:tc>
        <w:tc>
          <w:tcPr>
            <w:tcW w:w="799" w:type="dxa"/>
            <w:vAlign w:val="top"/>
          </w:tcPr>
          <w:p w14:paraId="3CCEF298">
            <w:pPr>
              <w:pStyle w:val="10"/>
              <w:jc w:val="left"/>
            </w:pPr>
          </w:p>
        </w:tc>
        <w:tc>
          <w:tcPr>
            <w:tcW w:w="829" w:type="dxa"/>
            <w:vAlign w:val="top"/>
          </w:tcPr>
          <w:p w14:paraId="5DBAAD15">
            <w:pPr>
              <w:pStyle w:val="10"/>
              <w:jc w:val="left"/>
            </w:pPr>
          </w:p>
        </w:tc>
        <w:tc>
          <w:tcPr>
            <w:tcW w:w="1323" w:type="dxa"/>
            <w:vAlign w:val="top"/>
          </w:tcPr>
          <w:p w14:paraId="7AECF558">
            <w:pPr>
              <w:pStyle w:val="10"/>
              <w:jc w:val="left"/>
            </w:pPr>
          </w:p>
        </w:tc>
      </w:tr>
      <w:tr w14:paraId="0670D3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43005A6B">
            <w:pPr>
              <w:pStyle w:val="10"/>
              <w:jc w:val="left"/>
            </w:pPr>
          </w:p>
        </w:tc>
        <w:tc>
          <w:tcPr>
            <w:tcW w:w="1039" w:type="dxa"/>
            <w:vMerge w:val="continue"/>
            <w:tcBorders>
              <w:top w:val="nil"/>
              <w:bottom w:val="nil"/>
            </w:tcBorders>
            <w:vAlign w:val="top"/>
          </w:tcPr>
          <w:p w14:paraId="32DE9E79">
            <w:pPr>
              <w:pStyle w:val="10"/>
              <w:jc w:val="left"/>
            </w:pPr>
          </w:p>
        </w:tc>
        <w:tc>
          <w:tcPr>
            <w:tcW w:w="1228" w:type="dxa"/>
            <w:vMerge w:val="restart"/>
            <w:tcBorders>
              <w:bottom w:val="nil"/>
            </w:tcBorders>
            <w:vAlign w:val="top"/>
          </w:tcPr>
          <w:p w14:paraId="27ACC076">
            <w:pPr>
              <w:spacing w:before="184" w:line="220" w:lineRule="auto"/>
              <w:ind w:left="201"/>
              <w:jc w:val="left"/>
              <w:rPr>
                <w:rFonts w:ascii="宋体" w:hAnsi="宋体" w:eastAsia="宋体" w:cs="宋体"/>
                <w:sz w:val="20"/>
                <w:szCs w:val="20"/>
              </w:rPr>
            </w:pPr>
            <w:r>
              <w:rPr>
                <w:rFonts w:ascii="宋体" w:hAnsi="宋体" w:eastAsia="宋体" w:cs="宋体"/>
                <w:spacing w:val="1"/>
                <w:sz w:val="20"/>
                <w:szCs w:val="20"/>
              </w:rPr>
              <w:t>时效指标</w:t>
            </w:r>
          </w:p>
        </w:tc>
        <w:tc>
          <w:tcPr>
            <w:tcW w:w="1019" w:type="dxa"/>
            <w:vAlign w:val="top"/>
          </w:tcPr>
          <w:p w14:paraId="21F7E7E8">
            <w:pPr>
              <w:pStyle w:val="10"/>
              <w:jc w:val="left"/>
              <w:rPr>
                <w:rFonts w:hint="eastAsia" w:eastAsia="宋体"/>
                <w:lang w:eastAsia="zh-CN"/>
              </w:rPr>
            </w:pPr>
            <w:r>
              <w:rPr>
                <w:rFonts w:hint="eastAsia" w:eastAsia="宋体"/>
                <w:lang w:eastAsia="zh-CN"/>
              </w:rPr>
              <w:t>按时完成绩效目标任务</w:t>
            </w:r>
          </w:p>
        </w:tc>
        <w:tc>
          <w:tcPr>
            <w:tcW w:w="1089" w:type="dxa"/>
            <w:vAlign w:val="top"/>
          </w:tcPr>
          <w:p w14:paraId="628422F7">
            <w:pPr>
              <w:pStyle w:val="10"/>
              <w:jc w:val="left"/>
              <w:rPr>
                <w:rFonts w:hint="eastAsia" w:eastAsia="宋体"/>
                <w:lang w:val="en-US" w:eastAsia="zh-CN"/>
              </w:rPr>
            </w:pPr>
            <w:r>
              <w:rPr>
                <w:rFonts w:hint="eastAsia" w:eastAsia="宋体"/>
                <w:lang w:val="en-US" w:eastAsia="zh-CN"/>
              </w:rPr>
              <w:t>1年</w:t>
            </w:r>
          </w:p>
        </w:tc>
        <w:tc>
          <w:tcPr>
            <w:tcW w:w="1079" w:type="dxa"/>
            <w:vAlign w:val="top"/>
          </w:tcPr>
          <w:p w14:paraId="2BC2EBB7">
            <w:pPr>
              <w:pStyle w:val="10"/>
              <w:jc w:val="left"/>
              <w:rPr>
                <w:rFonts w:hint="eastAsia" w:eastAsia="宋体"/>
                <w:lang w:val="en-US" w:eastAsia="zh-CN"/>
              </w:rPr>
            </w:pPr>
            <w:r>
              <w:rPr>
                <w:rFonts w:hint="eastAsia" w:eastAsia="宋体"/>
                <w:lang w:val="en-US" w:eastAsia="zh-CN"/>
              </w:rPr>
              <w:t>1年</w:t>
            </w:r>
          </w:p>
        </w:tc>
        <w:tc>
          <w:tcPr>
            <w:tcW w:w="799" w:type="dxa"/>
            <w:vAlign w:val="top"/>
          </w:tcPr>
          <w:p w14:paraId="38D40C53">
            <w:pPr>
              <w:pStyle w:val="10"/>
              <w:jc w:val="left"/>
              <w:rPr>
                <w:rFonts w:hint="default" w:eastAsia="宋体"/>
                <w:lang w:val="en-US" w:eastAsia="zh-CN"/>
              </w:rPr>
            </w:pPr>
            <w:r>
              <w:rPr>
                <w:rFonts w:hint="eastAsia" w:eastAsia="宋体"/>
                <w:lang w:val="en-US" w:eastAsia="zh-CN"/>
              </w:rPr>
              <w:t>10</w:t>
            </w:r>
          </w:p>
        </w:tc>
        <w:tc>
          <w:tcPr>
            <w:tcW w:w="829" w:type="dxa"/>
            <w:vAlign w:val="top"/>
          </w:tcPr>
          <w:p w14:paraId="3E435E92">
            <w:pPr>
              <w:pStyle w:val="10"/>
              <w:jc w:val="left"/>
              <w:rPr>
                <w:rFonts w:hint="default" w:eastAsia="宋体"/>
                <w:lang w:val="en-US" w:eastAsia="zh-CN"/>
              </w:rPr>
            </w:pPr>
            <w:r>
              <w:rPr>
                <w:rFonts w:hint="eastAsia" w:eastAsia="宋体"/>
                <w:lang w:val="en-US" w:eastAsia="zh-CN"/>
              </w:rPr>
              <w:t>10</w:t>
            </w:r>
          </w:p>
        </w:tc>
        <w:tc>
          <w:tcPr>
            <w:tcW w:w="1323" w:type="dxa"/>
            <w:vAlign w:val="top"/>
          </w:tcPr>
          <w:p w14:paraId="07657D0F">
            <w:pPr>
              <w:pStyle w:val="10"/>
              <w:jc w:val="left"/>
            </w:pPr>
          </w:p>
        </w:tc>
      </w:tr>
      <w:tr w14:paraId="4D3FF1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44" w:type="dxa"/>
            <w:vMerge w:val="continue"/>
            <w:tcBorders>
              <w:top w:val="nil"/>
              <w:bottom w:val="nil"/>
            </w:tcBorders>
            <w:textDirection w:val="tbRlV"/>
            <w:vAlign w:val="top"/>
          </w:tcPr>
          <w:p w14:paraId="51928B28">
            <w:pPr>
              <w:pStyle w:val="10"/>
              <w:jc w:val="left"/>
            </w:pPr>
          </w:p>
        </w:tc>
        <w:tc>
          <w:tcPr>
            <w:tcW w:w="1039" w:type="dxa"/>
            <w:vMerge w:val="continue"/>
            <w:tcBorders>
              <w:top w:val="nil"/>
              <w:bottom w:val="nil"/>
            </w:tcBorders>
            <w:vAlign w:val="top"/>
          </w:tcPr>
          <w:p w14:paraId="2A2B017B">
            <w:pPr>
              <w:pStyle w:val="10"/>
              <w:jc w:val="left"/>
            </w:pPr>
          </w:p>
        </w:tc>
        <w:tc>
          <w:tcPr>
            <w:tcW w:w="1228" w:type="dxa"/>
            <w:vMerge w:val="continue"/>
            <w:tcBorders>
              <w:top w:val="nil"/>
            </w:tcBorders>
            <w:vAlign w:val="top"/>
          </w:tcPr>
          <w:p w14:paraId="6ECBDE00">
            <w:pPr>
              <w:pStyle w:val="10"/>
              <w:jc w:val="left"/>
            </w:pPr>
          </w:p>
        </w:tc>
        <w:tc>
          <w:tcPr>
            <w:tcW w:w="1019" w:type="dxa"/>
            <w:vAlign w:val="top"/>
          </w:tcPr>
          <w:p w14:paraId="0DDA5030">
            <w:pPr>
              <w:pStyle w:val="10"/>
              <w:jc w:val="left"/>
            </w:pPr>
          </w:p>
        </w:tc>
        <w:tc>
          <w:tcPr>
            <w:tcW w:w="1089" w:type="dxa"/>
            <w:vAlign w:val="top"/>
          </w:tcPr>
          <w:p w14:paraId="3B3DD999">
            <w:pPr>
              <w:pStyle w:val="10"/>
              <w:jc w:val="left"/>
            </w:pPr>
          </w:p>
        </w:tc>
        <w:tc>
          <w:tcPr>
            <w:tcW w:w="1079" w:type="dxa"/>
            <w:vAlign w:val="top"/>
          </w:tcPr>
          <w:p w14:paraId="1654F70F">
            <w:pPr>
              <w:pStyle w:val="10"/>
              <w:jc w:val="left"/>
            </w:pPr>
          </w:p>
        </w:tc>
        <w:tc>
          <w:tcPr>
            <w:tcW w:w="799" w:type="dxa"/>
            <w:vAlign w:val="top"/>
          </w:tcPr>
          <w:p w14:paraId="2B36CEEC">
            <w:pPr>
              <w:pStyle w:val="10"/>
              <w:jc w:val="left"/>
            </w:pPr>
          </w:p>
        </w:tc>
        <w:tc>
          <w:tcPr>
            <w:tcW w:w="829" w:type="dxa"/>
            <w:vAlign w:val="top"/>
          </w:tcPr>
          <w:p w14:paraId="2DDCF589">
            <w:pPr>
              <w:pStyle w:val="10"/>
              <w:jc w:val="left"/>
            </w:pPr>
          </w:p>
        </w:tc>
        <w:tc>
          <w:tcPr>
            <w:tcW w:w="1323" w:type="dxa"/>
            <w:vAlign w:val="top"/>
          </w:tcPr>
          <w:p w14:paraId="3BBC3D65">
            <w:pPr>
              <w:pStyle w:val="10"/>
              <w:jc w:val="left"/>
            </w:pPr>
          </w:p>
        </w:tc>
      </w:tr>
      <w:tr w14:paraId="200109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44" w:type="dxa"/>
            <w:vMerge w:val="continue"/>
            <w:tcBorders>
              <w:top w:val="nil"/>
              <w:bottom w:val="nil"/>
            </w:tcBorders>
            <w:textDirection w:val="tbRlV"/>
            <w:vAlign w:val="top"/>
          </w:tcPr>
          <w:p w14:paraId="6484F952">
            <w:pPr>
              <w:pStyle w:val="10"/>
              <w:jc w:val="left"/>
            </w:pPr>
          </w:p>
        </w:tc>
        <w:tc>
          <w:tcPr>
            <w:tcW w:w="1039" w:type="dxa"/>
            <w:vMerge w:val="continue"/>
            <w:tcBorders>
              <w:top w:val="nil"/>
              <w:bottom w:val="nil"/>
            </w:tcBorders>
            <w:vAlign w:val="top"/>
          </w:tcPr>
          <w:p w14:paraId="02888EB0">
            <w:pPr>
              <w:pStyle w:val="10"/>
              <w:jc w:val="left"/>
            </w:pPr>
          </w:p>
        </w:tc>
        <w:tc>
          <w:tcPr>
            <w:tcW w:w="1228" w:type="dxa"/>
            <w:vMerge w:val="restart"/>
            <w:tcBorders>
              <w:bottom w:val="nil"/>
            </w:tcBorders>
            <w:vAlign w:val="top"/>
          </w:tcPr>
          <w:p w14:paraId="757A389A">
            <w:pPr>
              <w:spacing w:before="183" w:line="219" w:lineRule="auto"/>
              <w:ind w:left="201"/>
              <w:jc w:val="left"/>
              <w:rPr>
                <w:rFonts w:ascii="宋体" w:hAnsi="宋体" w:eastAsia="宋体" w:cs="宋体"/>
                <w:sz w:val="20"/>
                <w:szCs w:val="20"/>
              </w:rPr>
            </w:pPr>
            <w:r>
              <w:rPr>
                <w:rFonts w:ascii="宋体" w:hAnsi="宋体" w:eastAsia="宋体" w:cs="宋体"/>
                <w:spacing w:val="-2"/>
                <w:sz w:val="20"/>
                <w:szCs w:val="20"/>
              </w:rPr>
              <w:t>成本指标</w:t>
            </w:r>
          </w:p>
        </w:tc>
        <w:tc>
          <w:tcPr>
            <w:tcW w:w="1019" w:type="dxa"/>
            <w:vAlign w:val="top"/>
          </w:tcPr>
          <w:p w14:paraId="126A0009">
            <w:pPr>
              <w:pStyle w:val="10"/>
              <w:jc w:val="left"/>
              <w:rPr>
                <w:rFonts w:hint="eastAsia" w:eastAsia="宋体"/>
                <w:lang w:eastAsia="zh-CN"/>
              </w:rPr>
            </w:pPr>
            <w:r>
              <w:rPr>
                <w:rFonts w:hint="eastAsia" w:eastAsia="宋体"/>
                <w:lang w:eastAsia="zh-CN"/>
              </w:rPr>
              <w:t>严格控制在年度预算资金内</w:t>
            </w:r>
          </w:p>
        </w:tc>
        <w:tc>
          <w:tcPr>
            <w:tcW w:w="1089" w:type="dxa"/>
            <w:vAlign w:val="top"/>
          </w:tcPr>
          <w:p w14:paraId="1B4FEBA7">
            <w:pPr>
              <w:pStyle w:val="10"/>
              <w:jc w:val="left"/>
              <w:rPr>
                <w:rFonts w:hint="default" w:eastAsia="宋体"/>
                <w:lang w:val="en-US" w:eastAsia="zh-CN"/>
              </w:rPr>
            </w:pPr>
            <w:r>
              <w:rPr>
                <w:rFonts w:hint="eastAsia" w:eastAsia="宋体"/>
                <w:lang w:val="en-US" w:eastAsia="zh-CN"/>
              </w:rPr>
              <w:t>100</w:t>
            </w:r>
          </w:p>
        </w:tc>
        <w:tc>
          <w:tcPr>
            <w:tcW w:w="1079" w:type="dxa"/>
            <w:vAlign w:val="top"/>
          </w:tcPr>
          <w:p w14:paraId="08C44215">
            <w:pPr>
              <w:pStyle w:val="10"/>
              <w:jc w:val="left"/>
              <w:rPr>
                <w:rFonts w:hint="default" w:eastAsia="宋体"/>
                <w:lang w:val="en-US" w:eastAsia="zh-CN"/>
              </w:rPr>
            </w:pPr>
            <w:r>
              <w:rPr>
                <w:rFonts w:hint="eastAsia" w:eastAsia="宋体"/>
                <w:lang w:val="en-US" w:eastAsia="zh-CN"/>
              </w:rPr>
              <w:t>100</w:t>
            </w:r>
          </w:p>
        </w:tc>
        <w:tc>
          <w:tcPr>
            <w:tcW w:w="799" w:type="dxa"/>
            <w:vAlign w:val="top"/>
          </w:tcPr>
          <w:p w14:paraId="052DEAC2">
            <w:pPr>
              <w:pStyle w:val="10"/>
              <w:jc w:val="left"/>
              <w:rPr>
                <w:rFonts w:hint="default" w:eastAsia="宋体"/>
                <w:lang w:val="en-US" w:eastAsia="zh-CN"/>
              </w:rPr>
            </w:pPr>
            <w:r>
              <w:rPr>
                <w:rFonts w:hint="eastAsia" w:eastAsia="宋体"/>
                <w:lang w:val="en-US" w:eastAsia="zh-CN"/>
              </w:rPr>
              <w:t>10</w:t>
            </w:r>
          </w:p>
        </w:tc>
        <w:tc>
          <w:tcPr>
            <w:tcW w:w="829" w:type="dxa"/>
            <w:vAlign w:val="top"/>
          </w:tcPr>
          <w:p w14:paraId="07C51CB1">
            <w:pPr>
              <w:pStyle w:val="10"/>
              <w:jc w:val="left"/>
              <w:rPr>
                <w:rFonts w:hint="default" w:eastAsia="宋体"/>
                <w:lang w:val="en-US" w:eastAsia="zh-CN"/>
              </w:rPr>
            </w:pPr>
            <w:r>
              <w:rPr>
                <w:rFonts w:hint="eastAsia" w:eastAsia="宋体"/>
                <w:lang w:val="en-US" w:eastAsia="zh-CN"/>
              </w:rPr>
              <w:t>10</w:t>
            </w:r>
          </w:p>
        </w:tc>
        <w:tc>
          <w:tcPr>
            <w:tcW w:w="1323" w:type="dxa"/>
            <w:vAlign w:val="top"/>
          </w:tcPr>
          <w:p w14:paraId="664035B7">
            <w:pPr>
              <w:pStyle w:val="10"/>
              <w:jc w:val="left"/>
            </w:pPr>
          </w:p>
        </w:tc>
      </w:tr>
      <w:tr w14:paraId="446FE3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3C1AA28D">
            <w:pPr>
              <w:pStyle w:val="10"/>
              <w:jc w:val="left"/>
            </w:pPr>
          </w:p>
        </w:tc>
        <w:tc>
          <w:tcPr>
            <w:tcW w:w="1039" w:type="dxa"/>
            <w:vMerge w:val="continue"/>
            <w:tcBorders>
              <w:top w:val="nil"/>
            </w:tcBorders>
            <w:vAlign w:val="top"/>
          </w:tcPr>
          <w:p w14:paraId="0C6A7515">
            <w:pPr>
              <w:pStyle w:val="10"/>
              <w:jc w:val="left"/>
            </w:pPr>
          </w:p>
        </w:tc>
        <w:tc>
          <w:tcPr>
            <w:tcW w:w="1228" w:type="dxa"/>
            <w:vMerge w:val="continue"/>
            <w:tcBorders>
              <w:top w:val="nil"/>
            </w:tcBorders>
            <w:vAlign w:val="top"/>
          </w:tcPr>
          <w:p w14:paraId="5313D9D2">
            <w:pPr>
              <w:pStyle w:val="10"/>
              <w:jc w:val="left"/>
            </w:pPr>
          </w:p>
        </w:tc>
        <w:tc>
          <w:tcPr>
            <w:tcW w:w="1019" w:type="dxa"/>
            <w:vAlign w:val="top"/>
          </w:tcPr>
          <w:p w14:paraId="6FCA845A">
            <w:pPr>
              <w:pStyle w:val="10"/>
              <w:jc w:val="left"/>
            </w:pPr>
          </w:p>
        </w:tc>
        <w:tc>
          <w:tcPr>
            <w:tcW w:w="1089" w:type="dxa"/>
            <w:vAlign w:val="top"/>
          </w:tcPr>
          <w:p w14:paraId="4BD4F85C">
            <w:pPr>
              <w:pStyle w:val="10"/>
              <w:jc w:val="left"/>
            </w:pPr>
          </w:p>
        </w:tc>
        <w:tc>
          <w:tcPr>
            <w:tcW w:w="1079" w:type="dxa"/>
            <w:vAlign w:val="top"/>
          </w:tcPr>
          <w:p w14:paraId="18D61FFF">
            <w:pPr>
              <w:pStyle w:val="10"/>
              <w:jc w:val="left"/>
            </w:pPr>
          </w:p>
        </w:tc>
        <w:tc>
          <w:tcPr>
            <w:tcW w:w="799" w:type="dxa"/>
            <w:vAlign w:val="top"/>
          </w:tcPr>
          <w:p w14:paraId="078CEFFA">
            <w:pPr>
              <w:pStyle w:val="10"/>
              <w:jc w:val="left"/>
            </w:pPr>
          </w:p>
        </w:tc>
        <w:tc>
          <w:tcPr>
            <w:tcW w:w="829" w:type="dxa"/>
            <w:vAlign w:val="top"/>
          </w:tcPr>
          <w:p w14:paraId="30AD309B">
            <w:pPr>
              <w:pStyle w:val="10"/>
              <w:jc w:val="left"/>
            </w:pPr>
          </w:p>
        </w:tc>
        <w:tc>
          <w:tcPr>
            <w:tcW w:w="1323" w:type="dxa"/>
            <w:vAlign w:val="top"/>
          </w:tcPr>
          <w:p w14:paraId="14469DB8">
            <w:pPr>
              <w:pStyle w:val="10"/>
              <w:jc w:val="left"/>
            </w:pPr>
          </w:p>
        </w:tc>
      </w:tr>
      <w:tr w14:paraId="1F2ADF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044" w:type="dxa"/>
            <w:vMerge w:val="continue"/>
            <w:tcBorders>
              <w:top w:val="nil"/>
              <w:bottom w:val="nil"/>
            </w:tcBorders>
            <w:textDirection w:val="tbRlV"/>
            <w:vAlign w:val="top"/>
          </w:tcPr>
          <w:p w14:paraId="5FB8B707">
            <w:pPr>
              <w:pStyle w:val="10"/>
              <w:jc w:val="left"/>
            </w:pPr>
          </w:p>
        </w:tc>
        <w:tc>
          <w:tcPr>
            <w:tcW w:w="1039" w:type="dxa"/>
            <w:vMerge w:val="restart"/>
            <w:tcBorders>
              <w:bottom w:val="nil"/>
            </w:tcBorders>
            <w:vAlign w:val="top"/>
          </w:tcPr>
          <w:p w14:paraId="032A93A1">
            <w:pPr>
              <w:pStyle w:val="10"/>
              <w:spacing w:line="274" w:lineRule="auto"/>
              <w:jc w:val="left"/>
            </w:pPr>
          </w:p>
          <w:p w14:paraId="525F5216">
            <w:pPr>
              <w:pStyle w:val="10"/>
              <w:spacing w:line="275" w:lineRule="auto"/>
              <w:jc w:val="left"/>
            </w:pPr>
          </w:p>
          <w:p w14:paraId="16A1CF25">
            <w:pPr>
              <w:pStyle w:val="10"/>
              <w:spacing w:line="275" w:lineRule="auto"/>
              <w:jc w:val="left"/>
            </w:pPr>
          </w:p>
          <w:p w14:paraId="022D18A6">
            <w:pPr>
              <w:spacing w:before="65" w:line="220" w:lineRule="auto"/>
              <w:ind w:left="111"/>
              <w:jc w:val="left"/>
              <w:rPr>
                <w:rFonts w:ascii="宋体" w:hAnsi="宋体" w:eastAsia="宋体" w:cs="宋体"/>
                <w:sz w:val="20"/>
                <w:szCs w:val="20"/>
              </w:rPr>
            </w:pPr>
            <w:r>
              <w:rPr>
                <w:rFonts w:ascii="宋体" w:hAnsi="宋体" w:eastAsia="宋体" w:cs="宋体"/>
                <w:spacing w:val="1"/>
                <w:sz w:val="20"/>
                <w:szCs w:val="20"/>
              </w:rPr>
              <w:t>效益指标</w:t>
            </w:r>
          </w:p>
          <w:p w14:paraId="69ECEC55">
            <w:pPr>
              <w:spacing w:before="41" w:line="220" w:lineRule="auto"/>
              <w:ind w:left="210"/>
              <w:jc w:val="left"/>
              <w:rPr>
                <w:rFonts w:ascii="宋体" w:hAnsi="宋体" w:eastAsia="宋体" w:cs="宋体"/>
                <w:sz w:val="20"/>
                <w:szCs w:val="20"/>
              </w:rPr>
            </w:pPr>
            <w:r>
              <w:rPr>
                <w:rFonts w:ascii="宋体" w:hAnsi="宋体" w:eastAsia="宋体" w:cs="宋体"/>
                <w:spacing w:val="8"/>
                <w:sz w:val="20"/>
                <w:szCs w:val="20"/>
              </w:rPr>
              <w:t>(30分)</w:t>
            </w:r>
          </w:p>
        </w:tc>
        <w:tc>
          <w:tcPr>
            <w:tcW w:w="1228" w:type="dxa"/>
            <w:vMerge w:val="restart"/>
            <w:tcBorders>
              <w:bottom w:val="nil"/>
            </w:tcBorders>
            <w:vAlign w:val="top"/>
          </w:tcPr>
          <w:p w14:paraId="7C27CF1A">
            <w:pPr>
              <w:spacing w:before="64" w:line="219" w:lineRule="auto"/>
              <w:ind w:left="500" w:right="102" w:hanging="399"/>
              <w:jc w:val="left"/>
              <w:rPr>
                <w:rFonts w:ascii="宋体" w:hAnsi="宋体" w:eastAsia="宋体" w:cs="宋体"/>
                <w:sz w:val="20"/>
                <w:szCs w:val="20"/>
              </w:rPr>
            </w:pPr>
            <w:r>
              <w:rPr>
                <w:rFonts w:ascii="宋体" w:hAnsi="宋体" w:eastAsia="宋体" w:cs="宋体"/>
                <w:spacing w:val="2"/>
                <w:sz w:val="20"/>
                <w:szCs w:val="20"/>
              </w:rPr>
              <w:t xml:space="preserve">经济效益指 </w:t>
            </w:r>
            <w:r>
              <w:rPr>
                <w:rFonts w:ascii="宋体" w:hAnsi="宋体" w:eastAsia="宋体" w:cs="宋体"/>
                <w:sz w:val="20"/>
                <w:szCs w:val="20"/>
              </w:rPr>
              <w:t>标</w:t>
            </w:r>
          </w:p>
        </w:tc>
        <w:tc>
          <w:tcPr>
            <w:tcW w:w="1019" w:type="dxa"/>
            <w:vAlign w:val="top"/>
          </w:tcPr>
          <w:p w14:paraId="39E5386A">
            <w:pPr>
              <w:pStyle w:val="10"/>
              <w:jc w:val="left"/>
              <w:rPr>
                <w:rFonts w:hint="eastAsia" w:eastAsia="宋体"/>
                <w:lang w:eastAsia="zh-CN"/>
              </w:rPr>
            </w:pPr>
            <w:r>
              <w:rPr>
                <w:rFonts w:hint="eastAsia" w:eastAsia="宋体"/>
                <w:lang w:eastAsia="zh-CN"/>
              </w:rPr>
              <w:t>推高财政资金使用效益</w:t>
            </w:r>
          </w:p>
        </w:tc>
        <w:tc>
          <w:tcPr>
            <w:tcW w:w="1089" w:type="dxa"/>
            <w:vAlign w:val="top"/>
          </w:tcPr>
          <w:p w14:paraId="62AE9FD7">
            <w:pPr>
              <w:pStyle w:val="10"/>
              <w:jc w:val="left"/>
              <w:rPr>
                <w:rFonts w:hint="default" w:eastAsia="宋体"/>
                <w:lang w:val="en-US" w:eastAsia="zh-CN"/>
              </w:rPr>
            </w:pPr>
            <w:r>
              <w:rPr>
                <w:rFonts w:hint="eastAsia" w:eastAsia="宋体"/>
                <w:lang w:val="en-US" w:eastAsia="zh-CN"/>
              </w:rPr>
              <w:t>90</w:t>
            </w:r>
          </w:p>
        </w:tc>
        <w:tc>
          <w:tcPr>
            <w:tcW w:w="1079" w:type="dxa"/>
            <w:vAlign w:val="top"/>
          </w:tcPr>
          <w:p w14:paraId="3F3BE5EB">
            <w:pPr>
              <w:pStyle w:val="10"/>
              <w:jc w:val="left"/>
              <w:rPr>
                <w:rFonts w:hint="default" w:eastAsia="宋体"/>
                <w:lang w:val="en-US" w:eastAsia="zh-CN"/>
              </w:rPr>
            </w:pPr>
            <w:r>
              <w:rPr>
                <w:rFonts w:hint="eastAsia" w:eastAsia="宋体"/>
                <w:lang w:val="en-US" w:eastAsia="zh-CN"/>
              </w:rPr>
              <w:t>90</w:t>
            </w:r>
          </w:p>
        </w:tc>
        <w:tc>
          <w:tcPr>
            <w:tcW w:w="799" w:type="dxa"/>
            <w:vAlign w:val="top"/>
          </w:tcPr>
          <w:p w14:paraId="6E6744F5">
            <w:pPr>
              <w:pStyle w:val="10"/>
              <w:jc w:val="left"/>
              <w:rPr>
                <w:rFonts w:hint="default" w:eastAsia="宋体"/>
                <w:lang w:val="en-US" w:eastAsia="zh-CN"/>
              </w:rPr>
            </w:pPr>
            <w:r>
              <w:rPr>
                <w:rFonts w:hint="eastAsia" w:eastAsia="宋体"/>
                <w:lang w:val="en-US" w:eastAsia="zh-CN"/>
              </w:rPr>
              <w:t>10</w:t>
            </w:r>
          </w:p>
        </w:tc>
        <w:tc>
          <w:tcPr>
            <w:tcW w:w="829" w:type="dxa"/>
            <w:vAlign w:val="top"/>
          </w:tcPr>
          <w:p w14:paraId="0B9E5CE0">
            <w:pPr>
              <w:pStyle w:val="10"/>
              <w:jc w:val="left"/>
              <w:rPr>
                <w:rFonts w:hint="eastAsia" w:eastAsia="宋体"/>
                <w:lang w:val="en-US" w:eastAsia="zh-CN"/>
              </w:rPr>
            </w:pPr>
            <w:r>
              <w:rPr>
                <w:rFonts w:hint="eastAsia" w:eastAsia="宋体"/>
                <w:lang w:val="en-US" w:eastAsia="zh-CN"/>
              </w:rPr>
              <w:t>9</w:t>
            </w:r>
          </w:p>
        </w:tc>
        <w:tc>
          <w:tcPr>
            <w:tcW w:w="1323" w:type="dxa"/>
            <w:vAlign w:val="top"/>
          </w:tcPr>
          <w:p w14:paraId="41AE2BCA">
            <w:pPr>
              <w:pStyle w:val="10"/>
              <w:jc w:val="left"/>
            </w:pPr>
          </w:p>
        </w:tc>
      </w:tr>
      <w:tr w14:paraId="591B47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05F2B545">
            <w:pPr>
              <w:pStyle w:val="10"/>
              <w:jc w:val="left"/>
            </w:pPr>
          </w:p>
        </w:tc>
        <w:tc>
          <w:tcPr>
            <w:tcW w:w="1039" w:type="dxa"/>
            <w:vMerge w:val="continue"/>
            <w:tcBorders>
              <w:top w:val="nil"/>
              <w:bottom w:val="nil"/>
            </w:tcBorders>
            <w:vAlign w:val="top"/>
          </w:tcPr>
          <w:p w14:paraId="0A1BA507">
            <w:pPr>
              <w:pStyle w:val="10"/>
              <w:jc w:val="left"/>
            </w:pPr>
          </w:p>
        </w:tc>
        <w:tc>
          <w:tcPr>
            <w:tcW w:w="1228" w:type="dxa"/>
            <w:vMerge w:val="continue"/>
            <w:tcBorders>
              <w:top w:val="nil"/>
            </w:tcBorders>
            <w:vAlign w:val="top"/>
          </w:tcPr>
          <w:p w14:paraId="2B5625F3">
            <w:pPr>
              <w:pStyle w:val="10"/>
              <w:jc w:val="left"/>
            </w:pPr>
          </w:p>
        </w:tc>
        <w:tc>
          <w:tcPr>
            <w:tcW w:w="1019" w:type="dxa"/>
            <w:vAlign w:val="top"/>
          </w:tcPr>
          <w:p w14:paraId="3600D584">
            <w:pPr>
              <w:pStyle w:val="10"/>
              <w:jc w:val="left"/>
            </w:pPr>
          </w:p>
        </w:tc>
        <w:tc>
          <w:tcPr>
            <w:tcW w:w="1089" w:type="dxa"/>
            <w:vAlign w:val="top"/>
          </w:tcPr>
          <w:p w14:paraId="79F23102">
            <w:pPr>
              <w:pStyle w:val="10"/>
              <w:jc w:val="left"/>
            </w:pPr>
          </w:p>
        </w:tc>
        <w:tc>
          <w:tcPr>
            <w:tcW w:w="1079" w:type="dxa"/>
            <w:vAlign w:val="top"/>
          </w:tcPr>
          <w:p w14:paraId="7D535919">
            <w:pPr>
              <w:pStyle w:val="10"/>
              <w:jc w:val="left"/>
            </w:pPr>
          </w:p>
        </w:tc>
        <w:tc>
          <w:tcPr>
            <w:tcW w:w="799" w:type="dxa"/>
            <w:vAlign w:val="top"/>
          </w:tcPr>
          <w:p w14:paraId="71E3C682">
            <w:pPr>
              <w:pStyle w:val="10"/>
              <w:jc w:val="left"/>
            </w:pPr>
          </w:p>
        </w:tc>
        <w:tc>
          <w:tcPr>
            <w:tcW w:w="829" w:type="dxa"/>
            <w:vAlign w:val="top"/>
          </w:tcPr>
          <w:p w14:paraId="6DE065D7">
            <w:pPr>
              <w:pStyle w:val="10"/>
              <w:jc w:val="left"/>
            </w:pPr>
          </w:p>
        </w:tc>
        <w:tc>
          <w:tcPr>
            <w:tcW w:w="1323" w:type="dxa"/>
            <w:vAlign w:val="top"/>
          </w:tcPr>
          <w:p w14:paraId="25A335F3">
            <w:pPr>
              <w:pStyle w:val="10"/>
              <w:jc w:val="left"/>
            </w:pPr>
          </w:p>
        </w:tc>
      </w:tr>
      <w:tr w14:paraId="0D850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0" w:hRule="atLeast"/>
        </w:trPr>
        <w:tc>
          <w:tcPr>
            <w:tcW w:w="1044" w:type="dxa"/>
            <w:vMerge w:val="continue"/>
            <w:tcBorders>
              <w:top w:val="nil"/>
              <w:bottom w:val="nil"/>
            </w:tcBorders>
            <w:textDirection w:val="tbRlV"/>
            <w:vAlign w:val="top"/>
          </w:tcPr>
          <w:p w14:paraId="27A5FA8D">
            <w:pPr>
              <w:pStyle w:val="10"/>
              <w:jc w:val="left"/>
            </w:pPr>
          </w:p>
        </w:tc>
        <w:tc>
          <w:tcPr>
            <w:tcW w:w="1039" w:type="dxa"/>
            <w:vMerge w:val="continue"/>
            <w:tcBorders>
              <w:top w:val="nil"/>
              <w:bottom w:val="nil"/>
            </w:tcBorders>
            <w:vAlign w:val="top"/>
          </w:tcPr>
          <w:p w14:paraId="1F4BC9BC">
            <w:pPr>
              <w:pStyle w:val="10"/>
              <w:jc w:val="left"/>
            </w:pPr>
          </w:p>
        </w:tc>
        <w:tc>
          <w:tcPr>
            <w:tcW w:w="1228" w:type="dxa"/>
            <w:vMerge w:val="restart"/>
            <w:tcBorders>
              <w:bottom w:val="nil"/>
            </w:tcBorders>
            <w:vAlign w:val="top"/>
          </w:tcPr>
          <w:p w14:paraId="0497F356">
            <w:pPr>
              <w:spacing w:before="45" w:line="233" w:lineRule="auto"/>
              <w:ind w:left="500" w:right="102" w:hanging="399"/>
              <w:jc w:val="left"/>
              <w:rPr>
                <w:rFonts w:ascii="宋体" w:hAnsi="宋体" w:eastAsia="宋体" w:cs="宋体"/>
                <w:sz w:val="20"/>
                <w:szCs w:val="20"/>
              </w:rPr>
            </w:pPr>
            <w:r>
              <w:rPr>
                <w:rFonts w:ascii="宋体" w:hAnsi="宋体" w:eastAsia="宋体" w:cs="宋体"/>
                <w:spacing w:val="2"/>
                <w:sz w:val="20"/>
                <w:szCs w:val="20"/>
              </w:rPr>
              <w:t xml:space="preserve">社会效益指 </w:t>
            </w:r>
            <w:r>
              <w:rPr>
                <w:rFonts w:ascii="宋体" w:hAnsi="宋体" w:eastAsia="宋体" w:cs="宋体"/>
                <w:sz w:val="20"/>
                <w:szCs w:val="20"/>
              </w:rPr>
              <w:t>标</w:t>
            </w:r>
          </w:p>
        </w:tc>
        <w:tc>
          <w:tcPr>
            <w:tcW w:w="1019" w:type="dxa"/>
            <w:vAlign w:val="top"/>
          </w:tcPr>
          <w:p w14:paraId="3CF32B9A">
            <w:pPr>
              <w:pStyle w:val="10"/>
              <w:jc w:val="left"/>
              <w:rPr>
                <w:rFonts w:hint="eastAsia" w:eastAsia="宋体"/>
                <w:lang w:eastAsia="zh-CN"/>
              </w:rPr>
            </w:pPr>
            <w:r>
              <w:rPr>
                <w:rFonts w:hint="eastAsia" w:eastAsia="宋体"/>
                <w:lang w:eastAsia="zh-CN"/>
              </w:rPr>
              <w:t>优化资源配置，维护社会稳定</w:t>
            </w:r>
          </w:p>
        </w:tc>
        <w:tc>
          <w:tcPr>
            <w:tcW w:w="1089" w:type="dxa"/>
            <w:vAlign w:val="top"/>
          </w:tcPr>
          <w:p w14:paraId="641C11F2">
            <w:pPr>
              <w:pStyle w:val="10"/>
              <w:jc w:val="left"/>
              <w:rPr>
                <w:rFonts w:hint="default" w:eastAsia="宋体"/>
                <w:lang w:val="en-US" w:eastAsia="zh-CN"/>
              </w:rPr>
            </w:pPr>
            <w:r>
              <w:rPr>
                <w:rFonts w:hint="eastAsia" w:eastAsia="宋体"/>
                <w:lang w:val="en-US" w:eastAsia="zh-CN"/>
              </w:rPr>
              <w:t>90</w:t>
            </w:r>
          </w:p>
        </w:tc>
        <w:tc>
          <w:tcPr>
            <w:tcW w:w="1079" w:type="dxa"/>
            <w:vAlign w:val="top"/>
          </w:tcPr>
          <w:p w14:paraId="320DA65E">
            <w:pPr>
              <w:pStyle w:val="10"/>
              <w:jc w:val="left"/>
              <w:rPr>
                <w:rFonts w:hint="default" w:eastAsia="宋体"/>
                <w:lang w:val="en-US" w:eastAsia="zh-CN"/>
              </w:rPr>
            </w:pPr>
            <w:r>
              <w:rPr>
                <w:rFonts w:hint="eastAsia" w:eastAsia="宋体"/>
                <w:lang w:val="en-US" w:eastAsia="zh-CN"/>
              </w:rPr>
              <w:t>90</w:t>
            </w:r>
          </w:p>
        </w:tc>
        <w:tc>
          <w:tcPr>
            <w:tcW w:w="799" w:type="dxa"/>
            <w:vAlign w:val="top"/>
          </w:tcPr>
          <w:p w14:paraId="1FDB3B24">
            <w:pPr>
              <w:pStyle w:val="10"/>
              <w:jc w:val="left"/>
              <w:rPr>
                <w:rFonts w:hint="default" w:eastAsia="宋体"/>
                <w:lang w:val="en-US" w:eastAsia="zh-CN"/>
              </w:rPr>
            </w:pPr>
            <w:r>
              <w:rPr>
                <w:rFonts w:hint="eastAsia" w:eastAsia="宋体"/>
                <w:lang w:val="en-US" w:eastAsia="zh-CN"/>
              </w:rPr>
              <w:t>10</w:t>
            </w:r>
          </w:p>
        </w:tc>
        <w:tc>
          <w:tcPr>
            <w:tcW w:w="829" w:type="dxa"/>
            <w:vAlign w:val="top"/>
          </w:tcPr>
          <w:p w14:paraId="1D35324F">
            <w:pPr>
              <w:pStyle w:val="10"/>
              <w:jc w:val="left"/>
              <w:rPr>
                <w:rFonts w:hint="default" w:eastAsia="宋体"/>
                <w:lang w:val="en-US" w:eastAsia="zh-CN"/>
              </w:rPr>
            </w:pPr>
            <w:r>
              <w:rPr>
                <w:rFonts w:hint="eastAsia" w:eastAsia="宋体"/>
                <w:lang w:val="en-US" w:eastAsia="zh-CN"/>
              </w:rPr>
              <w:t>10</w:t>
            </w:r>
          </w:p>
        </w:tc>
        <w:tc>
          <w:tcPr>
            <w:tcW w:w="1323" w:type="dxa"/>
            <w:vAlign w:val="top"/>
          </w:tcPr>
          <w:p w14:paraId="3CB829FE">
            <w:pPr>
              <w:pStyle w:val="10"/>
              <w:jc w:val="left"/>
            </w:pPr>
          </w:p>
        </w:tc>
      </w:tr>
      <w:tr w14:paraId="095A70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0DE49FFE">
            <w:pPr>
              <w:pStyle w:val="10"/>
              <w:jc w:val="left"/>
            </w:pPr>
          </w:p>
        </w:tc>
        <w:tc>
          <w:tcPr>
            <w:tcW w:w="1039" w:type="dxa"/>
            <w:vMerge w:val="continue"/>
            <w:tcBorders>
              <w:top w:val="nil"/>
              <w:bottom w:val="nil"/>
            </w:tcBorders>
            <w:vAlign w:val="top"/>
          </w:tcPr>
          <w:p w14:paraId="42FE047A">
            <w:pPr>
              <w:pStyle w:val="10"/>
              <w:jc w:val="left"/>
            </w:pPr>
          </w:p>
        </w:tc>
        <w:tc>
          <w:tcPr>
            <w:tcW w:w="1228" w:type="dxa"/>
            <w:vMerge w:val="continue"/>
            <w:tcBorders>
              <w:top w:val="nil"/>
            </w:tcBorders>
            <w:vAlign w:val="top"/>
          </w:tcPr>
          <w:p w14:paraId="003A23CD">
            <w:pPr>
              <w:pStyle w:val="10"/>
              <w:jc w:val="left"/>
            </w:pPr>
          </w:p>
        </w:tc>
        <w:tc>
          <w:tcPr>
            <w:tcW w:w="1019" w:type="dxa"/>
            <w:vAlign w:val="top"/>
          </w:tcPr>
          <w:p w14:paraId="4A0AAB51">
            <w:pPr>
              <w:pStyle w:val="10"/>
              <w:jc w:val="left"/>
            </w:pPr>
          </w:p>
        </w:tc>
        <w:tc>
          <w:tcPr>
            <w:tcW w:w="1089" w:type="dxa"/>
            <w:vAlign w:val="top"/>
          </w:tcPr>
          <w:p w14:paraId="4497F7D8">
            <w:pPr>
              <w:pStyle w:val="10"/>
              <w:jc w:val="left"/>
            </w:pPr>
          </w:p>
        </w:tc>
        <w:tc>
          <w:tcPr>
            <w:tcW w:w="1079" w:type="dxa"/>
            <w:vAlign w:val="top"/>
          </w:tcPr>
          <w:p w14:paraId="7067CC3A">
            <w:pPr>
              <w:pStyle w:val="10"/>
              <w:jc w:val="left"/>
            </w:pPr>
          </w:p>
        </w:tc>
        <w:tc>
          <w:tcPr>
            <w:tcW w:w="799" w:type="dxa"/>
            <w:vAlign w:val="top"/>
          </w:tcPr>
          <w:p w14:paraId="41FD4A22">
            <w:pPr>
              <w:pStyle w:val="10"/>
              <w:jc w:val="left"/>
            </w:pPr>
          </w:p>
        </w:tc>
        <w:tc>
          <w:tcPr>
            <w:tcW w:w="829" w:type="dxa"/>
            <w:vAlign w:val="top"/>
          </w:tcPr>
          <w:p w14:paraId="0F1B6E59">
            <w:pPr>
              <w:pStyle w:val="10"/>
              <w:jc w:val="left"/>
            </w:pPr>
          </w:p>
        </w:tc>
        <w:tc>
          <w:tcPr>
            <w:tcW w:w="1323" w:type="dxa"/>
            <w:vAlign w:val="top"/>
          </w:tcPr>
          <w:p w14:paraId="5C360ABC">
            <w:pPr>
              <w:pStyle w:val="10"/>
              <w:jc w:val="left"/>
            </w:pPr>
          </w:p>
        </w:tc>
      </w:tr>
      <w:tr w14:paraId="480985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5A566E50">
            <w:pPr>
              <w:pStyle w:val="10"/>
              <w:jc w:val="left"/>
            </w:pPr>
          </w:p>
        </w:tc>
        <w:tc>
          <w:tcPr>
            <w:tcW w:w="1039" w:type="dxa"/>
            <w:vMerge w:val="continue"/>
            <w:tcBorders>
              <w:top w:val="nil"/>
              <w:bottom w:val="nil"/>
            </w:tcBorders>
            <w:vAlign w:val="top"/>
          </w:tcPr>
          <w:p w14:paraId="0050F4BF">
            <w:pPr>
              <w:pStyle w:val="10"/>
              <w:jc w:val="left"/>
            </w:pPr>
          </w:p>
        </w:tc>
        <w:tc>
          <w:tcPr>
            <w:tcW w:w="1228" w:type="dxa"/>
            <w:vMerge w:val="restart"/>
            <w:tcBorders>
              <w:bottom w:val="nil"/>
            </w:tcBorders>
            <w:vAlign w:val="top"/>
          </w:tcPr>
          <w:p w14:paraId="33B82535">
            <w:pPr>
              <w:spacing w:before="46" w:line="225" w:lineRule="auto"/>
              <w:ind w:left="500" w:right="102" w:hanging="399"/>
              <w:jc w:val="left"/>
              <w:rPr>
                <w:rFonts w:ascii="宋体" w:hAnsi="宋体" w:eastAsia="宋体" w:cs="宋体"/>
                <w:sz w:val="20"/>
                <w:szCs w:val="20"/>
              </w:rPr>
            </w:pPr>
            <w:r>
              <w:rPr>
                <w:rFonts w:ascii="宋体" w:hAnsi="宋体" w:eastAsia="宋体" w:cs="宋体"/>
                <w:spacing w:val="2"/>
                <w:sz w:val="20"/>
                <w:szCs w:val="20"/>
              </w:rPr>
              <w:t xml:space="preserve">生态效益指 </w:t>
            </w:r>
            <w:r>
              <w:rPr>
                <w:rFonts w:ascii="宋体" w:hAnsi="宋体" w:eastAsia="宋体" w:cs="宋体"/>
                <w:sz w:val="20"/>
                <w:szCs w:val="20"/>
              </w:rPr>
              <w:t>标</w:t>
            </w:r>
          </w:p>
        </w:tc>
        <w:tc>
          <w:tcPr>
            <w:tcW w:w="1019" w:type="dxa"/>
            <w:vAlign w:val="top"/>
          </w:tcPr>
          <w:p w14:paraId="39BC9068">
            <w:pPr>
              <w:pStyle w:val="10"/>
              <w:jc w:val="left"/>
            </w:pPr>
          </w:p>
        </w:tc>
        <w:tc>
          <w:tcPr>
            <w:tcW w:w="1089" w:type="dxa"/>
            <w:vAlign w:val="top"/>
          </w:tcPr>
          <w:p w14:paraId="5DDC4A1E">
            <w:pPr>
              <w:pStyle w:val="10"/>
              <w:jc w:val="left"/>
            </w:pPr>
          </w:p>
        </w:tc>
        <w:tc>
          <w:tcPr>
            <w:tcW w:w="1079" w:type="dxa"/>
            <w:vAlign w:val="top"/>
          </w:tcPr>
          <w:p w14:paraId="3236D0BE">
            <w:pPr>
              <w:pStyle w:val="10"/>
              <w:jc w:val="left"/>
            </w:pPr>
          </w:p>
        </w:tc>
        <w:tc>
          <w:tcPr>
            <w:tcW w:w="799" w:type="dxa"/>
            <w:vAlign w:val="top"/>
          </w:tcPr>
          <w:p w14:paraId="1A9F491A">
            <w:pPr>
              <w:pStyle w:val="10"/>
              <w:jc w:val="left"/>
            </w:pPr>
          </w:p>
        </w:tc>
        <w:tc>
          <w:tcPr>
            <w:tcW w:w="829" w:type="dxa"/>
            <w:vAlign w:val="top"/>
          </w:tcPr>
          <w:p w14:paraId="05FB547E">
            <w:pPr>
              <w:pStyle w:val="10"/>
              <w:jc w:val="left"/>
            </w:pPr>
          </w:p>
        </w:tc>
        <w:tc>
          <w:tcPr>
            <w:tcW w:w="1323" w:type="dxa"/>
            <w:vAlign w:val="top"/>
          </w:tcPr>
          <w:p w14:paraId="7AA33BD1">
            <w:pPr>
              <w:pStyle w:val="10"/>
              <w:jc w:val="left"/>
            </w:pPr>
          </w:p>
        </w:tc>
      </w:tr>
      <w:tr w14:paraId="5D2E67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 w:hRule="atLeast"/>
        </w:trPr>
        <w:tc>
          <w:tcPr>
            <w:tcW w:w="1044" w:type="dxa"/>
            <w:vMerge w:val="continue"/>
            <w:tcBorders>
              <w:top w:val="nil"/>
              <w:bottom w:val="nil"/>
            </w:tcBorders>
            <w:textDirection w:val="tbRlV"/>
            <w:vAlign w:val="top"/>
          </w:tcPr>
          <w:p w14:paraId="5EA8DF87">
            <w:pPr>
              <w:pStyle w:val="10"/>
              <w:jc w:val="left"/>
            </w:pPr>
          </w:p>
        </w:tc>
        <w:tc>
          <w:tcPr>
            <w:tcW w:w="1039" w:type="dxa"/>
            <w:vMerge w:val="continue"/>
            <w:tcBorders>
              <w:top w:val="nil"/>
              <w:bottom w:val="nil"/>
            </w:tcBorders>
            <w:vAlign w:val="top"/>
          </w:tcPr>
          <w:p w14:paraId="5F44AF3F">
            <w:pPr>
              <w:pStyle w:val="10"/>
              <w:jc w:val="left"/>
            </w:pPr>
          </w:p>
        </w:tc>
        <w:tc>
          <w:tcPr>
            <w:tcW w:w="1228" w:type="dxa"/>
            <w:vMerge w:val="continue"/>
            <w:tcBorders>
              <w:top w:val="nil"/>
            </w:tcBorders>
            <w:vAlign w:val="top"/>
          </w:tcPr>
          <w:p w14:paraId="388E2757">
            <w:pPr>
              <w:pStyle w:val="10"/>
              <w:jc w:val="left"/>
            </w:pPr>
          </w:p>
        </w:tc>
        <w:tc>
          <w:tcPr>
            <w:tcW w:w="1019" w:type="dxa"/>
            <w:vAlign w:val="top"/>
          </w:tcPr>
          <w:p w14:paraId="3037349C">
            <w:pPr>
              <w:pStyle w:val="10"/>
              <w:jc w:val="left"/>
            </w:pPr>
          </w:p>
        </w:tc>
        <w:tc>
          <w:tcPr>
            <w:tcW w:w="1089" w:type="dxa"/>
            <w:vAlign w:val="top"/>
          </w:tcPr>
          <w:p w14:paraId="56903D43">
            <w:pPr>
              <w:pStyle w:val="10"/>
              <w:jc w:val="left"/>
            </w:pPr>
          </w:p>
        </w:tc>
        <w:tc>
          <w:tcPr>
            <w:tcW w:w="1079" w:type="dxa"/>
            <w:vAlign w:val="top"/>
          </w:tcPr>
          <w:p w14:paraId="7A4E45B4">
            <w:pPr>
              <w:pStyle w:val="10"/>
              <w:jc w:val="left"/>
            </w:pPr>
          </w:p>
        </w:tc>
        <w:tc>
          <w:tcPr>
            <w:tcW w:w="799" w:type="dxa"/>
            <w:vAlign w:val="top"/>
          </w:tcPr>
          <w:p w14:paraId="180CC6FF">
            <w:pPr>
              <w:pStyle w:val="10"/>
              <w:jc w:val="left"/>
            </w:pPr>
          </w:p>
        </w:tc>
        <w:tc>
          <w:tcPr>
            <w:tcW w:w="829" w:type="dxa"/>
            <w:vAlign w:val="top"/>
          </w:tcPr>
          <w:p w14:paraId="73186B16">
            <w:pPr>
              <w:pStyle w:val="10"/>
              <w:jc w:val="left"/>
            </w:pPr>
          </w:p>
        </w:tc>
        <w:tc>
          <w:tcPr>
            <w:tcW w:w="1323" w:type="dxa"/>
            <w:vAlign w:val="top"/>
          </w:tcPr>
          <w:p w14:paraId="24FC080C">
            <w:pPr>
              <w:pStyle w:val="10"/>
              <w:jc w:val="left"/>
            </w:pPr>
          </w:p>
        </w:tc>
      </w:tr>
      <w:tr w14:paraId="311293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044" w:type="dxa"/>
            <w:vMerge w:val="continue"/>
            <w:tcBorders>
              <w:top w:val="nil"/>
              <w:bottom w:val="nil"/>
            </w:tcBorders>
            <w:textDirection w:val="tbRlV"/>
            <w:vAlign w:val="top"/>
          </w:tcPr>
          <w:p w14:paraId="3565862C">
            <w:pPr>
              <w:pStyle w:val="10"/>
              <w:jc w:val="left"/>
            </w:pPr>
          </w:p>
        </w:tc>
        <w:tc>
          <w:tcPr>
            <w:tcW w:w="1039" w:type="dxa"/>
            <w:vMerge w:val="continue"/>
            <w:tcBorders>
              <w:top w:val="nil"/>
              <w:bottom w:val="nil"/>
            </w:tcBorders>
            <w:vAlign w:val="top"/>
          </w:tcPr>
          <w:p w14:paraId="5452E561">
            <w:pPr>
              <w:pStyle w:val="10"/>
              <w:jc w:val="left"/>
            </w:pPr>
          </w:p>
        </w:tc>
        <w:tc>
          <w:tcPr>
            <w:tcW w:w="1228" w:type="dxa"/>
            <w:vMerge w:val="restart"/>
            <w:tcBorders>
              <w:bottom w:val="nil"/>
            </w:tcBorders>
            <w:vAlign w:val="top"/>
          </w:tcPr>
          <w:p w14:paraId="00056CEB">
            <w:pPr>
              <w:spacing w:before="46" w:line="230" w:lineRule="auto"/>
              <w:ind w:left="400" w:right="99" w:hanging="299"/>
              <w:jc w:val="left"/>
              <w:rPr>
                <w:rFonts w:ascii="宋体" w:hAnsi="宋体" w:eastAsia="宋体" w:cs="宋体"/>
                <w:sz w:val="20"/>
                <w:szCs w:val="20"/>
              </w:rPr>
            </w:pPr>
            <w:r>
              <w:rPr>
                <w:rFonts w:ascii="宋体" w:hAnsi="宋体" w:eastAsia="宋体" w:cs="宋体"/>
                <w:spacing w:val="3"/>
                <w:sz w:val="20"/>
                <w:szCs w:val="20"/>
              </w:rPr>
              <w:t>可持续影响</w:t>
            </w:r>
            <w:r>
              <w:rPr>
                <w:rFonts w:ascii="宋体" w:hAnsi="宋体" w:eastAsia="宋体" w:cs="宋体"/>
                <w:sz w:val="20"/>
                <w:szCs w:val="20"/>
              </w:rPr>
              <w:t xml:space="preserve"> </w:t>
            </w:r>
            <w:r>
              <w:rPr>
                <w:rFonts w:ascii="宋体" w:hAnsi="宋体" w:eastAsia="宋体" w:cs="宋体"/>
                <w:spacing w:val="-3"/>
                <w:sz w:val="20"/>
                <w:szCs w:val="20"/>
              </w:rPr>
              <w:t>指标</w:t>
            </w:r>
          </w:p>
        </w:tc>
        <w:tc>
          <w:tcPr>
            <w:tcW w:w="1019" w:type="dxa"/>
            <w:vAlign w:val="top"/>
          </w:tcPr>
          <w:p w14:paraId="073C5680">
            <w:pPr>
              <w:pStyle w:val="10"/>
              <w:jc w:val="left"/>
              <w:rPr>
                <w:rFonts w:hint="eastAsia" w:eastAsia="宋体"/>
                <w:lang w:eastAsia="zh-CN"/>
              </w:rPr>
            </w:pPr>
            <w:r>
              <w:rPr>
                <w:rFonts w:hint="eastAsia" w:eastAsia="宋体"/>
                <w:lang w:eastAsia="zh-CN"/>
              </w:rPr>
              <w:t>加强全面从严治党，提升了政法队伍形象</w:t>
            </w:r>
          </w:p>
        </w:tc>
        <w:tc>
          <w:tcPr>
            <w:tcW w:w="1089" w:type="dxa"/>
            <w:vAlign w:val="top"/>
          </w:tcPr>
          <w:p w14:paraId="1FA125FE">
            <w:pPr>
              <w:pStyle w:val="10"/>
              <w:jc w:val="left"/>
              <w:rPr>
                <w:rFonts w:hint="default" w:eastAsia="宋体"/>
                <w:lang w:val="en-US" w:eastAsia="zh-CN"/>
              </w:rPr>
            </w:pPr>
            <w:r>
              <w:rPr>
                <w:rFonts w:hint="eastAsia" w:eastAsia="宋体"/>
                <w:lang w:val="en-US" w:eastAsia="zh-CN"/>
              </w:rPr>
              <w:t>90</w:t>
            </w:r>
          </w:p>
        </w:tc>
        <w:tc>
          <w:tcPr>
            <w:tcW w:w="1079" w:type="dxa"/>
            <w:vAlign w:val="top"/>
          </w:tcPr>
          <w:p w14:paraId="57D6E0D4">
            <w:pPr>
              <w:pStyle w:val="10"/>
              <w:jc w:val="left"/>
              <w:rPr>
                <w:rFonts w:hint="default" w:eastAsia="宋体"/>
                <w:lang w:val="en-US" w:eastAsia="zh-CN"/>
              </w:rPr>
            </w:pPr>
            <w:r>
              <w:rPr>
                <w:rFonts w:hint="eastAsia" w:eastAsia="宋体"/>
                <w:lang w:val="en-US" w:eastAsia="zh-CN"/>
              </w:rPr>
              <w:t>90</w:t>
            </w:r>
          </w:p>
        </w:tc>
        <w:tc>
          <w:tcPr>
            <w:tcW w:w="799" w:type="dxa"/>
            <w:vAlign w:val="top"/>
          </w:tcPr>
          <w:p w14:paraId="5864B3A1">
            <w:pPr>
              <w:pStyle w:val="10"/>
              <w:jc w:val="left"/>
              <w:rPr>
                <w:rFonts w:hint="default" w:eastAsia="宋体"/>
                <w:lang w:val="en-US" w:eastAsia="zh-CN"/>
              </w:rPr>
            </w:pPr>
            <w:r>
              <w:rPr>
                <w:rFonts w:hint="eastAsia" w:eastAsia="宋体"/>
                <w:lang w:val="en-US" w:eastAsia="zh-CN"/>
              </w:rPr>
              <w:t>10</w:t>
            </w:r>
          </w:p>
        </w:tc>
        <w:tc>
          <w:tcPr>
            <w:tcW w:w="829" w:type="dxa"/>
            <w:vAlign w:val="top"/>
          </w:tcPr>
          <w:p w14:paraId="4FC12DCF">
            <w:pPr>
              <w:pStyle w:val="10"/>
              <w:jc w:val="left"/>
              <w:rPr>
                <w:rFonts w:hint="eastAsia" w:eastAsia="宋体"/>
                <w:lang w:val="en-US" w:eastAsia="zh-CN"/>
              </w:rPr>
            </w:pPr>
            <w:r>
              <w:rPr>
                <w:rFonts w:hint="eastAsia" w:eastAsia="宋体"/>
                <w:lang w:val="en-US" w:eastAsia="zh-CN"/>
              </w:rPr>
              <w:t>9</w:t>
            </w:r>
          </w:p>
        </w:tc>
        <w:tc>
          <w:tcPr>
            <w:tcW w:w="1323" w:type="dxa"/>
            <w:vAlign w:val="top"/>
          </w:tcPr>
          <w:p w14:paraId="293F3A29">
            <w:pPr>
              <w:pStyle w:val="10"/>
              <w:jc w:val="left"/>
            </w:pPr>
          </w:p>
        </w:tc>
      </w:tr>
      <w:tr w14:paraId="6105AE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3184CCE7">
            <w:pPr>
              <w:pStyle w:val="10"/>
              <w:jc w:val="left"/>
            </w:pPr>
          </w:p>
        </w:tc>
        <w:tc>
          <w:tcPr>
            <w:tcW w:w="1039" w:type="dxa"/>
            <w:vMerge w:val="continue"/>
            <w:tcBorders>
              <w:top w:val="nil"/>
            </w:tcBorders>
            <w:vAlign w:val="top"/>
          </w:tcPr>
          <w:p w14:paraId="738AE9FF">
            <w:pPr>
              <w:pStyle w:val="10"/>
              <w:jc w:val="left"/>
            </w:pPr>
          </w:p>
        </w:tc>
        <w:tc>
          <w:tcPr>
            <w:tcW w:w="1228" w:type="dxa"/>
            <w:vMerge w:val="continue"/>
            <w:tcBorders>
              <w:top w:val="nil"/>
            </w:tcBorders>
            <w:vAlign w:val="top"/>
          </w:tcPr>
          <w:p w14:paraId="6BF540BA">
            <w:pPr>
              <w:pStyle w:val="10"/>
              <w:jc w:val="left"/>
            </w:pPr>
          </w:p>
        </w:tc>
        <w:tc>
          <w:tcPr>
            <w:tcW w:w="1019" w:type="dxa"/>
            <w:vAlign w:val="top"/>
          </w:tcPr>
          <w:p w14:paraId="308CAA46">
            <w:pPr>
              <w:pStyle w:val="10"/>
              <w:jc w:val="left"/>
            </w:pPr>
          </w:p>
        </w:tc>
        <w:tc>
          <w:tcPr>
            <w:tcW w:w="1089" w:type="dxa"/>
            <w:vAlign w:val="top"/>
          </w:tcPr>
          <w:p w14:paraId="13353271">
            <w:pPr>
              <w:pStyle w:val="10"/>
              <w:jc w:val="left"/>
            </w:pPr>
          </w:p>
        </w:tc>
        <w:tc>
          <w:tcPr>
            <w:tcW w:w="1079" w:type="dxa"/>
            <w:vAlign w:val="top"/>
          </w:tcPr>
          <w:p w14:paraId="40E7AE3C">
            <w:pPr>
              <w:pStyle w:val="10"/>
              <w:jc w:val="left"/>
            </w:pPr>
          </w:p>
        </w:tc>
        <w:tc>
          <w:tcPr>
            <w:tcW w:w="799" w:type="dxa"/>
            <w:vAlign w:val="top"/>
          </w:tcPr>
          <w:p w14:paraId="3F8FA0F8">
            <w:pPr>
              <w:pStyle w:val="10"/>
              <w:jc w:val="left"/>
            </w:pPr>
          </w:p>
        </w:tc>
        <w:tc>
          <w:tcPr>
            <w:tcW w:w="829" w:type="dxa"/>
            <w:vAlign w:val="top"/>
          </w:tcPr>
          <w:p w14:paraId="2682E876">
            <w:pPr>
              <w:pStyle w:val="10"/>
              <w:jc w:val="left"/>
            </w:pPr>
          </w:p>
        </w:tc>
        <w:tc>
          <w:tcPr>
            <w:tcW w:w="1323" w:type="dxa"/>
            <w:vAlign w:val="top"/>
          </w:tcPr>
          <w:p w14:paraId="0FDB5E9E">
            <w:pPr>
              <w:pStyle w:val="10"/>
              <w:jc w:val="left"/>
            </w:pPr>
          </w:p>
        </w:tc>
      </w:tr>
      <w:tr w14:paraId="65AD85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bottom w:val="nil"/>
            </w:tcBorders>
            <w:textDirection w:val="tbRlV"/>
            <w:vAlign w:val="top"/>
          </w:tcPr>
          <w:p w14:paraId="42C6AFD5">
            <w:pPr>
              <w:pStyle w:val="10"/>
              <w:jc w:val="left"/>
            </w:pPr>
          </w:p>
        </w:tc>
        <w:tc>
          <w:tcPr>
            <w:tcW w:w="1039" w:type="dxa"/>
            <w:vMerge w:val="restart"/>
            <w:tcBorders>
              <w:bottom w:val="nil"/>
            </w:tcBorders>
            <w:vAlign w:val="top"/>
          </w:tcPr>
          <w:p w14:paraId="3A9AC959">
            <w:pPr>
              <w:spacing w:before="197" w:line="230" w:lineRule="auto"/>
              <w:ind w:left="111" w:right="74"/>
              <w:jc w:val="left"/>
              <w:rPr>
                <w:rFonts w:ascii="宋体" w:hAnsi="宋体" w:eastAsia="宋体" w:cs="宋体"/>
                <w:sz w:val="20"/>
                <w:szCs w:val="20"/>
              </w:rPr>
            </w:pPr>
            <w:r>
              <w:rPr>
                <w:rFonts w:ascii="宋体" w:hAnsi="宋体" w:eastAsia="宋体" w:cs="宋体"/>
                <w:spacing w:val="3"/>
                <w:sz w:val="20"/>
                <w:szCs w:val="20"/>
              </w:rPr>
              <w:t>满意度指</w:t>
            </w:r>
            <w:r>
              <w:rPr>
                <w:rFonts w:ascii="宋体" w:hAnsi="宋体" w:eastAsia="宋体" w:cs="宋体"/>
                <w:sz w:val="20"/>
                <w:szCs w:val="20"/>
              </w:rPr>
              <w:t xml:space="preserve"> </w:t>
            </w:r>
            <w:r>
              <w:rPr>
                <w:rFonts w:ascii="宋体" w:hAnsi="宋体" w:eastAsia="宋体" w:cs="宋体"/>
                <w:spacing w:val="7"/>
                <w:sz w:val="20"/>
                <w:szCs w:val="20"/>
              </w:rPr>
              <w:t>标(10分)</w:t>
            </w:r>
          </w:p>
        </w:tc>
        <w:tc>
          <w:tcPr>
            <w:tcW w:w="1228" w:type="dxa"/>
            <w:vMerge w:val="restart"/>
            <w:tcBorders>
              <w:bottom w:val="nil"/>
            </w:tcBorders>
            <w:vAlign w:val="top"/>
          </w:tcPr>
          <w:p w14:paraId="01E1B75D">
            <w:pPr>
              <w:spacing w:before="207" w:line="219" w:lineRule="auto"/>
              <w:ind w:left="101"/>
              <w:jc w:val="left"/>
              <w:rPr>
                <w:rFonts w:ascii="宋体" w:hAnsi="宋体" w:eastAsia="宋体" w:cs="宋体"/>
                <w:sz w:val="20"/>
                <w:szCs w:val="20"/>
              </w:rPr>
            </w:pPr>
            <w:r>
              <w:rPr>
                <w:rFonts w:ascii="宋体" w:hAnsi="宋体" w:eastAsia="宋体" w:cs="宋体"/>
                <w:spacing w:val="-2"/>
                <w:sz w:val="20"/>
                <w:szCs w:val="20"/>
              </w:rPr>
              <w:t>服务对象满</w:t>
            </w:r>
          </w:p>
          <w:p w14:paraId="0CACA97A">
            <w:pPr>
              <w:spacing w:before="23" w:line="220" w:lineRule="auto"/>
              <w:ind w:left="201"/>
              <w:jc w:val="left"/>
              <w:rPr>
                <w:rFonts w:ascii="宋体" w:hAnsi="宋体" w:eastAsia="宋体" w:cs="宋体"/>
                <w:sz w:val="20"/>
                <w:szCs w:val="20"/>
              </w:rPr>
            </w:pPr>
            <w:r>
              <w:rPr>
                <w:rFonts w:ascii="宋体" w:hAnsi="宋体" w:eastAsia="宋体" w:cs="宋体"/>
                <w:spacing w:val="1"/>
                <w:sz w:val="20"/>
                <w:szCs w:val="20"/>
              </w:rPr>
              <w:t>意度指标</w:t>
            </w:r>
          </w:p>
        </w:tc>
        <w:tc>
          <w:tcPr>
            <w:tcW w:w="1019" w:type="dxa"/>
            <w:vAlign w:val="top"/>
          </w:tcPr>
          <w:p w14:paraId="21E5C9D4">
            <w:pPr>
              <w:pStyle w:val="10"/>
              <w:jc w:val="left"/>
              <w:rPr>
                <w:rFonts w:hint="eastAsia" w:eastAsia="宋体"/>
                <w:lang w:eastAsia="zh-CN"/>
              </w:rPr>
            </w:pPr>
            <w:r>
              <w:rPr>
                <w:rFonts w:hint="eastAsia" w:eastAsia="宋体"/>
                <w:lang w:eastAsia="zh-CN"/>
              </w:rPr>
              <w:t>群众对政法机关执行力及满意度</w:t>
            </w:r>
          </w:p>
        </w:tc>
        <w:tc>
          <w:tcPr>
            <w:tcW w:w="1089" w:type="dxa"/>
            <w:vAlign w:val="top"/>
          </w:tcPr>
          <w:p w14:paraId="7FCD826F">
            <w:pPr>
              <w:pStyle w:val="10"/>
              <w:jc w:val="left"/>
              <w:rPr>
                <w:rFonts w:hint="default" w:eastAsia="宋体"/>
                <w:lang w:val="en-US" w:eastAsia="zh-CN"/>
              </w:rPr>
            </w:pPr>
            <w:r>
              <w:rPr>
                <w:rFonts w:hint="eastAsia" w:eastAsia="宋体"/>
                <w:lang w:val="en-US" w:eastAsia="zh-CN"/>
              </w:rPr>
              <w:t>90</w:t>
            </w:r>
          </w:p>
        </w:tc>
        <w:tc>
          <w:tcPr>
            <w:tcW w:w="1079" w:type="dxa"/>
            <w:vAlign w:val="top"/>
          </w:tcPr>
          <w:p w14:paraId="0A1C47ED">
            <w:pPr>
              <w:pStyle w:val="10"/>
              <w:jc w:val="left"/>
              <w:rPr>
                <w:rFonts w:hint="default" w:eastAsia="宋体"/>
                <w:lang w:val="en-US" w:eastAsia="zh-CN"/>
              </w:rPr>
            </w:pPr>
            <w:r>
              <w:rPr>
                <w:rFonts w:hint="eastAsia" w:eastAsia="宋体"/>
                <w:lang w:val="en-US" w:eastAsia="zh-CN"/>
              </w:rPr>
              <w:t>90</w:t>
            </w:r>
          </w:p>
        </w:tc>
        <w:tc>
          <w:tcPr>
            <w:tcW w:w="799" w:type="dxa"/>
            <w:vAlign w:val="top"/>
          </w:tcPr>
          <w:p w14:paraId="4B6659B9">
            <w:pPr>
              <w:pStyle w:val="10"/>
              <w:jc w:val="left"/>
              <w:rPr>
                <w:rFonts w:hint="default" w:eastAsia="宋体"/>
                <w:lang w:val="en-US" w:eastAsia="zh-CN"/>
              </w:rPr>
            </w:pPr>
            <w:r>
              <w:rPr>
                <w:rFonts w:hint="eastAsia" w:eastAsia="宋体"/>
                <w:lang w:val="en-US" w:eastAsia="zh-CN"/>
              </w:rPr>
              <w:t>10</w:t>
            </w:r>
          </w:p>
        </w:tc>
        <w:tc>
          <w:tcPr>
            <w:tcW w:w="829" w:type="dxa"/>
            <w:vAlign w:val="top"/>
          </w:tcPr>
          <w:p w14:paraId="52CB84A9">
            <w:pPr>
              <w:pStyle w:val="10"/>
              <w:jc w:val="left"/>
              <w:rPr>
                <w:rFonts w:hint="default" w:eastAsia="宋体"/>
                <w:lang w:val="en-US" w:eastAsia="zh-CN"/>
              </w:rPr>
            </w:pPr>
            <w:r>
              <w:rPr>
                <w:rFonts w:hint="eastAsia" w:eastAsia="宋体"/>
                <w:lang w:val="en-US" w:eastAsia="zh-CN"/>
              </w:rPr>
              <w:t>10</w:t>
            </w:r>
          </w:p>
        </w:tc>
        <w:tc>
          <w:tcPr>
            <w:tcW w:w="1323" w:type="dxa"/>
            <w:vAlign w:val="top"/>
          </w:tcPr>
          <w:p w14:paraId="14C62F0C">
            <w:pPr>
              <w:pStyle w:val="10"/>
              <w:jc w:val="left"/>
            </w:pPr>
          </w:p>
        </w:tc>
      </w:tr>
      <w:tr w14:paraId="0AAC2E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9" w:hRule="atLeast"/>
        </w:trPr>
        <w:tc>
          <w:tcPr>
            <w:tcW w:w="1044" w:type="dxa"/>
            <w:vMerge w:val="continue"/>
            <w:tcBorders>
              <w:top w:val="nil"/>
              <w:bottom w:val="nil"/>
            </w:tcBorders>
            <w:textDirection w:val="tbRlV"/>
            <w:vAlign w:val="top"/>
          </w:tcPr>
          <w:p w14:paraId="28A345E7">
            <w:pPr>
              <w:pStyle w:val="10"/>
              <w:jc w:val="left"/>
            </w:pPr>
          </w:p>
        </w:tc>
        <w:tc>
          <w:tcPr>
            <w:tcW w:w="1039" w:type="dxa"/>
            <w:vMerge w:val="continue"/>
            <w:tcBorders>
              <w:top w:val="nil"/>
              <w:bottom w:val="nil"/>
            </w:tcBorders>
            <w:vAlign w:val="top"/>
          </w:tcPr>
          <w:p w14:paraId="3FF2E5BE">
            <w:pPr>
              <w:pStyle w:val="10"/>
              <w:jc w:val="left"/>
            </w:pPr>
          </w:p>
        </w:tc>
        <w:tc>
          <w:tcPr>
            <w:tcW w:w="1228" w:type="dxa"/>
            <w:vMerge w:val="continue"/>
            <w:tcBorders>
              <w:top w:val="nil"/>
              <w:bottom w:val="nil"/>
            </w:tcBorders>
            <w:vAlign w:val="top"/>
          </w:tcPr>
          <w:p w14:paraId="2EEF7455">
            <w:pPr>
              <w:pStyle w:val="10"/>
              <w:jc w:val="left"/>
            </w:pPr>
          </w:p>
        </w:tc>
        <w:tc>
          <w:tcPr>
            <w:tcW w:w="1019" w:type="dxa"/>
            <w:vAlign w:val="top"/>
          </w:tcPr>
          <w:p w14:paraId="35EB3213">
            <w:pPr>
              <w:pStyle w:val="10"/>
              <w:jc w:val="left"/>
            </w:pPr>
          </w:p>
        </w:tc>
        <w:tc>
          <w:tcPr>
            <w:tcW w:w="1089" w:type="dxa"/>
            <w:vAlign w:val="top"/>
          </w:tcPr>
          <w:p w14:paraId="65EEF5E4">
            <w:pPr>
              <w:pStyle w:val="10"/>
              <w:jc w:val="left"/>
            </w:pPr>
          </w:p>
        </w:tc>
        <w:tc>
          <w:tcPr>
            <w:tcW w:w="1079" w:type="dxa"/>
            <w:vAlign w:val="top"/>
          </w:tcPr>
          <w:p w14:paraId="361ECA75">
            <w:pPr>
              <w:pStyle w:val="10"/>
              <w:jc w:val="left"/>
            </w:pPr>
          </w:p>
        </w:tc>
        <w:tc>
          <w:tcPr>
            <w:tcW w:w="799" w:type="dxa"/>
            <w:vAlign w:val="top"/>
          </w:tcPr>
          <w:p w14:paraId="1CBD3895">
            <w:pPr>
              <w:pStyle w:val="10"/>
              <w:jc w:val="left"/>
            </w:pPr>
          </w:p>
        </w:tc>
        <w:tc>
          <w:tcPr>
            <w:tcW w:w="829" w:type="dxa"/>
            <w:vAlign w:val="top"/>
          </w:tcPr>
          <w:p w14:paraId="5997A7C9">
            <w:pPr>
              <w:pStyle w:val="10"/>
              <w:jc w:val="left"/>
            </w:pPr>
          </w:p>
        </w:tc>
        <w:tc>
          <w:tcPr>
            <w:tcW w:w="1323" w:type="dxa"/>
            <w:vAlign w:val="top"/>
          </w:tcPr>
          <w:p w14:paraId="3AD441AD">
            <w:pPr>
              <w:pStyle w:val="10"/>
              <w:jc w:val="left"/>
            </w:pPr>
          </w:p>
        </w:tc>
      </w:tr>
      <w:tr w14:paraId="17DAB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44" w:type="dxa"/>
            <w:vMerge w:val="continue"/>
            <w:tcBorders>
              <w:top w:val="nil"/>
            </w:tcBorders>
            <w:textDirection w:val="tbRlV"/>
            <w:vAlign w:val="top"/>
          </w:tcPr>
          <w:p w14:paraId="77CD5428">
            <w:pPr>
              <w:pStyle w:val="10"/>
              <w:jc w:val="left"/>
            </w:pPr>
          </w:p>
        </w:tc>
        <w:tc>
          <w:tcPr>
            <w:tcW w:w="1039" w:type="dxa"/>
            <w:vMerge w:val="continue"/>
            <w:tcBorders>
              <w:top w:val="nil"/>
            </w:tcBorders>
            <w:vAlign w:val="top"/>
          </w:tcPr>
          <w:p w14:paraId="37C800E1">
            <w:pPr>
              <w:pStyle w:val="10"/>
              <w:jc w:val="left"/>
            </w:pPr>
          </w:p>
        </w:tc>
        <w:tc>
          <w:tcPr>
            <w:tcW w:w="1228" w:type="dxa"/>
            <w:vMerge w:val="continue"/>
            <w:tcBorders>
              <w:top w:val="nil"/>
            </w:tcBorders>
            <w:vAlign w:val="top"/>
          </w:tcPr>
          <w:p w14:paraId="3535906F">
            <w:pPr>
              <w:pStyle w:val="10"/>
              <w:jc w:val="left"/>
            </w:pPr>
          </w:p>
        </w:tc>
        <w:tc>
          <w:tcPr>
            <w:tcW w:w="1019" w:type="dxa"/>
            <w:vAlign w:val="top"/>
          </w:tcPr>
          <w:p w14:paraId="50CF8C1F">
            <w:pPr>
              <w:pStyle w:val="10"/>
              <w:jc w:val="left"/>
            </w:pPr>
          </w:p>
        </w:tc>
        <w:tc>
          <w:tcPr>
            <w:tcW w:w="1089" w:type="dxa"/>
            <w:vAlign w:val="top"/>
          </w:tcPr>
          <w:p w14:paraId="62F258B6">
            <w:pPr>
              <w:pStyle w:val="10"/>
              <w:jc w:val="left"/>
            </w:pPr>
          </w:p>
        </w:tc>
        <w:tc>
          <w:tcPr>
            <w:tcW w:w="1079" w:type="dxa"/>
            <w:vAlign w:val="top"/>
          </w:tcPr>
          <w:p w14:paraId="5ED1852E">
            <w:pPr>
              <w:pStyle w:val="10"/>
              <w:jc w:val="left"/>
            </w:pPr>
          </w:p>
        </w:tc>
        <w:tc>
          <w:tcPr>
            <w:tcW w:w="799" w:type="dxa"/>
            <w:vAlign w:val="top"/>
          </w:tcPr>
          <w:p w14:paraId="330EBEC1">
            <w:pPr>
              <w:pStyle w:val="10"/>
              <w:jc w:val="left"/>
            </w:pPr>
          </w:p>
        </w:tc>
        <w:tc>
          <w:tcPr>
            <w:tcW w:w="829" w:type="dxa"/>
            <w:vAlign w:val="top"/>
          </w:tcPr>
          <w:p w14:paraId="6209F85F">
            <w:pPr>
              <w:pStyle w:val="10"/>
              <w:jc w:val="left"/>
            </w:pPr>
          </w:p>
        </w:tc>
        <w:tc>
          <w:tcPr>
            <w:tcW w:w="1323" w:type="dxa"/>
            <w:vAlign w:val="top"/>
          </w:tcPr>
          <w:p w14:paraId="1B4BA4BC">
            <w:pPr>
              <w:pStyle w:val="10"/>
              <w:jc w:val="left"/>
            </w:pPr>
          </w:p>
        </w:tc>
      </w:tr>
      <w:tr w14:paraId="2D5478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4" w:hRule="atLeast"/>
        </w:trPr>
        <w:tc>
          <w:tcPr>
            <w:tcW w:w="6498" w:type="dxa"/>
            <w:gridSpan w:val="6"/>
            <w:vAlign w:val="top"/>
          </w:tcPr>
          <w:p w14:paraId="3C66BF1D">
            <w:pPr>
              <w:spacing w:before="48" w:line="199" w:lineRule="auto"/>
              <w:ind w:left="3225"/>
              <w:jc w:val="left"/>
              <w:rPr>
                <w:rFonts w:ascii="宋体" w:hAnsi="宋体" w:eastAsia="宋体" w:cs="宋体"/>
                <w:sz w:val="20"/>
                <w:szCs w:val="20"/>
              </w:rPr>
            </w:pPr>
            <w:r>
              <w:rPr>
                <w:rFonts w:ascii="宋体" w:hAnsi="宋体" w:eastAsia="宋体" w:cs="宋体"/>
                <w:spacing w:val="4"/>
                <w:sz w:val="20"/>
                <w:szCs w:val="20"/>
              </w:rPr>
              <w:t>总分</w:t>
            </w:r>
          </w:p>
        </w:tc>
        <w:tc>
          <w:tcPr>
            <w:tcW w:w="799" w:type="dxa"/>
            <w:vAlign w:val="top"/>
          </w:tcPr>
          <w:p w14:paraId="041E4083">
            <w:pPr>
              <w:spacing w:before="99" w:line="164" w:lineRule="exact"/>
              <w:ind w:left="246"/>
              <w:jc w:val="left"/>
              <w:rPr>
                <w:rFonts w:ascii="宋体" w:hAnsi="宋体" w:eastAsia="宋体" w:cs="宋体"/>
                <w:sz w:val="20"/>
                <w:szCs w:val="20"/>
              </w:rPr>
            </w:pPr>
            <w:r>
              <w:rPr>
                <w:rFonts w:ascii="宋体" w:hAnsi="宋体" w:eastAsia="宋体" w:cs="宋体"/>
                <w:spacing w:val="-6"/>
                <w:position w:val="-2"/>
                <w:sz w:val="20"/>
                <w:szCs w:val="20"/>
              </w:rPr>
              <w:t>100</w:t>
            </w:r>
          </w:p>
        </w:tc>
        <w:tc>
          <w:tcPr>
            <w:tcW w:w="829" w:type="dxa"/>
            <w:vAlign w:val="top"/>
          </w:tcPr>
          <w:p w14:paraId="5DF5D76F">
            <w:pPr>
              <w:pStyle w:val="10"/>
              <w:jc w:val="left"/>
              <w:rPr>
                <w:rFonts w:hint="default" w:eastAsia="宋体"/>
                <w:lang w:val="en-US" w:eastAsia="zh-CN"/>
              </w:rPr>
            </w:pPr>
            <w:r>
              <w:rPr>
                <w:rFonts w:hint="eastAsia" w:eastAsia="宋体"/>
                <w:lang w:val="en-US" w:eastAsia="zh-CN"/>
              </w:rPr>
              <w:t>96</w:t>
            </w:r>
          </w:p>
        </w:tc>
        <w:tc>
          <w:tcPr>
            <w:tcW w:w="1323" w:type="dxa"/>
            <w:vAlign w:val="top"/>
          </w:tcPr>
          <w:p w14:paraId="5D7F0725">
            <w:pPr>
              <w:pStyle w:val="10"/>
              <w:jc w:val="left"/>
            </w:pPr>
          </w:p>
        </w:tc>
      </w:tr>
    </w:tbl>
    <w:p w14:paraId="07B8D949">
      <w:pPr>
        <w:pStyle w:val="2"/>
        <w:spacing w:before="13" w:line="230" w:lineRule="auto"/>
        <w:ind w:left="353" w:right="493" w:hanging="19"/>
        <w:jc w:val="left"/>
        <w:rPr>
          <w:sz w:val="20"/>
          <w:szCs w:val="20"/>
        </w:rPr>
      </w:pPr>
      <w:r>
        <w:rPr>
          <w:rFonts w:ascii="宋体" w:hAnsi="宋体" w:eastAsia="宋体" w:cs="宋体"/>
          <w:spacing w:val="-2"/>
          <w:sz w:val="21"/>
          <w:szCs w:val="21"/>
        </w:rPr>
        <w:t>备注： 一个一级项目支出一张表。如，业务工作经费，运行维护经费，其他事业发展类资金…</w:t>
      </w:r>
      <w:r>
        <w:rPr>
          <w:rFonts w:ascii="宋体" w:hAnsi="宋体" w:eastAsia="宋体" w:cs="宋体"/>
          <w:sz w:val="21"/>
          <w:szCs w:val="21"/>
        </w:rPr>
        <w:t xml:space="preserve"> </w:t>
      </w:r>
      <w:r>
        <w:rPr>
          <w:spacing w:val="-1"/>
          <w:sz w:val="20"/>
          <w:szCs w:val="20"/>
        </w:rPr>
        <w:t>各一张表.</w:t>
      </w:r>
    </w:p>
    <w:p w14:paraId="77156465">
      <w:pPr>
        <w:spacing w:before="25"/>
        <w:jc w:val="left"/>
      </w:pPr>
    </w:p>
    <w:p w14:paraId="11AB9EC9">
      <w:pPr>
        <w:jc w:val="left"/>
        <w:sectPr>
          <w:pgSz w:w="11900" w:h="16840"/>
          <w:pgMar w:top="1431" w:right="1345" w:bottom="400" w:left="1095" w:header="0" w:footer="0" w:gutter="0"/>
          <w:cols w:equalWidth="0" w:num="1">
            <w:col w:w="9460"/>
          </w:cols>
        </w:sectPr>
      </w:pPr>
    </w:p>
    <w:p w14:paraId="7CDB7F7B">
      <w:pPr>
        <w:pStyle w:val="2"/>
        <w:spacing w:before="41" w:line="223" w:lineRule="auto"/>
        <w:ind w:left="344"/>
        <w:jc w:val="left"/>
        <w:rPr>
          <w:rFonts w:hint="eastAsia" w:eastAsia="仿宋"/>
          <w:sz w:val="20"/>
          <w:szCs w:val="20"/>
          <w:lang w:eastAsia="zh-CN"/>
        </w:rPr>
      </w:pPr>
      <w:r>
        <w:rPr>
          <w:spacing w:val="-16"/>
          <w:sz w:val="20"/>
          <w:szCs w:val="20"/>
        </w:rPr>
        <w:t>填表人：</w:t>
      </w:r>
      <w:r>
        <w:rPr>
          <w:rFonts w:hint="eastAsia"/>
          <w:spacing w:val="-16"/>
          <w:sz w:val="20"/>
          <w:szCs w:val="20"/>
          <w:lang w:eastAsia="zh-CN"/>
        </w:rPr>
        <w:t>胡辉</w:t>
      </w:r>
    </w:p>
    <w:p w14:paraId="2405B3B9">
      <w:pPr>
        <w:spacing w:line="14" w:lineRule="auto"/>
        <w:jc w:val="left"/>
        <w:rPr>
          <w:rFonts w:ascii="Arial"/>
          <w:sz w:val="2"/>
        </w:rPr>
      </w:pPr>
      <w:r>
        <w:rPr>
          <w:rFonts w:ascii="Arial" w:hAnsi="Arial" w:eastAsia="Arial" w:cs="Arial"/>
          <w:sz w:val="2"/>
          <w:szCs w:val="2"/>
        </w:rPr>
        <w:br w:type="column"/>
      </w:r>
    </w:p>
    <w:p w14:paraId="07A5FF27">
      <w:pPr>
        <w:pStyle w:val="2"/>
        <w:spacing w:before="39" w:line="222" w:lineRule="auto"/>
        <w:jc w:val="left"/>
        <w:rPr>
          <w:rFonts w:hint="default" w:eastAsia="仿宋"/>
          <w:sz w:val="20"/>
          <w:szCs w:val="20"/>
          <w:lang w:val="en-US" w:eastAsia="zh-CN"/>
        </w:rPr>
      </w:pPr>
      <w:r>
        <w:rPr>
          <w:spacing w:val="-4"/>
          <w:sz w:val="20"/>
          <w:szCs w:val="20"/>
        </w:rPr>
        <w:t>填报日期：</w:t>
      </w:r>
      <w:r>
        <w:rPr>
          <w:rFonts w:hint="eastAsia"/>
          <w:spacing w:val="-4"/>
          <w:sz w:val="20"/>
          <w:szCs w:val="20"/>
          <w:lang w:val="en-US" w:eastAsia="zh-CN"/>
        </w:rPr>
        <w:t>2024.5.26</w:t>
      </w:r>
    </w:p>
    <w:p w14:paraId="1E52B2CA">
      <w:pPr>
        <w:spacing w:line="14" w:lineRule="auto"/>
        <w:jc w:val="left"/>
        <w:rPr>
          <w:rFonts w:ascii="Arial"/>
          <w:sz w:val="2"/>
        </w:rPr>
      </w:pPr>
      <w:r>
        <w:rPr>
          <w:rFonts w:ascii="Arial" w:hAnsi="Arial" w:eastAsia="Arial" w:cs="Arial"/>
          <w:sz w:val="2"/>
          <w:szCs w:val="2"/>
        </w:rPr>
        <w:br w:type="column"/>
      </w:r>
    </w:p>
    <w:p w14:paraId="49DF3CC5">
      <w:pPr>
        <w:pStyle w:val="2"/>
        <w:spacing w:before="60" w:line="223" w:lineRule="auto"/>
        <w:jc w:val="left"/>
        <w:rPr>
          <w:rFonts w:hint="default" w:eastAsia="仿宋"/>
          <w:sz w:val="20"/>
          <w:szCs w:val="20"/>
          <w:lang w:val="en-US" w:eastAsia="zh-CN"/>
        </w:rPr>
      </w:pPr>
      <w:r>
        <w:rPr>
          <w:spacing w:val="-4"/>
          <w:sz w:val="20"/>
          <w:szCs w:val="20"/>
        </w:rPr>
        <w:t>联系电话：</w:t>
      </w:r>
      <w:r>
        <w:rPr>
          <w:rFonts w:hint="eastAsia"/>
          <w:spacing w:val="-4"/>
          <w:sz w:val="20"/>
          <w:szCs w:val="20"/>
          <w:lang w:val="en-US" w:eastAsia="zh-CN"/>
        </w:rPr>
        <w:t>13787995938</w:t>
      </w:r>
    </w:p>
    <w:p w14:paraId="3805BCBA">
      <w:pPr>
        <w:spacing w:line="14" w:lineRule="auto"/>
        <w:jc w:val="left"/>
        <w:rPr>
          <w:rFonts w:ascii="Arial"/>
          <w:sz w:val="2"/>
        </w:rPr>
      </w:pPr>
      <w:r>
        <w:rPr>
          <w:rFonts w:ascii="Arial" w:hAnsi="Arial" w:eastAsia="Arial" w:cs="Arial"/>
          <w:sz w:val="2"/>
          <w:szCs w:val="2"/>
        </w:rPr>
        <w:br w:type="column"/>
      </w:r>
    </w:p>
    <w:p w14:paraId="0DE2E6E2">
      <w:pPr>
        <w:pStyle w:val="2"/>
        <w:spacing w:before="117" w:line="189" w:lineRule="auto"/>
        <w:jc w:val="left"/>
        <w:rPr>
          <w:sz w:val="20"/>
          <w:szCs w:val="20"/>
        </w:rPr>
      </w:pPr>
      <w:r>
        <w:rPr>
          <w:spacing w:val="-7"/>
          <w:sz w:val="20"/>
          <w:szCs w:val="20"/>
        </w:rPr>
        <w:t>单位负责人签字：</w:t>
      </w:r>
    </w:p>
    <w:p w14:paraId="603FD1B3">
      <w:pPr>
        <w:spacing w:line="189" w:lineRule="auto"/>
        <w:jc w:val="left"/>
        <w:rPr>
          <w:sz w:val="20"/>
          <w:szCs w:val="20"/>
        </w:rPr>
        <w:sectPr>
          <w:type w:val="continuous"/>
          <w:pgSz w:w="11900" w:h="16840"/>
          <w:pgMar w:top="1431" w:right="1345" w:bottom="400" w:left="1095" w:header="0" w:footer="0" w:gutter="0"/>
          <w:cols w:equalWidth="0" w:num="4">
            <w:col w:w="2175" w:space="100"/>
            <w:col w:w="2171" w:space="100"/>
            <w:col w:w="2070" w:space="100"/>
            <w:col w:w="2745"/>
          </w:cols>
        </w:sectPr>
      </w:pPr>
    </w:p>
    <w:p w14:paraId="47733B42">
      <w:pPr>
        <w:spacing w:before="55" w:line="219" w:lineRule="auto"/>
        <w:ind w:left="128"/>
        <w:jc w:val="left"/>
        <w:rPr>
          <w:rFonts w:ascii="宋体" w:hAnsi="宋体" w:eastAsia="宋体" w:cs="宋体"/>
          <w:sz w:val="28"/>
          <w:szCs w:val="28"/>
        </w:rPr>
      </w:pPr>
      <w:r>
        <w:rPr>
          <w:rFonts w:ascii="宋体" w:hAnsi="宋体" w:eastAsia="宋体" w:cs="宋体"/>
          <w:b/>
          <w:bCs/>
          <w:spacing w:val="-12"/>
          <w:sz w:val="28"/>
          <w:szCs w:val="28"/>
        </w:rPr>
        <w:t>附件4</w:t>
      </w:r>
    </w:p>
    <w:p w14:paraId="4A627903">
      <w:pPr>
        <w:spacing w:line="265" w:lineRule="auto"/>
        <w:jc w:val="left"/>
        <w:rPr>
          <w:rFonts w:ascii="Arial"/>
          <w:sz w:val="21"/>
        </w:rPr>
      </w:pPr>
    </w:p>
    <w:p w14:paraId="427F1765">
      <w:pPr>
        <w:spacing w:line="265" w:lineRule="auto"/>
        <w:jc w:val="left"/>
        <w:rPr>
          <w:rFonts w:ascii="Arial"/>
          <w:sz w:val="21"/>
        </w:rPr>
      </w:pPr>
    </w:p>
    <w:p w14:paraId="523F3EE1">
      <w:pPr>
        <w:spacing w:line="265" w:lineRule="auto"/>
        <w:jc w:val="left"/>
        <w:rPr>
          <w:rFonts w:ascii="Arial"/>
          <w:sz w:val="21"/>
        </w:rPr>
      </w:pPr>
    </w:p>
    <w:p w14:paraId="38EA502B">
      <w:pPr>
        <w:spacing w:line="266" w:lineRule="auto"/>
        <w:jc w:val="left"/>
        <w:rPr>
          <w:rFonts w:ascii="Arial"/>
          <w:sz w:val="21"/>
        </w:rPr>
      </w:pPr>
    </w:p>
    <w:p w14:paraId="36CE59F5">
      <w:pPr>
        <w:spacing w:line="266" w:lineRule="auto"/>
        <w:jc w:val="left"/>
        <w:rPr>
          <w:rFonts w:ascii="Arial"/>
          <w:sz w:val="21"/>
        </w:rPr>
      </w:pPr>
    </w:p>
    <w:p w14:paraId="4DE708E6">
      <w:pPr>
        <w:spacing w:before="143" w:line="678" w:lineRule="exact"/>
        <w:ind w:left="1014"/>
        <w:jc w:val="left"/>
        <w:rPr>
          <w:rFonts w:ascii="黑体" w:hAnsi="黑体" w:eastAsia="黑体" w:cs="黑体"/>
          <w:sz w:val="44"/>
          <w:szCs w:val="44"/>
        </w:rPr>
      </w:pPr>
      <w:r>
        <w:rPr>
          <w:rFonts w:hint="eastAsia" w:ascii="黑体" w:hAnsi="黑体" w:eastAsia="黑体" w:cs="黑体"/>
          <w:sz w:val="44"/>
          <w:szCs w:val="44"/>
          <w:lang w:val="en-US" w:eastAsia="zh-CN"/>
        </w:rPr>
        <w:t xml:space="preserve"> </w:t>
      </w:r>
      <w:r>
        <w:rPr>
          <w:rFonts w:ascii="黑体" w:hAnsi="黑体" w:eastAsia="黑体" w:cs="黑体"/>
          <w:spacing w:val="-1"/>
          <w:position w:val="16"/>
          <w:sz w:val="44"/>
          <w:szCs w:val="44"/>
        </w:rPr>
        <w:t>2023年度</w:t>
      </w:r>
      <w:r>
        <w:rPr>
          <w:rFonts w:hint="eastAsia" w:ascii="黑体" w:hAnsi="黑体" w:eastAsia="黑体" w:cs="黑体"/>
          <w:spacing w:val="-1"/>
          <w:position w:val="16"/>
          <w:sz w:val="44"/>
          <w:szCs w:val="44"/>
          <w:lang w:eastAsia="zh-CN"/>
        </w:rPr>
        <w:t>汨罗市政法委</w:t>
      </w:r>
      <w:r>
        <w:rPr>
          <w:rFonts w:ascii="黑体" w:hAnsi="黑体" w:eastAsia="黑体" w:cs="黑体"/>
          <w:spacing w:val="-1"/>
          <w:position w:val="16"/>
          <w:sz w:val="44"/>
          <w:szCs w:val="44"/>
        </w:rPr>
        <w:t>部门整体支出</w:t>
      </w:r>
    </w:p>
    <w:p w14:paraId="100B0393">
      <w:pPr>
        <w:spacing w:before="2" w:line="220" w:lineRule="auto"/>
        <w:ind w:left="2975"/>
        <w:jc w:val="left"/>
        <w:rPr>
          <w:rFonts w:ascii="黑体" w:hAnsi="黑体" w:eastAsia="黑体" w:cs="黑体"/>
          <w:sz w:val="44"/>
          <w:szCs w:val="44"/>
        </w:rPr>
      </w:pPr>
      <w:r>
        <w:rPr>
          <w:rFonts w:ascii="黑体" w:hAnsi="黑体" w:eastAsia="黑体" w:cs="黑体"/>
          <w:sz w:val="44"/>
          <w:szCs w:val="44"/>
        </w:rPr>
        <w:t>绩效自评报告</w:t>
      </w:r>
    </w:p>
    <w:p w14:paraId="6FBB9DF3">
      <w:pPr>
        <w:spacing w:line="241" w:lineRule="auto"/>
        <w:jc w:val="left"/>
        <w:rPr>
          <w:rFonts w:ascii="Arial"/>
          <w:sz w:val="21"/>
        </w:rPr>
      </w:pPr>
    </w:p>
    <w:p w14:paraId="6D0B4200">
      <w:pPr>
        <w:spacing w:line="241" w:lineRule="auto"/>
        <w:jc w:val="left"/>
        <w:rPr>
          <w:rFonts w:ascii="Arial"/>
          <w:sz w:val="21"/>
        </w:rPr>
      </w:pPr>
    </w:p>
    <w:p w14:paraId="53DC2C62">
      <w:pPr>
        <w:spacing w:line="241" w:lineRule="auto"/>
        <w:jc w:val="left"/>
        <w:rPr>
          <w:rFonts w:ascii="Arial"/>
          <w:sz w:val="21"/>
        </w:rPr>
      </w:pPr>
    </w:p>
    <w:p w14:paraId="125EE8E5">
      <w:pPr>
        <w:spacing w:line="241" w:lineRule="auto"/>
        <w:jc w:val="left"/>
        <w:rPr>
          <w:rFonts w:ascii="Arial"/>
          <w:sz w:val="21"/>
        </w:rPr>
      </w:pPr>
    </w:p>
    <w:p w14:paraId="2A984CE8">
      <w:pPr>
        <w:spacing w:line="241" w:lineRule="auto"/>
        <w:jc w:val="left"/>
        <w:rPr>
          <w:rFonts w:ascii="Arial"/>
          <w:sz w:val="21"/>
        </w:rPr>
      </w:pPr>
    </w:p>
    <w:p w14:paraId="50B4C067">
      <w:pPr>
        <w:spacing w:line="241" w:lineRule="auto"/>
        <w:jc w:val="left"/>
        <w:rPr>
          <w:rFonts w:ascii="Arial"/>
          <w:sz w:val="21"/>
        </w:rPr>
      </w:pPr>
    </w:p>
    <w:p w14:paraId="7917F52D">
      <w:pPr>
        <w:spacing w:line="241" w:lineRule="auto"/>
        <w:jc w:val="left"/>
        <w:rPr>
          <w:rFonts w:ascii="Arial"/>
          <w:sz w:val="21"/>
        </w:rPr>
      </w:pPr>
    </w:p>
    <w:p w14:paraId="0AA12961">
      <w:pPr>
        <w:spacing w:line="241" w:lineRule="auto"/>
        <w:jc w:val="left"/>
        <w:rPr>
          <w:rFonts w:ascii="Arial"/>
          <w:sz w:val="21"/>
        </w:rPr>
      </w:pPr>
    </w:p>
    <w:p w14:paraId="6C2481CC">
      <w:pPr>
        <w:spacing w:line="241" w:lineRule="auto"/>
        <w:jc w:val="left"/>
        <w:rPr>
          <w:rFonts w:ascii="Arial"/>
          <w:sz w:val="21"/>
        </w:rPr>
      </w:pPr>
    </w:p>
    <w:p w14:paraId="55ABCEB5">
      <w:pPr>
        <w:spacing w:line="241" w:lineRule="auto"/>
        <w:jc w:val="left"/>
        <w:rPr>
          <w:rFonts w:ascii="Arial"/>
          <w:sz w:val="21"/>
        </w:rPr>
      </w:pPr>
    </w:p>
    <w:p w14:paraId="55899FD8">
      <w:pPr>
        <w:spacing w:line="241" w:lineRule="auto"/>
        <w:jc w:val="left"/>
        <w:rPr>
          <w:rFonts w:ascii="Arial"/>
          <w:sz w:val="21"/>
        </w:rPr>
      </w:pPr>
    </w:p>
    <w:p w14:paraId="646A1264">
      <w:pPr>
        <w:spacing w:line="241" w:lineRule="auto"/>
        <w:jc w:val="left"/>
        <w:rPr>
          <w:rFonts w:ascii="Arial"/>
          <w:sz w:val="21"/>
        </w:rPr>
      </w:pPr>
    </w:p>
    <w:p w14:paraId="1B2A6394">
      <w:pPr>
        <w:spacing w:line="241" w:lineRule="auto"/>
        <w:jc w:val="left"/>
        <w:rPr>
          <w:rFonts w:ascii="Arial"/>
          <w:sz w:val="21"/>
        </w:rPr>
      </w:pPr>
    </w:p>
    <w:p w14:paraId="4C08616F">
      <w:pPr>
        <w:spacing w:line="241" w:lineRule="auto"/>
        <w:jc w:val="left"/>
        <w:rPr>
          <w:rFonts w:ascii="Arial"/>
          <w:sz w:val="21"/>
        </w:rPr>
      </w:pPr>
    </w:p>
    <w:p w14:paraId="35A58F8B">
      <w:pPr>
        <w:spacing w:line="241" w:lineRule="auto"/>
        <w:jc w:val="left"/>
        <w:rPr>
          <w:rFonts w:ascii="Arial"/>
          <w:sz w:val="21"/>
        </w:rPr>
      </w:pPr>
    </w:p>
    <w:p w14:paraId="489488B3">
      <w:pPr>
        <w:spacing w:line="241" w:lineRule="auto"/>
        <w:jc w:val="left"/>
        <w:rPr>
          <w:rFonts w:ascii="Arial"/>
          <w:sz w:val="21"/>
        </w:rPr>
      </w:pPr>
    </w:p>
    <w:p w14:paraId="2BBC154B">
      <w:pPr>
        <w:spacing w:line="242" w:lineRule="auto"/>
        <w:jc w:val="left"/>
        <w:rPr>
          <w:rFonts w:ascii="Arial"/>
          <w:sz w:val="21"/>
        </w:rPr>
      </w:pPr>
    </w:p>
    <w:p w14:paraId="7EDD3C90">
      <w:pPr>
        <w:spacing w:line="242" w:lineRule="auto"/>
        <w:jc w:val="left"/>
        <w:rPr>
          <w:rFonts w:ascii="Arial"/>
          <w:sz w:val="21"/>
        </w:rPr>
      </w:pPr>
    </w:p>
    <w:p w14:paraId="7AC4909E">
      <w:pPr>
        <w:spacing w:line="242" w:lineRule="auto"/>
        <w:jc w:val="left"/>
        <w:rPr>
          <w:rFonts w:ascii="Arial"/>
          <w:sz w:val="21"/>
        </w:rPr>
      </w:pPr>
    </w:p>
    <w:p w14:paraId="1896EF4A">
      <w:pPr>
        <w:spacing w:line="242" w:lineRule="auto"/>
        <w:jc w:val="left"/>
        <w:rPr>
          <w:rFonts w:ascii="Arial"/>
          <w:sz w:val="21"/>
        </w:rPr>
      </w:pPr>
    </w:p>
    <w:p w14:paraId="5C501035">
      <w:pPr>
        <w:spacing w:line="242" w:lineRule="auto"/>
        <w:jc w:val="left"/>
        <w:rPr>
          <w:rFonts w:ascii="Arial"/>
          <w:sz w:val="21"/>
        </w:rPr>
      </w:pPr>
    </w:p>
    <w:p w14:paraId="1EF44D47">
      <w:pPr>
        <w:spacing w:line="242" w:lineRule="auto"/>
        <w:jc w:val="left"/>
        <w:rPr>
          <w:rFonts w:ascii="Arial"/>
          <w:sz w:val="21"/>
        </w:rPr>
      </w:pPr>
    </w:p>
    <w:p w14:paraId="4548DC61">
      <w:pPr>
        <w:spacing w:line="242" w:lineRule="auto"/>
        <w:jc w:val="left"/>
        <w:rPr>
          <w:rFonts w:ascii="Arial"/>
          <w:sz w:val="21"/>
        </w:rPr>
      </w:pPr>
    </w:p>
    <w:p w14:paraId="4C21C553">
      <w:pPr>
        <w:spacing w:line="242" w:lineRule="auto"/>
        <w:jc w:val="left"/>
        <w:rPr>
          <w:rFonts w:ascii="Arial"/>
          <w:sz w:val="21"/>
        </w:rPr>
      </w:pPr>
    </w:p>
    <w:p w14:paraId="170A71D2">
      <w:pPr>
        <w:spacing w:line="242" w:lineRule="auto"/>
        <w:jc w:val="left"/>
        <w:rPr>
          <w:rFonts w:ascii="Arial"/>
          <w:sz w:val="21"/>
        </w:rPr>
      </w:pPr>
    </w:p>
    <w:p w14:paraId="1C400592">
      <w:pPr>
        <w:spacing w:before="91" w:line="224" w:lineRule="auto"/>
        <w:ind w:left="2599"/>
        <w:jc w:val="left"/>
        <w:rPr>
          <w:rFonts w:ascii="楷体" w:hAnsi="楷体" w:eastAsia="楷体" w:cs="楷体"/>
          <w:sz w:val="28"/>
          <w:szCs w:val="28"/>
        </w:rPr>
      </w:pPr>
      <w:r>
        <w:rPr>
          <w:rFonts w:ascii="楷体" w:hAnsi="楷体" w:eastAsia="楷体" w:cs="楷体"/>
          <w:b/>
          <w:bCs/>
          <w:spacing w:val="-20"/>
          <w:sz w:val="28"/>
          <w:szCs w:val="28"/>
        </w:rPr>
        <w:t>部门(单位)名称：</w:t>
      </w:r>
      <w:r>
        <w:rPr>
          <w:rFonts w:ascii="楷体" w:hAnsi="楷体" w:eastAsia="楷体" w:cs="楷体"/>
          <w:spacing w:val="31"/>
          <w:sz w:val="28"/>
          <w:szCs w:val="28"/>
        </w:rPr>
        <w:t xml:space="preserve"> </w:t>
      </w:r>
      <w:r>
        <w:rPr>
          <w:rFonts w:ascii="楷体" w:hAnsi="楷体" w:eastAsia="楷体" w:cs="楷体"/>
          <w:spacing w:val="-53"/>
          <w:sz w:val="28"/>
          <w:szCs w:val="28"/>
          <w:u w:val="single" w:color="auto"/>
        </w:rPr>
        <w:t xml:space="preserve"> </w:t>
      </w:r>
      <w:r>
        <w:rPr>
          <w:rFonts w:ascii="楷体" w:hAnsi="楷体" w:eastAsia="楷体" w:cs="楷体"/>
          <w:b/>
          <w:bCs/>
          <w:spacing w:val="-20"/>
          <w:sz w:val="28"/>
          <w:szCs w:val="28"/>
          <w:u w:val="single" w:color="auto"/>
        </w:rPr>
        <w:t>(盖章)</w:t>
      </w:r>
    </w:p>
    <w:p w14:paraId="60085D6F">
      <w:pPr>
        <w:spacing w:before="285" w:line="225" w:lineRule="auto"/>
        <w:ind w:left="2975"/>
        <w:jc w:val="left"/>
        <w:rPr>
          <w:rFonts w:ascii="楷体" w:hAnsi="楷体" w:eastAsia="楷体" w:cs="楷体"/>
          <w:spacing w:val="-8"/>
          <w:sz w:val="28"/>
          <w:szCs w:val="28"/>
        </w:rPr>
      </w:pPr>
      <w:r>
        <w:rPr>
          <w:rFonts w:hint="eastAsia" w:ascii="楷体" w:hAnsi="楷体" w:eastAsia="楷体" w:cs="楷体"/>
          <w:spacing w:val="-8"/>
          <w:sz w:val="28"/>
          <w:szCs w:val="28"/>
          <w:lang w:val="en-US" w:eastAsia="zh-CN"/>
        </w:rPr>
        <w:t>2024</w:t>
      </w:r>
      <w:r>
        <w:rPr>
          <w:rFonts w:ascii="楷体" w:hAnsi="楷体" w:eastAsia="楷体" w:cs="楷体"/>
          <w:spacing w:val="-8"/>
          <w:sz w:val="28"/>
          <w:szCs w:val="28"/>
        </w:rPr>
        <w:t>年</w:t>
      </w:r>
      <w:r>
        <w:rPr>
          <w:rFonts w:ascii="楷体" w:hAnsi="楷体" w:eastAsia="楷体" w:cs="楷体"/>
          <w:spacing w:val="21"/>
          <w:sz w:val="28"/>
          <w:szCs w:val="28"/>
        </w:rPr>
        <w:t xml:space="preserve">  </w:t>
      </w:r>
      <w:r>
        <w:rPr>
          <w:rFonts w:hint="eastAsia" w:ascii="楷体" w:hAnsi="楷体" w:eastAsia="楷体" w:cs="楷体"/>
          <w:spacing w:val="21"/>
          <w:sz w:val="28"/>
          <w:szCs w:val="28"/>
          <w:lang w:val="en-US" w:eastAsia="zh-CN"/>
        </w:rPr>
        <w:t>5</w:t>
      </w:r>
      <w:r>
        <w:rPr>
          <w:rFonts w:ascii="楷体" w:hAnsi="楷体" w:eastAsia="楷体" w:cs="楷体"/>
          <w:spacing w:val="21"/>
          <w:sz w:val="28"/>
          <w:szCs w:val="28"/>
        </w:rPr>
        <w:t xml:space="preserve"> </w:t>
      </w:r>
      <w:r>
        <w:rPr>
          <w:rFonts w:ascii="楷体" w:hAnsi="楷体" w:eastAsia="楷体" w:cs="楷体"/>
          <w:spacing w:val="-8"/>
          <w:sz w:val="28"/>
          <w:szCs w:val="28"/>
        </w:rPr>
        <w:t xml:space="preserve">月    </w:t>
      </w:r>
      <w:r>
        <w:rPr>
          <w:rFonts w:hint="eastAsia" w:ascii="楷体" w:hAnsi="楷体" w:eastAsia="楷体" w:cs="楷体"/>
          <w:spacing w:val="-8"/>
          <w:sz w:val="28"/>
          <w:szCs w:val="28"/>
          <w:lang w:val="en-US" w:eastAsia="zh-CN"/>
        </w:rPr>
        <w:t>26</w:t>
      </w:r>
      <w:r>
        <w:rPr>
          <w:rFonts w:ascii="楷体" w:hAnsi="楷体" w:eastAsia="楷体" w:cs="楷体"/>
          <w:spacing w:val="-8"/>
          <w:sz w:val="28"/>
          <w:szCs w:val="28"/>
        </w:rPr>
        <w:t>日</w:t>
      </w:r>
    </w:p>
    <w:p w14:paraId="32D12F16">
      <w:pPr>
        <w:spacing w:before="285" w:line="225" w:lineRule="auto"/>
        <w:ind w:left="2975"/>
        <w:jc w:val="left"/>
        <w:rPr>
          <w:rFonts w:ascii="楷体" w:hAnsi="楷体" w:eastAsia="楷体" w:cs="楷体"/>
          <w:spacing w:val="-8"/>
          <w:sz w:val="28"/>
          <w:szCs w:val="28"/>
        </w:rPr>
      </w:pPr>
    </w:p>
    <w:p w14:paraId="51FC16D5">
      <w:pPr>
        <w:spacing w:before="285" w:line="225" w:lineRule="auto"/>
        <w:ind w:left="2975"/>
        <w:jc w:val="left"/>
        <w:rPr>
          <w:rFonts w:ascii="楷体" w:hAnsi="楷体" w:eastAsia="楷体" w:cs="楷体"/>
          <w:spacing w:val="-8"/>
          <w:sz w:val="28"/>
          <w:szCs w:val="28"/>
        </w:rPr>
      </w:pPr>
    </w:p>
    <w:p w14:paraId="14643FB4">
      <w:pPr>
        <w:spacing w:before="285" w:line="225" w:lineRule="auto"/>
        <w:ind w:left="2975"/>
        <w:jc w:val="left"/>
        <w:rPr>
          <w:rFonts w:ascii="楷体" w:hAnsi="楷体" w:eastAsia="楷体" w:cs="楷体"/>
          <w:spacing w:val="-8"/>
          <w:sz w:val="28"/>
          <w:szCs w:val="28"/>
        </w:rPr>
      </w:pPr>
    </w:p>
    <w:p w14:paraId="003302A8">
      <w:pPr>
        <w:spacing w:before="285" w:line="225" w:lineRule="auto"/>
        <w:ind w:left="2975"/>
        <w:jc w:val="left"/>
        <w:rPr>
          <w:rFonts w:ascii="楷体" w:hAnsi="楷体" w:eastAsia="楷体" w:cs="楷体"/>
          <w:spacing w:val="-8"/>
          <w:sz w:val="28"/>
          <w:szCs w:val="28"/>
        </w:rPr>
      </w:pPr>
    </w:p>
    <w:p w14:paraId="2099C669">
      <w:pPr>
        <w:spacing w:before="285" w:line="225" w:lineRule="auto"/>
        <w:ind w:left="2975"/>
        <w:jc w:val="left"/>
        <w:rPr>
          <w:rFonts w:ascii="楷体" w:hAnsi="楷体" w:eastAsia="楷体" w:cs="楷体"/>
          <w:spacing w:val="-8"/>
          <w:sz w:val="28"/>
          <w:szCs w:val="28"/>
        </w:rPr>
      </w:pPr>
    </w:p>
    <w:p w14:paraId="64592A68">
      <w:pPr>
        <w:spacing w:before="285" w:line="225" w:lineRule="auto"/>
        <w:ind w:left="2975"/>
        <w:jc w:val="left"/>
        <w:rPr>
          <w:rFonts w:ascii="楷体" w:hAnsi="楷体" w:eastAsia="楷体" w:cs="楷体"/>
          <w:spacing w:val="-8"/>
          <w:sz w:val="28"/>
          <w:szCs w:val="28"/>
        </w:rPr>
      </w:pPr>
    </w:p>
    <w:p w14:paraId="717C6ED7">
      <w:pPr>
        <w:spacing w:before="285" w:line="225" w:lineRule="auto"/>
        <w:ind w:left="2975"/>
        <w:jc w:val="left"/>
        <w:rPr>
          <w:rFonts w:ascii="楷体" w:hAnsi="楷体" w:eastAsia="楷体" w:cs="楷体"/>
          <w:spacing w:val="-8"/>
          <w:sz w:val="28"/>
          <w:szCs w:val="28"/>
        </w:rPr>
      </w:pPr>
    </w:p>
    <w:p w14:paraId="51E937D3">
      <w:pPr>
        <w:spacing w:before="285" w:line="225" w:lineRule="auto"/>
        <w:ind w:left="2975"/>
        <w:jc w:val="left"/>
        <w:rPr>
          <w:rFonts w:ascii="楷体" w:hAnsi="楷体" w:eastAsia="楷体" w:cs="楷体"/>
          <w:spacing w:val="-8"/>
          <w:sz w:val="28"/>
          <w:szCs w:val="28"/>
        </w:rPr>
      </w:pPr>
    </w:p>
    <w:p w14:paraId="6CB73F5C">
      <w:pPr>
        <w:spacing w:before="81" w:line="668" w:lineRule="exact"/>
        <w:ind w:left="1220"/>
        <w:jc w:val="left"/>
        <w:rPr>
          <w:rFonts w:ascii="黑体" w:hAnsi="黑体" w:eastAsia="黑体" w:cs="黑体"/>
          <w:sz w:val="40"/>
          <w:szCs w:val="40"/>
        </w:rPr>
      </w:pPr>
      <w:r>
        <w:rPr>
          <w:rFonts w:hint="eastAsia" w:eastAsia="黑体"/>
          <w:b/>
          <w:bCs/>
          <w:spacing w:val="21"/>
          <w:sz w:val="28"/>
          <w:szCs w:val="28"/>
          <w:lang w:val="en-US" w:eastAsia="zh-CN"/>
        </w:rPr>
        <w:t xml:space="preserve"> </w:t>
      </w:r>
      <w:r>
        <w:rPr>
          <w:rFonts w:ascii="黑体" w:hAnsi="黑体" w:eastAsia="黑体" w:cs="黑体"/>
          <w:spacing w:val="2"/>
          <w:position w:val="19"/>
          <w:sz w:val="40"/>
          <w:szCs w:val="40"/>
        </w:rPr>
        <w:t>2023年度</w:t>
      </w:r>
      <w:r>
        <w:rPr>
          <w:rFonts w:hint="eastAsia" w:ascii="黑体" w:hAnsi="黑体" w:eastAsia="黑体" w:cs="黑体"/>
          <w:spacing w:val="2"/>
          <w:position w:val="19"/>
          <w:sz w:val="40"/>
          <w:szCs w:val="40"/>
          <w:lang w:eastAsia="zh-CN"/>
        </w:rPr>
        <w:t>汨罗市政法委</w:t>
      </w:r>
      <w:r>
        <w:rPr>
          <w:rFonts w:ascii="黑体" w:hAnsi="黑体" w:eastAsia="黑体" w:cs="黑体"/>
          <w:spacing w:val="2"/>
          <w:position w:val="19"/>
          <w:sz w:val="40"/>
          <w:szCs w:val="40"/>
        </w:rPr>
        <w:t>部门整体支出绩效</w:t>
      </w:r>
    </w:p>
    <w:p w14:paraId="19AC47EF">
      <w:pPr>
        <w:spacing w:line="221" w:lineRule="auto"/>
        <w:ind w:left="3150"/>
        <w:jc w:val="left"/>
        <w:rPr>
          <w:rFonts w:ascii="黑体" w:hAnsi="黑体" w:eastAsia="黑体" w:cs="黑体"/>
          <w:sz w:val="32"/>
          <w:szCs w:val="32"/>
        </w:rPr>
      </w:pPr>
      <w:r>
        <w:rPr>
          <w:rFonts w:ascii="黑体" w:hAnsi="黑体" w:eastAsia="黑体" w:cs="黑体"/>
          <w:spacing w:val="-19"/>
          <w:sz w:val="32"/>
          <w:szCs w:val="32"/>
        </w:rPr>
        <w:t>自</w:t>
      </w:r>
      <w:r>
        <w:rPr>
          <w:rFonts w:ascii="黑体" w:hAnsi="黑体" w:eastAsia="黑体" w:cs="黑体"/>
          <w:spacing w:val="21"/>
          <w:sz w:val="32"/>
          <w:szCs w:val="32"/>
        </w:rPr>
        <w:t xml:space="preserve">  </w:t>
      </w:r>
      <w:r>
        <w:rPr>
          <w:rFonts w:ascii="黑体" w:hAnsi="黑体" w:eastAsia="黑体" w:cs="黑体"/>
          <w:spacing w:val="-19"/>
          <w:sz w:val="32"/>
          <w:szCs w:val="32"/>
        </w:rPr>
        <w:t>评</w:t>
      </w:r>
      <w:r>
        <w:rPr>
          <w:rFonts w:ascii="黑体" w:hAnsi="黑体" w:eastAsia="黑体" w:cs="黑体"/>
          <w:spacing w:val="33"/>
          <w:sz w:val="32"/>
          <w:szCs w:val="32"/>
        </w:rPr>
        <w:t xml:space="preserve">  </w:t>
      </w:r>
      <w:r>
        <w:rPr>
          <w:rFonts w:ascii="黑体" w:hAnsi="黑体" w:eastAsia="黑体" w:cs="黑体"/>
          <w:spacing w:val="-19"/>
          <w:sz w:val="32"/>
          <w:szCs w:val="32"/>
        </w:rPr>
        <w:t>报</w:t>
      </w:r>
      <w:r>
        <w:rPr>
          <w:rFonts w:ascii="黑体" w:hAnsi="黑体" w:eastAsia="黑体" w:cs="黑体"/>
          <w:spacing w:val="36"/>
          <w:sz w:val="32"/>
          <w:szCs w:val="32"/>
        </w:rPr>
        <w:t xml:space="preserve">  </w:t>
      </w:r>
      <w:r>
        <w:rPr>
          <w:rFonts w:ascii="黑体" w:hAnsi="黑体" w:eastAsia="黑体" w:cs="黑体"/>
          <w:spacing w:val="-19"/>
          <w:sz w:val="32"/>
          <w:szCs w:val="32"/>
        </w:rPr>
        <w:t>告</w:t>
      </w:r>
    </w:p>
    <w:p w14:paraId="6CA8F554">
      <w:pPr>
        <w:spacing w:line="279" w:lineRule="auto"/>
        <w:jc w:val="left"/>
        <w:rPr>
          <w:rFonts w:ascii="Arial"/>
          <w:sz w:val="21"/>
        </w:rPr>
      </w:pPr>
    </w:p>
    <w:p w14:paraId="4C50CDB1">
      <w:pPr>
        <w:spacing w:line="279" w:lineRule="auto"/>
        <w:jc w:val="left"/>
        <w:rPr>
          <w:rFonts w:ascii="Arial"/>
          <w:sz w:val="21"/>
        </w:rPr>
      </w:pPr>
    </w:p>
    <w:p w14:paraId="4780675F">
      <w:pPr>
        <w:spacing w:line="280" w:lineRule="auto"/>
        <w:jc w:val="left"/>
        <w:rPr>
          <w:rFonts w:ascii="Arial"/>
          <w:sz w:val="21"/>
        </w:rPr>
      </w:pPr>
    </w:p>
    <w:p w14:paraId="4709763B">
      <w:pPr>
        <w:numPr>
          <w:ilvl w:val="0"/>
          <w:numId w:val="0"/>
        </w:numPr>
        <w:spacing w:before="104" w:line="222" w:lineRule="auto"/>
        <w:ind w:left="840" w:leftChars="0" w:firstLine="0" w:firstLineChars="0"/>
        <w:jc w:val="left"/>
        <w:rPr>
          <w:rFonts w:ascii="黑体" w:hAnsi="黑体" w:eastAsia="黑体" w:cs="黑体"/>
          <w:spacing w:val="-6"/>
          <w:sz w:val="32"/>
          <w:szCs w:val="32"/>
        </w:rPr>
      </w:pPr>
      <w:r>
        <w:rPr>
          <w:rFonts w:hint="eastAsia" w:ascii="黑体" w:hAnsi="黑体" w:eastAsia="黑体" w:cs="黑体"/>
          <w:snapToGrid w:val="0"/>
          <w:color w:val="000000"/>
          <w:spacing w:val="-6"/>
          <w:kern w:val="0"/>
          <w:sz w:val="32"/>
          <w:szCs w:val="32"/>
          <w:lang w:val="en-US" w:eastAsia="en-US" w:bidi="ar-SA"/>
        </w:rPr>
        <w:t>一、</w:t>
      </w:r>
      <w:r>
        <w:rPr>
          <w:rFonts w:ascii="黑体" w:hAnsi="黑体" w:eastAsia="黑体" w:cs="黑体"/>
          <w:spacing w:val="-6"/>
          <w:sz w:val="32"/>
          <w:szCs w:val="32"/>
        </w:rPr>
        <w:t>部门(单位)基本情况</w:t>
      </w:r>
    </w:p>
    <w:p w14:paraId="6553668A">
      <w:pPr>
        <w:numPr>
          <w:ilvl w:val="0"/>
          <w:numId w:val="0"/>
        </w:numPr>
        <w:spacing w:before="104" w:line="222" w:lineRule="auto"/>
        <w:ind w:firstLine="924" w:firstLineChars="300"/>
        <w:jc w:val="left"/>
        <w:rPr>
          <w:rFonts w:hint="eastAsia" w:ascii="仿宋" w:hAnsi="仿宋" w:eastAsia="仿宋" w:cs="仿宋"/>
          <w:spacing w:val="-6"/>
          <w:sz w:val="32"/>
          <w:szCs w:val="32"/>
        </w:rPr>
      </w:pPr>
      <w:r>
        <w:rPr>
          <w:rFonts w:hint="eastAsia" w:ascii="仿宋" w:hAnsi="仿宋" w:eastAsia="仿宋" w:cs="仿宋"/>
          <w:spacing w:val="-6"/>
          <w:sz w:val="32"/>
          <w:szCs w:val="32"/>
        </w:rPr>
        <w:t>中共汨罗市委政法委员会下设政策研究室、执法监督室、综治督导室、维稳指导室、政治安全室、政工室等六个科室。现有编制30人，退休7人，实有在岗人数2</w:t>
      </w:r>
      <w:r>
        <w:rPr>
          <w:rFonts w:hint="eastAsia" w:ascii="仿宋" w:hAnsi="仿宋" w:eastAsia="仿宋" w:cs="仿宋"/>
          <w:spacing w:val="-6"/>
          <w:sz w:val="32"/>
          <w:szCs w:val="32"/>
          <w:lang w:val="en-US" w:eastAsia="zh-CN"/>
        </w:rPr>
        <w:t>6</w:t>
      </w:r>
      <w:r>
        <w:rPr>
          <w:rFonts w:hint="eastAsia" w:ascii="仿宋" w:hAnsi="仿宋" w:eastAsia="仿宋" w:cs="仿宋"/>
          <w:spacing w:val="-6"/>
          <w:sz w:val="32"/>
          <w:szCs w:val="32"/>
        </w:rPr>
        <w:t>人。</w:t>
      </w:r>
    </w:p>
    <w:p w14:paraId="43B26F52">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仿宋" w:hAnsi="仿宋" w:eastAsia="仿宋" w:cs="仿宋"/>
          <w:spacing w:val="-6"/>
          <w:sz w:val="32"/>
          <w:szCs w:val="32"/>
        </w:rPr>
        <w:t>主要工作职责：</w:t>
      </w:r>
      <w:r>
        <w:rPr>
          <w:rFonts w:hint="eastAsia" w:asciiTheme="minorEastAsia" w:hAnsiTheme="minorEastAsia" w:eastAsiaTheme="minorEastAsia" w:cstheme="minorEastAsia"/>
          <w:i w:val="0"/>
          <w:iCs w:val="0"/>
          <w:caps w:val="0"/>
          <w:color w:val="555555"/>
          <w:spacing w:val="0"/>
          <w:sz w:val="30"/>
          <w:szCs w:val="30"/>
          <w:shd w:val="clear" w:color="auto" w:fill="FFFFFF"/>
        </w:rPr>
        <w:t>1、根据、党中央的路线、方针、政策和省委、市委和上级政法委决策部署，统一政法各单位的思想和行动；</w:t>
      </w:r>
    </w:p>
    <w:p w14:paraId="17C391A3">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2、协助市委研究制定全市政法工作的方针、政策，对全国政法工作作出全局性部署，并督促贯彻落实；</w:t>
      </w:r>
    </w:p>
    <w:p w14:paraId="76CDB569">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3、组织协调指导维护社会稳定的工作；</w:t>
      </w:r>
    </w:p>
    <w:p w14:paraId="03FEB69D">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4、支持和监督政法各单位依法行使职权，指导和协调政法各单位依法互相制约，密切配合；督促、推动大要案的查处工作，研究和协调有争议的重大、疑难案件；</w:t>
      </w:r>
    </w:p>
    <w:p w14:paraId="553DBFE9">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5、组织推动全市社会治安综合治理工作；</w:t>
      </w:r>
    </w:p>
    <w:p w14:paraId="4407E28C">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6、组织推动全市政法战线的调查和研究工作，推动全市政法工作改革；</w:t>
      </w:r>
    </w:p>
    <w:p w14:paraId="6323CB9F">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7、研究、指导政法队伍建设和政法和各单位领导班子建设，协助市委和市组织部考察、管理全市政法单位的有关领导干部；</w:t>
      </w:r>
    </w:p>
    <w:p w14:paraId="53024133">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i w:val="0"/>
          <w:iCs w:val="0"/>
          <w:caps w:val="0"/>
          <w:color w:val="555555"/>
          <w:spacing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8、协助纪检、监察单位查处政法单位领导干部违法犯罪的案件；</w:t>
      </w:r>
    </w:p>
    <w:p w14:paraId="5882BB3A">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3" w:lineRule="atLeast"/>
        <w:ind w:left="0" w:right="0" w:firstLine="420"/>
        <w:jc w:val="both"/>
        <w:rPr>
          <w:rFonts w:hint="eastAsia" w:asciiTheme="minorEastAsia" w:hAnsiTheme="minorEastAsia" w:eastAsiaTheme="minorEastAsia" w:cstheme="minorEastAsia"/>
          <w:color w:val="555555"/>
          <w:kern w:val="0"/>
          <w:sz w:val="30"/>
          <w:szCs w:val="30"/>
        </w:rPr>
      </w:pPr>
      <w:r>
        <w:rPr>
          <w:rFonts w:hint="eastAsia" w:asciiTheme="minorEastAsia" w:hAnsiTheme="minorEastAsia" w:eastAsiaTheme="minorEastAsia" w:cstheme="minorEastAsia"/>
          <w:i w:val="0"/>
          <w:iCs w:val="0"/>
          <w:caps w:val="0"/>
          <w:color w:val="555555"/>
          <w:spacing w:val="0"/>
          <w:sz w:val="30"/>
          <w:szCs w:val="30"/>
          <w:shd w:val="clear" w:color="auto" w:fill="FFFFFF"/>
        </w:rPr>
        <w:t>9、指导政法各单位的工作。</w:t>
      </w:r>
    </w:p>
    <w:p w14:paraId="290E1B13">
      <w:pPr>
        <w:spacing w:before="222" w:line="580" w:lineRule="exact"/>
        <w:ind w:left="560" w:firstLine="308" w:firstLineChars="100"/>
        <w:jc w:val="left"/>
        <w:rPr>
          <w:rFonts w:ascii="黑体" w:hAnsi="黑体" w:eastAsia="黑体" w:cs="黑体"/>
          <w:sz w:val="32"/>
          <w:szCs w:val="32"/>
        </w:rPr>
      </w:pPr>
      <w:r>
        <w:rPr>
          <w:rFonts w:hint="eastAsia" w:ascii="仿宋" w:hAnsi="仿宋" w:eastAsia="仿宋" w:cs="仿宋"/>
          <w:spacing w:val="-6"/>
          <w:sz w:val="32"/>
          <w:szCs w:val="32"/>
          <w:lang w:val="en-US" w:eastAsia="zh-CN"/>
        </w:rPr>
        <w:t xml:space="preserve"> </w:t>
      </w:r>
      <w:r>
        <w:rPr>
          <w:rFonts w:ascii="黑体" w:hAnsi="黑体" w:eastAsia="黑体" w:cs="黑体"/>
          <w:spacing w:val="-1"/>
          <w:position w:val="19"/>
          <w:sz w:val="32"/>
          <w:szCs w:val="32"/>
        </w:rPr>
        <w:t>二、一般公共预算支出情况</w:t>
      </w:r>
    </w:p>
    <w:p w14:paraId="62BA17FE">
      <w:pPr>
        <w:pStyle w:val="2"/>
        <w:spacing w:before="1" w:line="225" w:lineRule="auto"/>
        <w:ind w:left="750"/>
        <w:jc w:val="left"/>
        <w:rPr>
          <w:rFonts w:hint="eastAsia" w:eastAsia="仿宋"/>
          <w:spacing w:val="-13"/>
          <w:sz w:val="32"/>
          <w:szCs w:val="32"/>
          <w:lang w:eastAsia="zh-CN"/>
        </w:rPr>
      </w:pPr>
      <w:r>
        <w:rPr>
          <w:rFonts w:ascii="楷体" w:hAnsi="楷体" w:eastAsia="楷体" w:cs="楷体"/>
          <w:spacing w:val="-13"/>
          <w:sz w:val="32"/>
          <w:szCs w:val="32"/>
        </w:rPr>
        <w:t>(</w:t>
      </w:r>
      <w:r>
        <w:rPr>
          <w:rFonts w:ascii="楷体" w:hAnsi="楷体" w:eastAsia="楷体" w:cs="楷体"/>
          <w:spacing w:val="-68"/>
          <w:sz w:val="32"/>
          <w:szCs w:val="32"/>
        </w:rPr>
        <w:t xml:space="preserve"> </w:t>
      </w:r>
      <w:r>
        <w:rPr>
          <w:rFonts w:ascii="楷体" w:hAnsi="楷体" w:eastAsia="楷体" w:cs="楷体"/>
          <w:spacing w:val="-13"/>
          <w:sz w:val="32"/>
          <w:szCs w:val="32"/>
        </w:rPr>
        <w:t>一</w:t>
      </w:r>
      <w:r>
        <w:rPr>
          <w:rFonts w:ascii="楷体" w:hAnsi="楷体" w:eastAsia="楷体" w:cs="楷体"/>
          <w:spacing w:val="-78"/>
          <w:sz w:val="32"/>
          <w:szCs w:val="32"/>
        </w:rPr>
        <w:t xml:space="preserve"> </w:t>
      </w:r>
      <w:r>
        <w:rPr>
          <w:rFonts w:ascii="楷体" w:hAnsi="楷体" w:eastAsia="楷体" w:cs="楷体"/>
          <w:spacing w:val="-13"/>
          <w:sz w:val="32"/>
          <w:szCs w:val="32"/>
        </w:rPr>
        <w:t>)</w:t>
      </w:r>
      <w:r>
        <w:rPr>
          <w:rFonts w:ascii="楷体" w:hAnsi="楷体" w:eastAsia="楷体" w:cs="楷体"/>
          <w:spacing w:val="-76"/>
          <w:sz w:val="32"/>
          <w:szCs w:val="32"/>
        </w:rPr>
        <w:t xml:space="preserve"> </w:t>
      </w:r>
      <w:r>
        <w:rPr>
          <w:spacing w:val="-13"/>
          <w:sz w:val="32"/>
          <w:szCs w:val="32"/>
        </w:rPr>
        <w:t>基本支出情况</w:t>
      </w:r>
      <w:r>
        <w:rPr>
          <w:rFonts w:hint="eastAsia"/>
          <w:spacing w:val="-13"/>
          <w:sz w:val="32"/>
          <w:szCs w:val="32"/>
          <w:lang w:val="en-US" w:eastAsia="zh-CN"/>
        </w:rPr>
        <w:t xml:space="preserve"> </w:t>
      </w:r>
    </w:p>
    <w:p w14:paraId="5E5BE4B4">
      <w:pPr>
        <w:pStyle w:val="2"/>
        <w:spacing w:before="1" w:line="225" w:lineRule="auto"/>
        <w:ind w:left="750"/>
        <w:jc w:val="left"/>
        <w:rPr>
          <w:rFonts w:hint="eastAsia"/>
          <w:spacing w:val="-13"/>
          <w:sz w:val="32"/>
          <w:szCs w:val="32"/>
        </w:rPr>
      </w:pPr>
      <w:r>
        <w:rPr>
          <w:rFonts w:hint="eastAsia"/>
          <w:spacing w:val="-13"/>
          <w:sz w:val="32"/>
          <w:szCs w:val="32"/>
        </w:rPr>
        <w:t>我委基本支出37</w:t>
      </w:r>
      <w:r>
        <w:rPr>
          <w:rFonts w:hint="eastAsia"/>
          <w:spacing w:val="-13"/>
          <w:sz w:val="32"/>
          <w:szCs w:val="32"/>
          <w:lang w:val="en-US" w:eastAsia="zh-CN"/>
        </w:rPr>
        <w:t>3.42</w:t>
      </w:r>
      <w:r>
        <w:rPr>
          <w:rFonts w:hint="eastAsia"/>
          <w:spacing w:val="-13"/>
          <w:sz w:val="32"/>
          <w:szCs w:val="32"/>
        </w:rPr>
        <w:t>万元，其中人员支出3</w:t>
      </w:r>
      <w:r>
        <w:rPr>
          <w:rFonts w:hint="eastAsia"/>
          <w:spacing w:val="-13"/>
          <w:sz w:val="32"/>
          <w:szCs w:val="32"/>
          <w:lang w:val="en-US" w:eastAsia="zh-CN"/>
        </w:rPr>
        <w:t>13.21</w:t>
      </w:r>
      <w:r>
        <w:rPr>
          <w:rFonts w:hint="eastAsia"/>
          <w:spacing w:val="-13"/>
          <w:sz w:val="32"/>
          <w:szCs w:val="32"/>
        </w:rPr>
        <w:t>万元，主要用于人员工资及社会保障缴费等；日常公用支出</w:t>
      </w:r>
      <w:r>
        <w:rPr>
          <w:rFonts w:hint="eastAsia"/>
          <w:spacing w:val="-13"/>
          <w:sz w:val="32"/>
          <w:szCs w:val="32"/>
          <w:lang w:val="en-US" w:eastAsia="zh-CN"/>
        </w:rPr>
        <w:t>60.21</w:t>
      </w:r>
      <w:r>
        <w:rPr>
          <w:rFonts w:hint="eastAsia"/>
          <w:spacing w:val="-13"/>
          <w:sz w:val="32"/>
          <w:szCs w:val="32"/>
        </w:rPr>
        <w:t>万元，主要用于单位日常运行费用。202</w:t>
      </w:r>
      <w:r>
        <w:rPr>
          <w:rFonts w:hint="eastAsia"/>
          <w:spacing w:val="-13"/>
          <w:sz w:val="32"/>
          <w:szCs w:val="32"/>
          <w:lang w:val="en-US" w:eastAsia="zh-CN"/>
        </w:rPr>
        <w:t>3</w:t>
      </w:r>
      <w:r>
        <w:rPr>
          <w:rFonts w:hint="eastAsia"/>
          <w:spacing w:val="-13"/>
          <w:sz w:val="32"/>
          <w:szCs w:val="32"/>
        </w:rPr>
        <w:t>年度单位“三公”经费支出合计为</w:t>
      </w:r>
      <w:r>
        <w:rPr>
          <w:rFonts w:hint="eastAsia"/>
          <w:spacing w:val="-13"/>
          <w:sz w:val="32"/>
          <w:szCs w:val="32"/>
          <w:lang w:val="en-US" w:eastAsia="zh-CN"/>
        </w:rPr>
        <w:t>4.23</w:t>
      </w:r>
      <w:r>
        <w:rPr>
          <w:rFonts w:hint="eastAsia"/>
          <w:spacing w:val="-13"/>
          <w:sz w:val="32"/>
          <w:szCs w:val="32"/>
        </w:rPr>
        <w:t>万元，其中：公务接待费</w:t>
      </w:r>
      <w:r>
        <w:rPr>
          <w:rFonts w:hint="eastAsia"/>
          <w:spacing w:val="-13"/>
          <w:sz w:val="32"/>
          <w:szCs w:val="32"/>
          <w:lang w:val="en-US" w:eastAsia="zh-CN"/>
        </w:rPr>
        <w:t>4.23</w:t>
      </w:r>
      <w:r>
        <w:rPr>
          <w:rFonts w:hint="eastAsia"/>
          <w:spacing w:val="-13"/>
          <w:sz w:val="32"/>
          <w:szCs w:val="32"/>
        </w:rPr>
        <w:t>万元</w:t>
      </w:r>
      <w:r>
        <w:rPr>
          <w:rFonts w:hint="eastAsia"/>
          <w:spacing w:val="-13"/>
          <w:sz w:val="32"/>
          <w:szCs w:val="32"/>
          <w:lang w:eastAsia="zh-CN"/>
        </w:rPr>
        <w:t>，</w:t>
      </w:r>
      <w:r>
        <w:rPr>
          <w:rFonts w:hint="eastAsia"/>
          <w:spacing w:val="-13"/>
          <w:sz w:val="32"/>
          <w:szCs w:val="32"/>
          <w:lang w:val="en-US" w:eastAsia="zh-CN"/>
        </w:rPr>
        <w:t>2022年度4.3万元；水电费、差旅费支出9.25万元，预算支出11.25万元，2022年决算支出7.45万元；会议、培训费决算支出5万元，预算支出4.62万元。政府性采购支出11.9万元，预算支出12万元</w:t>
      </w:r>
      <w:r>
        <w:rPr>
          <w:rFonts w:hint="eastAsia"/>
          <w:spacing w:val="-13"/>
          <w:sz w:val="32"/>
          <w:szCs w:val="32"/>
        </w:rPr>
        <w:t>；无公车购置费；无出国境费用开支。</w:t>
      </w:r>
      <w:r>
        <w:rPr>
          <w:rFonts w:hint="eastAsia"/>
          <w:spacing w:val="-13"/>
          <w:sz w:val="32"/>
          <w:szCs w:val="32"/>
          <w:lang w:eastAsia="zh-CN"/>
        </w:rPr>
        <w:t>部门基本支出预算资金</w:t>
      </w:r>
      <w:r>
        <w:rPr>
          <w:rFonts w:hint="eastAsia"/>
          <w:spacing w:val="-13"/>
          <w:sz w:val="32"/>
          <w:szCs w:val="32"/>
          <w:lang w:val="en-US" w:eastAsia="zh-CN"/>
        </w:rPr>
        <w:t>346.59万元，决算资金373.42万元。</w:t>
      </w:r>
      <w:r>
        <w:rPr>
          <w:rFonts w:hint="eastAsia"/>
          <w:spacing w:val="-13"/>
          <w:sz w:val="32"/>
          <w:szCs w:val="32"/>
        </w:rPr>
        <w:t>在机关日常管理中认真贯彻执行党中央、国务院厉行节约精神，采取有效措施严格控制和压缩经费支出。</w:t>
      </w:r>
    </w:p>
    <w:p w14:paraId="09EC12AC">
      <w:pPr>
        <w:pStyle w:val="2"/>
        <w:spacing w:before="219" w:line="226" w:lineRule="auto"/>
        <w:ind w:left="779"/>
        <w:jc w:val="left"/>
        <w:rPr>
          <w:sz w:val="32"/>
          <w:szCs w:val="32"/>
        </w:rPr>
      </w:pPr>
      <w:r>
        <w:rPr>
          <w:rFonts w:ascii="楷体" w:hAnsi="楷体" w:eastAsia="楷体" w:cs="楷体"/>
          <w:spacing w:val="5"/>
          <w:sz w:val="32"/>
          <w:szCs w:val="32"/>
        </w:rPr>
        <w:t>(二)</w:t>
      </w:r>
      <w:r>
        <w:rPr>
          <w:rFonts w:ascii="楷体" w:hAnsi="楷体" w:eastAsia="楷体" w:cs="楷体"/>
          <w:spacing w:val="-73"/>
          <w:sz w:val="32"/>
          <w:szCs w:val="32"/>
        </w:rPr>
        <w:t xml:space="preserve"> </w:t>
      </w:r>
      <w:r>
        <w:rPr>
          <w:spacing w:val="5"/>
          <w:sz w:val="32"/>
          <w:szCs w:val="32"/>
        </w:rPr>
        <w:t>项目支出情况</w:t>
      </w:r>
    </w:p>
    <w:p w14:paraId="0CA84BCC">
      <w:pPr>
        <w:pStyle w:val="2"/>
        <w:spacing w:before="1" w:line="225" w:lineRule="auto"/>
        <w:ind w:left="750"/>
        <w:jc w:val="left"/>
        <w:rPr>
          <w:rFonts w:hint="eastAsia"/>
          <w:spacing w:val="-13"/>
          <w:sz w:val="32"/>
          <w:szCs w:val="32"/>
        </w:rPr>
      </w:pPr>
      <w:r>
        <w:rPr>
          <w:rFonts w:hint="eastAsia"/>
          <w:spacing w:val="-13"/>
          <w:sz w:val="32"/>
          <w:szCs w:val="32"/>
          <w:lang w:val="en-US" w:eastAsia="zh-CN"/>
        </w:rPr>
        <w:t xml:space="preserve"> </w:t>
      </w:r>
      <w:r>
        <w:rPr>
          <w:rFonts w:hint="eastAsia"/>
          <w:spacing w:val="-13"/>
          <w:sz w:val="32"/>
          <w:szCs w:val="32"/>
        </w:rPr>
        <w:t>1、专项资金安排落实、总投入等情况分析</w:t>
      </w:r>
    </w:p>
    <w:p w14:paraId="0EF8E22E">
      <w:pPr>
        <w:pStyle w:val="2"/>
        <w:spacing w:before="1" w:line="225" w:lineRule="auto"/>
        <w:ind w:left="750"/>
        <w:jc w:val="left"/>
        <w:rPr>
          <w:rFonts w:hint="default"/>
          <w:sz w:val="32"/>
          <w:szCs w:val="32"/>
          <w:lang w:val="en-US"/>
        </w:rPr>
      </w:pPr>
      <w:r>
        <w:rPr>
          <w:rFonts w:hint="eastAsia"/>
          <w:spacing w:val="-13"/>
          <w:sz w:val="32"/>
          <w:szCs w:val="32"/>
        </w:rPr>
        <w:t>专项资金安排</w:t>
      </w:r>
      <w:r>
        <w:rPr>
          <w:rFonts w:hint="eastAsia"/>
          <w:spacing w:val="-13"/>
          <w:sz w:val="32"/>
          <w:szCs w:val="32"/>
          <w:lang w:val="en-US" w:eastAsia="zh-CN"/>
        </w:rPr>
        <w:t>668.34</w:t>
      </w:r>
      <w:r>
        <w:rPr>
          <w:rFonts w:hint="eastAsia"/>
          <w:spacing w:val="-13"/>
          <w:sz w:val="32"/>
          <w:szCs w:val="32"/>
        </w:rPr>
        <w:t>万元，主要用于平安创建经费</w:t>
      </w:r>
      <w:r>
        <w:rPr>
          <w:rFonts w:hint="eastAsia"/>
          <w:spacing w:val="-13"/>
          <w:sz w:val="32"/>
          <w:szCs w:val="32"/>
          <w:lang w:val="en-US" w:eastAsia="zh-CN"/>
        </w:rPr>
        <w:t>25.97万元</w:t>
      </w:r>
      <w:r>
        <w:rPr>
          <w:rFonts w:hint="eastAsia"/>
          <w:spacing w:val="-13"/>
          <w:sz w:val="32"/>
          <w:szCs w:val="32"/>
        </w:rPr>
        <w:t>，综治民调</w:t>
      </w:r>
      <w:r>
        <w:rPr>
          <w:rFonts w:hint="eastAsia"/>
          <w:spacing w:val="-13"/>
          <w:sz w:val="32"/>
          <w:szCs w:val="32"/>
          <w:lang w:val="en-US" w:eastAsia="zh-CN"/>
        </w:rPr>
        <w:t>54.59万元</w:t>
      </w:r>
      <w:r>
        <w:rPr>
          <w:rFonts w:hint="eastAsia"/>
          <w:spacing w:val="-13"/>
          <w:sz w:val="32"/>
          <w:szCs w:val="32"/>
        </w:rPr>
        <w:t>，维稳协调经费</w:t>
      </w:r>
      <w:r>
        <w:rPr>
          <w:rFonts w:hint="eastAsia"/>
          <w:spacing w:val="-13"/>
          <w:sz w:val="32"/>
          <w:szCs w:val="32"/>
          <w:lang w:val="en-US" w:eastAsia="zh-CN"/>
        </w:rPr>
        <w:t>222.29万元</w:t>
      </w:r>
      <w:r>
        <w:rPr>
          <w:rFonts w:hint="eastAsia"/>
          <w:spacing w:val="-13"/>
          <w:sz w:val="32"/>
          <w:szCs w:val="32"/>
        </w:rPr>
        <w:t xml:space="preserve"> ，扫黑除恶</w:t>
      </w:r>
      <w:r>
        <w:rPr>
          <w:rFonts w:hint="eastAsia"/>
          <w:spacing w:val="-13"/>
          <w:sz w:val="32"/>
          <w:szCs w:val="32"/>
          <w:lang w:val="en-US" w:eastAsia="zh-CN"/>
        </w:rPr>
        <w:t>25万元</w:t>
      </w:r>
      <w:r>
        <w:rPr>
          <w:rFonts w:hint="eastAsia"/>
          <w:spacing w:val="-13"/>
          <w:sz w:val="32"/>
          <w:szCs w:val="32"/>
        </w:rPr>
        <w:t>、精神病患者保险费</w:t>
      </w:r>
      <w:r>
        <w:rPr>
          <w:rFonts w:hint="eastAsia"/>
          <w:spacing w:val="-13"/>
          <w:sz w:val="32"/>
          <w:szCs w:val="32"/>
          <w:lang w:val="en-US" w:eastAsia="zh-CN"/>
        </w:rPr>
        <w:t>25万元</w:t>
      </w:r>
      <w:r>
        <w:rPr>
          <w:rFonts w:hint="eastAsia"/>
          <w:spacing w:val="-13"/>
          <w:sz w:val="32"/>
          <w:szCs w:val="32"/>
        </w:rPr>
        <w:t>、司法救助</w:t>
      </w:r>
      <w:r>
        <w:rPr>
          <w:rFonts w:hint="eastAsia"/>
          <w:spacing w:val="-13"/>
          <w:sz w:val="32"/>
          <w:szCs w:val="32"/>
          <w:lang w:val="en-US" w:eastAsia="zh-CN"/>
        </w:rPr>
        <w:t>47.68万元</w:t>
      </w:r>
      <w:r>
        <w:rPr>
          <w:rFonts w:hint="eastAsia"/>
          <w:spacing w:val="-13"/>
          <w:sz w:val="32"/>
          <w:szCs w:val="32"/>
        </w:rPr>
        <w:t>、</w:t>
      </w:r>
      <w:r>
        <w:rPr>
          <w:rFonts w:hint="eastAsia"/>
          <w:spacing w:val="-13"/>
          <w:sz w:val="32"/>
          <w:szCs w:val="32"/>
          <w:lang w:eastAsia="zh-CN"/>
        </w:rPr>
        <w:t>岳阳市综治奖金</w:t>
      </w:r>
      <w:r>
        <w:rPr>
          <w:rFonts w:hint="eastAsia"/>
          <w:spacing w:val="-13"/>
          <w:sz w:val="32"/>
          <w:szCs w:val="32"/>
          <w:lang w:val="en-US" w:eastAsia="zh-CN"/>
        </w:rPr>
        <w:t>8万元，政法委专项经费51.31万元用于网格化管理等支出，11.18爆炸案建处理经费1.5万元，国际龙舟赛经费200万元，防老人诈骗经费12万元，反电信诈骗15万元。</w:t>
      </w:r>
    </w:p>
    <w:p w14:paraId="04D6D433">
      <w:pPr>
        <w:numPr>
          <w:ilvl w:val="0"/>
          <w:numId w:val="0"/>
        </w:numPr>
        <w:spacing w:before="204" w:line="222" w:lineRule="auto"/>
        <w:ind w:left="840" w:leftChars="0" w:firstLine="0" w:firstLineChars="0"/>
        <w:jc w:val="left"/>
        <w:rPr>
          <w:rFonts w:ascii="黑体" w:hAnsi="黑体" w:eastAsia="黑体" w:cs="黑体"/>
          <w:b/>
          <w:bCs/>
          <w:spacing w:val="-13"/>
          <w:sz w:val="32"/>
          <w:szCs w:val="32"/>
        </w:rPr>
      </w:pPr>
      <w:r>
        <w:rPr>
          <w:rFonts w:hint="eastAsia" w:ascii="黑体" w:hAnsi="黑体" w:eastAsia="黑体" w:cs="黑体"/>
          <w:b/>
          <w:bCs/>
          <w:snapToGrid w:val="0"/>
          <w:color w:val="000000"/>
          <w:spacing w:val="-13"/>
          <w:kern w:val="0"/>
          <w:sz w:val="32"/>
          <w:szCs w:val="32"/>
          <w:lang w:val="en-US" w:eastAsia="zh-CN" w:bidi="ar-SA"/>
        </w:rPr>
        <w:t>三</w:t>
      </w:r>
      <w:r>
        <w:rPr>
          <w:rFonts w:hint="eastAsia" w:ascii="黑体" w:hAnsi="黑体" w:eastAsia="黑体" w:cs="黑体"/>
          <w:b/>
          <w:bCs/>
          <w:snapToGrid w:val="0"/>
          <w:color w:val="000000"/>
          <w:spacing w:val="-13"/>
          <w:kern w:val="0"/>
          <w:sz w:val="32"/>
          <w:szCs w:val="32"/>
          <w:lang w:val="en-US" w:eastAsia="en-US" w:bidi="ar-SA"/>
        </w:rPr>
        <w:t>、</w:t>
      </w:r>
      <w:r>
        <w:rPr>
          <w:rFonts w:ascii="黑体" w:hAnsi="黑体" w:eastAsia="黑体" w:cs="黑体"/>
          <w:b/>
          <w:bCs/>
          <w:spacing w:val="-13"/>
          <w:sz w:val="32"/>
          <w:szCs w:val="32"/>
        </w:rPr>
        <w:t>政府性基金预算支出情况</w:t>
      </w:r>
    </w:p>
    <w:p w14:paraId="473754BC">
      <w:pPr>
        <w:numPr>
          <w:ilvl w:val="0"/>
          <w:numId w:val="0"/>
        </w:numPr>
        <w:spacing w:before="204" w:line="222" w:lineRule="auto"/>
        <w:ind w:left="560" w:leftChars="0"/>
        <w:jc w:val="left"/>
        <w:rPr>
          <w:rFonts w:hint="eastAsia" w:ascii="仿宋" w:hAnsi="仿宋" w:eastAsia="仿宋" w:cs="仿宋"/>
          <w:b/>
          <w:bCs/>
          <w:spacing w:val="-13"/>
          <w:sz w:val="32"/>
          <w:szCs w:val="32"/>
          <w:lang w:val="en-US" w:eastAsia="zh-CN"/>
        </w:rPr>
      </w:pPr>
      <w:r>
        <w:rPr>
          <w:rFonts w:hint="eastAsia" w:ascii="仿宋" w:hAnsi="仿宋" w:eastAsia="仿宋" w:cs="仿宋"/>
          <w:b/>
          <w:bCs/>
          <w:spacing w:val="-13"/>
          <w:sz w:val="32"/>
          <w:szCs w:val="32"/>
          <w:lang w:val="en-US" w:eastAsia="zh-CN"/>
        </w:rPr>
        <w:t>本部门无政府性基金预算支出。</w:t>
      </w:r>
    </w:p>
    <w:p w14:paraId="3CACFC08">
      <w:pPr>
        <w:numPr>
          <w:ilvl w:val="0"/>
          <w:numId w:val="1"/>
        </w:numPr>
        <w:spacing w:before="226" w:line="590" w:lineRule="exact"/>
        <w:ind w:left="840" w:leftChars="0" w:firstLine="0" w:firstLineChars="0"/>
        <w:jc w:val="left"/>
        <w:rPr>
          <w:rFonts w:ascii="黑体" w:hAnsi="黑体" w:eastAsia="黑体" w:cs="黑体"/>
          <w:b/>
          <w:bCs/>
          <w:spacing w:val="-14"/>
          <w:position w:val="19"/>
          <w:sz w:val="32"/>
          <w:szCs w:val="32"/>
        </w:rPr>
      </w:pPr>
      <w:r>
        <w:rPr>
          <w:rFonts w:ascii="黑体" w:hAnsi="黑体" w:eastAsia="黑体" w:cs="黑体"/>
          <w:b/>
          <w:bCs/>
          <w:spacing w:val="-14"/>
          <w:position w:val="19"/>
          <w:sz w:val="32"/>
          <w:szCs w:val="32"/>
        </w:rPr>
        <w:t>国有资本经营预算支出情况</w:t>
      </w:r>
    </w:p>
    <w:p w14:paraId="38E44135">
      <w:pPr>
        <w:numPr>
          <w:ilvl w:val="0"/>
          <w:numId w:val="0"/>
        </w:numPr>
        <w:spacing w:before="226" w:line="590" w:lineRule="exact"/>
        <w:ind w:firstLine="587" w:firstLineChars="200"/>
        <w:jc w:val="left"/>
        <w:rPr>
          <w:rFonts w:hint="eastAsia" w:ascii="仿宋" w:hAnsi="仿宋" w:eastAsia="仿宋" w:cs="仿宋"/>
          <w:b/>
          <w:bCs/>
          <w:spacing w:val="-14"/>
          <w:position w:val="19"/>
          <w:sz w:val="32"/>
          <w:szCs w:val="32"/>
          <w:lang w:eastAsia="zh-CN"/>
        </w:rPr>
      </w:pPr>
      <w:r>
        <w:rPr>
          <w:rFonts w:hint="eastAsia" w:ascii="仿宋" w:hAnsi="仿宋" w:eastAsia="仿宋" w:cs="仿宋"/>
          <w:b/>
          <w:bCs/>
          <w:spacing w:val="-14"/>
          <w:position w:val="19"/>
          <w:sz w:val="32"/>
          <w:szCs w:val="32"/>
          <w:lang w:eastAsia="zh-CN"/>
        </w:rPr>
        <w:t>本部门无国有资本经营预算支出。</w:t>
      </w:r>
    </w:p>
    <w:p w14:paraId="7BA1D2E4">
      <w:pPr>
        <w:numPr>
          <w:ilvl w:val="0"/>
          <w:numId w:val="2"/>
        </w:numPr>
        <w:spacing w:before="1" w:line="221" w:lineRule="auto"/>
        <w:ind w:left="840" w:leftChars="0" w:firstLineChars="0"/>
        <w:jc w:val="left"/>
        <w:rPr>
          <w:rFonts w:ascii="黑体" w:hAnsi="黑体" w:eastAsia="黑体" w:cs="黑体"/>
          <w:b/>
          <w:bCs/>
          <w:spacing w:val="-8"/>
          <w:sz w:val="32"/>
          <w:szCs w:val="32"/>
        </w:rPr>
      </w:pPr>
      <w:r>
        <w:rPr>
          <w:rFonts w:ascii="黑体" w:hAnsi="黑体" w:eastAsia="黑体" w:cs="黑体"/>
          <w:b/>
          <w:bCs/>
          <w:spacing w:val="-8"/>
          <w:sz w:val="32"/>
          <w:szCs w:val="32"/>
        </w:rPr>
        <w:t>社会保险基金预算支出情况</w:t>
      </w:r>
    </w:p>
    <w:p w14:paraId="788AE9DF">
      <w:pPr>
        <w:numPr>
          <w:ilvl w:val="0"/>
          <w:numId w:val="0"/>
        </w:numPr>
        <w:spacing w:before="1" w:line="221" w:lineRule="auto"/>
        <w:ind w:left="840" w:leftChars="0"/>
        <w:jc w:val="left"/>
        <w:rPr>
          <w:rFonts w:ascii="黑体" w:hAnsi="黑体" w:eastAsia="黑体" w:cs="黑体"/>
          <w:b/>
          <w:bCs/>
          <w:spacing w:val="-8"/>
          <w:sz w:val="32"/>
          <w:szCs w:val="32"/>
        </w:rPr>
      </w:pPr>
    </w:p>
    <w:p w14:paraId="400A9141">
      <w:pPr>
        <w:numPr>
          <w:ilvl w:val="0"/>
          <w:numId w:val="0"/>
        </w:numPr>
        <w:spacing w:before="1" w:line="221" w:lineRule="auto"/>
        <w:ind w:firstLine="611" w:firstLineChars="200"/>
        <w:jc w:val="left"/>
        <w:rPr>
          <w:rFonts w:hint="eastAsia" w:ascii="黑体" w:hAnsi="黑体" w:eastAsia="仿宋" w:cs="黑体"/>
          <w:b/>
          <w:bCs/>
          <w:spacing w:val="-8"/>
          <w:sz w:val="32"/>
          <w:szCs w:val="32"/>
          <w:lang w:eastAsia="zh-CN"/>
        </w:rPr>
      </w:pPr>
      <w:r>
        <w:rPr>
          <w:rFonts w:hint="eastAsia" w:ascii="仿宋" w:hAnsi="仿宋" w:eastAsia="仿宋" w:cs="仿宋"/>
          <w:b/>
          <w:bCs/>
          <w:spacing w:val="-8"/>
          <w:sz w:val="32"/>
          <w:szCs w:val="32"/>
          <w:lang w:eastAsia="zh-CN"/>
        </w:rPr>
        <w:t>本部门无</w:t>
      </w:r>
      <w:r>
        <w:rPr>
          <w:rFonts w:hint="eastAsia" w:ascii="仿宋" w:hAnsi="仿宋" w:eastAsia="仿宋" w:cs="仿宋"/>
          <w:b/>
          <w:bCs/>
          <w:spacing w:val="-8"/>
          <w:sz w:val="32"/>
          <w:szCs w:val="32"/>
        </w:rPr>
        <w:t>社会保险基金预算支出</w:t>
      </w:r>
      <w:r>
        <w:rPr>
          <w:rFonts w:hint="eastAsia" w:ascii="仿宋" w:hAnsi="仿宋" w:eastAsia="仿宋" w:cs="仿宋"/>
          <w:b/>
          <w:bCs/>
          <w:spacing w:val="-8"/>
          <w:sz w:val="32"/>
          <w:szCs w:val="32"/>
          <w:lang w:eastAsia="zh-CN"/>
        </w:rPr>
        <w:t>。</w:t>
      </w:r>
    </w:p>
    <w:p w14:paraId="2B3F5FA3">
      <w:pPr>
        <w:spacing w:before="245" w:line="221" w:lineRule="auto"/>
        <w:ind w:left="564"/>
        <w:jc w:val="left"/>
        <w:rPr>
          <w:rFonts w:ascii="黑体" w:hAnsi="黑体" w:eastAsia="黑体" w:cs="黑体"/>
          <w:sz w:val="32"/>
          <w:szCs w:val="32"/>
        </w:rPr>
      </w:pPr>
      <w:r>
        <w:rPr>
          <w:rFonts w:ascii="黑体" w:hAnsi="黑体" w:eastAsia="黑体" w:cs="黑体"/>
          <w:b/>
          <w:bCs/>
          <w:spacing w:val="-9"/>
          <w:sz w:val="32"/>
          <w:szCs w:val="32"/>
        </w:rPr>
        <w:t>六、部门整体支出绩效情况</w:t>
      </w:r>
    </w:p>
    <w:p w14:paraId="2F689F34">
      <w:pPr>
        <w:ind w:firstLine="572" w:firstLineChars="200"/>
        <w:jc w:val="left"/>
        <w:rPr>
          <w:rFonts w:hint="eastAsia" w:eastAsia="仿宋_GB2312"/>
          <w:color w:val="000000"/>
          <w:sz w:val="32"/>
          <w:szCs w:val="32"/>
          <w:lang w:val="en-US" w:eastAsia="zh-CN"/>
        </w:rPr>
      </w:pPr>
      <w:r>
        <w:rPr>
          <w:rFonts w:hint="eastAsia" w:ascii="仿宋" w:hAnsi="仿宋" w:eastAsia="仿宋" w:cs="仿宋"/>
          <w:spacing w:val="-17"/>
          <w:sz w:val="32"/>
          <w:szCs w:val="32"/>
          <w:lang w:val="en-US" w:eastAsia="zh-CN"/>
        </w:rPr>
        <w:t xml:space="preserve">  </w:t>
      </w:r>
      <w:r>
        <w:rPr>
          <w:rFonts w:hint="eastAsia" w:ascii="仿宋" w:hAnsi="仿宋" w:eastAsia="仿宋" w:cs="仿宋"/>
          <w:spacing w:val="-4"/>
          <w:sz w:val="32"/>
          <w:szCs w:val="32"/>
          <w:lang w:eastAsia="zh-CN"/>
        </w:rPr>
        <w:t>我部门一般公共预算的各项资金主要用途是确保单位的正常运转，严格执行市委市政府的各项制度，促进各项工作任务顺利完成。人员经费支出主要用于人员工资及社会保障缴费；公共支出主要用于日常运行费用；项目经费的使用严格按照专款专用。三公经费的使用严格控制在预算申报的范围内，严格落实厉行节约的原则。</w:t>
      </w:r>
      <w:r>
        <w:rPr>
          <w:rFonts w:hint="eastAsia" w:ascii="仿宋" w:hAnsi="仿宋" w:eastAsia="仿宋" w:cs="仿宋"/>
          <w:sz w:val="32"/>
          <w:szCs w:val="32"/>
        </w:rPr>
        <w:t>做好综治、涉法涉诉、信访案件处理、化解社会矛盾、反恐反邪教维护国家安全、“双创”等日常工作，推进法治汨罗建设。</w:t>
      </w:r>
      <w:r>
        <w:rPr>
          <w:rFonts w:eastAsia="仿宋_GB2312"/>
          <w:color w:val="000000"/>
          <w:sz w:val="32"/>
          <w:szCs w:val="32"/>
        </w:rPr>
        <w:t>2023年我市公众安全感测评成绩排名全省第16位，首次进入全省前20名，有望连续5年夺得湖南省平安建设工作先进县（市）称号。</w:t>
      </w:r>
      <w:r>
        <w:rPr>
          <w:rFonts w:hint="eastAsia" w:eastAsia="仿宋_GB2312"/>
          <w:color w:val="000000"/>
          <w:sz w:val="32"/>
          <w:szCs w:val="32"/>
          <w:lang w:val="en-US" w:eastAsia="zh-CN"/>
        </w:rPr>
        <w:t xml:space="preserve"> </w:t>
      </w:r>
    </w:p>
    <w:p w14:paraId="2B729345">
      <w:pPr>
        <w:ind w:firstLine="643" w:firstLineChars="200"/>
        <w:jc w:val="left"/>
        <w:rPr>
          <w:rFonts w:eastAsia="仿宋_GB2312"/>
          <w:color w:val="000000"/>
          <w:sz w:val="32"/>
          <w:szCs w:val="32"/>
        </w:rPr>
      </w:pPr>
      <w:r>
        <w:rPr>
          <w:rFonts w:eastAsia="楷体_GB2312"/>
          <w:b/>
          <w:color w:val="000000"/>
          <w:sz w:val="32"/>
          <w:szCs w:val="32"/>
        </w:rPr>
        <w:t>一、全力防范风险挑战，社会大局持续稳定。</w:t>
      </w:r>
      <w:r>
        <w:rPr>
          <w:rFonts w:eastAsia="仿宋_GB2312"/>
          <w:color w:val="000000"/>
          <w:sz w:val="32"/>
          <w:szCs w:val="32"/>
        </w:rPr>
        <w:t>将全力护航全市经济社会高质量发展作为政法工作压倒一切的中心任务，全力防范各类风险挑战，今年来未发生进京赴省集体访，未发生群体性事件、重特大刑事案件，无较大以上道路交通安全事故、无致人伤亡火灾事故，全市社会大局持续平安稳定。</w:t>
      </w:r>
      <w:r>
        <w:rPr>
          <w:rFonts w:eastAsia="仿宋_GB2312"/>
          <w:b/>
          <w:color w:val="000000"/>
          <w:sz w:val="32"/>
          <w:szCs w:val="32"/>
        </w:rPr>
        <w:t>一是全力确保政治安全。二是全力化解矛盾纠纷。三是全力确保社会稳定。</w:t>
      </w:r>
      <w:r>
        <w:rPr>
          <w:rFonts w:hint="eastAsia" w:eastAsia="仿宋_GB2312"/>
          <w:color w:val="000000"/>
          <w:sz w:val="32"/>
          <w:szCs w:val="32"/>
          <w:lang w:val="en-US" w:eastAsia="zh-CN"/>
        </w:rPr>
        <w:t xml:space="preserve"> </w:t>
      </w:r>
      <w:r>
        <w:rPr>
          <w:rFonts w:eastAsia="仿宋_GB2312"/>
          <w:color w:val="000000"/>
          <w:sz w:val="32"/>
          <w:szCs w:val="32"/>
        </w:rPr>
        <w:t>持续开展道路交通顽瘴痼疾整治等公共安全隐患整治行动，重拳整治摩、电、面“三车”违法问题，有效防范和遏制了较大及以上生产安全责任事故的发生。</w:t>
      </w:r>
    </w:p>
    <w:p w14:paraId="76B29652">
      <w:pPr>
        <w:ind w:firstLine="634"/>
        <w:jc w:val="left"/>
        <w:rPr>
          <w:rFonts w:eastAsia="仿宋_GB2312"/>
          <w:color w:val="000000"/>
          <w:sz w:val="32"/>
          <w:szCs w:val="32"/>
        </w:rPr>
      </w:pPr>
      <w:r>
        <w:rPr>
          <w:rFonts w:eastAsia="楷体_GB2312"/>
          <w:b/>
          <w:color w:val="000000"/>
          <w:sz w:val="32"/>
          <w:szCs w:val="32"/>
        </w:rPr>
        <w:t>二、不断创新社会治理，平安底色持续擦亮。</w:t>
      </w:r>
      <w:r>
        <w:rPr>
          <w:rFonts w:eastAsia="仿宋_GB2312"/>
          <w:color w:val="000000"/>
          <w:sz w:val="32"/>
          <w:szCs w:val="32"/>
        </w:rPr>
        <w:t>持续巩固平安县市创建成果，充分激发社会治理创新活力，持续擦亮平安汨罗底色。</w:t>
      </w:r>
      <w:r>
        <w:rPr>
          <w:rFonts w:eastAsia="仿宋_GB2312"/>
          <w:b/>
          <w:color w:val="000000"/>
          <w:sz w:val="32"/>
          <w:szCs w:val="32"/>
        </w:rPr>
        <w:t>一是健全矛调工作体系。</w:t>
      </w:r>
      <w:r>
        <w:rPr>
          <w:rFonts w:eastAsia="仿宋_GB2312"/>
          <w:color w:val="000000"/>
          <w:sz w:val="32"/>
          <w:szCs w:val="32"/>
        </w:rPr>
        <w:t>深入推进“一站式”矛盾纠纷多元化解平台建设，制定出台《汨罗市矛盾纠纷“六调联治”工作平台建设方案》《汨罗市社会矛盾纠纷多元化解办法》，建成高标准的市级矛盾纠纷多元化解指导服务中心（综治中心），负责对全市社会矛盾纠纷事项的统计、分析、研判，为镇村、部门矛盾纠纷调处化解工作提供有力的指导。</w:t>
      </w:r>
      <w:r>
        <w:rPr>
          <w:rFonts w:eastAsia="仿宋_GB2312"/>
          <w:b/>
          <w:color w:val="000000"/>
          <w:sz w:val="32"/>
          <w:szCs w:val="32"/>
        </w:rPr>
        <w:t>三是创新社会治理模式。</w:t>
      </w:r>
      <w:r>
        <w:rPr>
          <w:rFonts w:eastAsia="仿宋_GB2312"/>
          <w:color w:val="000000"/>
          <w:sz w:val="32"/>
          <w:szCs w:val="32"/>
        </w:rPr>
        <w:t>深入开展 “四无”村（社区）创建和平安乡镇、平安单位、平安企业、平安村（社区）等“十大平安创建”活动。不断巩固提升罗江镇“罗江夜话”、新市镇“元福新潮”、古培镇雨坛村“智慧乡村”、汨罗镇武夷山村“群众自治协会”等基层社会治理模式，以点带面，示范引领，人民群众的安全感、满意度持续提升。</w:t>
      </w:r>
      <w:r>
        <w:rPr>
          <w:rFonts w:eastAsia="仿宋_GB2312"/>
          <w:b/>
          <w:color w:val="000000"/>
          <w:sz w:val="32"/>
          <w:szCs w:val="32"/>
        </w:rPr>
        <w:t>三是构建共治共享格局。</w:t>
      </w:r>
      <w:r>
        <w:rPr>
          <w:rFonts w:eastAsia="仿宋_GB2312"/>
          <w:color w:val="000000"/>
          <w:sz w:val="32"/>
          <w:szCs w:val="32"/>
        </w:rPr>
        <w:t>加强“雪亮工程”建设，进一步建好建强公共安全视频监控系统，消除盲区、加强联网，落实好管理、运维机制。弘扬社会正气，营造群防群治社会氛围，共表彰奖励见义勇为先进人物5名。</w:t>
      </w:r>
    </w:p>
    <w:p w14:paraId="0C1C3541">
      <w:pPr>
        <w:ind w:firstLine="643" w:firstLineChars="200"/>
        <w:jc w:val="left"/>
        <w:rPr>
          <w:rFonts w:eastAsia="仿宋_GB2312"/>
          <w:color w:val="000000"/>
          <w:sz w:val="32"/>
          <w:szCs w:val="32"/>
        </w:rPr>
      </w:pPr>
      <w:r>
        <w:rPr>
          <w:rFonts w:eastAsia="楷体_GB2312"/>
          <w:b/>
          <w:color w:val="000000"/>
          <w:sz w:val="32"/>
          <w:szCs w:val="32"/>
        </w:rPr>
        <w:t>三、严厉惩治违法犯罪，治安环境持续优化。</w:t>
      </w:r>
      <w:r>
        <w:rPr>
          <w:rFonts w:eastAsia="仿宋_GB2312"/>
          <w:b/>
          <w:color w:val="000000"/>
          <w:sz w:val="32"/>
          <w:szCs w:val="32"/>
        </w:rPr>
        <w:t>一是常态开展扫黑除恶。</w:t>
      </w:r>
      <w:r>
        <w:rPr>
          <w:rFonts w:eastAsia="仿宋_GB2312"/>
          <w:color w:val="000000"/>
          <w:sz w:val="32"/>
          <w:szCs w:val="32"/>
        </w:rPr>
        <w:t>对信息网络、自然资源、交通运输、工程建设四大行业领域开展整治攻坚战，坚定不移把常态化扫黑除恶斗争进行到底，共立涉黑恶类案件50起，破案33起，打掉涉恶团伙2个，刑拘涉恶类犯罪嫌疑人14人。持续防范和整治“村霸”等黑恶势力，严格村支两委班子成员审核考察程序，全力扫清经济秩序和发展环境的各种障碍。</w:t>
      </w:r>
      <w:r>
        <w:rPr>
          <w:rFonts w:eastAsia="仿宋_GB2312"/>
          <w:b/>
          <w:color w:val="000000"/>
          <w:sz w:val="32"/>
          <w:szCs w:val="32"/>
        </w:rPr>
        <w:t>二是纵深推进专项治理。</w:t>
      </w:r>
      <w:r>
        <w:rPr>
          <w:rFonts w:eastAsia="仿宋_GB2312"/>
          <w:color w:val="000000"/>
          <w:sz w:val="32"/>
          <w:szCs w:val="32"/>
        </w:rPr>
        <w:t>深入开展治安打击整治行动，重拳打击扰乱社会治安、电信网络诈骗、养老诈骗、侵害未成年人合法权益的违法犯罪行为，依法严厉打击整治涉枪涉爆、卖淫嫖娼、吸毒贩毒、聚众赌博、电信网络诈骗、危害食品药品环境安全、非法集资和网络传销等违法犯罪行为，今年来，共立各类刑事案件1604起、破现行案件1225起、刑拘965人、移送起诉1063人。大力推进反诈工作，共破电诈及关联犯罪案件170起，刑拘265人，打掉“两卡”团伙7个，追缴违法所得3000余万元，押解回境涉诈嫌疑人30名，为群众挽损1000余万。深入推进禁毒工作，共破获毒品犯罪案件31起，刑事拘留85人，查获吸毒人员116人。盯紧民生案件办理，共立传统盗抢骗案件295起，破案114起、破案率38.64%，追赃挽损600余万元</w:t>
      </w:r>
      <w:r>
        <w:rPr>
          <w:rFonts w:eastAsia="仿宋_GB2312"/>
          <w:color w:val="000000"/>
          <w:kern w:val="0"/>
          <w:sz w:val="32"/>
          <w:szCs w:val="32"/>
        </w:rPr>
        <w:t>。</w:t>
      </w:r>
      <w:r>
        <w:rPr>
          <w:rFonts w:eastAsia="仿宋_GB2312"/>
          <w:b/>
          <w:color w:val="000000"/>
          <w:sz w:val="32"/>
          <w:szCs w:val="32"/>
        </w:rPr>
        <w:t>三是优化法治营商环境。</w:t>
      </w:r>
      <w:r>
        <w:rPr>
          <w:rFonts w:eastAsia="仿宋_GB2312"/>
          <w:color w:val="000000"/>
          <w:sz w:val="32"/>
          <w:szCs w:val="32"/>
        </w:rPr>
        <w:t>深入开展优化法治化营商环境专项行动，制定并下发了《汨罗市政法系统优化法治化营商环境三项专项行动工作方案》，理清工作思路，明确目标任务，大力整治五种涉企问题案件，依法打击五类侵害企业合法权益的违法犯罪行为，共摸排涉企民事、刑事、行政、执行等各类案件共6535起，起诉破坏市场经济秩序犯罪62人，起诉合同诈骗、侵犯知识产权等侵害企业利益犯罪43人，审结涉企案件1837件。开展政法系统优化法治化营商环境大调研大走访活动，政法各单位班子成员走访重点企业41家次，深入了解企业法律需求，用真情、用真心、用行动为企业帮扶纾困。</w:t>
      </w:r>
    </w:p>
    <w:p w14:paraId="730C9BA8">
      <w:pPr>
        <w:ind w:firstLine="643" w:firstLineChars="200"/>
        <w:jc w:val="left"/>
        <w:rPr>
          <w:rFonts w:eastAsia="楷体_GB2312"/>
          <w:b/>
          <w:color w:val="000000"/>
          <w:sz w:val="32"/>
          <w:szCs w:val="32"/>
        </w:rPr>
      </w:pPr>
      <w:r>
        <w:rPr>
          <w:rFonts w:eastAsia="楷体_GB2312"/>
          <w:b/>
          <w:color w:val="000000"/>
          <w:sz w:val="32"/>
          <w:szCs w:val="32"/>
        </w:rPr>
        <w:t>四、深化队伍素能建设，作风建设持续提升</w:t>
      </w:r>
    </w:p>
    <w:p w14:paraId="6F46B575">
      <w:pPr>
        <w:ind w:firstLine="640" w:firstLineChars="200"/>
        <w:jc w:val="left"/>
        <w:rPr>
          <w:rFonts w:eastAsia="仿宋_GB2312"/>
          <w:color w:val="000000"/>
          <w:sz w:val="32"/>
          <w:szCs w:val="32"/>
        </w:rPr>
      </w:pPr>
      <w:r>
        <w:rPr>
          <w:rFonts w:eastAsia="仿宋_GB2312"/>
          <w:color w:val="000000"/>
          <w:sz w:val="32"/>
          <w:szCs w:val="32"/>
        </w:rPr>
        <w:t>坚持全面从严管党治警，加快锻造一支政治过硬、本领高强、作风优良的政法铁军，确保党对政法工作的绝对领导落到实处。</w:t>
      </w:r>
      <w:r>
        <w:rPr>
          <w:rFonts w:eastAsia="仿宋_GB2312"/>
          <w:b/>
          <w:color w:val="000000"/>
          <w:sz w:val="32"/>
          <w:szCs w:val="32"/>
        </w:rPr>
        <w:t>一是深化政治建设。</w:t>
      </w:r>
      <w:r>
        <w:rPr>
          <w:rFonts w:eastAsia="仿宋_GB2312"/>
          <w:color w:val="000000"/>
          <w:sz w:val="32"/>
          <w:szCs w:val="32"/>
        </w:rPr>
        <w:t>强化政法队伍思想政治教育，把学习宣传贯彻党的二十大精神作为全市政法各单位当前和今后一个时期的首要政治任务，教育引导全市政法干警学深悟透习近平新时代中国特色社会主义思想，筑牢政治忠诚的思想根基。强化对政法干警政治素质的考察，突出选人用人政治标准，严肃党内政治生活，推进政治建警制度化、常态化、长效化，不断擦亮“政法姓党”的政治本色。</w:t>
      </w:r>
      <w:r>
        <w:rPr>
          <w:rFonts w:eastAsia="仿宋_GB2312"/>
          <w:b/>
          <w:color w:val="000000"/>
          <w:sz w:val="32"/>
          <w:szCs w:val="32"/>
        </w:rPr>
        <w:t>二是深化作风建设。</w:t>
      </w:r>
      <w:r>
        <w:rPr>
          <w:rFonts w:eastAsia="仿宋_GB2312"/>
          <w:color w:val="000000"/>
          <w:sz w:val="32"/>
          <w:szCs w:val="32"/>
        </w:rPr>
        <w:t>坚持严的基调不动摇，持续巩固教育整顿成果，强化党纪国法、警规警纪教育，大力整治司法领域顽瘴痼疾，锲而不舍纠治“四风”，进一步提高执法水平和公信力，永葆机关风清气正的政治生态。加快政法队伍专业化建设，全面提升干警法律政策运用、风险防控、群众工作、舆情引导能力，让广大政法干警在高质量发展中“坚决站头排，努力当示范”。</w:t>
      </w:r>
      <w:r>
        <w:rPr>
          <w:rFonts w:eastAsia="仿宋_GB2312"/>
          <w:b/>
          <w:color w:val="000000"/>
          <w:sz w:val="32"/>
          <w:szCs w:val="32"/>
        </w:rPr>
        <w:t>三是深化制度建设。</w:t>
      </w:r>
      <w:r>
        <w:rPr>
          <w:rFonts w:eastAsia="仿宋_GB2312"/>
          <w:color w:val="000000"/>
          <w:sz w:val="32"/>
          <w:szCs w:val="32"/>
        </w:rPr>
        <w:t>推进政法干警履职保障体系建设，健全落实轮岗交流、表彰激励、履职保护、抚恤优待等机制，增强政法干警职业荣誉感和归属感</w:t>
      </w:r>
      <w:r>
        <w:rPr>
          <w:rFonts w:hint="eastAsia" w:eastAsia="仿宋_GB2312"/>
          <w:color w:val="000000"/>
          <w:sz w:val="32"/>
          <w:szCs w:val="32"/>
          <w:lang w:eastAsia="zh-CN"/>
        </w:rPr>
        <w:t>。</w:t>
      </w:r>
      <w:r>
        <w:rPr>
          <w:rFonts w:eastAsia="仿宋_GB2312"/>
          <w:color w:val="000000"/>
          <w:sz w:val="32"/>
          <w:szCs w:val="32"/>
        </w:rPr>
        <w:t>弘扬英模精神，组织开展“十佳政法干警”等系列评先树优活动，推动在全社会形成尊崇政法职业、支持政法事业的良好风尚，激励广大政法干警担当作为、奋发有为。</w:t>
      </w:r>
    </w:p>
    <w:p w14:paraId="419B0571">
      <w:pPr>
        <w:pStyle w:val="10"/>
        <w:numPr>
          <w:ilvl w:val="0"/>
          <w:numId w:val="0"/>
        </w:numPr>
        <w:ind w:left="0" w:leftChars="0" w:firstLine="0" w:firstLineChars="0"/>
        <w:jc w:val="left"/>
        <w:rPr>
          <w:rFonts w:hint="default" w:eastAsia="仿宋"/>
          <w:spacing w:val="-4"/>
          <w:sz w:val="32"/>
          <w:szCs w:val="32"/>
          <w:lang w:val="en-US" w:eastAsia="zh-CN"/>
        </w:rPr>
      </w:pPr>
      <w:r>
        <w:rPr>
          <w:rFonts w:hint="eastAsia" w:eastAsia="仿宋_GB2312"/>
          <w:color w:val="000000"/>
          <w:sz w:val="32"/>
          <w:szCs w:val="32"/>
          <w:lang w:val="en-US" w:eastAsia="zh-CN"/>
        </w:rPr>
        <w:t xml:space="preserve"> </w:t>
      </w:r>
      <w:r>
        <w:rPr>
          <w:rFonts w:hint="eastAsia" w:ascii="仿宋" w:hAnsi="仿宋" w:eastAsia="仿宋" w:cs="仿宋"/>
          <w:snapToGrid w:val="0"/>
          <w:color w:val="000000"/>
          <w:kern w:val="0"/>
          <w:sz w:val="32"/>
          <w:szCs w:val="32"/>
          <w:lang w:val="en-US" w:eastAsia="zh-CN" w:bidi="ar-SA"/>
        </w:rPr>
        <w:t xml:space="preserve"> </w:t>
      </w:r>
      <w:r>
        <w:rPr>
          <w:rFonts w:hint="eastAsia" w:ascii="仿宋" w:hAnsi="仿宋" w:eastAsia="仿宋" w:cs="仿宋"/>
          <w:sz w:val="32"/>
          <w:szCs w:val="32"/>
          <w:lang w:eastAsia="zh-CN"/>
        </w:rPr>
        <w:t>本部门的预算资金严格控制在年度预算资金范围内，优化资源配置，提高财政资金使用效益，维护社会稳定，金融安全，扫黑除恶，保证大局的长治久安，提供司法救助，为诉讼中的困难者解决困难</w:t>
      </w:r>
      <w:r>
        <w:rPr>
          <w:rFonts w:hint="eastAsia" w:ascii="仿宋" w:hAnsi="仿宋" w:eastAsia="仿宋" w:cs="仿宋"/>
          <w:spacing w:val="-4"/>
          <w:sz w:val="32"/>
          <w:szCs w:val="32"/>
          <w:lang w:eastAsia="zh-CN"/>
        </w:rPr>
        <w:t>，形成</w:t>
      </w:r>
      <w:r>
        <w:rPr>
          <w:rFonts w:hint="eastAsia" w:ascii="仿宋" w:hAnsi="仿宋" w:eastAsia="仿宋" w:cs="仿宋"/>
          <w:spacing w:val="-4"/>
          <w:sz w:val="32"/>
          <w:szCs w:val="32"/>
          <w:lang w:val="en-US" w:eastAsia="zh-CN"/>
        </w:rPr>
        <w:t xml:space="preserve"> 风清气正的良好政治环境，加强全面治党，提升共产党执政形象，也让群众对政法党政机关执行力及服务更加满意</w:t>
      </w:r>
      <w:r>
        <w:rPr>
          <w:rFonts w:hint="eastAsia"/>
          <w:spacing w:val="-4"/>
          <w:sz w:val="32"/>
          <w:szCs w:val="32"/>
          <w:lang w:val="en-US" w:eastAsia="zh-CN"/>
        </w:rPr>
        <w:t>。</w:t>
      </w:r>
    </w:p>
    <w:p w14:paraId="2D0EB3AE">
      <w:pPr>
        <w:spacing w:before="233" w:line="222" w:lineRule="auto"/>
        <w:ind w:left="564"/>
        <w:jc w:val="left"/>
        <w:outlineLvl w:val="1"/>
        <w:rPr>
          <w:rFonts w:ascii="黑体" w:hAnsi="黑体" w:eastAsia="黑体" w:cs="黑体"/>
          <w:sz w:val="32"/>
          <w:szCs w:val="32"/>
        </w:rPr>
      </w:pPr>
      <w:r>
        <w:rPr>
          <w:rFonts w:hint="eastAsia" w:eastAsia="黑体"/>
          <w:spacing w:val="-4"/>
          <w:sz w:val="32"/>
          <w:szCs w:val="32"/>
          <w:lang w:val="en-US" w:eastAsia="zh-CN"/>
        </w:rPr>
        <w:t xml:space="preserve"> </w:t>
      </w:r>
      <w:r>
        <w:rPr>
          <w:rFonts w:ascii="黑体" w:hAnsi="黑体" w:eastAsia="黑体" w:cs="黑体"/>
          <w:b/>
          <w:bCs/>
          <w:spacing w:val="-7"/>
          <w:sz w:val="32"/>
          <w:szCs w:val="32"/>
        </w:rPr>
        <w:t>七、存在的问题及原因分析</w:t>
      </w:r>
    </w:p>
    <w:p w14:paraId="000E301A">
      <w:pPr>
        <w:pStyle w:val="2"/>
        <w:spacing w:before="197" w:line="348" w:lineRule="auto"/>
        <w:ind w:right="349" w:firstLine="560"/>
        <w:jc w:val="left"/>
        <w:rPr>
          <w:rFonts w:hint="eastAsia"/>
          <w:spacing w:val="-7"/>
          <w:sz w:val="32"/>
          <w:szCs w:val="32"/>
        </w:rPr>
      </w:pPr>
      <w:r>
        <w:rPr>
          <w:rFonts w:hint="eastAsia"/>
          <w:spacing w:val="-7"/>
          <w:sz w:val="32"/>
          <w:szCs w:val="32"/>
        </w:rPr>
        <w:t>尽管我单位的部门整体绩效评价工作取得了一定的成绩，但也存在一些问题和不足。</w:t>
      </w:r>
    </w:p>
    <w:p w14:paraId="215D2D69">
      <w:pPr>
        <w:pStyle w:val="2"/>
        <w:spacing w:before="197" w:line="348" w:lineRule="auto"/>
        <w:ind w:right="349" w:firstLine="560"/>
        <w:jc w:val="left"/>
        <w:rPr>
          <w:rFonts w:hint="eastAsia"/>
          <w:spacing w:val="-7"/>
          <w:sz w:val="32"/>
          <w:szCs w:val="32"/>
        </w:rPr>
      </w:pPr>
      <w:r>
        <w:rPr>
          <w:rFonts w:hint="eastAsia"/>
          <w:spacing w:val="-7"/>
          <w:sz w:val="32"/>
          <w:szCs w:val="32"/>
        </w:rPr>
        <w:t xml:space="preserve">  1、机关制度不健全，合理性有待进一步提高。</w:t>
      </w:r>
    </w:p>
    <w:p w14:paraId="06635C25">
      <w:pPr>
        <w:pStyle w:val="2"/>
        <w:spacing w:before="197" w:line="348" w:lineRule="auto"/>
        <w:ind w:right="349" w:firstLine="560"/>
        <w:jc w:val="left"/>
        <w:rPr>
          <w:rFonts w:hint="eastAsia"/>
          <w:spacing w:val="-7"/>
          <w:sz w:val="32"/>
          <w:szCs w:val="32"/>
        </w:rPr>
      </w:pPr>
      <w:r>
        <w:rPr>
          <w:rFonts w:hint="eastAsia"/>
          <w:spacing w:val="-7"/>
          <w:sz w:val="32"/>
          <w:szCs w:val="32"/>
        </w:rPr>
        <w:t xml:space="preserve">  2、我单位财政拨款经费整体偏低，特别是一般性公用支出部分的基数标准与实际日常运转费用存在相当大的差距。为保证机关正常运转，只能适当调整部分经费。</w:t>
      </w:r>
    </w:p>
    <w:p w14:paraId="4968F170">
      <w:pPr>
        <w:pStyle w:val="2"/>
        <w:spacing w:before="197" w:line="348" w:lineRule="auto"/>
        <w:ind w:right="349" w:firstLine="560"/>
        <w:jc w:val="left"/>
        <w:rPr>
          <w:rFonts w:ascii="黑体" w:hAnsi="黑体" w:eastAsia="黑体" w:cs="黑体"/>
          <w:spacing w:val="-14"/>
          <w:sz w:val="32"/>
          <w:szCs w:val="32"/>
        </w:rPr>
      </w:pPr>
      <w:r>
        <w:rPr>
          <w:rFonts w:hint="eastAsia" w:eastAsia="黑体"/>
          <w:spacing w:val="-7"/>
          <w:sz w:val="32"/>
          <w:szCs w:val="32"/>
          <w:lang w:val="en-US" w:eastAsia="zh-CN"/>
        </w:rPr>
        <w:t xml:space="preserve">  </w:t>
      </w:r>
      <w:r>
        <w:rPr>
          <w:rFonts w:ascii="黑体" w:hAnsi="黑体" w:eastAsia="黑体" w:cs="黑体"/>
          <w:spacing w:val="-14"/>
          <w:sz w:val="32"/>
          <w:szCs w:val="32"/>
        </w:rPr>
        <w:t>八</w:t>
      </w:r>
      <w:r>
        <w:rPr>
          <w:rFonts w:ascii="黑体" w:hAnsi="黑体" w:eastAsia="黑体" w:cs="黑体"/>
          <w:spacing w:val="-80"/>
          <w:sz w:val="32"/>
          <w:szCs w:val="32"/>
        </w:rPr>
        <w:t xml:space="preserve"> </w:t>
      </w:r>
      <w:r>
        <w:rPr>
          <w:rFonts w:ascii="黑体" w:hAnsi="黑体" w:eastAsia="黑体" w:cs="黑体"/>
          <w:spacing w:val="-14"/>
          <w:sz w:val="32"/>
          <w:szCs w:val="32"/>
        </w:rPr>
        <w:t>、下一步改进措施</w:t>
      </w:r>
    </w:p>
    <w:p w14:paraId="5864CDCF">
      <w:pPr>
        <w:pStyle w:val="2"/>
        <w:spacing w:before="197" w:line="348" w:lineRule="auto"/>
        <w:ind w:right="349" w:firstLine="560"/>
        <w:jc w:val="left"/>
        <w:rPr>
          <w:rFonts w:hint="eastAsia"/>
          <w:spacing w:val="-7"/>
          <w:sz w:val="32"/>
          <w:szCs w:val="32"/>
        </w:rPr>
      </w:pPr>
      <w:r>
        <w:rPr>
          <w:rFonts w:hint="eastAsia"/>
          <w:spacing w:val="-7"/>
          <w:sz w:val="32"/>
          <w:szCs w:val="32"/>
        </w:rPr>
        <w:t xml:space="preserve"> 1、规范管理，继续建立健全各项规章制度</w:t>
      </w:r>
    </w:p>
    <w:p w14:paraId="00A0289C">
      <w:pPr>
        <w:pStyle w:val="2"/>
        <w:spacing w:before="197" w:line="348" w:lineRule="auto"/>
        <w:ind w:right="349" w:firstLine="560"/>
        <w:jc w:val="left"/>
        <w:rPr>
          <w:rFonts w:hint="eastAsia"/>
          <w:spacing w:val="-7"/>
          <w:sz w:val="32"/>
          <w:szCs w:val="32"/>
        </w:rPr>
      </w:pPr>
      <w:r>
        <w:rPr>
          <w:rFonts w:hint="eastAsia"/>
          <w:spacing w:val="-7"/>
          <w:sz w:val="32"/>
          <w:szCs w:val="32"/>
        </w:rPr>
        <w:t xml:space="preserve">  2、严格“三公经费”，控制管理。控制“三公经费”的比例，把关“三公经费”支出的审核、审批，压缩的支出，严格做到了厉行节约的原则。</w:t>
      </w:r>
    </w:p>
    <w:p w14:paraId="10DC1CD2">
      <w:pPr>
        <w:pStyle w:val="2"/>
        <w:spacing w:before="197" w:line="348" w:lineRule="auto"/>
        <w:ind w:right="349" w:firstLine="560"/>
        <w:jc w:val="left"/>
        <w:rPr>
          <w:rFonts w:hint="eastAsia"/>
          <w:spacing w:val="-7"/>
          <w:sz w:val="32"/>
          <w:szCs w:val="32"/>
        </w:rPr>
      </w:pPr>
      <w:r>
        <w:rPr>
          <w:rFonts w:hint="eastAsia"/>
          <w:spacing w:val="-7"/>
          <w:sz w:val="32"/>
          <w:szCs w:val="32"/>
        </w:rPr>
        <w:t>3、建立长效机制，把绩效评价作为本委的日常性工作，建立绩效评价管理工作考核的长效机制。</w:t>
      </w:r>
    </w:p>
    <w:p w14:paraId="5862FF83">
      <w:pPr>
        <w:spacing w:before="214" w:line="221" w:lineRule="auto"/>
        <w:jc w:val="left"/>
        <w:rPr>
          <w:rFonts w:ascii="黑体" w:hAnsi="黑体" w:eastAsia="黑体" w:cs="黑体"/>
          <w:sz w:val="32"/>
          <w:szCs w:val="32"/>
        </w:rPr>
      </w:pPr>
      <w:r>
        <w:rPr>
          <w:rFonts w:ascii="黑体" w:hAnsi="黑体" w:eastAsia="黑体" w:cs="黑体"/>
          <w:spacing w:val="-14"/>
          <w:sz w:val="32"/>
          <w:szCs w:val="32"/>
        </w:rPr>
        <w:t>九 、部门整体支出绩效自评结果拟应用和公开情况</w:t>
      </w:r>
    </w:p>
    <w:p w14:paraId="6A2087B4">
      <w:pPr>
        <w:spacing w:line="221" w:lineRule="auto"/>
        <w:jc w:val="left"/>
        <w:rPr>
          <w:rFonts w:ascii="黑体" w:hAnsi="黑体" w:eastAsia="黑体" w:cs="黑体"/>
          <w:sz w:val="32"/>
          <w:szCs w:val="32"/>
        </w:rPr>
      </w:pPr>
    </w:p>
    <w:p w14:paraId="385D034C">
      <w:pPr>
        <w:spacing w:line="221" w:lineRule="auto"/>
        <w:jc w:val="left"/>
        <w:rPr>
          <w:rFonts w:hint="eastAsia" w:ascii="黑体" w:hAnsi="黑体" w:eastAsia="黑体" w:cs="黑体"/>
          <w:sz w:val="32"/>
          <w:szCs w:val="32"/>
          <w:lang w:eastAsia="zh-CN"/>
        </w:rPr>
        <w:sectPr>
          <w:pgSz w:w="12140" w:h="17000"/>
          <w:pgMar w:top="1422" w:right="1821" w:bottom="400" w:left="1459" w:header="0" w:footer="0" w:gutter="0"/>
          <w:cols w:space="720" w:num="1"/>
        </w:sectPr>
      </w:pPr>
      <w:r>
        <w:rPr>
          <w:rFonts w:hint="eastAsia" w:ascii="仿宋" w:hAnsi="仿宋" w:eastAsia="仿宋" w:cs="仿宋"/>
          <w:sz w:val="32"/>
          <w:szCs w:val="32"/>
          <w:lang w:eastAsia="zh-CN"/>
        </w:rPr>
        <w:t>我部门的</w:t>
      </w:r>
      <w:r>
        <w:rPr>
          <w:rFonts w:hint="eastAsia" w:ascii="仿宋" w:hAnsi="仿宋" w:eastAsia="仿宋" w:cs="仿宋"/>
          <w:spacing w:val="-14"/>
          <w:sz w:val="32"/>
          <w:szCs w:val="32"/>
        </w:rPr>
        <w:t>部门整体支出绩效自评结果</w:t>
      </w:r>
      <w:r>
        <w:rPr>
          <w:rFonts w:hint="eastAsia" w:ascii="仿宋" w:hAnsi="仿宋" w:eastAsia="仿宋" w:cs="仿宋"/>
          <w:spacing w:val="-14"/>
          <w:sz w:val="32"/>
          <w:szCs w:val="32"/>
          <w:lang w:eastAsia="zh-CN"/>
        </w:rPr>
        <w:t>将在财政指定的网站公开。</w:t>
      </w:r>
    </w:p>
    <w:p w14:paraId="19F4D0E7">
      <w:pPr>
        <w:spacing w:before="204" w:line="221" w:lineRule="auto"/>
        <w:ind w:left="295"/>
        <w:jc w:val="left"/>
        <w:rPr>
          <w:rFonts w:ascii="黑体" w:hAnsi="黑体" w:eastAsia="黑体" w:cs="黑体"/>
          <w:sz w:val="31"/>
          <w:szCs w:val="31"/>
        </w:rPr>
      </w:pPr>
      <w:r>
        <w:rPr>
          <w:rFonts w:ascii="黑体" w:hAnsi="黑体" w:eastAsia="黑体" w:cs="黑体"/>
          <w:b/>
          <w:bCs/>
          <w:sz w:val="31"/>
          <w:szCs w:val="31"/>
        </w:rPr>
        <w:t>十、其他需要说明的情况</w:t>
      </w:r>
    </w:p>
    <w:p w14:paraId="28CEF13F">
      <w:pPr>
        <w:spacing w:line="249" w:lineRule="auto"/>
        <w:jc w:val="left"/>
        <w:rPr>
          <w:rFonts w:ascii="Arial"/>
          <w:sz w:val="21"/>
        </w:rPr>
      </w:pPr>
    </w:p>
    <w:p w14:paraId="544EC847">
      <w:pPr>
        <w:spacing w:before="204" w:line="221" w:lineRule="auto"/>
        <w:ind w:left="295"/>
        <w:jc w:val="left"/>
        <w:rPr>
          <w:rFonts w:hint="eastAsia" w:ascii="仿宋" w:hAnsi="仿宋" w:eastAsia="仿宋" w:cs="仿宋"/>
          <w:b w:val="0"/>
          <w:bCs w:val="0"/>
          <w:sz w:val="32"/>
          <w:szCs w:val="32"/>
          <w:lang w:eastAsia="zh-CN"/>
        </w:rPr>
      </w:pPr>
      <w:r>
        <w:rPr>
          <w:rFonts w:hint="eastAsia" w:ascii="仿宋" w:hAnsi="仿宋" w:eastAsia="仿宋" w:cs="仿宋"/>
          <w:sz w:val="32"/>
          <w:szCs w:val="32"/>
          <w:lang w:eastAsia="zh-CN"/>
        </w:rPr>
        <w:t>本部门没有</w:t>
      </w:r>
      <w:r>
        <w:rPr>
          <w:rFonts w:hint="eastAsia" w:ascii="仿宋" w:hAnsi="仿宋" w:eastAsia="仿宋" w:cs="仿宋"/>
          <w:b w:val="0"/>
          <w:bCs w:val="0"/>
          <w:sz w:val="32"/>
          <w:szCs w:val="32"/>
        </w:rPr>
        <w:t>其他需要说明的情况</w:t>
      </w:r>
      <w:r>
        <w:rPr>
          <w:rFonts w:hint="eastAsia" w:ascii="仿宋" w:hAnsi="仿宋" w:eastAsia="仿宋" w:cs="仿宋"/>
          <w:b w:val="0"/>
          <w:bCs w:val="0"/>
          <w:sz w:val="32"/>
          <w:szCs w:val="32"/>
          <w:lang w:eastAsia="zh-CN"/>
        </w:rPr>
        <w:t>。</w:t>
      </w:r>
    </w:p>
    <w:p w14:paraId="7E091D3A">
      <w:pPr>
        <w:spacing w:line="249" w:lineRule="auto"/>
        <w:jc w:val="left"/>
        <w:rPr>
          <w:rFonts w:hint="eastAsia" w:ascii="仿宋" w:hAnsi="仿宋" w:eastAsia="仿宋" w:cs="仿宋"/>
          <w:b w:val="0"/>
          <w:bCs w:val="0"/>
          <w:sz w:val="21"/>
          <w:lang w:eastAsia="zh-CN"/>
        </w:rPr>
      </w:pPr>
    </w:p>
    <w:p w14:paraId="75538F3B">
      <w:pPr>
        <w:spacing w:line="250" w:lineRule="auto"/>
        <w:jc w:val="left"/>
        <w:rPr>
          <w:rFonts w:ascii="Arial"/>
          <w:sz w:val="21"/>
        </w:rPr>
      </w:pPr>
    </w:p>
    <w:p w14:paraId="592C9250">
      <w:pPr>
        <w:pStyle w:val="2"/>
        <w:spacing w:before="101" w:line="222" w:lineRule="auto"/>
        <w:ind w:left="291"/>
        <w:jc w:val="left"/>
        <w:rPr>
          <w:sz w:val="31"/>
          <w:szCs w:val="31"/>
        </w:rPr>
      </w:pPr>
      <w:r>
        <w:rPr>
          <w:sz w:val="31"/>
          <w:szCs w:val="31"/>
        </w:rPr>
        <w:t>报告需要以下附件：</w:t>
      </w:r>
    </w:p>
    <w:p w14:paraId="17B959C5">
      <w:pPr>
        <w:pStyle w:val="2"/>
        <w:spacing w:before="235" w:line="590" w:lineRule="exact"/>
        <w:ind w:left="291"/>
        <w:jc w:val="left"/>
        <w:rPr>
          <w:sz w:val="31"/>
          <w:szCs w:val="31"/>
        </w:rPr>
      </w:pPr>
      <w:r>
        <w:rPr>
          <w:position w:val="20"/>
          <w:sz w:val="31"/>
          <w:szCs w:val="31"/>
        </w:rPr>
        <w:t>1、</w:t>
      </w:r>
      <w:r>
        <w:rPr>
          <w:spacing w:val="-36"/>
          <w:position w:val="20"/>
          <w:sz w:val="31"/>
          <w:szCs w:val="31"/>
        </w:rPr>
        <w:t xml:space="preserve"> </w:t>
      </w:r>
      <w:r>
        <w:rPr>
          <w:position w:val="20"/>
          <w:sz w:val="31"/>
          <w:szCs w:val="31"/>
        </w:rPr>
        <w:t>部门整体支出绩效评价基础数据表</w:t>
      </w:r>
    </w:p>
    <w:p w14:paraId="6235ED7E">
      <w:pPr>
        <w:pStyle w:val="2"/>
        <w:spacing w:before="1" w:line="221" w:lineRule="auto"/>
        <w:ind w:left="291"/>
        <w:jc w:val="left"/>
        <w:rPr>
          <w:sz w:val="31"/>
          <w:szCs w:val="31"/>
        </w:rPr>
      </w:pPr>
      <w:r>
        <w:rPr>
          <w:sz w:val="31"/>
          <w:szCs w:val="31"/>
        </w:rPr>
        <w:t>2、</w:t>
      </w:r>
      <w:r>
        <w:rPr>
          <w:spacing w:val="-36"/>
          <w:sz w:val="31"/>
          <w:szCs w:val="31"/>
        </w:rPr>
        <w:t xml:space="preserve"> </w:t>
      </w:r>
      <w:r>
        <w:rPr>
          <w:sz w:val="31"/>
          <w:szCs w:val="31"/>
        </w:rPr>
        <w:t>部门整体支出绩效自评表</w:t>
      </w:r>
    </w:p>
    <w:p w14:paraId="7C9A2DD0">
      <w:pPr>
        <w:pStyle w:val="2"/>
        <w:spacing w:before="249" w:line="222" w:lineRule="auto"/>
        <w:ind w:left="291"/>
        <w:jc w:val="left"/>
        <w:rPr>
          <w:sz w:val="31"/>
          <w:szCs w:val="31"/>
        </w:rPr>
      </w:pPr>
      <w:r>
        <w:rPr>
          <w:spacing w:val="11"/>
          <w:sz w:val="31"/>
          <w:szCs w:val="31"/>
        </w:rPr>
        <w:t>3、</w:t>
      </w:r>
      <w:r>
        <w:rPr>
          <w:spacing w:val="-56"/>
          <w:sz w:val="31"/>
          <w:szCs w:val="31"/>
        </w:rPr>
        <w:t xml:space="preserve"> </w:t>
      </w:r>
      <w:r>
        <w:rPr>
          <w:spacing w:val="11"/>
          <w:sz w:val="31"/>
          <w:szCs w:val="31"/>
        </w:rPr>
        <w:t>项目支出绩效自评表(每个一级项目支出一张表)</w:t>
      </w:r>
    </w:p>
    <w:p w14:paraId="7F7C51D4">
      <w:pPr>
        <w:pStyle w:val="2"/>
        <w:spacing w:before="203" w:line="220" w:lineRule="auto"/>
        <w:ind w:left="291"/>
        <w:jc w:val="left"/>
        <w:rPr>
          <w:sz w:val="31"/>
          <w:szCs w:val="31"/>
        </w:rPr>
      </w:pPr>
      <w:r>
        <w:rPr>
          <w:spacing w:val="1"/>
          <w:sz w:val="31"/>
          <w:szCs w:val="31"/>
        </w:rPr>
        <w:t>4、</w:t>
      </w:r>
      <w:r>
        <w:rPr>
          <w:spacing w:val="-69"/>
          <w:sz w:val="31"/>
          <w:szCs w:val="31"/>
        </w:rPr>
        <w:t xml:space="preserve"> </w:t>
      </w:r>
      <w:r>
        <w:rPr>
          <w:spacing w:val="1"/>
          <w:sz w:val="31"/>
          <w:szCs w:val="31"/>
        </w:rPr>
        <w:t>政府性基金预算支出情况表</w:t>
      </w:r>
    </w:p>
    <w:p w14:paraId="6A437951">
      <w:pPr>
        <w:pStyle w:val="2"/>
        <w:spacing w:before="253" w:line="589" w:lineRule="exact"/>
        <w:ind w:left="291"/>
        <w:jc w:val="left"/>
        <w:rPr>
          <w:sz w:val="31"/>
          <w:szCs w:val="31"/>
        </w:rPr>
      </w:pPr>
      <w:r>
        <w:rPr>
          <w:spacing w:val="-4"/>
          <w:position w:val="20"/>
          <w:sz w:val="31"/>
          <w:szCs w:val="31"/>
        </w:rPr>
        <w:t>5、 国有资本经营预算支出情况表</w:t>
      </w:r>
    </w:p>
    <w:p w14:paraId="1790B88E">
      <w:pPr>
        <w:pStyle w:val="2"/>
        <w:spacing w:before="1" w:line="220" w:lineRule="auto"/>
        <w:ind w:left="291"/>
        <w:jc w:val="left"/>
        <w:rPr>
          <w:sz w:val="31"/>
          <w:szCs w:val="31"/>
        </w:rPr>
      </w:pPr>
      <w:r>
        <w:rPr>
          <w:sz w:val="31"/>
          <w:szCs w:val="31"/>
        </w:rPr>
        <w:t>6、</w:t>
      </w:r>
      <w:r>
        <w:rPr>
          <w:spacing w:val="-56"/>
          <w:sz w:val="31"/>
          <w:szCs w:val="31"/>
        </w:rPr>
        <w:t xml:space="preserve"> </w:t>
      </w:r>
      <w:r>
        <w:rPr>
          <w:sz w:val="31"/>
          <w:szCs w:val="31"/>
        </w:rPr>
        <w:t>社会保险基金预算支出情况表</w:t>
      </w:r>
    </w:p>
    <w:p w14:paraId="0207CE1D">
      <w:pPr>
        <w:spacing w:line="220" w:lineRule="auto"/>
        <w:jc w:val="left"/>
        <w:rPr>
          <w:sz w:val="31"/>
          <w:szCs w:val="31"/>
        </w:rPr>
        <w:sectPr>
          <w:pgSz w:w="12060" w:h="16950"/>
          <w:pgMar w:top="1440" w:right="1809" w:bottom="400" w:left="1809" w:header="0" w:footer="0" w:gutter="0"/>
          <w:cols w:space="720" w:num="1"/>
        </w:sectPr>
      </w:pPr>
    </w:p>
    <w:p w14:paraId="2AA9C695">
      <w:pPr>
        <w:spacing w:before="244" w:line="588" w:lineRule="exact"/>
        <w:rPr>
          <w:rFonts w:ascii="黑体" w:hAnsi="黑体" w:eastAsia="黑体" w:cs="黑体"/>
          <w:b/>
          <w:bCs/>
          <w:spacing w:val="26"/>
          <w:sz w:val="24"/>
          <w:szCs w:val="24"/>
        </w:rPr>
      </w:pPr>
      <w:r>
        <w:rPr>
          <w:rFonts w:ascii="黑体" w:hAnsi="黑体" w:eastAsia="黑体" w:cs="黑体"/>
          <w:b/>
          <w:bCs/>
          <w:spacing w:val="26"/>
          <w:sz w:val="24"/>
          <w:szCs w:val="24"/>
        </w:rPr>
        <w:t>附件5</w:t>
      </w:r>
    </w:p>
    <w:p w14:paraId="3AF15A54">
      <w:pPr>
        <w:spacing w:before="244" w:line="588" w:lineRule="exact"/>
        <w:ind w:left="1725"/>
        <w:rPr>
          <w:rFonts w:ascii="黑体" w:hAnsi="黑体" w:eastAsia="黑体" w:cs="黑体"/>
          <w:sz w:val="41"/>
          <w:szCs w:val="41"/>
          <w:lang w:eastAsia="zh-CN"/>
        </w:rPr>
      </w:pPr>
      <w:r>
        <w:rPr>
          <w:rFonts w:ascii="黑体" w:hAnsi="黑体" w:eastAsia="黑体" w:cs="黑体"/>
          <w:spacing w:val="10"/>
          <w:position w:val="12"/>
          <w:sz w:val="41"/>
          <w:szCs w:val="41"/>
          <w:lang w:eastAsia="zh-CN"/>
        </w:rPr>
        <w:t>2023 年度</w:t>
      </w:r>
      <w:r>
        <w:rPr>
          <w:rFonts w:hint="eastAsia" w:ascii="黑体" w:hAnsi="黑体" w:eastAsia="黑体" w:cs="黑体"/>
          <w:spacing w:val="10"/>
          <w:position w:val="12"/>
          <w:sz w:val="41"/>
          <w:szCs w:val="41"/>
          <w:lang w:eastAsia="zh-CN"/>
        </w:rPr>
        <w:t>专项资金</w:t>
      </w:r>
      <w:r>
        <w:rPr>
          <w:rFonts w:ascii="黑体" w:hAnsi="黑体" w:eastAsia="黑体" w:cs="黑体"/>
          <w:spacing w:val="10"/>
          <w:position w:val="12"/>
          <w:sz w:val="41"/>
          <w:szCs w:val="41"/>
          <w:lang w:eastAsia="zh-CN"/>
        </w:rPr>
        <w:t>支出</w:t>
      </w:r>
    </w:p>
    <w:p w14:paraId="7303435D">
      <w:pPr>
        <w:spacing w:before="1" w:line="220" w:lineRule="auto"/>
        <w:ind w:left="2655"/>
        <w:rPr>
          <w:rFonts w:ascii="黑体" w:hAnsi="黑体" w:eastAsia="黑体" w:cs="黑体"/>
          <w:sz w:val="41"/>
          <w:szCs w:val="41"/>
          <w:lang w:eastAsia="zh-CN"/>
        </w:rPr>
      </w:pPr>
      <w:r>
        <w:rPr>
          <w:rFonts w:ascii="黑体" w:hAnsi="黑体" w:eastAsia="黑体" w:cs="黑体"/>
          <w:spacing w:val="12"/>
          <w:sz w:val="41"/>
          <w:szCs w:val="41"/>
          <w:lang w:eastAsia="zh-CN"/>
        </w:rPr>
        <w:t>绩效自评报告</w:t>
      </w:r>
    </w:p>
    <w:p w14:paraId="45249C42">
      <w:pPr>
        <w:rPr>
          <w:lang w:eastAsia="zh-CN"/>
        </w:rPr>
      </w:pPr>
    </w:p>
    <w:p w14:paraId="512CB055">
      <w:pPr>
        <w:rPr>
          <w:lang w:eastAsia="zh-CN"/>
        </w:rPr>
      </w:pPr>
    </w:p>
    <w:p w14:paraId="2E671630">
      <w:pPr>
        <w:rPr>
          <w:lang w:eastAsia="zh-CN"/>
        </w:rPr>
      </w:pPr>
    </w:p>
    <w:p w14:paraId="27A7CEC8">
      <w:pPr>
        <w:rPr>
          <w:lang w:eastAsia="zh-CN"/>
        </w:rPr>
      </w:pPr>
    </w:p>
    <w:p w14:paraId="7054BB65">
      <w:pPr>
        <w:rPr>
          <w:lang w:eastAsia="zh-CN"/>
        </w:rPr>
      </w:pPr>
    </w:p>
    <w:p w14:paraId="21419B0D">
      <w:pPr>
        <w:rPr>
          <w:lang w:eastAsia="zh-CN"/>
        </w:rPr>
      </w:pPr>
    </w:p>
    <w:p w14:paraId="20A8463D">
      <w:pPr>
        <w:rPr>
          <w:lang w:eastAsia="zh-CN"/>
        </w:rPr>
      </w:pPr>
    </w:p>
    <w:p w14:paraId="6F51D76E">
      <w:pPr>
        <w:rPr>
          <w:lang w:eastAsia="zh-CN"/>
        </w:rPr>
      </w:pPr>
    </w:p>
    <w:p w14:paraId="560C0F14">
      <w:pPr>
        <w:spacing w:line="241" w:lineRule="auto"/>
        <w:rPr>
          <w:lang w:eastAsia="zh-CN"/>
        </w:rPr>
      </w:pPr>
    </w:p>
    <w:p w14:paraId="224ACBD3">
      <w:pPr>
        <w:spacing w:line="241" w:lineRule="auto"/>
        <w:rPr>
          <w:lang w:eastAsia="zh-CN"/>
        </w:rPr>
      </w:pPr>
    </w:p>
    <w:p w14:paraId="305FB532">
      <w:pPr>
        <w:spacing w:line="241" w:lineRule="auto"/>
        <w:rPr>
          <w:lang w:eastAsia="zh-CN"/>
        </w:rPr>
      </w:pPr>
    </w:p>
    <w:p w14:paraId="5048EC8D">
      <w:pPr>
        <w:spacing w:line="241" w:lineRule="auto"/>
        <w:rPr>
          <w:lang w:eastAsia="zh-CN"/>
        </w:rPr>
      </w:pPr>
    </w:p>
    <w:p w14:paraId="31362FC2">
      <w:pPr>
        <w:spacing w:line="241" w:lineRule="auto"/>
        <w:rPr>
          <w:lang w:eastAsia="zh-CN"/>
        </w:rPr>
      </w:pPr>
    </w:p>
    <w:p w14:paraId="62A98356">
      <w:pPr>
        <w:spacing w:line="241" w:lineRule="auto"/>
        <w:rPr>
          <w:lang w:eastAsia="zh-CN"/>
        </w:rPr>
      </w:pPr>
    </w:p>
    <w:p w14:paraId="581826AE">
      <w:pPr>
        <w:spacing w:line="241" w:lineRule="auto"/>
        <w:rPr>
          <w:lang w:eastAsia="zh-CN"/>
        </w:rPr>
      </w:pPr>
    </w:p>
    <w:p w14:paraId="77F7EAB0">
      <w:pPr>
        <w:spacing w:line="241" w:lineRule="auto"/>
        <w:rPr>
          <w:lang w:eastAsia="zh-CN"/>
        </w:rPr>
      </w:pPr>
    </w:p>
    <w:p w14:paraId="3041A208">
      <w:pPr>
        <w:spacing w:line="241" w:lineRule="auto"/>
        <w:rPr>
          <w:lang w:eastAsia="zh-CN"/>
        </w:rPr>
      </w:pPr>
    </w:p>
    <w:p w14:paraId="5EECF372">
      <w:pPr>
        <w:spacing w:line="241" w:lineRule="auto"/>
        <w:rPr>
          <w:lang w:eastAsia="zh-CN"/>
        </w:rPr>
      </w:pPr>
    </w:p>
    <w:p w14:paraId="1EEF8495">
      <w:pPr>
        <w:spacing w:line="241" w:lineRule="auto"/>
        <w:rPr>
          <w:lang w:eastAsia="zh-CN"/>
        </w:rPr>
      </w:pPr>
    </w:p>
    <w:p w14:paraId="10E4B5C4">
      <w:pPr>
        <w:spacing w:line="241" w:lineRule="auto"/>
        <w:rPr>
          <w:lang w:eastAsia="zh-CN"/>
        </w:rPr>
      </w:pPr>
    </w:p>
    <w:p w14:paraId="32C235D5">
      <w:pPr>
        <w:spacing w:line="241" w:lineRule="auto"/>
        <w:rPr>
          <w:lang w:eastAsia="zh-CN"/>
        </w:rPr>
      </w:pPr>
    </w:p>
    <w:p w14:paraId="728F0E64">
      <w:pPr>
        <w:spacing w:line="241" w:lineRule="auto"/>
        <w:rPr>
          <w:lang w:eastAsia="zh-CN"/>
        </w:rPr>
      </w:pPr>
    </w:p>
    <w:p w14:paraId="30D0F4F9">
      <w:pPr>
        <w:spacing w:line="241" w:lineRule="auto"/>
        <w:rPr>
          <w:lang w:eastAsia="zh-CN"/>
        </w:rPr>
      </w:pPr>
    </w:p>
    <w:p w14:paraId="4792C28B">
      <w:pPr>
        <w:spacing w:line="241" w:lineRule="auto"/>
        <w:rPr>
          <w:lang w:eastAsia="zh-CN"/>
        </w:rPr>
      </w:pPr>
    </w:p>
    <w:p w14:paraId="68657625">
      <w:pPr>
        <w:spacing w:line="241" w:lineRule="auto"/>
        <w:rPr>
          <w:lang w:eastAsia="zh-CN"/>
        </w:rPr>
      </w:pPr>
    </w:p>
    <w:p w14:paraId="63F75BAF">
      <w:pPr>
        <w:spacing w:line="241" w:lineRule="auto"/>
        <w:rPr>
          <w:lang w:eastAsia="zh-CN"/>
        </w:rPr>
      </w:pPr>
    </w:p>
    <w:p w14:paraId="780A2857">
      <w:pPr>
        <w:spacing w:line="241" w:lineRule="auto"/>
        <w:rPr>
          <w:lang w:eastAsia="zh-CN"/>
        </w:rPr>
      </w:pPr>
    </w:p>
    <w:p w14:paraId="30CA5AFD">
      <w:pPr>
        <w:spacing w:line="241" w:lineRule="auto"/>
        <w:rPr>
          <w:lang w:eastAsia="zh-CN"/>
        </w:rPr>
      </w:pPr>
    </w:p>
    <w:p w14:paraId="1F67B760">
      <w:pPr>
        <w:spacing w:line="241" w:lineRule="auto"/>
        <w:rPr>
          <w:lang w:eastAsia="zh-CN"/>
        </w:rPr>
      </w:pPr>
    </w:p>
    <w:p w14:paraId="54D8A042">
      <w:pPr>
        <w:pStyle w:val="2"/>
        <w:spacing w:before="78" w:line="231" w:lineRule="auto"/>
        <w:ind w:left="1814"/>
        <w:rPr>
          <w:sz w:val="24"/>
          <w:szCs w:val="24"/>
          <w:lang w:eastAsia="zh-CN"/>
        </w:rPr>
      </w:pPr>
      <w:r>
        <w:rPr>
          <w:spacing w:val="-20"/>
          <w:sz w:val="24"/>
          <w:szCs w:val="24"/>
          <w:lang w:eastAsia="zh-CN"/>
        </w:rPr>
        <w:t>部门( 单位 )名称 ：</w:t>
      </w:r>
      <w:r>
        <w:rPr>
          <w:spacing w:val="-20"/>
          <w:position w:val="-2"/>
          <w:sz w:val="24"/>
          <w:szCs w:val="24"/>
          <w:u w:val="single"/>
          <w:lang w:eastAsia="zh-CN"/>
        </w:rPr>
        <w:t xml:space="preserve">   (盖章)</w:t>
      </w:r>
    </w:p>
    <w:p w14:paraId="6480734A">
      <w:pPr>
        <w:pStyle w:val="2"/>
        <w:spacing w:before="271" w:line="602" w:lineRule="exact"/>
        <w:ind w:left="3024"/>
        <w:rPr>
          <w:sz w:val="24"/>
          <w:szCs w:val="24"/>
          <w:lang w:eastAsia="zh-CN"/>
        </w:rPr>
      </w:pPr>
      <w:r>
        <w:rPr>
          <w:rFonts w:hint="eastAsia"/>
          <w:spacing w:val="-16"/>
          <w:position w:val="27"/>
          <w:sz w:val="24"/>
          <w:szCs w:val="24"/>
          <w:lang w:eastAsia="zh-CN"/>
        </w:rPr>
        <w:t xml:space="preserve">2024  </w:t>
      </w:r>
      <w:r>
        <w:rPr>
          <w:spacing w:val="-16"/>
          <w:position w:val="27"/>
          <w:sz w:val="24"/>
          <w:szCs w:val="24"/>
          <w:lang w:eastAsia="zh-CN"/>
        </w:rPr>
        <w:t>年</w:t>
      </w:r>
      <w:r>
        <w:rPr>
          <w:rFonts w:hint="eastAsia"/>
          <w:spacing w:val="3"/>
          <w:position w:val="27"/>
          <w:sz w:val="24"/>
          <w:szCs w:val="24"/>
          <w:lang w:eastAsia="zh-CN"/>
        </w:rPr>
        <w:t>5</w:t>
      </w:r>
      <w:r>
        <w:rPr>
          <w:spacing w:val="-16"/>
          <w:position w:val="27"/>
          <w:sz w:val="24"/>
          <w:szCs w:val="24"/>
          <w:lang w:eastAsia="zh-CN"/>
        </w:rPr>
        <w:t>月</w:t>
      </w:r>
      <w:r>
        <w:rPr>
          <w:rFonts w:hint="eastAsia"/>
          <w:spacing w:val="9"/>
          <w:position w:val="27"/>
          <w:sz w:val="24"/>
          <w:szCs w:val="24"/>
          <w:lang w:eastAsia="zh-CN"/>
        </w:rPr>
        <w:t>26</w:t>
      </w:r>
      <w:r>
        <w:rPr>
          <w:spacing w:val="-16"/>
          <w:position w:val="27"/>
          <w:sz w:val="24"/>
          <w:szCs w:val="24"/>
          <w:lang w:eastAsia="zh-CN"/>
        </w:rPr>
        <w:t>日</w:t>
      </w:r>
    </w:p>
    <w:p w14:paraId="70ED6BE3">
      <w:pPr>
        <w:spacing w:line="223" w:lineRule="auto"/>
        <w:rPr>
          <w:rFonts w:eastAsia="宋体"/>
          <w:sz w:val="24"/>
          <w:szCs w:val="24"/>
          <w:lang w:eastAsia="zh-CN"/>
        </w:rPr>
        <w:sectPr>
          <w:pgSz w:w="11900" w:h="16840"/>
          <w:pgMar w:top="1430" w:right="1785" w:bottom="400" w:left="1785" w:header="0" w:footer="0" w:gutter="0"/>
          <w:cols w:space="720" w:num="1"/>
        </w:sectPr>
      </w:pPr>
    </w:p>
    <w:p w14:paraId="44D47A27">
      <w:pPr>
        <w:spacing w:line="300" w:lineRule="auto"/>
        <w:rPr>
          <w:lang w:eastAsia="zh-CN"/>
        </w:rPr>
      </w:pPr>
    </w:p>
    <w:p w14:paraId="703B01F6">
      <w:pPr>
        <w:spacing w:before="134" w:line="221" w:lineRule="auto"/>
        <w:ind w:left="2315"/>
        <w:rPr>
          <w:rFonts w:ascii="黑体" w:hAnsi="黑体" w:eastAsia="黑体" w:cs="黑体"/>
          <w:sz w:val="41"/>
          <w:szCs w:val="41"/>
          <w:lang w:eastAsia="zh-CN"/>
        </w:rPr>
      </w:pPr>
      <w:r>
        <w:rPr>
          <w:rFonts w:hint="eastAsia" w:ascii="黑体" w:hAnsi="黑体" w:eastAsia="黑体" w:cs="黑体"/>
          <w:b/>
          <w:bCs/>
          <w:spacing w:val="5"/>
          <w:sz w:val="41"/>
          <w:szCs w:val="41"/>
          <w:lang w:eastAsia="zh-CN"/>
        </w:rPr>
        <w:t>专项</w:t>
      </w:r>
      <w:r>
        <w:rPr>
          <w:rFonts w:ascii="黑体" w:hAnsi="黑体" w:eastAsia="黑体" w:cs="黑体"/>
          <w:b/>
          <w:bCs/>
          <w:spacing w:val="5"/>
          <w:sz w:val="41"/>
          <w:szCs w:val="41"/>
          <w:lang w:eastAsia="zh-CN"/>
        </w:rPr>
        <w:t>支出绩效评价报告</w:t>
      </w:r>
    </w:p>
    <w:p w14:paraId="0E2284F4">
      <w:pPr>
        <w:spacing w:before="176" w:line="222" w:lineRule="auto"/>
        <w:ind w:left="534"/>
        <w:outlineLvl w:val="1"/>
        <w:rPr>
          <w:rFonts w:ascii="黑体" w:hAnsi="黑体" w:eastAsia="黑体" w:cs="黑体"/>
          <w:sz w:val="30"/>
          <w:szCs w:val="30"/>
          <w:lang w:eastAsia="zh-CN"/>
        </w:rPr>
      </w:pPr>
      <w:r>
        <w:rPr>
          <w:rFonts w:ascii="黑体" w:hAnsi="黑体" w:eastAsia="黑体" w:cs="黑体"/>
          <w:b/>
          <w:bCs/>
          <w:spacing w:val="-8"/>
          <w:sz w:val="30"/>
          <w:szCs w:val="30"/>
          <w:lang w:eastAsia="zh-CN"/>
        </w:rPr>
        <w:t>一、项目支出基本情况</w:t>
      </w:r>
    </w:p>
    <w:p w14:paraId="774E86C3">
      <w:pPr>
        <w:pStyle w:val="2"/>
        <w:spacing w:before="189" w:line="222" w:lineRule="auto"/>
        <w:ind w:left="534"/>
        <w:rPr>
          <w:rFonts w:ascii="黑体" w:hAnsi="黑体" w:eastAsia="黑体" w:cs="黑体"/>
          <w:spacing w:val="2"/>
          <w:sz w:val="30"/>
          <w:szCs w:val="30"/>
          <w:lang w:eastAsia="zh-CN"/>
        </w:rPr>
      </w:pPr>
      <w:r>
        <w:rPr>
          <w:rFonts w:ascii="黑体" w:hAnsi="黑体" w:eastAsia="黑体" w:cs="黑体"/>
          <w:spacing w:val="2"/>
          <w:sz w:val="30"/>
          <w:szCs w:val="30"/>
          <w:lang w:eastAsia="zh-CN"/>
        </w:rPr>
        <w:t>(一)项目支出概况。</w:t>
      </w:r>
      <w:r>
        <w:rPr>
          <w:rFonts w:hint="eastAsia" w:ascii="黑体" w:hAnsi="黑体" w:eastAsia="黑体" w:cs="黑体"/>
          <w:spacing w:val="2"/>
          <w:sz w:val="30"/>
          <w:szCs w:val="30"/>
          <w:lang w:eastAsia="zh-CN"/>
        </w:rPr>
        <w:t xml:space="preserve"> </w:t>
      </w:r>
    </w:p>
    <w:p w14:paraId="39AB6715">
      <w:pPr>
        <w:pStyle w:val="2"/>
        <w:spacing w:before="189" w:line="222" w:lineRule="auto"/>
        <w:ind w:left="534"/>
        <w:rPr>
          <w:rFonts w:eastAsia="黑体"/>
          <w:sz w:val="30"/>
          <w:szCs w:val="30"/>
          <w:lang w:eastAsia="zh-CN"/>
        </w:rPr>
      </w:pPr>
      <w:r>
        <w:rPr>
          <w:rFonts w:hint="eastAsia"/>
          <w:spacing w:val="-6"/>
          <w:sz w:val="32"/>
          <w:szCs w:val="32"/>
          <w:lang w:eastAsia="zh-CN"/>
        </w:rPr>
        <w:t xml:space="preserve">   1、指导督促政法各部门贯彻执行中央的路线、方针、政策和上级的指示及同级党委、政府的工作部署，统一政法各部门的思想和行动。2、定期分析社会治安形势，对一定时期本地的政法工作进行指导。3、维护社会大局稳定，维护政治安全、金融安全。</w:t>
      </w:r>
    </w:p>
    <w:p w14:paraId="7D1B07F7">
      <w:pPr>
        <w:pStyle w:val="2"/>
        <w:spacing w:before="200" w:line="222" w:lineRule="auto"/>
        <w:ind w:left="534"/>
        <w:rPr>
          <w:rFonts w:ascii="黑体" w:hAnsi="黑体" w:eastAsia="黑体" w:cs="黑体"/>
          <w:spacing w:val="2"/>
          <w:sz w:val="30"/>
          <w:szCs w:val="30"/>
          <w:lang w:eastAsia="zh-CN"/>
        </w:rPr>
      </w:pPr>
      <w:r>
        <w:rPr>
          <w:rFonts w:ascii="黑体" w:hAnsi="黑体" w:eastAsia="黑体" w:cs="黑体"/>
          <w:spacing w:val="2"/>
          <w:sz w:val="30"/>
          <w:szCs w:val="30"/>
          <w:lang w:eastAsia="zh-CN"/>
        </w:rPr>
        <w:t>(二)项目资金使用管理情况</w:t>
      </w:r>
    </w:p>
    <w:p w14:paraId="64CBA075">
      <w:pPr>
        <w:pStyle w:val="2"/>
        <w:ind w:firstLine="611"/>
        <w:rPr>
          <w:sz w:val="32"/>
          <w:szCs w:val="32"/>
          <w:lang w:eastAsia="zh-CN"/>
        </w:rPr>
      </w:pPr>
      <w:r>
        <w:rPr>
          <w:rFonts w:hint="eastAsia"/>
          <w:sz w:val="32"/>
          <w:szCs w:val="32"/>
          <w:lang w:eastAsia="zh-CN"/>
        </w:rPr>
        <w:t>项目资金支出管理机构为政法委本部门。项目资金和项目管理在财务制度上已经建立财务制度，做到专项资金专项使用，不得挪用项目资金，无预算不开支，合理使用专项资金。专项资金安排668.34万元，主要用于平安创建经费25.97万元，综治民调54.59万元，维稳协调经费222.29万元 ，扫黑除恶25万元、精神病患者保险费25万元、司法救助47.68万元、岳阳市综治奖金8万元，政法委专项经费51.31万元用于网格化管理等支出，11.18爆炸案建处理经费1.5万元，国际龙舟赛经费200万元，防老人诈骗经费12万元，反电信诈骗15万元。</w:t>
      </w:r>
      <w:r>
        <w:rPr>
          <w:rFonts w:hint="eastAsia" w:ascii="仿宋" w:hAnsi="仿宋" w:eastAsia="仿宋" w:cs="仿宋"/>
          <w:spacing w:val="-11"/>
          <w:sz w:val="30"/>
          <w:szCs w:val="30"/>
          <w:lang w:eastAsia="zh-CN"/>
        </w:rPr>
        <w:t>维稳协调、扫黑除恶考评根据平时督查情况、年底考核情况结合综治基础工作和平安建设成员单位履职情况，确定维稳、扫黑工作先进 。考核结果纳入综合绩效考核，并与被考评单位、被考评单位主要负责人和分管负责人评先评优挂钩</w:t>
      </w:r>
    </w:p>
    <w:p w14:paraId="4B3CF38D">
      <w:pPr>
        <w:pStyle w:val="2"/>
        <w:numPr>
          <w:ilvl w:val="0"/>
          <w:numId w:val="3"/>
        </w:numPr>
        <w:tabs>
          <w:tab w:val="clear" w:pos="312"/>
        </w:tabs>
        <w:spacing w:before="221" w:line="571" w:lineRule="exact"/>
        <w:ind w:left="40" w:firstLine="590"/>
        <w:rPr>
          <w:rFonts w:ascii="黑体" w:hAnsi="黑体" w:eastAsia="黑体" w:cs="黑体"/>
          <w:spacing w:val="-3"/>
          <w:position w:val="20"/>
          <w:sz w:val="30"/>
          <w:szCs w:val="30"/>
          <w:lang w:eastAsia="zh-CN"/>
        </w:rPr>
      </w:pPr>
      <w:r>
        <w:rPr>
          <w:rFonts w:ascii="黑体" w:hAnsi="黑体" w:eastAsia="黑体" w:cs="黑体"/>
          <w:spacing w:val="-3"/>
          <w:position w:val="20"/>
          <w:sz w:val="30"/>
          <w:szCs w:val="30"/>
          <w:lang w:eastAsia="zh-CN"/>
        </w:rPr>
        <w:t>项目支出绩效目标完成程度</w:t>
      </w:r>
      <w:r>
        <w:rPr>
          <w:rFonts w:hint="eastAsia" w:ascii="黑体" w:hAnsi="黑体" w:eastAsia="黑体" w:cs="黑体"/>
          <w:spacing w:val="-3"/>
          <w:position w:val="20"/>
          <w:sz w:val="30"/>
          <w:szCs w:val="30"/>
          <w:lang w:eastAsia="zh-CN"/>
        </w:rPr>
        <w:t>。</w:t>
      </w:r>
    </w:p>
    <w:p w14:paraId="4B77A827">
      <w:pPr>
        <w:pStyle w:val="2"/>
        <w:spacing w:before="221" w:line="571" w:lineRule="exact"/>
        <w:ind w:left="630" w:firstLine="600" w:firstLineChars="200"/>
        <w:rPr>
          <w:rFonts w:eastAsia="仿宋_GB2312"/>
          <w:sz w:val="30"/>
          <w:szCs w:val="30"/>
          <w:lang w:eastAsia="zh-CN"/>
        </w:rPr>
      </w:pPr>
      <w:r>
        <w:rPr>
          <w:rFonts w:hint="eastAsia"/>
          <w:bCs/>
          <w:sz w:val="30"/>
          <w:szCs w:val="30"/>
          <w:lang w:eastAsia="zh-CN"/>
        </w:rPr>
        <w:t>我委维稳协调项目绩效总目标:</w:t>
      </w:r>
      <w:r>
        <w:rPr>
          <w:rFonts w:hint="eastAsia"/>
          <w:bCs/>
          <w:spacing w:val="2"/>
          <w:sz w:val="30"/>
          <w:szCs w:val="30"/>
          <w:lang w:eastAsia="zh-CN"/>
        </w:rPr>
        <w:t>，把确保稳定作为全市维稳工作主线来抓，我市维稳工作以保平安、抓稳定为总基调，大力推进积案化解、矛盾排查、情报预警、责任压实等，始终把稳定压倒一切作为一项极其重要的政治任务落实落细。在绩效目标完成上，具体我委做到了:1</w:t>
      </w:r>
      <w:r>
        <w:rPr>
          <w:rFonts w:hint="eastAsia" w:ascii="黑体" w:hAnsi="黑体" w:eastAsia="黑体" w:cs="黑体"/>
          <w:bCs/>
          <w:spacing w:val="2"/>
          <w:sz w:val="30"/>
          <w:szCs w:val="30"/>
          <w:lang w:eastAsia="zh-CN"/>
        </w:rPr>
        <w:t>、</w:t>
      </w:r>
      <w:r>
        <w:rPr>
          <w:rFonts w:hint="eastAsia"/>
          <w:bCs/>
          <w:sz w:val="30"/>
          <w:szCs w:val="30"/>
          <w:lang w:eastAsia="zh-CN"/>
        </w:rPr>
        <w:t>全力防范风险挑战，维护社会大局持续稳定，2</w:t>
      </w:r>
      <w:r>
        <w:rPr>
          <w:rFonts w:eastAsia="仿宋_GB2312"/>
          <w:bCs/>
          <w:sz w:val="32"/>
          <w:szCs w:val="32"/>
          <w:lang w:eastAsia="zh-CN"/>
        </w:rPr>
        <w:t>全力化解矛盾纠纷</w:t>
      </w:r>
      <w:r>
        <w:rPr>
          <w:rFonts w:hint="eastAsia" w:eastAsia="仿宋_GB2312"/>
          <w:bCs/>
          <w:sz w:val="32"/>
          <w:szCs w:val="32"/>
          <w:lang w:eastAsia="zh-CN"/>
        </w:rPr>
        <w:t>，3、</w:t>
      </w:r>
      <w:r>
        <w:rPr>
          <w:rFonts w:eastAsia="仿宋_GB2312"/>
          <w:bCs/>
          <w:sz w:val="32"/>
          <w:szCs w:val="32"/>
          <w:lang w:eastAsia="zh-CN"/>
        </w:rPr>
        <w:t>全力确保社会稳定</w:t>
      </w:r>
      <w:r>
        <w:rPr>
          <w:rFonts w:hint="eastAsia" w:eastAsia="仿宋_GB2312"/>
          <w:bCs/>
          <w:sz w:val="32"/>
          <w:szCs w:val="32"/>
          <w:lang w:eastAsia="zh-CN"/>
        </w:rPr>
        <w:t>。</w:t>
      </w:r>
    </w:p>
    <w:p w14:paraId="3FD63B17">
      <w:pPr>
        <w:spacing w:before="201" w:line="221" w:lineRule="auto"/>
        <w:ind w:left="627"/>
        <w:outlineLvl w:val="1"/>
        <w:rPr>
          <w:rFonts w:ascii="黑体" w:hAnsi="黑体" w:eastAsia="黑体" w:cs="黑体"/>
          <w:b/>
          <w:bCs/>
          <w:spacing w:val="-11"/>
          <w:sz w:val="30"/>
          <w:szCs w:val="30"/>
          <w:lang w:eastAsia="zh-CN"/>
        </w:rPr>
      </w:pPr>
      <w:r>
        <w:rPr>
          <w:rFonts w:hint="eastAsia" w:ascii="黑体" w:hAnsi="黑体" w:eastAsia="黑体" w:cs="黑体"/>
          <w:b/>
          <w:bCs/>
          <w:spacing w:val="-11"/>
          <w:sz w:val="30"/>
          <w:szCs w:val="30"/>
          <w:lang w:eastAsia="zh-CN"/>
        </w:rPr>
        <w:t>二、</w:t>
      </w:r>
      <w:r>
        <w:rPr>
          <w:rFonts w:ascii="黑体" w:hAnsi="黑体" w:eastAsia="黑体" w:cs="黑体"/>
          <w:b/>
          <w:bCs/>
          <w:spacing w:val="-11"/>
          <w:sz w:val="30"/>
          <w:szCs w:val="30"/>
          <w:lang w:eastAsia="zh-CN"/>
        </w:rPr>
        <w:t>绩效评价工作情况</w:t>
      </w:r>
    </w:p>
    <w:p w14:paraId="25561CF2">
      <w:pPr>
        <w:widowControl w:val="0"/>
        <w:kinsoku/>
        <w:snapToGrid/>
        <w:ind w:firstLine="640" w:firstLineChars="200"/>
        <w:textAlignment w:val="auto"/>
        <w:rPr>
          <w:rFonts w:ascii="仿宋" w:hAnsi="仿宋" w:eastAsia="仿宋" w:cs="仿宋"/>
          <w:sz w:val="32"/>
          <w:szCs w:val="32"/>
          <w:lang w:eastAsia="zh-CN"/>
        </w:rPr>
      </w:pPr>
    </w:p>
    <w:p w14:paraId="15D9D821">
      <w:pPr>
        <w:widowControl w:val="0"/>
        <w:kinsoku/>
        <w:snapToGrid/>
        <w:ind w:firstLine="640" w:firstLineChars="200"/>
        <w:textAlignment w:val="auto"/>
        <w:rPr>
          <w:rFonts w:ascii="仿宋" w:hAnsi="仿宋" w:eastAsia="仿宋" w:cs="仿宋"/>
          <w:i/>
          <w:iCs/>
          <w:color w:val="FF0000"/>
          <w:sz w:val="32"/>
          <w:szCs w:val="32"/>
          <w:lang w:eastAsia="zh-CN"/>
        </w:rPr>
      </w:pPr>
      <w:r>
        <w:rPr>
          <w:rFonts w:hint="eastAsia" w:ascii="仿宋" w:hAnsi="仿宋" w:eastAsia="仿宋" w:cs="仿宋"/>
          <w:sz w:val="32"/>
          <w:szCs w:val="32"/>
          <w:lang w:eastAsia="zh-CN"/>
        </w:rPr>
        <w:t>根据财政预算绩效管理要求，我部门组织对2023年度一般公共预算项目支出全面开展绩效自评，单位报告中一级项目12个，，共涉及资金668.34万元，占一般公共预算项目支出总额的64.83%。2023年度我部门无政府性基金预算项目支出、无国有资本经营预算支出，对2023年度0个政府性基金预算项目支出开展绩效自评，共涉及资金0万元，占政府性基金预算项目支出总额的0%；对2021年度0个国有资本经营预算项目支出开展绩效自评，共涉及资金0万元，占国有资本经营预算项目支出总额的0%。</w:t>
      </w:r>
    </w:p>
    <w:p w14:paraId="522C88BE">
      <w:pPr>
        <w:widowControl w:val="0"/>
        <w:kinsoku/>
        <w:snapToGrid/>
        <w:ind w:firstLine="640" w:firstLineChars="200"/>
        <w:textAlignment w:val="auto"/>
        <w:rPr>
          <w:rFonts w:ascii="宋体" w:hAnsi="宋体" w:eastAsia="宋体" w:cs="宋体"/>
          <w:sz w:val="28"/>
          <w:szCs w:val="28"/>
          <w:lang w:eastAsia="zh-CN"/>
        </w:rPr>
      </w:pPr>
      <w:r>
        <w:rPr>
          <w:rFonts w:hint="eastAsia" w:ascii="仿宋" w:hAnsi="仿宋" w:eastAsia="仿宋" w:cs="仿宋"/>
          <w:sz w:val="32"/>
          <w:szCs w:val="32"/>
          <w:lang w:eastAsia="zh-CN"/>
        </w:rPr>
        <w:t>组织对中共汨罗市委政法委“维稳协调”1个项目开展了部门评价，涉及一般公共预算支出222.29万元，政府性基金预算支出0万元，国有资本经营预算支出0万元。从评价情况来看， 围绕加强和创新基层社会治理、深化平安汨罗建设的总体目标，更加注重开放共建、联动融合，更加注重改革创新和科技应用，进一步创新创建机制、拓宽创建领域、丰富创建内涵，努力提升平安建设法治化、社会化、智能化、专业化水平，为建设更高水平的生态文化活力汨罗创造更加和谐稳定的治安环境。人民群众纷纷表示市委市政府为人民群众办实事，办好事</w:t>
      </w:r>
      <w:r>
        <w:rPr>
          <w:rFonts w:hint="eastAsia" w:ascii="宋体" w:hAnsi="宋体" w:eastAsia="宋体" w:cs="宋体"/>
          <w:sz w:val="28"/>
          <w:szCs w:val="28"/>
          <w:lang w:eastAsia="zh-CN"/>
        </w:rPr>
        <w:t>。</w:t>
      </w:r>
    </w:p>
    <w:p w14:paraId="3CD57919">
      <w:pPr>
        <w:spacing w:before="201" w:line="221" w:lineRule="auto"/>
        <w:ind w:left="627"/>
        <w:outlineLvl w:val="1"/>
        <w:rPr>
          <w:rFonts w:ascii="黑体" w:hAnsi="黑体" w:eastAsia="黑体" w:cs="黑体"/>
          <w:spacing w:val="-9"/>
          <w:sz w:val="30"/>
          <w:szCs w:val="30"/>
          <w:lang w:eastAsia="zh-CN"/>
        </w:rPr>
      </w:pPr>
      <w:r>
        <w:rPr>
          <w:rFonts w:ascii="黑体" w:hAnsi="黑体" w:eastAsia="黑体" w:cs="黑体"/>
          <w:spacing w:val="-9"/>
          <w:sz w:val="30"/>
          <w:szCs w:val="30"/>
          <w:lang w:eastAsia="zh-CN"/>
        </w:rPr>
        <w:t>三 、项目支出主要绩效及评价结论</w:t>
      </w:r>
    </w:p>
    <w:p w14:paraId="62ACC731">
      <w:pPr>
        <w:pStyle w:val="2"/>
        <w:ind w:firstLine="611"/>
        <w:rPr>
          <w:sz w:val="32"/>
          <w:szCs w:val="32"/>
          <w:lang w:eastAsia="zh-CN"/>
        </w:rPr>
      </w:pPr>
      <w:r>
        <w:rPr>
          <w:rFonts w:hint="eastAsia"/>
          <w:sz w:val="32"/>
          <w:szCs w:val="32"/>
          <w:lang w:eastAsia="zh-CN"/>
        </w:rPr>
        <w:t xml:space="preserve"> 平安创建经费25.97万元用于全市平安创建的工资，综治民调工作经费54.59万元用于全市的省级民调工作，维稳协调经费222.29万元 用于全市的维稳协调，扫黑除恶25万元用于全市扫黑除恶、精神病患者保险费25万元用于精神病患者监护人的保险，给这些监护人上了一道保险安全屏障、司法救助47.68万元用于司法司法诉讼过程中发现的困难对象的救助、岳阳市综治奖金8万元市上级政法委对我委工作的肯定，政法委专项经费51.31万元用于网格化、矛调，综治管理等支出，11.18爆炸案建处理经费1.5万元用于爆炸案救助，国际龙舟赛经费200万元用于国际龙舟赛支出提升汨罗文化保驾护航，防老人诈骗经费12万元，反电信诈骗15万元减少被诈骗对象的人数。</w:t>
      </w:r>
    </w:p>
    <w:p w14:paraId="2FC7739B">
      <w:pPr>
        <w:spacing w:before="201" w:line="221" w:lineRule="auto"/>
        <w:ind w:left="627" w:firstLine="556" w:firstLineChars="200"/>
        <w:outlineLvl w:val="1"/>
        <w:rPr>
          <w:rFonts w:ascii="仿宋" w:hAnsi="仿宋" w:eastAsia="仿宋" w:cs="仿宋"/>
          <w:sz w:val="30"/>
          <w:szCs w:val="30"/>
          <w:lang w:eastAsia="zh-CN"/>
        </w:rPr>
      </w:pPr>
      <w:r>
        <w:rPr>
          <w:rFonts w:hint="eastAsia" w:ascii="仿宋" w:hAnsi="仿宋" w:eastAsia="仿宋" w:cs="仿宋"/>
          <w:spacing w:val="-11"/>
          <w:sz w:val="30"/>
          <w:szCs w:val="30"/>
          <w:lang w:eastAsia="zh-CN"/>
        </w:rPr>
        <w:t>坚决确保了汨罗社会大局平安稳定。人民群众纷纷表示市委市政府为人民群众办实事，办好事。对政法队伍的全体政法系统人员的执行力满意度非常高。</w:t>
      </w:r>
    </w:p>
    <w:p w14:paraId="13B5C8F2">
      <w:pPr>
        <w:spacing w:before="201" w:line="580" w:lineRule="exact"/>
        <w:ind w:firstLine="540" w:firstLineChars="200"/>
        <w:rPr>
          <w:rFonts w:ascii="黑体" w:hAnsi="黑体" w:eastAsia="黑体" w:cs="黑体"/>
          <w:sz w:val="30"/>
          <w:szCs w:val="30"/>
          <w:lang w:eastAsia="zh-CN"/>
        </w:rPr>
      </w:pPr>
      <w:r>
        <w:rPr>
          <w:rFonts w:ascii="黑体" w:hAnsi="黑体" w:eastAsia="黑体" w:cs="黑体"/>
          <w:spacing w:val="-15"/>
          <w:position w:val="20"/>
          <w:sz w:val="30"/>
          <w:szCs w:val="30"/>
          <w:lang w:eastAsia="zh-CN"/>
        </w:rPr>
        <w:t>四、绩效评价指标分析</w:t>
      </w:r>
    </w:p>
    <w:p w14:paraId="37F42350">
      <w:pPr>
        <w:pStyle w:val="2"/>
        <w:spacing w:before="196" w:line="345" w:lineRule="auto"/>
        <w:ind w:firstLine="604" w:firstLineChars="200"/>
        <w:jc w:val="both"/>
        <w:rPr>
          <w:spacing w:val="1"/>
          <w:sz w:val="30"/>
          <w:szCs w:val="30"/>
          <w:lang w:eastAsia="zh-CN"/>
        </w:rPr>
      </w:pPr>
      <w:r>
        <w:rPr>
          <w:spacing w:val="1"/>
          <w:sz w:val="30"/>
          <w:szCs w:val="30"/>
          <w:lang w:eastAsia="zh-CN"/>
        </w:rPr>
        <w:t>(一)项目支出决策情况</w:t>
      </w:r>
    </w:p>
    <w:p w14:paraId="569E76FE">
      <w:pPr>
        <w:pStyle w:val="2"/>
        <w:spacing w:before="196" w:line="345" w:lineRule="auto"/>
        <w:ind w:firstLine="660" w:firstLineChars="200"/>
        <w:jc w:val="both"/>
        <w:rPr>
          <w:sz w:val="30"/>
          <w:szCs w:val="30"/>
          <w:lang w:eastAsia="zh-CN"/>
        </w:rPr>
      </w:pPr>
      <w:r>
        <w:rPr>
          <w:rFonts w:hint="eastAsia"/>
          <w:spacing w:val="15"/>
          <w:sz w:val="30"/>
          <w:szCs w:val="30"/>
          <w:lang w:eastAsia="zh-CN"/>
        </w:rPr>
        <w:t>维稳协调、扫黑除恶的立项依据是</w:t>
      </w:r>
      <w:r>
        <w:rPr>
          <w:rFonts w:hint="eastAsia"/>
          <w:spacing w:val="2"/>
          <w:sz w:val="30"/>
          <w:szCs w:val="30"/>
          <w:lang w:eastAsia="zh-CN"/>
        </w:rPr>
        <w:t>从2021年以来，在市委的坚强领导下，市委政法委以政法队伍教育整顿为契机，把确保稳定作为全市维稳工作主线来抓，我市维稳工作以保平安、抓稳定为总基调，大力推进积案化解、矛盾排查、情报预警、责任压实等，始终把稳定压倒一切作为一项极其重要的政治任务落实落细 。</w:t>
      </w:r>
      <w:r>
        <w:rPr>
          <w:rFonts w:hint="eastAsia"/>
          <w:spacing w:val="15"/>
          <w:sz w:val="30"/>
          <w:szCs w:val="30"/>
          <w:lang w:eastAsia="zh-CN"/>
        </w:rPr>
        <w:t>同时维稳协调扫黑除恶作为了一项常态化工作，其预算资金每年由我委申报，</w:t>
      </w:r>
      <w:r>
        <w:rPr>
          <w:rFonts w:hint="eastAsia"/>
          <w:spacing w:val="26"/>
          <w:sz w:val="30"/>
          <w:szCs w:val="30"/>
          <w:lang w:eastAsia="zh-CN"/>
        </w:rPr>
        <w:t>为了规范项目资金管理，确保项目开展顺理，防范风险，指定了项目资金和项目管理制度做到了维稳协调项目资金专款专用，不得挪作他用，做好了项目资金的预算，确保资金合理规划。维稳协调资金222.29万元，用于本委的协调资金50万元，用于全市的维稳协调172.59万元，做到资金拨</w:t>
      </w:r>
      <w:r>
        <w:rPr>
          <w:rFonts w:hint="eastAsia"/>
          <w:spacing w:val="15"/>
          <w:sz w:val="30"/>
          <w:szCs w:val="30"/>
          <w:lang w:eastAsia="zh-CN"/>
        </w:rPr>
        <w:t>付的及时性。我委就维稳协调的评审工作成立了评议小组，对维稳协调工作进行</w:t>
      </w:r>
      <w:r>
        <w:rPr>
          <w:spacing w:val="15"/>
          <w:sz w:val="30"/>
          <w:szCs w:val="30"/>
          <w:lang w:eastAsia="zh-CN"/>
        </w:rPr>
        <w:t>评审、</w:t>
      </w:r>
      <w:r>
        <w:rPr>
          <w:rFonts w:hint="eastAsia"/>
          <w:spacing w:val="15"/>
          <w:sz w:val="30"/>
          <w:szCs w:val="30"/>
          <w:lang w:eastAsia="zh-CN"/>
        </w:rPr>
        <w:t>由纪检人员同时对绩效评价进行</w:t>
      </w:r>
      <w:r>
        <w:rPr>
          <w:spacing w:val="15"/>
          <w:sz w:val="30"/>
          <w:szCs w:val="30"/>
          <w:lang w:eastAsia="zh-CN"/>
        </w:rPr>
        <w:t>监督</w:t>
      </w:r>
      <w:r>
        <w:rPr>
          <w:rFonts w:hint="eastAsia"/>
          <w:spacing w:val="15"/>
          <w:sz w:val="30"/>
          <w:szCs w:val="30"/>
          <w:lang w:eastAsia="zh-CN"/>
        </w:rPr>
        <w:t>等工作。其他项目资金根据当年度政法工作提申报及执行的。</w:t>
      </w:r>
    </w:p>
    <w:p w14:paraId="07FA73F1">
      <w:pPr>
        <w:pStyle w:val="2"/>
        <w:spacing w:line="222" w:lineRule="auto"/>
        <w:ind w:left="619"/>
        <w:rPr>
          <w:sz w:val="30"/>
          <w:szCs w:val="30"/>
          <w:lang w:eastAsia="zh-CN"/>
        </w:rPr>
      </w:pPr>
    </w:p>
    <w:p w14:paraId="51B93884">
      <w:pPr>
        <w:numPr>
          <w:ilvl w:val="0"/>
          <w:numId w:val="4"/>
        </w:numPr>
        <w:ind w:firstLine="584" w:firstLineChars="200"/>
        <w:rPr>
          <w:rFonts w:eastAsia="宋体"/>
          <w:spacing w:val="-4"/>
          <w:sz w:val="30"/>
          <w:szCs w:val="30"/>
          <w:lang w:eastAsia="zh-CN"/>
        </w:rPr>
      </w:pPr>
      <w:r>
        <w:rPr>
          <w:spacing w:val="-4"/>
          <w:sz w:val="30"/>
          <w:szCs w:val="30"/>
        </w:rPr>
        <w:t>项目执行过程</w:t>
      </w:r>
      <w:r>
        <w:rPr>
          <w:rFonts w:hint="eastAsia" w:eastAsia="宋体"/>
          <w:spacing w:val="-4"/>
          <w:sz w:val="30"/>
          <w:szCs w:val="30"/>
          <w:lang w:eastAsia="zh-CN"/>
        </w:rPr>
        <w:t>情况</w:t>
      </w:r>
    </w:p>
    <w:p w14:paraId="6D73EF78">
      <w:pPr>
        <w:rPr>
          <w:rFonts w:eastAsia="仿宋_GB2312"/>
          <w:sz w:val="32"/>
          <w:szCs w:val="32"/>
          <w:lang w:eastAsia="zh-CN"/>
        </w:rPr>
      </w:pPr>
      <w:r>
        <w:rPr>
          <w:rFonts w:hint="eastAsia" w:ascii="仿宋" w:hAnsi="仿宋" w:eastAsia="仿宋" w:cs="仿宋"/>
          <w:spacing w:val="2"/>
          <w:sz w:val="32"/>
          <w:szCs w:val="32"/>
          <w:lang w:eastAsia="zh-CN"/>
        </w:rPr>
        <w:t xml:space="preserve">   项目资金是我委</w:t>
      </w:r>
      <w:r>
        <w:rPr>
          <w:rFonts w:hint="eastAsia" w:ascii="仿宋" w:hAnsi="仿宋" w:eastAsia="仿宋" w:cs="仿宋"/>
          <w:spacing w:val="-6"/>
          <w:sz w:val="32"/>
          <w:szCs w:val="32"/>
          <w:lang w:eastAsia="zh-CN"/>
        </w:rPr>
        <w:t>指导全市的</w:t>
      </w:r>
      <w:r>
        <w:rPr>
          <w:rFonts w:hint="eastAsia" w:ascii="仿宋" w:hAnsi="仿宋" w:eastAsia="仿宋" w:cs="仿宋"/>
          <w:spacing w:val="2"/>
          <w:sz w:val="32"/>
          <w:szCs w:val="32"/>
          <w:lang w:eastAsia="zh-CN"/>
        </w:rPr>
        <w:t>维稳协调，项目资金严格控制在年度预算内的情况下，按时完成绩效目标任务，做了以下的工作：</w:t>
      </w:r>
      <w:r>
        <w:rPr>
          <w:rFonts w:hint="eastAsia" w:ascii="仿宋" w:hAnsi="仿宋" w:eastAsia="仿宋" w:cs="仿宋"/>
          <w:sz w:val="32"/>
          <w:szCs w:val="32"/>
          <w:lang w:eastAsia="zh-CN"/>
        </w:rPr>
        <w:t xml:space="preserve">一、全力防范风险挑战，社会大局持续稳定。 1、是全力确保政治安全，2、是全力化解矛盾纠纷。 3、是全力确保社会稳定大环境下，汨罗政法各项工作得以顺利开展。 </w:t>
      </w:r>
    </w:p>
    <w:p w14:paraId="6477C1E6">
      <w:pPr>
        <w:ind w:firstLine="584" w:firstLineChars="200"/>
        <w:rPr>
          <w:rFonts w:eastAsia="宋体"/>
          <w:spacing w:val="-4"/>
          <w:sz w:val="30"/>
          <w:szCs w:val="30"/>
          <w:lang w:eastAsia="zh-CN"/>
        </w:rPr>
      </w:pPr>
      <w:r>
        <w:rPr>
          <w:spacing w:val="-4"/>
          <w:sz w:val="30"/>
          <w:szCs w:val="30"/>
          <w:lang w:eastAsia="zh-CN"/>
        </w:rPr>
        <w:t>(</w:t>
      </w:r>
      <w:r>
        <w:rPr>
          <w:rFonts w:hint="eastAsia" w:eastAsia="宋体"/>
          <w:spacing w:val="-4"/>
          <w:sz w:val="30"/>
          <w:szCs w:val="30"/>
          <w:lang w:eastAsia="zh-CN"/>
        </w:rPr>
        <w:t>三</w:t>
      </w:r>
      <w:r>
        <w:rPr>
          <w:spacing w:val="-4"/>
          <w:sz w:val="30"/>
          <w:szCs w:val="30"/>
          <w:lang w:eastAsia="zh-CN"/>
        </w:rPr>
        <w:t>)项目</w:t>
      </w:r>
      <w:r>
        <w:rPr>
          <w:rFonts w:hint="eastAsia" w:eastAsia="宋体"/>
          <w:spacing w:val="-4"/>
          <w:sz w:val="30"/>
          <w:szCs w:val="30"/>
          <w:lang w:eastAsia="zh-CN"/>
        </w:rPr>
        <w:t>支出产出情况</w:t>
      </w:r>
    </w:p>
    <w:p w14:paraId="3471AD96">
      <w:pPr>
        <w:ind w:firstLine="960" w:firstLineChars="300"/>
        <w:jc w:val="both"/>
        <w:rPr>
          <w:rFonts w:ascii="仿宋" w:hAnsi="仿宋" w:eastAsia="仿宋" w:cs="仿宋"/>
          <w:bCs/>
          <w:sz w:val="32"/>
          <w:szCs w:val="32"/>
          <w:lang w:eastAsia="zh-CN"/>
        </w:rPr>
      </w:pPr>
      <w:r>
        <w:rPr>
          <w:rFonts w:hint="eastAsia" w:ascii="仿宋" w:hAnsi="仿宋" w:eastAsia="仿宋" w:cs="仿宋"/>
          <w:bCs/>
          <w:sz w:val="32"/>
          <w:szCs w:val="32"/>
          <w:lang w:eastAsia="zh-CN"/>
        </w:rPr>
        <w:t>维稳协调接访率达95%，保证汨罗大局稳定，按时完成绩效目标，项目资金严格控制在年度预算资金内。</w:t>
      </w:r>
    </w:p>
    <w:p w14:paraId="3049F793">
      <w:pPr>
        <w:ind w:firstLine="960" w:firstLineChars="300"/>
        <w:jc w:val="both"/>
        <w:rPr>
          <w:rFonts w:ascii="仿宋" w:hAnsi="仿宋" w:eastAsia="仿宋" w:cs="仿宋"/>
          <w:bCs/>
          <w:sz w:val="32"/>
          <w:szCs w:val="32"/>
          <w:lang w:eastAsia="zh-CN"/>
        </w:rPr>
      </w:pPr>
      <w:r>
        <w:rPr>
          <w:rFonts w:hint="eastAsia" w:ascii="仿宋" w:hAnsi="仿宋" w:eastAsia="仿宋" w:cs="仿宋"/>
          <w:bCs/>
          <w:sz w:val="32"/>
          <w:szCs w:val="32"/>
          <w:lang w:eastAsia="zh-CN"/>
        </w:rPr>
        <w:t>1、全力防范风险挑战，社会大局持续稳定。</w:t>
      </w:r>
    </w:p>
    <w:p w14:paraId="6FFFC3E5">
      <w:pPr>
        <w:ind w:firstLine="960" w:firstLineChars="300"/>
        <w:jc w:val="both"/>
        <w:rPr>
          <w:rFonts w:ascii="仿宋" w:hAnsi="仿宋" w:eastAsia="仿宋" w:cs="仿宋"/>
          <w:bCs/>
          <w:sz w:val="32"/>
          <w:szCs w:val="32"/>
          <w:lang w:eastAsia="zh-CN"/>
        </w:rPr>
      </w:pPr>
      <w:r>
        <w:rPr>
          <w:rFonts w:hint="eastAsia" w:ascii="仿宋" w:hAnsi="仿宋" w:eastAsia="仿宋" w:cs="仿宋"/>
          <w:bCs/>
          <w:sz w:val="32"/>
          <w:szCs w:val="32"/>
          <w:lang w:eastAsia="zh-CN"/>
        </w:rPr>
        <w:t>2、是全力确保政治安全。</w:t>
      </w:r>
    </w:p>
    <w:p w14:paraId="38454A56">
      <w:pPr>
        <w:ind w:firstLine="960" w:firstLineChars="300"/>
        <w:jc w:val="both"/>
        <w:rPr>
          <w:rFonts w:ascii="仿宋" w:hAnsi="仿宋" w:eastAsia="仿宋" w:cs="仿宋"/>
          <w:bCs/>
          <w:sz w:val="32"/>
          <w:szCs w:val="32"/>
          <w:lang w:eastAsia="zh-CN"/>
        </w:rPr>
      </w:pPr>
      <w:r>
        <w:rPr>
          <w:rFonts w:hint="eastAsia" w:ascii="仿宋" w:hAnsi="仿宋" w:eastAsia="仿宋" w:cs="仿宋"/>
          <w:bCs/>
          <w:sz w:val="32"/>
          <w:szCs w:val="32"/>
          <w:lang w:eastAsia="zh-CN"/>
        </w:rPr>
        <w:t>3、是全力化解矛盾纠纷。</w:t>
      </w:r>
    </w:p>
    <w:p w14:paraId="4EC2C7E6">
      <w:pPr>
        <w:ind w:firstLine="960" w:firstLineChars="300"/>
        <w:jc w:val="both"/>
        <w:rPr>
          <w:rFonts w:eastAsia="仿宋_GB2312"/>
          <w:sz w:val="32"/>
          <w:szCs w:val="32"/>
          <w:lang w:eastAsia="zh-CN"/>
        </w:rPr>
      </w:pPr>
      <w:r>
        <w:rPr>
          <w:rFonts w:hint="eastAsia" w:ascii="仿宋" w:hAnsi="仿宋" w:eastAsia="仿宋" w:cs="仿宋"/>
          <w:bCs/>
          <w:sz w:val="32"/>
          <w:szCs w:val="32"/>
          <w:lang w:eastAsia="zh-CN"/>
        </w:rPr>
        <w:t>4、是全力确保社会稳</w:t>
      </w:r>
      <w:r>
        <w:rPr>
          <w:rFonts w:eastAsia="仿宋_GB2312"/>
          <w:sz w:val="32"/>
          <w:szCs w:val="32"/>
          <w:lang w:eastAsia="zh-CN"/>
        </w:rPr>
        <w:t>定。</w:t>
      </w:r>
    </w:p>
    <w:p w14:paraId="16D805F4">
      <w:pPr>
        <w:ind w:firstLine="960" w:firstLineChars="300"/>
        <w:jc w:val="both"/>
        <w:rPr>
          <w:rFonts w:eastAsia="仿宋_GB2312"/>
          <w:sz w:val="32"/>
          <w:szCs w:val="32"/>
          <w:lang w:eastAsia="zh-CN"/>
        </w:rPr>
      </w:pPr>
      <w:r>
        <w:rPr>
          <w:rFonts w:hint="eastAsia" w:eastAsia="仿宋_GB2312"/>
          <w:sz w:val="32"/>
          <w:szCs w:val="32"/>
          <w:lang w:eastAsia="zh-CN"/>
        </w:rPr>
        <w:t>5、司法救助和本市配套资金实施到位。</w:t>
      </w:r>
    </w:p>
    <w:p w14:paraId="022B2417">
      <w:pPr>
        <w:ind w:firstLine="960" w:firstLineChars="300"/>
        <w:jc w:val="both"/>
        <w:rPr>
          <w:rFonts w:eastAsia="仿宋_GB2312"/>
          <w:sz w:val="32"/>
          <w:szCs w:val="32"/>
          <w:lang w:eastAsia="zh-CN"/>
        </w:rPr>
      </w:pPr>
      <w:r>
        <w:rPr>
          <w:rFonts w:hint="eastAsia" w:eastAsia="仿宋_GB2312"/>
          <w:sz w:val="32"/>
          <w:szCs w:val="32"/>
          <w:lang w:eastAsia="zh-CN"/>
        </w:rPr>
        <w:t>6、宣传防诈、反诈减少被诈骗人员数量。</w:t>
      </w:r>
    </w:p>
    <w:p w14:paraId="0AD22E7F">
      <w:pPr>
        <w:pStyle w:val="2"/>
        <w:spacing w:before="220" w:line="222" w:lineRule="auto"/>
        <w:ind w:firstLine="604" w:firstLineChars="200"/>
        <w:rPr>
          <w:spacing w:val="1"/>
          <w:sz w:val="30"/>
          <w:szCs w:val="30"/>
          <w:lang w:eastAsia="zh-CN"/>
        </w:rPr>
      </w:pPr>
      <w:r>
        <w:rPr>
          <w:rFonts w:hint="eastAsia"/>
          <w:spacing w:val="1"/>
          <w:sz w:val="30"/>
          <w:szCs w:val="30"/>
          <w:lang w:eastAsia="zh-CN"/>
        </w:rPr>
        <w:t>(四)</w:t>
      </w:r>
      <w:r>
        <w:rPr>
          <w:spacing w:val="1"/>
          <w:sz w:val="30"/>
          <w:szCs w:val="30"/>
          <w:lang w:eastAsia="zh-CN"/>
        </w:rPr>
        <w:t>项目支出效益情况</w:t>
      </w:r>
    </w:p>
    <w:p w14:paraId="2506D578">
      <w:pPr>
        <w:pStyle w:val="2"/>
        <w:spacing w:before="220" w:line="222" w:lineRule="auto"/>
        <w:ind w:firstLine="604" w:firstLineChars="200"/>
        <w:rPr>
          <w:spacing w:val="1"/>
          <w:sz w:val="30"/>
          <w:szCs w:val="30"/>
          <w:lang w:eastAsia="zh-CN"/>
        </w:rPr>
      </w:pPr>
      <w:r>
        <w:rPr>
          <w:rFonts w:hint="eastAsia"/>
          <w:spacing w:val="1"/>
          <w:sz w:val="30"/>
          <w:szCs w:val="30"/>
          <w:lang w:eastAsia="zh-CN"/>
        </w:rPr>
        <w:t>在项目资金一定的情况下，在经济效益上，提高了财政资金使用效益，在社会效益上，体现在优化资源配置，维护社会稳定。而社会大局稳定，经济、金融环境稳定，经济也在可持续稳定发展。</w:t>
      </w:r>
    </w:p>
    <w:p w14:paraId="3E845464">
      <w:pPr>
        <w:spacing w:before="154" w:line="222" w:lineRule="auto"/>
        <w:ind w:left="534"/>
        <w:outlineLvl w:val="1"/>
        <w:rPr>
          <w:rFonts w:ascii="黑体" w:hAnsi="黑体" w:eastAsia="黑体" w:cs="黑体"/>
          <w:sz w:val="30"/>
          <w:szCs w:val="30"/>
          <w:lang w:eastAsia="zh-CN"/>
        </w:rPr>
      </w:pPr>
      <w:r>
        <w:rPr>
          <w:rFonts w:ascii="黑体" w:hAnsi="黑体" w:eastAsia="黑体" w:cs="黑体"/>
          <w:b/>
          <w:bCs/>
          <w:spacing w:val="-14"/>
          <w:sz w:val="30"/>
          <w:szCs w:val="30"/>
          <w:lang w:eastAsia="zh-CN"/>
        </w:rPr>
        <w:t>五、主要经验及做法、存在的问题及原因分析</w:t>
      </w:r>
    </w:p>
    <w:p w14:paraId="718E7CDF">
      <w:pPr>
        <w:spacing w:before="208" w:line="221" w:lineRule="auto"/>
        <w:ind w:left="530"/>
        <w:rPr>
          <w:rFonts w:ascii="仿宋" w:hAnsi="仿宋" w:eastAsia="仿宋" w:cs="仿宋"/>
          <w:spacing w:val="-11"/>
          <w:sz w:val="30"/>
          <w:szCs w:val="30"/>
          <w:lang w:eastAsia="zh-CN"/>
        </w:rPr>
      </w:pPr>
      <w:r>
        <w:rPr>
          <w:rFonts w:hint="eastAsia" w:ascii="仿宋" w:hAnsi="仿宋" w:eastAsia="仿宋" w:cs="仿宋"/>
          <w:spacing w:val="-11"/>
          <w:sz w:val="30"/>
          <w:szCs w:val="30"/>
          <w:lang w:eastAsia="zh-CN"/>
        </w:rPr>
        <w:t xml:space="preserve"> 项目的主要绩效，维稳协调、扫黑除恶考评根据平时督查情况、年底考核情况结合综治基础工作和平安建设成员单位履职情况，确定维稳、扫黑工作先进 。考核结果纳入综合绩效考核，并与被考评单位、被考评单位主要负责人和分管负责人评先评优挂钩。更加注重系统观念、法治思维、强基导向，奋力推动政法工作高质量发展，努力建设更高水平的平安汨罗、法治汨罗。在大局稳定基础上，综治基层基础也更加夯实，治安防控能力不断增强，治安环境不断优化，社会大局持续稳定。</w:t>
      </w:r>
    </w:p>
    <w:p w14:paraId="512AC497">
      <w:pPr>
        <w:numPr>
          <w:ilvl w:val="0"/>
          <w:numId w:val="2"/>
        </w:numPr>
        <w:spacing w:before="208" w:line="221" w:lineRule="auto"/>
        <w:ind w:left="840"/>
        <w:rPr>
          <w:rFonts w:ascii="黑体" w:hAnsi="黑体" w:eastAsia="黑体" w:cs="黑体"/>
          <w:b/>
          <w:bCs/>
          <w:spacing w:val="-14"/>
          <w:sz w:val="30"/>
          <w:szCs w:val="30"/>
        </w:rPr>
      </w:pPr>
      <w:r>
        <w:rPr>
          <w:rFonts w:hint="eastAsia" w:ascii="黑体" w:hAnsi="黑体" w:eastAsia="黑体" w:cs="黑体"/>
          <w:b/>
          <w:bCs/>
          <w:spacing w:val="-14"/>
          <w:sz w:val="30"/>
          <w:szCs w:val="30"/>
        </w:rPr>
        <w:t>有关建议</w:t>
      </w:r>
    </w:p>
    <w:p w14:paraId="6728100D">
      <w:pPr>
        <w:spacing w:before="208" w:line="221" w:lineRule="auto"/>
        <w:ind w:left="840"/>
        <w:rPr>
          <w:rFonts w:ascii="仿宋" w:hAnsi="仿宋" w:eastAsia="仿宋" w:cs="仿宋"/>
          <w:spacing w:val="-14"/>
          <w:sz w:val="30"/>
          <w:szCs w:val="30"/>
          <w:lang w:eastAsia="zh-CN"/>
        </w:rPr>
      </w:pPr>
      <w:r>
        <w:rPr>
          <w:rFonts w:hint="eastAsia" w:ascii="仿宋" w:hAnsi="仿宋" w:eastAsia="仿宋" w:cs="仿宋"/>
          <w:spacing w:val="-14"/>
          <w:sz w:val="30"/>
          <w:szCs w:val="30"/>
          <w:lang w:eastAsia="zh-CN"/>
        </w:rPr>
        <w:t>无建议。</w:t>
      </w:r>
    </w:p>
    <w:p w14:paraId="64DD0699">
      <w:pPr>
        <w:spacing w:before="208" w:line="221" w:lineRule="auto"/>
        <w:ind w:left="530" w:firstLine="279" w:firstLineChars="100"/>
        <w:rPr>
          <w:rFonts w:ascii="黑体" w:hAnsi="黑体" w:eastAsia="黑体" w:cs="黑体"/>
          <w:b/>
          <w:bCs/>
          <w:spacing w:val="-11"/>
          <w:sz w:val="30"/>
          <w:szCs w:val="30"/>
          <w:lang w:eastAsia="zh-CN"/>
        </w:rPr>
      </w:pPr>
      <w:r>
        <w:rPr>
          <w:rFonts w:hint="eastAsia" w:ascii="黑体" w:hAnsi="黑体" w:eastAsia="黑体" w:cs="黑体"/>
          <w:b/>
          <w:bCs/>
          <w:spacing w:val="-11"/>
          <w:sz w:val="30"/>
          <w:szCs w:val="30"/>
          <w:lang w:eastAsia="zh-CN"/>
        </w:rPr>
        <w:t>七、其他需要说明的问题</w:t>
      </w:r>
    </w:p>
    <w:p w14:paraId="5BF5EBCA">
      <w:pPr>
        <w:spacing w:before="208" w:line="221" w:lineRule="auto"/>
        <w:ind w:firstLine="900" w:firstLineChars="300"/>
        <w:rPr>
          <w:rFonts w:ascii="仿宋" w:hAnsi="仿宋" w:eastAsia="仿宋" w:cs="仿宋"/>
          <w:sz w:val="30"/>
          <w:szCs w:val="30"/>
          <w:lang w:eastAsia="zh-CN"/>
        </w:rPr>
      </w:pPr>
      <w:r>
        <w:rPr>
          <w:rFonts w:hint="eastAsia" w:ascii="仿宋" w:hAnsi="仿宋" w:eastAsia="仿宋" w:cs="仿宋"/>
          <w:sz w:val="30"/>
          <w:szCs w:val="30"/>
          <w:lang w:eastAsia="zh-CN"/>
        </w:rPr>
        <w:t>无其他需要说明的问题。</w:t>
      </w:r>
    </w:p>
    <w:p w14:paraId="67CB3D26">
      <w:pPr>
        <w:rPr>
          <w:lang w:eastAsia="zh-CN"/>
        </w:rPr>
      </w:pPr>
    </w:p>
    <w:p w14:paraId="4E7D6718">
      <w:pPr>
        <w:spacing w:before="49" w:line="224" w:lineRule="auto"/>
        <w:ind w:left="98"/>
        <w:jc w:val="left"/>
        <w:rPr>
          <w:rFonts w:ascii="黑体" w:hAnsi="黑体" w:eastAsia="黑体" w:cs="黑体"/>
          <w:sz w:val="24"/>
          <w:szCs w:val="24"/>
        </w:rPr>
      </w:pPr>
    </w:p>
    <w:p w14:paraId="2E461A7D">
      <w:pPr>
        <w:spacing w:before="208" w:line="221" w:lineRule="auto"/>
        <w:ind w:firstLine="1290" w:firstLineChars="300"/>
        <w:jc w:val="left"/>
        <w:rPr>
          <w:rFonts w:hint="eastAsia" w:ascii="仿宋" w:hAnsi="仿宋" w:eastAsia="仿宋" w:cs="仿宋"/>
          <w:b w:val="0"/>
          <w:bCs w:val="0"/>
          <w:sz w:val="30"/>
          <w:szCs w:val="30"/>
          <w:lang w:val="en-US" w:eastAsia="zh-CN"/>
        </w:rPr>
      </w:pPr>
      <w:r>
        <w:rPr>
          <w:rFonts w:hint="eastAsia" w:ascii="黑体" w:hAnsi="黑体" w:eastAsia="黑体" w:cs="黑体"/>
          <w:spacing w:val="10"/>
          <w:position w:val="12"/>
          <w:sz w:val="41"/>
          <w:szCs w:val="41"/>
          <w:lang w:val="en-US" w:eastAsia="zh-CN"/>
        </w:rPr>
        <w:t xml:space="preserve"> </w:t>
      </w:r>
      <w:bookmarkStart w:id="0" w:name="_GoBack"/>
      <w:bookmarkEnd w:id="0"/>
    </w:p>
    <w:sectPr>
      <w:pgSz w:w="11900" w:h="16840"/>
      <w:pgMar w:top="1431" w:right="1483" w:bottom="400" w:left="949"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407515">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7D5CFA"/>
    <w:multiLevelType w:val="singleLevel"/>
    <w:tmpl w:val="CE7D5CFA"/>
    <w:lvl w:ilvl="0" w:tentative="0">
      <w:start w:val="3"/>
      <w:numFmt w:val="chineseCounting"/>
      <w:lvlText w:val="(%1)"/>
      <w:lvlJc w:val="left"/>
      <w:pPr>
        <w:tabs>
          <w:tab w:val="left" w:pos="312"/>
        </w:tabs>
      </w:pPr>
      <w:rPr>
        <w:rFonts w:hint="eastAsia"/>
      </w:rPr>
    </w:lvl>
  </w:abstractNum>
  <w:abstractNum w:abstractNumId="1">
    <w:nsid w:val="FF674A5D"/>
    <w:multiLevelType w:val="singleLevel"/>
    <w:tmpl w:val="FF674A5D"/>
    <w:lvl w:ilvl="0" w:tentative="0">
      <w:start w:val="2"/>
      <w:numFmt w:val="chineseCounting"/>
      <w:lvlText w:val="(%1)"/>
      <w:lvlJc w:val="left"/>
      <w:pPr>
        <w:tabs>
          <w:tab w:val="left" w:pos="312"/>
        </w:tabs>
      </w:pPr>
      <w:rPr>
        <w:rFonts w:hint="eastAsia"/>
      </w:rPr>
    </w:lvl>
  </w:abstractNum>
  <w:abstractNum w:abstractNumId="2">
    <w:nsid w:val="24DB9869"/>
    <w:multiLevelType w:val="singleLevel"/>
    <w:tmpl w:val="24DB9869"/>
    <w:lvl w:ilvl="0" w:tentative="0">
      <w:start w:val="5"/>
      <w:numFmt w:val="chineseCounting"/>
      <w:suff w:val="nothing"/>
      <w:lvlText w:val="%1、"/>
      <w:lvlJc w:val="left"/>
      <w:pPr>
        <w:ind w:left="276"/>
      </w:pPr>
      <w:rPr>
        <w:rFonts w:hint="eastAsia"/>
      </w:rPr>
    </w:lvl>
  </w:abstractNum>
  <w:abstractNum w:abstractNumId="3">
    <w:nsid w:val="4E4F723F"/>
    <w:multiLevelType w:val="singleLevel"/>
    <w:tmpl w:val="4E4F723F"/>
    <w:lvl w:ilvl="0" w:tentative="0">
      <w:start w:val="4"/>
      <w:numFmt w:val="chineseCounting"/>
      <w:suff w:val="nothing"/>
      <w:lvlText w:val="%1、"/>
      <w:lvlJc w:val="left"/>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DU0MTA5NmYwNDUzODA4ZTJlNGE5N2NhN2JjMmExN2IifQ=="/>
  </w:docVars>
  <w:rsids>
    <w:rsidRoot w:val="00000000"/>
    <w:rsid w:val="01C577F2"/>
    <w:rsid w:val="085939A9"/>
    <w:rsid w:val="095852CB"/>
    <w:rsid w:val="0A3E139F"/>
    <w:rsid w:val="0A625120"/>
    <w:rsid w:val="0E6C20CC"/>
    <w:rsid w:val="10A60564"/>
    <w:rsid w:val="110F4BB7"/>
    <w:rsid w:val="11B6766C"/>
    <w:rsid w:val="12C512C5"/>
    <w:rsid w:val="137E5B51"/>
    <w:rsid w:val="186A33DE"/>
    <w:rsid w:val="189B4557"/>
    <w:rsid w:val="1AEB4323"/>
    <w:rsid w:val="1BC11B2B"/>
    <w:rsid w:val="1CBF3B73"/>
    <w:rsid w:val="1CCD3758"/>
    <w:rsid w:val="1E4B73EA"/>
    <w:rsid w:val="1ED54C6B"/>
    <w:rsid w:val="1EDA0E63"/>
    <w:rsid w:val="1EDF2698"/>
    <w:rsid w:val="20874856"/>
    <w:rsid w:val="21531F97"/>
    <w:rsid w:val="2221247E"/>
    <w:rsid w:val="22420893"/>
    <w:rsid w:val="22AC76AC"/>
    <w:rsid w:val="22EB365F"/>
    <w:rsid w:val="23BD45D2"/>
    <w:rsid w:val="2502297F"/>
    <w:rsid w:val="27842638"/>
    <w:rsid w:val="27D67551"/>
    <w:rsid w:val="28595E01"/>
    <w:rsid w:val="2E6B540B"/>
    <w:rsid w:val="35D13059"/>
    <w:rsid w:val="36321FDB"/>
    <w:rsid w:val="368421F9"/>
    <w:rsid w:val="3866640C"/>
    <w:rsid w:val="38810BBF"/>
    <w:rsid w:val="39D545AA"/>
    <w:rsid w:val="3B434C68"/>
    <w:rsid w:val="3B6A4E00"/>
    <w:rsid w:val="3CAE6CFA"/>
    <w:rsid w:val="3DB01584"/>
    <w:rsid w:val="3FBA6A7C"/>
    <w:rsid w:val="41115F16"/>
    <w:rsid w:val="415F094C"/>
    <w:rsid w:val="444B1202"/>
    <w:rsid w:val="447C2011"/>
    <w:rsid w:val="44F73D6C"/>
    <w:rsid w:val="45925F6F"/>
    <w:rsid w:val="45B16C44"/>
    <w:rsid w:val="46002107"/>
    <w:rsid w:val="475E5CD0"/>
    <w:rsid w:val="47EF5097"/>
    <w:rsid w:val="48661A8F"/>
    <w:rsid w:val="48755A36"/>
    <w:rsid w:val="496A4B35"/>
    <w:rsid w:val="4F71212E"/>
    <w:rsid w:val="51433152"/>
    <w:rsid w:val="5296591E"/>
    <w:rsid w:val="529C6C5D"/>
    <w:rsid w:val="52ED5C27"/>
    <w:rsid w:val="535A7592"/>
    <w:rsid w:val="53DB1569"/>
    <w:rsid w:val="55756081"/>
    <w:rsid w:val="5816406A"/>
    <w:rsid w:val="59AE2A20"/>
    <w:rsid w:val="5D984C49"/>
    <w:rsid w:val="5FEC4197"/>
    <w:rsid w:val="61D35C16"/>
    <w:rsid w:val="63453374"/>
    <w:rsid w:val="64652AB5"/>
    <w:rsid w:val="66FE1978"/>
    <w:rsid w:val="6A3A710B"/>
    <w:rsid w:val="6E697FDC"/>
    <w:rsid w:val="6EF957F8"/>
    <w:rsid w:val="6F3730DA"/>
    <w:rsid w:val="71C67A84"/>
    <w:rsid w:val="7213303E"/>
    <w:rsid w:val="72220F73"/>
    <w:rsid w:val="75525022"/>
    <w:rsid w:val="758B1C9B"/>
    <w:rsid w:val="76334832"/>
    <w:rsid w:val="76BB279C"/>
    <w:rsid w:val="776D01F6"/>
    <w:rsid w:val="7ACA7597"/>
    <w:rsid w:val="7C8325D3"/>
    <w:rsid w:val="7D9944C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7"/>
      <w:szCs w:val="37"/>
      <w:lang w:val="en-US" w:eastAsia="en-US" w:bidi="ar-SA"/>
    </w:rPr>
  </w:style>
  <w:style w:type="paragraph" w:styleId="3">
    <w:name w:val="footer"/>
    <w:basedOn w:val="1"/>
    <w:semiHidden/>
    <w:unhideWhenUsed/>
    <w:qFormat/>
    <w:uiPriority w:val="99"/>
    <w:pPr>
      <w:tabs>
        <w:tab w:val="center" w:pos="4153"/>
        <w:tab w:val="right" w:pos="8306"/>
      </w:tabs>
      <w:spacing w:line="240" w:lineRule="auto"/>
    </w:pPr>
    <w:rPr>
      <w:sz w:val="18"/>
      <w:szCs w:val="18"/>
    </w:rPr>
  </w:style>
  <w:style w:type="paragraph" w:styleId="4">
    <w:name w:val="header"/>
    <w:basedOn w:val="1"/>
    <w:unhideWhenUsed/>
    <w:qFormat/>
    <w:uiPriority w:val="99"/>
    <w:pPr>
      <w:pBdr>
        <w:bottom w:val="single" w:color="auto" w:sz="6" w:space="1"/>
      </w:pBdr>
      <w:tabs>
        <w:tab w:val="center" w:pos="4153"/>
        <w:tab w:val="right" w:pos="8306"/>
      </w:tabs>
      <w:spacing w:line="240" w:lineRule="auto"/>
      <w:jc w:val="center"/>
    </w:pPr>
    <w:rPr>
      <w:sz w:val="18"/>
      <w:szCs w:val="18"/>
    </w:rPr>
  </w:style>
  <w:style w:type="paragraph" w:styleId="5">
    <w:name w:val="Normal (Web)"/>
    <w:basedOn w:val="1"/>
    <w:autoRedefine/>
    <w:qFormat/>
    <w:uiPriority w:val="0"/>
    <w:pPr>
      <w:spacing w:before="100" w:beforeAutospacing="1" w:after="100" w:afterAutospacing="1"/>
      <w:ind w:left="0" w:right="0"/>
      <w:jc w:val="left"/>
    </w:pPr>
    <w:rPr>
      <w:kern w:val="0"/>
      <w:sz w:val="24"/>
      <w:lang w:val="en-US" w:eastAsia="zh-CN" w:bidi="ar"/>
    </w:rPr>
  </w:style>
  <w:style w:type="table" w:styleId="7">
    <w:name w:val="Table Grid"/>
    <w:basedOn w:val="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
    <w:name w:val="Table Normal"/>
    <w:autoRedefine/>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18</Pages>
  <Words>8567</Words>
  <Characters>9177</Characters>
  <TotalTime>0</TotalTime>
  <ScaleCrop>false</ScaleCrop>
  <LinksUpToDate>false</LinksUpToDate>
  <CharactersWithSpaces>9479</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2024-05-17T11:21:00Z</dcterms:created>
  <dc:creator>Administrator</dc:creator>
  <cp:lastModifiedBy>汨罗市营田办事处（主管）</cp:lastModifiedBy>
  <cp:lastPrinted>2024-06-03T01:46:00Z</cp:lastPrinted>
  <dcterms:modified xsi:type="dcterms:W3CDTF">2024-10-14T08:36:46Z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2024-05-17T11:21:56Z</vt:filetime>
  </property>
  <property fmtid="{D5CDD505-2E9C-101B-9397-08002B2CF9AE}" pid="4" name="UsrData">
    <vt:lpwstr>6646cd4a452914001fa5a127wl</vt:lpwstr>
  </property>
  <property fmtid="{D5CDD505-2E9C-101B-9397-08002B2CF9AE}" pid="5" name="KSOProductBuildVer">
    <vt:lpwstr>2052-12.1.0.18276</vt:lpwstr>
  </property>
  <property fmtid="{D5CDD505-2E9C-101B-9397-08002B2CF9AE}" pid="6" name="ICV">
    <vt:lpwstr>E115187FD8E544CDBAABFE8A4AC4C0EC_12</vt:lpwstr>
  </property>
</Properties>
</file>