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E7" w:rsidRDefault="00601B3C">
      <w:pPr>
        <w:pStyle w:val="a5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F20DE7" w:rsidRDefault="00601B3C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F20DE7" w:rsidRDefault="00601B3C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F20DE7" w:rsidRDefault="00F20DE7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F20DE7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F20DE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64</w:t>
            </w:r>
          </w:p>
        </w:tc>
        <w:tc>
          <w:tcPr>
            <w:tcW w:w="2039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64</w:t>
            </w:r>
          </w:p>
        </w:tc>
        <w:tc>
          <w:tcPr>
            <w:tcW w:w="1983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F20DE7">
        <w:trPr>
          <w:trHeight w:val="359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F20DE7">
        <w:trPr>
          <w:trHeight w:val="369"/>
        </w:trPr>
        <w:tc>
          <w:tcPr>
            <w:tcW w:w="3271" w:type="dxa"/>
            <w:vAlign w:val="center"/>
          </w:tcPr>
          <w:p w:rsidR="00F20DE7" w:rsidRDefault="00601B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12.1</w:t>
            </w:r>
          </w:p>
        </w:tc>
        <w:tc>
          <w:tcPr>
            <w:tcW w:w="2039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6.7</w:t>
            </w:r>
          </w:p>
        </w:tc>
        <w:tc>
          <w:tcPr>
            <w:tcW w:w="1983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5.9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F20DE7">
        <w:trPr>
          <w:trHeight w:val="370"/>
        </w:trPr>
        <w:tc>
          <w:tcPr>
            <w:tcW w:w="3271" w:type="dxa"/>
            <w:vAlign w:val="center"/>
          </w:tcPr>
          <w:p w:rsidR="00F20DE7" w:rsidRDefault="00601B3C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369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340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12.1</w:t>
            </w:r>
          </w:p>
        </w:tc>
        <w:tc>
          <w:tcPr>
            <w:tcW w:w="2039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6.7</w:t>
            </w:r>
          </w:p>
        </w:tc>
        <w:tc>
          <w:tcPr>
            <w:tcW w:w="1983" w:type="dxa"/>
            <w:gridSpan w:val="2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5.9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1535.09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1290.41</w:t>
            </w:r>
          </w:p>
        </w:tc>
      </w:tr>
      <w:tr w:rsidR="00F20DE7">
        <w:trPr>
          <w:trHeight w:val="359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359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1233.11</w:t>
            </w:r>
          </w:p>
        </w:tc>
      </w:tr>
      <w:tr w:rsidR="00F20DE7">
        <w:trPr>
          <w:trHeight w:val="359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F20DE7" w:rsidRDefault="00601B3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55.75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111.2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111.86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84.61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14.58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8.04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6.71</w:t>
            </w:r>
          </w:p>
        </w:tc>
      </w:tr>
      <w:tr w:rsidR="00F20DE7">
        <w:trPr>
          <w:trHeight w:val="360"/>
        </w:trPr>
        <w:tc>
          <w:tcPr>
            <w:tcW w:w="3271" w:type="dxa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12.31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18.76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7.03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2.43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0.97</w:t>
            </w:r>
          </w:p>
        </w:tc>
      </w:tr>
      <w:tr w:rsidR="00F20DE7">
        <w:trPr>
          <w:trHeight w:val="350"/>
        </w:trPr>
        <w:tc>
          <w:tcPr>
            <w:tcW w:w="3271" w:type="dxa"/>
            <w:vAlign w:val="center"/>
          </w:tcPr>
          <w:p w:rsidR="00F20DE7" w:rsidRDefault="00601B3C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753.75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3142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718.15</w:t>
            </w:r>
          </w:p>
        </w:tc>
      </w:tr>
      <w:tr w:rsidR="00F20DE7">
        <w:trPr>
          <w:trHeight w:val="369"/>
        </w:trPr>
        <w:tc>
          <w:tcPr>
            <w:tcW w:w="3271" w:type="dxa"/>
            <w:vAlign w:val="center"/>
          </w:tcPr>
          <w:p w:rsidR="00F20DE7" w:rsidRDefault="00601B3C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F20DE7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F20DE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F20DE7" w:rsidRDefault="00F20DE7">
            <w:pPr>
              <w:ind w:firstLine="420"/>
              <w:jc w:val="center"/>
            </w:pPr>
          </w:p>
        </w:tc>
      </w:tr>
      <w:tr w:rsidR="00F20DE7">
        <w:trPr>
          <w:trHeight w:val="345"/>
        </w:trPr>
        <w:tc>
          <w:tcPr>
            <w:tcW w:w="3271" w:type="dxa"/>
            <w:vAlign w:val="center"/>
          </w:tcPr>
          <w:p w:rsidR="00F20DE7" w:rsidRDefault="00601B3C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F20DE7" w:rsidRDefault="00601B3C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严控三公经费，压缩非必要开支。</w:t>
            </w:r>
          </w:p>
        </w:tc>
      </w:tr>
    </w:tbl>
    <w:p w:rsidR="00F20DE7" w:rsidRDefault="00601B3C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F20DE7" w:rsidRDefault="00601B3C" w:rsidP="003E7BEB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F20DE7" w:rsidRDefault="00F20DE7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F20D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F20DE7" w:rsidRDefault="00601B3C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F20DE7" w:rsidRDefault="00601B3C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F20DE7" w:rsidRDefault="00F20DE7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F20DE7">
        <w:trPr>
          <w:trHeight w:val="484"/>
        </w:trPr>
        <w:tc>
          <w:tcPr>
            <w:tcW w:w="1074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汨罗市大荆镇人民政府</w:t>
            </w:r>
          </w:p>
        </w:tc>
      </w:tr>
      <w:tr w:rsidR="00F20DE7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98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6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6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F20DE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746.64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2155.73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2155.73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F20DE7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F20DE7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2143.23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</w:rPr>
              <w:t>865.32</w:t>
            </w:r>
          </w:p>
        </w:tc>
      </w:tr>
      <w:tr w:rsidR="00F20DE7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F20DE7" w:rsidRDefault="00601B3C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12.5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F20DE7" w:rsidRDefault="00601B3C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仿宋_GB2312" w:eastAsia="仿宋_GB2312" w:hAnsi="宋体" w:cs="宋体" w:hint="eastAsia"/>
              </w:rPr>
              <w:t>1290.41</w:t>
            </w:r>
          </w:p>
        </w:tc>
      </w:tr>
      <w:tr w:rsidR="00F20DE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F20DE7" w:rsidRDefault="00601B3C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F20DE7" w:rsidRDefault="00F20DE7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F20DE7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F20DE7" w:rsidRDefault="00601B3C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F20DE7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F20DE7" w:rsidRDefault="00601B3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：保障全单位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工资及运转经费</w:t>
            </w:r>
          </w:p>
          <w:p w:rsidR="00F20DE7" w:rsidRDefault="00601B3C">
            <w:pPr>
              <w:pStyle w:val="a4"/>
              <w:ind w:firstLineChars="200"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：村（社区）运转经费保障</w:t>
            </w:r>
          </w:p>
          <w:p w:rsidR="00F20DE7" w:rsidRDefault="00601B3C">
            <w:pPr>
              <w:pStyle w:val="a4"/>
              <w:ind w:firstLineChars="200"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：保障社会民生</w:t>
            </w:r>
          </w:p>
          <w:p w:rsidR="00F20DE7" w:rsidRDefault="00601B3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：保障其他基本公共服务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F20DE7" w:rsidRDefault="00601B3C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、保障单位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的办公正常运转，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、村（社区）干部、村（社区）基层组织活动和公共服务运行工作经费。</w:t>
            </w:r>
            <w:r>
              <w:rPr>
                <w:rFonts w:ascii="仿宋_GB2312" w:eastAsia="仿宋_GB2312" w:hint="eastAsia"/>
                <w:lang w:eastAsia="zh-CN"/>
              </w:rPr>
              <w:t xml:space="preserve"> 3</w:t>
            </w:r>
            <w:r>
              <w:rPr>
                <w:rFonts w:ascii="仿宋_GB2312" w:eastAsia="仿宋_GB2312" w:hint="eastAsia"/>
                <w:lang w:eastAsia="zh-CN"/>
              </w:rPr>
              <w:t>、保障全镇农村五保、农村低保。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、开展安全隐患排查、环境卫生整治，安排文体活动，及时排查及化解矛盾纠纷</w:t>
            </w:r>
            <w:r>
              <w:rPr>
                <w:rFonts w:ascii="仿宋_GB2312" w:eastAsia="仿宋_GB2312" w:hint="eastAsia"/>
                <w:lang w:eastAsia="zh-CN"/>
              </w:rPr>
              <w:t>5</w:t>
            </w:r>
            <w:r>
              <w:rPr>
                <w:rFonts w:ascii="仿宋_GB2312" w:eastAsia="仿宋_GB2312" w:hint="eastAsia"/>
                <w:lang w:eastAsia="zh-CN"/>
              </w:rPr>
              <w:t>、按照相关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规定及时安排经费支出</w:t>
            </w:r>
            <w:r>
              <w:rPr>
                <w:rFonts w:ascii="仿宋_GB2312" w:eastAsia="仿宋_GB2312" w:hint="eastAsia"/>
                <w:lang w:eastAsia="zh-CN"/>
              </w:rPr>
              <w:t>6</w:t>
            </w:r>
            <w:r>
              <w:rPr>
                <w:rFonts w:ascii="仿宋_GB2312" w:eastAsia="仿宋_GB2312" w:hint="eastAsia"/>
                <w:lang w:eastAsia="zh-CN"/>
              </w:rPr>
              <w:t>、严格按</w:t>
            </w:r>
            <w:r>
              <w:rPr>
                <w:rFonts w:ascii="仿宋_GB2312" w:eastAsia="仿宋_GB2312" w:hint="eastAsia"/>
                <w:lang w:eastAsia="zh-CN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年预算执行，</w:t>
            </w:r>
            <w:r>
              <w:rPr>
                <w:rFonts w:ascii="仿宋_GB2312" w:eastAsia="仿宋_GB2312" w:hint="eastAsia"/>
                <w:lang w:eastAsia="zh-CN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年全年支出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155.73</w:t>
            </w:r>
            <w:r>
              <w:rPr>
                <w:rFonts w:ascii="仿宋_GB2312" w:eastAsia="仿宋_GB2312" w:hint="eastAsia"/>
                <w:lang w:eastAsia="zh-CN"/>
              </w:rPr>
              <w:t>万元，其中基本支出</w:t>
            </w:r>
            <w:r>
              <w:rPr>
                <w:rFonts w:ascii="仿宋_GB2312" w:eastAsia="仿宋_GB2312" w:hint="eastAsia"/>
                <w:lang w:eastAsia="zh-CN"/>
              </w:rPr>
              <w:t>865.32</w:t>
            </w:r>
            <w:r>
              <w:rPr>
                <w:rFonts w:ascii="仿宋_GB2312" w:eastAsia="仿宋_GB2312" w:hint="eastAsia"/>
                <w:lang w:eastAsia="zh-CN"/>
              </w:rPr>
              <w:t>万元，项目支出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290.41</w:t>
            </w:r>
            <w:r>
              <w:rPr>
                <w:rFonts w:ascii="仿宋_GB2312" w:eastAsia="仿宋_GB2312" w:hint="eastAsia"/>
                <w:lang w:eastAsia="zh-CN"/>
              </w:rPr>
              <w:t>万元</w:t>
            </w:r>
          </w:p>
        </w:tc>
      </w:tr>
      <w:tr w:rsidR="00F20DE7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F20DE7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严格按预算执行，确保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工资福利支出到位、严格按预算执行，确保政府商品和服务支出到位、严格按预算执行，确保政府对个人和家庭的补助到位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确保工资福利支出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622.8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万元、确保商品和服务支出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11.86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万元、确保对个人和家庭的补助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11.98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083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按照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«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预算法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»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«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会计法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»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等财务法律法规规定控制支出；按照党风廉政建设规定规范支出。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确保大荆镇人民政府各项基本支出、项目支出合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合法。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按照相关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规定及时安排经费支出。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F20DE7">
            <w:pPr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 w:rsidR="00F20DE7" w:rsidRDefault="00601B3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确保各项支出合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合法，及时到位，促进各项工作任务顺利完成。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ind w:firstLine="291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基本民生保障，道路基础设施，安全保障和社会和谐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生态文明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将卫生环境保护贯穿到辖区村（社区）、丰富文化生活，加强乡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风文明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因地方经济发展对环境可能带来一定的影响</w:t>
            </w:r>
          </w:p>
        </w:tc>
      </w:tr>
      <w:tr w:rsidR="00F20DE7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  <w:sz w:val="20"/>
                <w:szCs w:val="20"/>
              </w:rPr>
              <w:t>项目进展顺利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32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≧</w:t>
            </w:r>
            <w:r>
              <w:rPr>
                <w:rFonts w:ascii="仿宋_GB2312" w:eastAsia="仿宋_GB2312" w:hint="eastAsia"/>
                <w:sz w:val="20"/>
                <w:szCs w:val="20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严格按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202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年预算执行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202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年一般公共预算基本支出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746.64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20DE7">
        <w:trPr>
          <w:trHeight w:val="232"/>
        </w:trPr>
        <w:tc>
          <w:tcPr>
            <w:tcW w:w="6988" w:type="dxa"/>
            <w:gridSpan w:val="6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98</w:t>
            </w:r>
          </w:p>
        </w:tc>
        <w:tc>
          <w:tcPr>
            <w:tcW w:w="142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F20DE7" w:rsidRDefault="00601B3C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lastRenderedPageBreak/>
        <w:t>填表人：</w:t>
      </w:r>
      <w:r>
        <w:rPr>
          <w:rFonts w:ascii="仿宋_GB2312" w:eastAsia="仿宋_GB2312" w:hAnsi="宋体" w:cs="宋体"/>
          <w:lang w:eastAsia="zh-CN"/>
        </w:rPr>
        <w:t xml:space="preserve">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F20DE7" w:rsidRDefault="00601B3C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F20DE7" w:rsidRDefault="00601B3C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F20DE7" w:rsidRDefault="00F20DE7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F20DE7">
        <w:trPr>
          <w:trHeight w:val="514"/>
          <w:jc w:val="center"/>
        </w:trPr>
        <w:tc>
          <w:tcPr>
            <w:tcW w:w="1054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大荆镇齐荆线道路拓宽</w:t>
            </w: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F20DE7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55.75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55.75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55.75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33</w:t>
            </w:r>
          </w:p>
        </w:tc>
        <w:tc>
          <w:tcPr>
            <w:tcW w:w="80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F20DE7" w:rsidRDefault="00601B3C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F20DE7" w:rsidRDefault="00601B3C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22.75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22.75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22.75</w:t>
            </w:r>
          </w:p>
        </w:tc>
        <w:tc>
          <w:tcPr>
            <w:tcW w:w="80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大荆镇齐荆线道路拓宽</w:t>
            </w:r>
          </w:p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：改善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农村道路交通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条件</w:t>
            </w:r>
          </w:p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目标</w:t>
            </w:r>
            <w:r>
              <w:rPr>
                <w:rFonts w:ascii="仿宋_GB2312" w:eastAsia="仿宋_GB2312" w:hAnsi="宋体" w:cs="宋体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：群众满意度</w:t>
            </w:r>
            <w:r>
              <w:rPr>
                <w:rFonts w:ascii="仿宋_GB2312" w:eastAsia="仿宋_GB2312" w:hAnsi="宋体" w:cs="宋体" w:hint="eastAsia"/>
              </w:rPr>
              <w:t xml:space="preserve">100% </w:t>
            </w:r>
          </w:p>
        </w:tc>
        <w:tc>
          <w:tcPr>
            <w:tcW w:w="4140" w:type="dxa"/>
            <w:gridSpan w:val="4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完成大荆镇齐荆线道路拓宽</w:t>
            </w:r>
          </w:p>
          <w:p w:rsidR="00F20DE7" w:rsidRDefault="00601B3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：改善了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农村道路交通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条件</w:t>
            </w:r>
          </w:p>
          <w:p w:rsidR="00F20DE7" w:rsidRDefault="00601B3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：群众满意度达到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</w:tr>
      <w:tr w:rsidR="00F20DE7">
        <w:trPr>
          <w:trHeight w:val="499"/>
          <w:jc w:val="center"/>
        </w:trPr>
        <w:tc>
          <w:tcPr>
            <w:tcW w:w="105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218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20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道路拓宽长度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2800m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2800m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9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项目验收合格率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设施正常使用率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当年开工率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当年完成率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带动本镇居民务工，提高群众收入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≥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4.5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受益群众人口数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≥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1200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1200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人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6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020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49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改善居民出行条件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显著改善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9"/>
          <w:jc w:val="center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受益群众满意度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0"/>
          <w:jc w:val="center"/>
        </w:trPr>
        <w:tc>
          <w:tcPr>
            <w:tcW w:w="105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支出成本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≤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60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20DE7" w:rsidRDefault="00601B3C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55.75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0"/>
          <w:jc w:val="center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</w:t>
            </w:r>
            <w:r>
              <w:rPr>
                <w:rFonts w:ascii="仿宋_GB2312" w:eastAsia="仿宋_GB2312" w:hint="eastAsia"/>
                <w:lang w:eastAsia="zh-CN"/>
              </w:rPr>
              <w:lastRenderedPageBreak/>
              <w:t>标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531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F20DE7">
        <w:trPr>
          <w:trHeight w:val="255"/>
          <w:jc w:val="center"/>
        </w:trPr>
        <w:tc>
          <w:tcPr>
            <w:tcW w:w="6549" w:type="dxa"/>
            <w:gridSpan w:val="6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F20DE7" w:rsidRDefault="00601B3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F20DE7" w:rsidRDefault="00F20DE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F20DE7" w:rsidRDefault="00601B3C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F20DE7" w:rsidRDefault="00F20DE7">
      <w:pPr>
        <w:ind w:firstLine="420"/>
        <w:rPr>
          <w:rFonts w:ascii="宋体" w:eastAsia="宋体" w:hAnsi="宋体" w:cs="宋体"/>
          <w:lang w:eastAsia="zh-CN"/>
        </w:rPr>
      </w:pPr>
    </w:p>
    <w:p w:rsidR="00F20DE7" w:rsidRDefault="00601B3C">
      <w:pPr>
        <w:rPr>
          <w:rFonts w:ascii="仿宋_GB2312" w:eastAsia="仿宋_GB2312" w:hAnsi="宋体" w:cs="宋体"/>
          <w:lang w:eastAsia="zh-CN"/>
        </w:rPr>
        <w:sectPr w:rsidR="00F20DE7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:</w:t>
      </w:r>
    </w:p>
    <w:p w:rsidR="00F20DE7" w:rsidRDefault="00601B3C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F20DE7" w:rsidRDefault="00F20DE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F20DE7" w:rsidRDefault="00F20DE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F20DE7" w:rsidRDefault="00601B3C">
      <w:pPr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大荆镇人民政府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</w:t>
      </w:r>
      <w:r w:rsidR="003E7BEB">
        <w:rPr>
          <w:rFonts w:ascii="方正小标宋简体" w:eastAsia="方正小标宋简体" w:hint="eastAsia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</w:t>
      </w:r>
    </w:p>
    <w:p w:rsidR="00F20DE7" w:rsidRDefault="00601B3C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支出</w:t>
      </w:r>
    </w:p>
    <w:p w:rsidR="00F20DE7" w:rsidRDefault="00601B3C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F20DE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F20DE7" w:rsidRDefault="00601B3C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 w:rsidRPr="003E7BEB"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部门名称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盖章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)</w:t>
      </w:r>
    </w:p>
    <w:p w:rsidR="00F20DE7" w:rsidRDefault="003E7BEB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2024</w:t>
      </w:r>
      <w:r w:rsidR="00601B3C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 w:rsidR="00601B3C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6</w:t>
      </w:r>
      <w:r w:rsidR="00601B3C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</w:t>
      </w:r>
      <w:r w:rsidR="00601B3C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 w:rsidR="00601B3C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3"/>
          <w:sz w:val="32"/>
          <w:szCs w:val="32"/>
          <w:lang w:eastAsia="zh-CN"/>
        </w:rPr>
        <w:t>5</w:t>
      </w:r>
      <w:r w:rsidR="00601B3C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 </w:t>
      </w:r>
      <w:r w:rsidR="00601B3C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F20DE7" w:rsidRDefault="00601B3C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F20DE7" w:rsidRDefault="00F20DE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F20DE7" w:rsidRDefault="00F20DE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F20DE7" w:rsidRDefault="00F20DE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F20DE7" w:rsidRDefault="00F20DE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F20DE7" w:rsidRDefault="00F20DE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F20DE7" w:rsidRDefault="00F20DE7">
          <w:pPr>
            <w:pStyle w:val="a5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F20DE7" w:rsidRDefault="00601B3C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年度</w:t>
      </w:r>
      <w:r>
        <w:rPr>
          <w:rFonts w:ascii="黑体" w:eastAsia="黑体" w:hAnsi="黑体" w:cs="黑体" w:hint="eastAsia"/>
          <w:spacing w:val="-60"/>
          <w:sz w:val="40"/>
          <w:szCs w:val="40"/>
          <w:lang w:eastAsia="zh-CN"/>
        </w:rPr>
        <w:t>大荆镇人民政府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部门整体支出绩效</w:t>
      </w:r>
    </w:p>
    <w:p w:rsidR="00F20DE7" w:rsidRDefault="00601B3C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告</w:t>
      </w:r>
    </w:p>
    <w:p w:rsidR="00F20DE7" w:rsidRDefault="00F20DE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F20DE7" w:rsidRDefault="00601B3C"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 w:rsidRPr="003E7BEB"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部门基本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情况</w:t>
      </w:r>
    </w:p>
    <w:p w:rsidR="00F20DE7" w:rsidRDefault="00601B3C" w:rsidP="003E7BEB">
      <w:pPr>
        <w:pStyle w:val="2"/>
        <w:ind w:firstLine="641"/>
      </w:pPr>
      <w:r>
        <w:t>（</w:t>
      </w:r>
      <w:proofErr w:type="spellStart"/>
      <w:r>
        <w:t>一）机构设置情况</w:t>
      </w:r>
      <w:proofErr w:type="spellEnd"/>
    </w:p>
    <w:p w:rsidR="00F20DE7" w:rsidRDefault="00601B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大荆镇人民政府内设机构包括：单位包含政府机关及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个二级机构，没有独立核算的二级机构。由政府机关、政务服务中心、农业综合服务中心、社会事务综合服务中心、退役军人服务站、综合行政执法大队构成。</w:t>
      </w:r>
    </w:p>
    <w:p w:rsidR="00F20DE7" w:rsidRDefault="00601B3C" w:rsidP="003E7BEB">
      <w:pPr>
        <w:pStyle w:val="2"/>
        <w:ind w:firstLine="641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  <w:lang w:eastAsia="zh-CN"/>
        </w:rPr>
        <w:t>）</w:t>
      </w:r>
      <w:r>
        <w:rPr>
          <w:lang w:eastAsia="zh-CN"/>
        </w:rPr>
        <w:t>人员编制情况</w:t>
      </w:r>
    </w:p>
    <w:p w:rsidR="00F20DE7" w:rsidRDefault="00601B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年编制人数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人，年末实有人数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人。</w:t>
      </w:r>
    </w:p>
    <w:p w:rsidR="00F20DE7" w:rsidRDefault="00601B3C">
      <w:pPr>
        <w:pStyle w:val="2"/>
        <w:numPr>
          <w:ilvl w:val="0"/>
          <w:numId w:val="2"/>
        </w:numPr>
        <w:ind w:firstLineChars="0"/>
      </w:pPr>
      <w:proofErr w:type="spellStart"/>
      <w:r>
        <w:t>主要职能职责</w:t>
      </w:r>
      <w:proofErr w:type="spellEnd"/>
    </w:p>
    <w:p w:rsidR="00F20DE7" w:rsidRDefault="00601B3C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lang w:eastAsia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）制定并组织实施村镇建设规划，部署重点工程建设，地方道路建设及公共设施，水利设施的管理，负责土地、林木、水等自然资源和生态环境的保护，做好护林防火工作。（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）负责本行政区域内的民政、计划生育、文化教育、卫生、体育等社会公益事业的综合性工作，维护一切经济单位和个人的正当经济权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益，取缔非法经济活动，调解和处理民事纠纷，打击刑事犯罪维护社会稳定。（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）按计划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lastRenderedPageBreak/>
        <w:t>组织本级财政收入和地方税的征收，完成国家财政计划，不断培植税源，管好财政资金，增强财政实力。（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）抓好精神文明建设，丰富群众文化生活，提倡移风易俗，反对封建迷信，破除陈规陋习，树立社会主义新风尚。（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）完成上级政府交办的其它事项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F20DE7" w:rsidRDefault="00601B3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</w:t>
      </w:r>
      <w:r w:rsidRPr="003E7BEB">
        <w:rPr>
          <w:rFonts w:ascii="方正黑体_GBK" w:eastAsia="方正黑体_GBK" w:hint="eastAsia"/>
          <w:sz w:val="32"/>
          <w:szCs w:val="32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F20DE7" w:rsidRDefault="00601B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等。上述制度规定基本执行到位。</w:t>
      </w:r>
    </w:p>
    <w:p w:rsidR="00F20DE7" w:rsidRDefault="00601B3C">
      <w:pPr>
        <w:pStyle w:val="a4"/>
        <w:ind w:firstLineChars="200" w:firstLine="640"/>
        <w:rPr>
          <w:rFonts w:ascii="Times New Roman" w:eastAsia="楷体_GB2312" w:hAnsi="Times New Roman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年决算支出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2155.73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万元，其中：基本支出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865.32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万元，项目支出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1290.41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F20DE7" w:rsidRDefault="00601B3C" w:rsidP="003E7BEB">
      <w:pPr>
        <w:pStyle w:val="a7"/>
        <w:spacing w:line="600" w:lineRule="exact"/>
        <w:ind w:firstLine="641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F20DE7" w:rsidRDefault="00601B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 w:rsidR="00F20DE7" w:rsidRDefault="00601B3C" w:rsidP="003E7BEB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全年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865.32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其中人员经费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780.71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万元，公用经费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84.61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万元。</w:t>
      </w:r>
    </w:p>
    <w:p w:rsidR="00F20DE7" w:rsidRDefault="00601B3C" w:rsidP="003E7BEB">
      <w:pPr>
        <w:pStyle w:val="a7"/>
        <w:numPr>
          <w:ilvl w:val="0"/>
          <w:numId w:val="3"/>
        </w:numPr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F20DE7" w:rsidRDefault="00601B3C">
      <w:pPr>
        <w:pStyle w:val="a7"/>
        <w:spacing w:line="600" w:lineRule="exact"/>
        <w:ind w:firstLine="640"/>
        <w:jc w:val="both"/>
        <w:rPr>
          <w:rFonts w:ascii="仿宋_GB2312" w:eastAsia="仿宋_GB2312" w:hAnsi="Calibri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/>
          <w:kern w:val="2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 w:rsidR="00F20DE7" w:rsidRDefault="00601B3C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全年项目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1290.41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主要用于乡村振兴、乡村治理、道路建设、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  <w:t>水利建设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等工作。</w:t>
      </w:r>
    </w:p>
    <w:p w:rsidR="00F20DE7" w:rsidRDefault="00601B3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三、政府性基金预算</w:t>
      </w:r>
      <w:r w:rsidRPr="003E7BEB">
        <w:rPr>
          <w:rFonts w:ascii="方正黑体_GBK" w:eastAsia="方正黑体_GBK" w:hint="eastAsia"/>
          <w:sz w:val="32"/>
          <w:szCs w:val="32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F20DE7" w:rsidRDefault="00601B3C">
      <w:pPr>
        <w:pStyle w:val="a4"/>
        <w:ind w:firstLineChars="200" w:firstLine="64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年全年政府性基金决算支出为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12.5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万元，均为项目支出。</w:t>
      </w:r>
    </w:p>
    <w:p w:rsidR="00F20DE7" w:rsidRDefault="00601B3C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国有资本经营预算</w:t>
      </w:r>
      <w:r w:rsidRPr="003E7BEB">
        <w:rPr>
          <w:rFonts w:ascii="方正黑体_GBK" w:eastAsia="方正黑体_GBK" w:hint="eastAsia"/>
          <w:sz w:val="32"/>
          <w:szCs w:val="32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F20DE7" w:rsidRDefault="00601B3C">
      <w:pPr>
        <w:ind w:left="64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本单位无国有资本经营预算支出。</w:t>
      </w:r>
    </w:p>
    <w:p w:rsidR="00F20DE7" w:rsidRDefault="00601B3C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F20DE7" w:rsidRDefault="00601B3C">
      <w:pPr>
        <w:ind w:left="420" w:firstLine="42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本单位无社会保险基金预算支出。</w:t>
      </w:r>
    </w:p>
    <w:p w:rsidR="00F20DE7" w:rsidRDefault="00601B3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（一）创先争优“三个一”行动。</w:t>
      </w:r>
      <w:r>
        <w:rPr>
          <w:rFonts w:ascii="仿宋" w:eastAsia="仿宋" w:hAnsi="仿宋" w:hint="eastAsia"/>
          <w:sz w:val="32"/>
          <w:szCs w:val="32"/>
          <w:lang w:eastAsia="zh-CN"/>
        </w:rPr>
        <w:t>我镇经过科学制定的“三个一”行动目标和方案，通过周跟踪、月评比、季度考核的方式，严格督促行动落实见效。依托“三个一”行动，我镇西瓜产业得到蓬勃发展，全年群众增收近</w:t>
      </w:r>
      <w:r>
        <w:rPr>
          <w:rFonts w:ascii="仿宋" w:eastAsia="仿宋" w:hAnsi="仿宋" w:hint="eastAsia"/>
          <w:sz w:val="32"/>
          <w:szCs w:val="32"/>
          <w:lang w:eastAsia="zh-CN"/>
        </w:rPr>
        <w:t>4000</w:t>
      </w:r>
      <w:r>
        <w:rPr>
          <w:rFonts w:ascii="仿宋" w:eastAsia="仿宋" w:hAnsi="仿宋" w:hint="eastAsia"/>
          <w:sz w:val="32"/>
          <w:szCs w:val="32"/>
          <w:lang w:eastAsia="zh-CN"/>
        </w:rPr>
        <w:t>万元；各村集体经济收入有望突破</w:t>
      </w:r>
      <w:r>
        <w:rPr>
          <w:rFonts w:ascii="仿宋" w:eastAsia="仿宋" w:hAnsi="仿宋" w:hint="eastAsia"/>
          <w:sz w:val="32"/>
          <w:szCs w:val="32"/>
          <w:lang w:eastAsia="zh-CN"/>
        </w:rPr>
        <w:t>10</w:t>
      </w:r>
      <w:r>
        <w:rPr>
          <w:rFonts w:ascii="仿宋" w:eastAsia="仿宋" w:hAnsi="仿宋" w:hint="eastAsia"/>
          <w:sz w:val="32"/>
          <w:szCs w:val="32"/>
          <w:lang w:eastAsia="zh-CN"/>
        </w:rPr>
        <w:t>万元，其中大</w:t>
      </w:r>
      <w:proofErr w:type="gramStart"/>
      <w:r>
        <w:rPr>
          <w:rFonts w:ascii="仿宋" w:eastAsia="仿宋" w:hAnsi="仿宋" w:hint="eastAsia"/>
          <w:sz w:val="32"/>
          <w:szCs w:val="32"/>
          <w:lang w:eastAsia="zh-CN"/>
        </w:rPr>
        <w:t>荆</w:t>
      </w:r>
      <w:proofErr w:type="gramEnd"/>
      <w:r>
        <w:rPr>
          <w:rFonts w:ascii="仿宋" w:eastAsia="仿宋" w:hAnsi="仿宋" w:hint="eastAsia"/>
          <w:sz w:val="32"/>
          <w:szCs w:val="32"/>
          <w:lang w:eastAsia="zh-CN"/>
        </w:rPr>
        <w:t>社区达</w:t>
      </w:r>
      <w:r>
        <w:rPr>
          <w:rFonts w:ascii="仿宋" w:eastAsia="仿宋" w:hAnsi="仿宋" w:hint="eastAsia"/>
          <w:sz w:val="32"/>
          <w:szCs w:val="32"/>
          <w:lang w:eastAsia="zh-CN"/>
        </w:rPr>
        <w:t>40</w:t>
      </w:r>
      <w:r>
        <w:rPr>
          <w:rFonts w:ascii="仿宋" w:eastAsia="仿宋" w:hAnsi="仿宋" w:hint="eastAsia"/>
          <w:sz w:val="32"/>
          <w:szCs w:val="32"/>
          <w:lang w:eastAsia="zh-CN"/>
        </w:rPr>
        <w:t>万元；通过有机肥推广、秸秆还田、种植绿肥等措施完成化肥减量</w:t>
      </w:r>
      <w:r>
        <w:rPr>
          <w:rFonts w:ascii="仿宋" w:eastAsia="仿宋" w:hAnsi="仿宋" w:hint="eastAsia"/>
          <w:sz w:val="32"/>
          <w:szCs w:val="32"/>
          <w:lang w:eastAsia="zh-CN"/>
        </w:rPr>
        <w:t>10%</w:t>
      </w:r>
      <w:r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（二）聚焦品牌打造，固成果、促振兴。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2023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年，我镇完成早稻生产面积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22300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亩，集中育秧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16816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亩，较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2021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年分别增加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4700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亩、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2716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亩。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抓好土地有效流转，扎实推进“小田改大田”和高标准农田建设，截止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目前，我镇已完成“小田改大田”项目土地平整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2800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余亩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,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完成高标准农田建设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5000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余亩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；立足本土产业优势，打造西瓜品牌效应。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多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措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并举提高产量，利用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‘四荒’资源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，积极引导西瓜种植业“上山上坡”，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成立专业合作社，引导群众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们规模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种植西瓜，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今年全镇西瓜种植面积近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6000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亩。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成立大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荆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西瓜协会，邀请专家授课多种方式，注册“今荆友味”品牌，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并于今年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月初成功举办首届“今荆友味”西瓜节，并且当天活动还以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多万点击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量的热度登顶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抖音同城热搜榜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，进一步擦亮了品牌、拓宽了销路，也实现了群众致富、集体增收。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（三）聚焦宜</w:t>
      </w:r>
      <w:proofErr w:type="gramStart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居宜业</w:t>
      </w:r>
      <w:proofErr w:type="gramEnd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，美环境、</w:t>
      </w:r>
      <w:proofErr w:type="gramStart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增靓点</w:t>
      </w:r>
      <w:proofErr w:type="gramEnd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今年以来，根据市委市政府提出“三个负面清单”“三个正面清单”，我镇全面扎实推进农村人居环境整治，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针对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G107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国道大荆镇段全域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范围内开展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路域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对沿线开展以“扫干净、摆整齐、栽果树”为主要内容的公路沿线环境综合整治。对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G107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国道沿线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清整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块空坪隙地，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现种植果木树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2500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株。其中茶树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1400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株，沙田柚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株，脐橙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株，目前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全镇范围内已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种植果木树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36300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株。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整治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沿线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私搭乱建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私栽乱种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、乱堆乱放、出店经营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及残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垣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断壁，加强路域绿化美化建设，实现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G107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沿线环境与自然的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和谐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统一，公路路域环境得到根本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性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改善。</w:t>
      </w:r>
    </w:p>
    <w:p w:rsidR="00F20DE7" w:rsidRDefault="00601B3C">
      <w:pPr>
        <w:kinsoku/>
        <w:autoSpaceDE/>
        <w:autoSpaceDN/>
        <w:adjustRightInd/>
        <w:snapToGrid/>
        <w:ind w:firstLineChars="200" w:firstLine="643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（四）聚焦主动创稳，强治理、守底线。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联合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罗江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中队、派出所开展联合执法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余次，查处摩托车不戴头盔、无牌无证驾驶等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余起，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戴帽率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达到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75%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以上；对镇区主要道路开展交通安全隐患排查，共排查安全隐患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处，整治隐患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处。深入推进农村房屋安全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监管，强化危房治理前、中、后全过程监督管理，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居民自建房屋安全隐患排查整治专项行动。开展多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形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式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安全宣传活动，场所悬挂“安全生产月”宣传横幅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多条，张贴安全警言、警句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标语共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多张，企业发放安全生产知识小册共计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多册，并举行安全生产知识培训一次，对学校发放防溺水及日常生活应急知识宣传单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余份，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培训教育课程一次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并要求每所学校对学生举行日常生活安全防范知识讲课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至少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堂。</w:t>
      </w:r>
    </w:p>
    <w:p w:rsidR="00F20DE7" w:rsidRDefault="00601B3C">
      <w:pPr>
        <w:spacing w:line="600" w:lineRule="exact"/>
        <w:ind w:firstLineChars="200" w:firstLine="643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（五）聚焦民生热点，保就业、增福祉。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开展就业和人力资源状况大调查活动，为“促家门口就业”提供真实准确的数据支撑，全力“引老乡回乡，促家门口就业”，保持密切联系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乡友企业家，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达成投资意向企业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家，截至目前已落地的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家企业中已有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家企业运行投产，其余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家也均已动工。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其中古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村乡友罗红波投资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2800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余万创办口福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食品加工厂，白杨村乡友姜春投资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创办汇雅服饰产业园均在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市委市政府领导的实地考察过程中被给予了高度评价。引进乡友创办企业，</w:t>
      </w:r>
      <w:r>
        <w:rPr>
          <w:rFonts w:ascii="Times New Roman" w:eastAsia="仿宋_GB2312" w:hAnsi="Times New Roman" w:cs="Times New Roman"/>
          <w:sz w:val="32"/>
          <w:szCs w:val="40"/>
          <w:lang w:eastAsia="zh-CN"/>
        </w:rPr>
        <w:t>盘活闲置资产，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平均给每个村带来了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万元的集体经济收入，</w:t>
      </w:r>
      <w:r>
        <w:rPr>
          <w:rFonts w:ascii="Times New Roman" w:eastAsia="仿宋_GB2312" w:hAnsi="Times New Roman" w:cs="Times New Roman"/>
          <w:sz w:val="32"/>
          <w:szCs w:val="40"/>
          <w:lang w:eastAsia="zh-CN"/>
        </w:rPr>
        <w:t>带动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周边群</w:t>
      </w:r>
      <w:r>
        <w:rPr>
          <w:rFonts w:ascii="Times New Roman" w:eastAsia="仿宋_GB2312" w:hAnsi="Times New Roman" w:cs="Times New Roman"/>
          <w:sz w:val="32"/>
          <w:szCs w:val="40"/>
          <w:lang w:eastAsia="zh-CN"/>
        </w:rPr>
        <w:t>众家门口就业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其中在已运行投产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的汇雅服饰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产业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园就业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的周边群众人均月工资可达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4000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元，就业群众中女性比例更是高达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90%</w:t>
      </w:r>
      <w:r>
        <w:rPr>
          <w:rFonts w:ascii="Times New Roman" w:eastAsia="仿宋_GB2312" w:hAnsi="Times New Roman" w:cs="Times New Roman" w:hint="eastAsia"/>
          <w:sz w:val="32"/>
          <w:szCs w:val="40"/>
          <w:lang w:eastAsia="zh-CN"/>
        </w:rPr>
        <w:t>。</w:t>
      </w:r>
    </w:p>
    <w:p w:rsidR="00F20DE7" w:rsidRDefault="00601B3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经济总量不大、结构质量不优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、产业特色不突出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仍是最突出的问题；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基础设施建设水平相对薄弱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土地利用效能不高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创新意识不足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，支撑高质量发展的新动能还不够强劲；教育、卫生、社会保障等民生领域还存在短板，公共服务保障能力还需进一步提升；历史遗留问题、矛盾风险隐患仍然存在，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基层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治理还需更精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更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细；应对风险挑战的能力不足，运用法治思维和法治方式推动工作、解决问题的能力有待提高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。</w:t>
      </w:r>
    </w:p>
    <w:p w:rsidR="00F20DE7" w:rsidRDefault="00601B3C">
      <w:pPr>
        <w:numPr>
          <w:ilvl w:val="0"/>
          <w:numId w:val="5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下一步改进措</w:t>
      </w:r>
      <w:r>
        <w:rPr>
          <w:rFonts w:ascii="方正黑体_GBK" w:eastAsia="方正黑体_GBK" w:hint="eastAsia"/>
          <w:sz w:val="32"/>
          <w:szCs w:val="32"/>
          <w:lang w:eastAsia="zh-CN"/>
        </w:rPr>
        <w:t>施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（一）提前谋划</w:t>
      </w:r>
      <w:proofErr w:type="gramStart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布局抓</w:t>
      </w:r>
      <w:proofErr w:type="gramEnd"/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产业。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  <w:lang w:eastAsia="zh-CN"/>
        </w:rPr>
        <w:t>盘活资源。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紧紧围绕土地做文章，把盘活闲置资源与和美乡村建设、项目建设相结合，针对废旧院落、空闲荒地、道路两侧空闲地等闲置资源进行集中整治，盘活资源发展符合乡村特点的休闲农业、乡村旅游、餐饮民宿等新业态，进一步创新探索农村闲置土地利用的新途径。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  <w:lang w:eastAsia="zh-CN"/>
        </w:rPr>
        <w:lastRenderedPageBreak/>
        <w:t>农业产业发展。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持续坚持做大做强特色优势大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荆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西瓜产业，改变传统的小农意识，树立大局意识，坚持化肥减量，尝试更多精品西瓜的培育，树立典型，发展产业龙头，“提早拉长”“营利上市”；坚持使用粪污资源化利用工程，做到强化宣传引导，狠抓“荆之源”葛根、盛联风干萝卜、红椒、蔬菜等农业产业做大做强、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作出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农业一、二、三产业发展的大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荆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模式；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引导新发展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果树、油茶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上山上坡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,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鼓励利用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四荒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资源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,</w:t>
      </w:r>
      <w:r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  <w:t>不与粮食争地。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稳定推动“上山上坡”产业，巩固前期成果，抓好后期落实。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" w:eastAsia="仿宋" w:hAnsi="仿宋" w:cs="Times New Roman"/>
          <w:color w:val="auto"/>
          <w:kern w:val="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（二）注重多方保障稳步推进项目建设。</w:t>
      </w:r>
      <w:r>
        <w:rPr>
          <w:rFonts w:ascii="仿宋" w:eastAsia="仿宋" w:hAnsi="仿宋" w:hint="eastAsia"/>
          <w:sz w:val="32"/>
          <w:szCs w:val="32"/>
          <w:lang w:eastAsia="zh-CN"/>
        </w:rPr>
        <w:t>主动作为，有序推进，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确保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G4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高速公路拓宽、伴生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矿产资源合理开发利用、光伏发电、</w:t>
      </w:r>
      <w:r>
        <w:rPr>
          <w:rFonts w:ascii="仿宋" w:eastAsia="仿宋" w:hAnsi="仿宋" w:hint="eastAsia"/>
          <w:sz w:val="32"/>
          <w:szCs w:val="32"/>
          <w:lang w:eastAsia="zh-CN"/>
        </w:rPr>
        <w:t>煤油管道铺设及维护</w:t>
      </w:r>
      <w:r>
        <w:rPr>
          <w:rFonts w:ascii="仿宋" w:eastAsia="仿宋" w:hAnsi="仿宋" w:hint="eastAsia"/>
          <w:sz w:val="32"/>
          <w:szCs w:val="32"/>
          <w:lang w:eastAsia="zh-CN"/>
        </w:rPr>
        <w:t>、高压电线塔建设、乡村振兴“共享贷”、农业示范基地项目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等重点项目建设稳步推进。</w:t>
      </w:r>
    </w:p>
    <w:p w:rsidR="00F20DE7" w:rsidRDefault="00601B3C">
      <w:pPr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lang w:eastAsia="zh-CN"/>
        </w:rPr>
      </w:pPr>
      <w:r>
        <w:rPr>
          <w:rFonts w:ascii="楷体" w:eastAsia="楷体" w:hAnsi="楷体" w:cs="楷体" w:hint="eastAsia"/>
          <w:b/>
          <w:bCs/>
          <w:color w:val="auto"/>
          <w:kern w:val="2"/>
          <w:sz w:val="32"/>
          <w:szCs w:val="32"/>
          <w:lang w:eastAsia="zh-CN"/>
        </w:rPr>
        <w:t>（三）推进民生改革强发展。教育改革：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进一步全方位落实教育基金筹措工作，全力提高办学品位和水平，加大镇内学校基础设施建设，助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推教育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质量全面提高，完善农村教师保障机制，为教职工提供有效后勤保障。发挥中南大学乡村教育实践基地落户于我镇优势，进一步探索校地合作，健全留守儿童、贫困学生、残疾学生长效帮扶机制；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  <w:lang w:eastAsia="zh-CN"/>
        </w:rPr>
        <w:t>集镇农贸市场改革：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在正亚中心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进行农贸市场改革，融合农村客货</w:t>
      </w:r>
      <w:proofErr w:type="gramStart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邮</w:t>
      </w:r>
      <w:proofErr w:type="gramEnd"/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统筹发展，完善农贸市场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  <w:lang w:eastAsia="zh-CN"/>
        </w:rPr>
        <w:t>升级改造和标准化建设工作规范入市，解决出店经营，商品质量不等，食品卫生以及周边居民日常生鲜购物需求等问题，优化集镇功能，实施集镇扩容，集镇美化。</w:t>
      </w:r>
    </w:p>
    <w:p w:rsidR="00F20DE7" w:rsidRDefault="00F20DE7">
      <w:pPr>
        <w:spacing w:line="600" w:lineRule="exact"/>
        <w:jc w:val="both"/>
        <w:rPr>
          <w:rFonts w:ascii="方正黑体_GBK" w:eastAsia="方正黑体_GBK"/>
          <w:sz w:val="32"/>
          <w:szCs w:val="32"/>
          <w:lang w:eastAsia="zh-CN"/>
        </w:rPr>
      </w:pPr>
    </w:p>
    <w:p w:rsidR="00F20DE7" w:rsidRDefault="00601B3C">
      <w:pPr>
        <w:numPr>
          <w:ilvl w:val="0"/>
          <w:numId w:val="5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部门整体支出绩效自评结果拟应用和公开情况</w:t>
      </w:r>
    </w:p>
    <w:p w:rsidR="00F20DE7" w:rsidRDefault="00601B3C">
      <w:pPr>
        <w:ind w:firstLineChars="100" w:firstLine="32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经自评，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年度我单位部门整体支出绩效评价结论为“优”，自查评分为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100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分，拟于政府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网公开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并接受社会监督。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F20DE7" w:rsidRDefault="00601B3C">
      <w:pPr>
        <w:ind w:firstLineChars="200" w:firstLine="640"/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无。</w:t>
      </w: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一级项目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支出一张表）</w:t>
      </w:r>
    </w:p>
    <w:p w:rsidR="00F20DE7" w:rsidRPr="003E7BEB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</w:t>
      </w:r>
      <w:r w:rsidRPr="003E7BEB">
        <w:rPr>
          <w:rFonts w:eastAsia="仿宋_GB2312" w:hint="eastAsia"/>
          <w:sz w:val="32"/>
          <w:szCs w:val="32"/>
          <w:lang w:eastAsia="zh-CN"/>
        </w:rPr>
        <w:t>财政拨款</w:t>
      </w:r>
      <w:r w:rsidRPr="003E7BEB">
        <w:rPr>
          <w:rFonts w:eastAsia="仿宋_GB2312" w:hint="eastAsia"/>
          <w:sz w:val="32"/>
          <w:szCs w:val="32"/>
          <w:lang w:eastAsia="zh-CN"/>
        </w:rPr>
        <w:t>支出情况表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3E7BEB">
        <w:rPr>
          <w:rFonts w:eastAsia="仿宋_GB2312" w:hint="eastAsia"/>
          <w:sz w:val="32"/>
          <w:szCs w:val="32"/>
          <w:lang w:eastAsia="zh-CN"/>
        </w:rPr>
        <w:t>5</w:t>
      </w:r>
      <w:r w:rsidRPr="003E7BEB">
        <w:rPr>
          <w:rFonts w:eastAsia="仿宋_GB2312" w:hint="eastAsia"/>
          <w:sz w:val="32"/>
          <w:szCs w:val="32"/>
          <w:lang w:eastAsia="zh-CN"/>
        </w:rPr>
        <w:t>、国有资本经营预算</w:t>
      </w:r>
      <w:r w:rsidRPr="003E7BEB">
        <w:rPr>
          <w:rFonts w:eastAsia="仿宋_GB2312" w:hint="eastAsia"/>
          <w:sz w:val="32"/>
          <w:szCs w:val="32"/>
          <w:lang w:eastAsia="zh-CN"/>
        </w:rPr>
        <w:t>财政拨款</w:t>
      </w:r>
      <w:r w:rsidRPr="003E7BEB">
        <w:rPr>
          <w:rFonts w:eastAsia="仿宋_GB2312" w:hint="eastAsia"/>
          <w:sz w:val="32"/>
          <w:szCs w:val="32"/>
          <w:lang w:eastAsia="zh-CN"/>
        </w:rPr>
        <w:t>支</w:t>
      </w:r>
      <w:r>
        <w:rPr>
          <w:rFonts w:eastAsia="仿宋_GB2312" w:hint="eastAsia"/>
          <w:sz w:val="32"/>
          <w:szCs w:val="32"/>
          <w:lang w:eastAsia="zh-CN"/>
        </w:rPr>
        <w:t>出情况表</w:t>
      </w:r>
    </w:p>
    <w:p w:rsidR="00F20DE7" w:rsidRDefault="00601B3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F20DE7" w:rsidRDefault="00F20DE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F20DE7" w:rsidRDefault="00F20DE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F20DE7" w:rsidRDefault="00F20DE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F20DE7" w:rsidRDefault="00F20DE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F20DE7" w:rsidRDefault="00601B3C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F20DE7" w:rsidRDefault="00601B3C">
      <w:pPr>
        <w:spacing w:before="201" w:line="578" w:lineRule="exact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大荆镇齐荆线道路拓宽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F20DE7" w:rsidRDefault="00601B3C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6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F20DE7">
      <w:pPr>
        <w:spacing w:line="247" w:lineRule="auto"/>
        <w:rPr>
          <w:lang w:eastAsia="zh-CN"/>
        </w:rPr>
      </w:pPr>
    </w:p>
    <w:p w:rsidR="00F20DE7" w:rsidRDefault="00601B3C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 w:rsidRPr="003E7BEB">
        <w:rPr>
          <w:spacing w:val="-22"/>
          <w:sz w:val="27"/>
          <w:szCs w:val="27"/>
          <w:lang w:eastAsia="zh-CN"/>
        </w:rPr>
        <w:t>部</w:t>
      </w:r>
      <w:r w:rsidRPr="003E7BEB">
        <w:rPr>
          <w:spacing w:val="-22"/>
          <w:sz w:val="27"/>
          <w:szCs w:val="27"/>
          <w:lang w:eastAsia="zh-CN"/>
        </w:rPr>
        <w:t xml:space="preserve"> </w:t>
      </w:r>
      <w:r w:rsidRPr="003E7BEB">
        <w:rPr>
          <w:spacing w:val="-22"/>
          <w:sz w:val="27"/>
          <w:szCs w:val="27"/>
          <w:lang w:eastAsia="zh-CN"/>
        </w:rPr>
        <w:t>门</w:t>
      </w:r>
      <w:r w:rsidRPr="003E7BEB">
        <w:rPr>
          <w:spacing w:val="-22"/>
          <w:sz w:val="27"/>
          <w:szCs w:val="27"/>
          <w:lang w:eastAsia="zh-CN"/>
        </w:rPr>
        <w:t xml:space="preserve"> </w:t>
      </w:r>
      <w:r w:rsidRPr="003E7BEB">
        <w:rPr>
          <w:spacing w:val="-36"/>
          <w:sz w:val="27"/>
          <w:szCs w:val="27"/>
          <w:lang w:eastAsia="zh-CN"/>
        </w:rPr>
        <w:t xml:space="preserve"> </w:t>
      </w:r>
      <w:r w:rsidRPr="003E7BEB">
        <w:rPr>
          <w:spacing w:val="-22"/>
          <w:sz w:val="27"/>
          <w:szCs w:val="27"/>
          <w:lang w:eastAsia="zh-CN"/>
        </w:rPr>
        <w:t>名</w:t>
      </w:r>
      <w:r w:rsidRPr="003E7BEB">
        <w:rPr>
          <w:spacing w:val="-37"/>
          <w:sz w:val="27"/>
          <w:szCs w:val="27"/>
          <w:lang w:eastAsia="zh-CN"/>
        </w:rPr>
        <w:t xml:space="preserve"> </w:t>
      </w:r>
      <w:r w:rsidRPr="003E7BEB"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(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盖</w:t>
      </w:r>
      <w:r>
        <w:rPr>
          <w:spacing w:val="64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章</w:t>
      </w:r>
      <w:r>
        <w:rPr>
          <w:spacing w:val="55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)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F20DE7" w:rsidRDefault="003E7BEB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 w:rsidR="00601B3C">
        <w:rPr>
          <w:spacing w:val="-13"/>
          <w:position w:val="26"/>
          <w:sz w:val="27"/>
          <w:szCs w:val="27"/>
          <w:lang w:eastAsia="zh-CN"/>
        </w:rPr>
        <w:t>年</w:t>
      </w:r>
      <w:r w:rsidR="00601B3C">
        <w:rPr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 w:rsidR="00601B3C">
        <w:rPr>
          <w:spacing w:val="-13"/>
          <w:position w:val="26"/>
          <w:sz w:val="27"/>
          <w:szCs w:val="27"/>
          <w:lang w:eastAsia="zh-CN"/>
        </w:rPr>
        <w:t xml:space="preserve">  </w:t>
      </w:r>
      <w:r w:rsidR="00601B3C">
        <w:rPr>
          <w:spacing w:val="-13"/>
          <w:position w:val="26"/>
          <w:sz w:val="27"/>
          <w:szCs w:val="27"/>
          <w:lang w:eastAsia="zh-CN"/>
        </w:rPr>
        <w:t>月</w:t>
      </w:r>
      <w:r w:rsidR="00601B3C">
        <w:rPr>
          <w:spacing w:val="12"/>
          <w:position w:val="26"/>
          <w:sz w:val="27"/>
          <w:szCs w:val="27"/>
          <w:lang w:eastAsia="zh-CN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 w:rsidR="00601B3C">
        <w:rPr>
          <w:spacing w:val="12"/>
          <w:position w:val="26"/>
          <w:sz w:val="27"/>
          <w:szCs w:val="27"/>
          <w:lang w:eastAsia="zh-CN"/>
        </w:rPr>
        <w:t xml:space="preserve"> </w:t>
      </w:r>
      <w:r w:rsidR="00601B3C">
        <w:rPr>
          <w:spacing w:val="-13"/>
          <w:position w:val="26"/>
          <w:sz w:val="27"/>
          <w:szCs w:val="27"/>
          <w:lang w:eastAsia="zh-CN"/>
        </w:rPr>
        <w:t>日</w:t>
      </w:r>
    </w:p>
    <w:p w:rsidR="00F20DE7" w:rsidRDefault="00601B3C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F20DE7" w:rsidRDefault="00F20DE7">
      <w:pPr>
        <w:spacing w:line="223" w:lineRule="auto"/>
        <w:rPr>
          <w:sz w:val="24"/>
          <w:szCs w:val="24"/>
          <w:lang w:eastAsia="zh-CN"/>
        </w:rPr>
        <w:sectPr w:rsidR="00F20DE7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F20DE7" w:rsidRDefault="00601B3C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F20DE7" w:rsidRDefault="00601B3C" w:rsidP="003E7BEB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proofErr w:type="gramEnd"/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:rsidR="00F20DE7" w:rsidRDefault="00601B3C" w:rsidP="003E7BEB">
      <w:pPr>
        <w:numPr>
          <w:ilvl w:val="0"/>
          <w:numId w:val="6"/>
        </w:num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F20DE7" w:rsidRDefault="00601B3C">
      <w:pPr>
        <w:pStyle w:val="a4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为认真贯彻落实上级文件通知要求，统筹推进我镇乡村振兴工作，全力做好扶贫资金与衔接资金项目有效衔接工作，项目覆盖我镇</w:t>
      </w:r>
      <w:r>
        <w:rPr>
          <w:rFonts w:eastAsia="仿宋_GB2312" w:hint="eastAsia"/>
          <w:sz w:val="32"/>
          <w:szCs w:val="32"/>
          <w:lang w:eastAsia="zh-CN"/>
        </w:rPr>
        <w:t>齐荆线道路周边</w:t>
      </w:r>
      <w:r>
        <w:rPr>
          <w:rFonts w:eastAsia="仿宋_GB2312" w:hint="eastAsia"/>
          <w:sz w:val="32"/>
          <w:szCs w:val="32"/>
          <w:lang w:eastAsia="zh-CN"/>
        </w:rPr>
        <w:t>居民，群众</w:t>
      </w:r>
      <w:r>
        <w:rPr>
          <w:rFonts w:eastAsia="仿宋_GB2312" w:hint="eastAsia"/>
          <w:sz w:val="32"/>
          <w:szCs w:val="32"/>
          <w:lang w:eastAsia="zh-CN"/>
        </w:rPr>
        <w:t>300</w:t>
      </w:r>
      <w:r>
        <w:rPr>
          <w:rFonts w:eastAsia="仿宋_GB2312" w:hint="eastAsia"/>
          <w:sz w:val="32"/>
          <w:szCs w:val="32"/>
          <w:lang w:eastAsia="zh-CN"/>
        </w:rPr>
        <w:t>户</w:t>
      </w:r>
      <w:r>
        <w:rPr>
          <w:rFonts w:eastAsia="仿宋_GB2312" w:hint="eastAsia"/>
          <w:sz w:val="32"/>
          <w:szCs w:val="32"/>
          <w:lang w:eastAsia="zh-CN"/>
        </w:rPr>
        <w:t>1200</w:t>
      </w:r>
      <w:r>
        <w:rPr>
          <w:rFonts w:eastAsia="仿宋_GB2312" w:hint="eastAsia"/>
          <w:sz w:val="32"/>
          <w:szCs w:val="32"/>
          <w:lang w:eastAsia="zh-CN"/>
        </w:rPr>
        <w:t>人，脱贫户</w:t>
      </w:r>
      <w:r>
        <w:rPr>
          <w:rFonts w:eastAsia="仿宋_GB2312" w:hint="eastAsia"/>
          <w:sz w:val="32"/>
          <w:szCs w:val="32"/>
          <w:lang w:eastAsia="zh-CN"/>
        </w:rPr>
        <w:t>7</w:t>
      </w:r>
      <w:r>
        <w:rPr>
          <w:rFonts w:eastAsia="仿宋_GB2312" w:hint="eastAsia"/>
          <w:sz w:val="32"/>
          <w:szCs w:val="32"/>
          <w:lang w:eastAsia="zh-CN"/>
        </w:rPr>
        <w:t>户</w:t>
      </w:r>
      <w:r>
        <w:rPr>
          <w:rFonts w:eastAsia="仿宋_GB2312" w:hint="eastAsia"/>
          <w:sz w:val="32"/>
          <w:szCs w:val="32"/>
          <w:lang w:eastAsia="zh-CN"/>
        </w:rPr>
        <w:t>27</w:t>
      </w:r>
      <w:r>
        <w:rPr>
          <w:rFonts w:eastAsia="仿宋_GB2312" w:hint="eastAsia"/>
          <w:sz w:val="32"/>
          <w:szCs w:val="32"/>
          <w:lang w:eastAsia="zh-CN"/>
        </w:rPr>
        <w:t>人，该项目建设主要内容为</w:t>
      </w:r>
      <w:r>
        <w:rPr>
          <w:rFonts w:eastAsia="仿宋_GB2312" w:hint="eastAsia"/>
          <w:sz w:val="32"/>
          <w:szCs w:val="32"/>
          <w:lang w:eastAsia="zh-CN"/>
        </w:rPr>
        <w:t>道路拓宽长度</w:t>
      </w:r>
      <w:r>
        <w:rPr>
          <w:rFonts w:eastAsia="仿宋_GB2312" w:hint="eastAsia"/>
          <w:sz w:val="32"/>
          <w:szCs w:val="32"/>
          <w:lang w:eastAsia="zh-CN"/>
        </w:rPr>
        <w:t>2800</w:t>
      </w:r>
      <w:r>
        <w:rPr>
          <w:rFonts w:eastAsia="仿宋_GB2312" w:hint="eastAsia"/>
          <w:sz w:val="32"/>
          <w:szCs w:val="32"/>
          <w:lang w:eastAsia="zh-CN"/>
        </w:rPr>
        <w:t>米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F20DE7" w:rsidRDefault="00601B3C" w:rsidP="003E7BEB">
      <w:pPr>
        <w:pStyle w:val="a4"/>
        <w:numPr>
          <w:ilvl w:val="0"/>
          <w:numId w:val="6"/>
        </w:numPr>
        <w:ind w:firstLineChars="200" w:firstLine="592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F20DE7" w:rsidRDefault="00601B3C" w:rsidP="003E7BEB">
      <w:pPr>
        <w:pStyle w:val="a4"/>
        <w:ind w:leftChars="200" w:left="42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</w:t>
      </w:r>
      <w:r>
        <w:rPr>
          <w:rFonts w:eastAsia="仿宋_GB2312" w:hint="eastAsia"/>
          <w:sz w:val="32"/>
          <w:szCs w:val="32"/>
          <w:lang w:eastAsia="zh-CN"/>
        </w:rPr>
        <w:t>组织</w:t>
      </w:r>
      <w:r>
        <w:rPr>
          <w:rFonts w:eastAsia="仿宋_GB2312" w:hint="eastAsia"/>
          <w:sz w:val="32"/>
          <w:szCs w:val="32"/>
          <w:lang w:eastAsia="zh-CN"/>
        </w:rPr>
        <w:t>管理机构：汨罗市大荆镇人民政府</w:t>
      </w:r>
    </w:p>
    <w:p w:rsidR="00F20DE7" w:rsidRDefault="00601B3C" w:rsidP="003E7BEB">
      <w:pPr>
        <w:pStyle w:val="a4"/>
        <w:ind w:leftChars="200" w:left="42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项目资金使用情况：大荆镇</w:t>
      </w:r>
      <w:r>
        <w:rPr>
          <w:rFonts w:eastAsia="仿宋_GB2312" w:hint="eastAsia"/>
          <w:sz w:val="32"/>
          <w:szCs w:val="32"/>
          <w:lang w:eastAsia="zh-CN"/>
        </w:rPr>
        <w:t>齐荆线道路拓宽</w:t>
      </w:r>
      <w:r>
        <w:rPr>
          <w:rFonts w:eastAsia="仿宋_GB2312" w:hint="eastAsia"/>
          <w:sz w:val="32"/>
          <w:szCs w:val="32"/>
          <w:lang w:eastAsia="zh-CN"/>
        </w:rPr>
        <w:t>项目计划总投资</w:t>
      </w:r>
      <w:r>
        <w:rPr>
          <w:rFonts w:eastAsia="仿宋_GB2312" w:hint="eastAsia"/>
          <w:sz w:val="32"/>
          <w:szCs w:val="32"/>
          <w:lang w:eastAsia="zh-CN"/>
        </w:rPr>
        <w:t>55.75</w:t>
      </w:r>
      <w:r>
        <w:rPr>
          <w:rFonts w:eastAsia="仿宋_GB2312" w:hint="eastAsia"/>
          <w:sz w:val="32"/>
          <w:szCs w:val="32"/>
          <w:lang w:eastAsia="zh-CN"/>
        </w:rPr>
        <w:t>万元，其中财政衔接资金</w:t>
      </w:r>
      <w:r>
        <w:rPr>
          <w:rFonts w:eastAsia="仿宋_GB2312" w:hint="eastAsia"/>
          <w:sz w:val="32"/>
          <w:szCs w:val="32"/>
          <w:lang w:eastAsia="zh-CN"/>
        </w:rPr>
        <w:t>33</w:t>
      </w:r>
      <w:r>
        <w:rPr>
          <w:rFonts w:eastAsia="仿宋_GB2312" w:hint="eastAsia"/>
          <w:sz w:val="32"/>
          <w:szCs w:val="32"/>
          <w:lang w:eastAsia="zh-CN"/>
        </w:rPr>
        <w:t>万元</w:t>
      </w:r>
      <w:r>
        <w:rPr>
          <w:rFonts w:eastAsia="仿宋_GB2312" w:hint="eastAsia"/>
          <w:sz w:val="32"/>
          <w:szCs w:val="32"/>
          <w:lang w:eastAsia="zh-CN"/>
        </w:rPr>
        <w:t>，其他资金</w:t>
      </w:r>
      <w:r>
        <w:rPr>
          <w:rFonts w:eastAsia="仿宋_GB2312" w:hint="eastAsia"/>
          <w:sz w:val="32"/>
          <w:szCs w:val="32"/>
          <w:lang w:eastAsia="zh-CN"/>
        </w:rPr>
        <w:t>22.75</w:t>
      </w:r>
      <w:r>
        <w:rPr>
          <w:rFonts w:eastAsia="仿宋_GB2312" w:hint="eastAsia"/>
          <w:sz w:val="32"/>
          <w:szCs w:val="32"/>
          <w:lang w:eastAsia="zh-CN"/>
        </w:rPr>
        <w:t>万元。</w:t>
      </w:r>
      <w:r>
        <w:rPr>
          <w:rFonts w:eastAsia="仿宋_GB2312" w:hint="eastAsia"/>
          <w:sz w:val="32"/>
          <w:szCs w:val="32"/>
          <w:lang w:eastAsia="zh-CN"/>
        </w:rPr>
        <w:t>已</w:t>
      </w:r>
      <w:r>
        <w:rPr>
          <w:rFonts w:eastAsia="仿宋_GB2312" w:hint="eastAsia"/>
          <w:sz w:val="32"/>
          <w:szCs w:val="32"/>
          <w:lang w:eastAsia="zh-CN"/>
        </w:rPr>
        <w:t>及时拨付</w:t>
      </w:r>
      <w:r>
        <w:rPr>
          <w:rFonts w:eastAsia="仿宋_GB2312" w:hint="eastAsia"/>
          <w:sz w:val="32"/>
          <w:szCs w:val="32"/>
          <w:lang w:eastAsia="zh-CN"/>
        </w:rPr>
        <w:t>投入此项目中。</w:t>
      </w:r>
    </w:p>
    <w:p w:rsidR="00F20DE7" w:rsidRDefault="00601B3C" w:rsidP="003E7BEB">
      <w:pPr>
        <w:pStyle w:val="a4"/>
        <w:ind w:leftChars="200" w:left="42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项目资金管理情况：</w:t>
      </w:r>
      <w:r>
        <w:rPr>
          <w:rFonts w:eastAsia="仿宋_GB2312" w:hint="eastAsia"/>
          <w:sz w:val="32"/>
          <w:szCs w:val="32"/>
          <w:lang w:eastAsia="zh-CN"/>
        </w:rPr>
        <w:t>为加强组织部门预算管理，提高预算执行效率和专项资金使用效益，规范预算绩效管理，成立了大荆镇专项资金预算绩效管理工作领导小组。根据《中华人民共和国预算法》、《中华人民共和国会计法》、《行政单位财务规则》、《行政事业单位内部控制规范（试行）》、《湖南省水利发展资金管理办法》等有关法律、制度、办法，结合本部门实际，制订和完善了，《大荆镇专项资金管理制度》及《大荆镇财务管理制度》等相关财务制度。坚决做到专款专用。专项资金的使用坚持科学安排、合理配置、专款专用、严格监管。</w:t>
      </w:r>
    </w:p>
    <w:p w:rsidR="00F20DE7" w:rsidRDefault="00601B3C" w:rsidP="003E7BEB">
      <w:pPr>
        <w:pStyle w:val="a4"/>
        <w:ind w:leftChars="200" w:left="420"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在资金使用上按照国家财经法规和相关财务管理制</w:t>
      </w:r>
      <w:r>
        <w:rPr>
          <w:rFonts w:eastAsia="仿宋_GB2312" w:hint="eastAsia"/>
          <w:sz w:val="32"/>
          <w:szCs w:val="32"/>
          <w:lang w:eastAsia="zh-CN"/>
        </w:rPr>
        <w:t>度规定执行，资金拨付有完整的审批程序和手续。按照财经制度的有关要求，做到专款专用，专人保管，对专项资金的使用进行全程监督，保证资金使用的合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规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性。资金使用无截留、挤占、挪用、虚列支出等情况。相关发票由财务人员审核后，报分管财务领导签字。</w:t>
      </w:r>
      <w:r>
        <w:rPr>
          <w:rFonts w:eastAsia="仿宋_GB2312" w:hint="eastAsia"/>
          <w:sz w:val="32"/>
          <w:szCs w:val="32"/>
          <w:lang w:eastAsia="zh-CN"/>
        </w:rPr>
        <w:t xml:space="preserve">      </w:t>
      </w:r>
      <w:r>
        <w:rPr>
          <w:rFonts w:eastAsia="仿宋_GB2312"/>
          <w:sz w:val="32"/>
          <w:szCs w:val="32"/>
          <w:lang w:eastAsia="zh-CN"/>
        </w:rPr>
        <w:t>资金拨付审批手续完整，项目结束后，按实际金额再报相关领导审批，并申请国库集中支付。各项资金全部实现国库集中支付、专款专用，不存在支出依据不合</w:t>
      </w:r>
      <w:proofErr w:type="gramStart"/>
      <w:r>
        <w:rPr>
          <w:rFonts w:eastAsia="仿宋_GB2312"/>
          <w:sz w:val="32"/>
          <w:szCs w:val="32"/>
          <w:lang w:eastAsia="zh-CN"/>
        </w:rPr>
        <w:t>规</w:t>
      </w:r>
      <w:proofErr w:type="gramEnd"/>
      <w:r>
        <w:rPr>
          <w:rFonts w:eastAsia="仿宋_GB2312"/>
          <w:sz w:val="32"/>
          <w:szCs w:val="32"/>
          <w:lang w:eastAsia="zh-CN"/>
        </w:rPr>
        <w:t>、虚列项目支出、截留、挤占、挪用和超标准支出等现象，使项目资金的运用得到了合理的控制，项目得到了切实的保障。</w:t>
      </w:r>
    </w:p>
    <w:p w:rsidR="00F20DE7" w:rsidRDefault="00601B3C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项目实施过程通</w:t>
      </w:r>
      <w:r>
        <w:rPr>
          <w:rFonts w:eastAsia="仿宋_GB2312"/>
          <w:sz w:val="32"/>
          <w:szCs w:val="32"/>
          <w:lang w:eastAsia="zh-CN"/>
        </w:rPr>
        <w:t>过了</w:t>
      </w:r>
      <w:r>
        <w:rPr>
          <w:rFonts w:eastAsia="仿宋_GB2312" w:hint="eastAsia"/>
          <w:sz w:val="32"/>
          <w:szCs w:val="32"/>
          <w:lang w:eastAsia="zh-CN"/>
        </w:rPr>
        <w:t>党政会议研究讨论</w:t>
      </w:r>
      <w:r>
        <w:rPr>
          <w:rFonts w:eastAsia="仿宋_GB2312"/>
          <w:sz w:val="32"/>
          <w:szCs w:val="32"/>
          <w:lang w:eastAsia="zh-CN"/>
        </w:rPr>
        <w:t>，保证了项目实施的完整性，</w:t>
      </w:r>
      <w:r>
        <w:rPr>
          <w:rFonts w:eastAsia="仿宋_GB2312" w:hint="eastAsia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  <w:lang w:eastAsia="zh-CN"/>
        </w:rPr>
        <w:t>项目调整</w:t>
      </w:r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竣工验收有相应的</w:t>
      </w:r>
      <w:r>
        <w:rPr>
          <w:rFonts w:eastAsia="仿宋_GB2312" w:hint="eastAsia"/>
          <w:sz w:val="32"/>
          <w:szCs w:val="32"/>
          <w:lang w:eastAsia="zh-CN"/>
        </w:rPr>
        <w:t>文档材料</w:t>
      </w:r>
      <w:r>
        <w:rPr>
          <w:rFonts w:eastAsia="仿宋_GB2312"/>
          <w:sz w:val="32"/>
          <w:szCs w:val="32"/>
          <w:lang w:eastAsia="zh-CN"/>
        </w:rPr>
        <w:t>，验收方式为实地验收，验收</w:t>
      </w:r>
      <w:proofErr w:type="gramStart"/>
      <w:r>
        <w:rPr>
          <w:rFonts w:eastAsia="仿宋_GB2312"/>
          <w:sz w:val="32"/>
          <w:szCs w:val="32"/>
          <w:lang w:eastAsia="zh-CN"/>
        </w:rPr>
        <w:t>表手续</w:t>
      </w:r>
      <w:proofErr w:type="gramEnd"/>
      <w:r>
        <w:rPr>
          <w:rFonts w:eastAsia="仿宋_GB2312"/>
          <w:sz w:val="32"/>
          <w:szCs w:val="32"/>
          <w:lang w:eastAsia="zh-CN"/>
        </w:rPr>
        <w:t>齐全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F20DE7" w:rsidRDefault="00601B3C" w:rsidP="003E7BEB">
      <w:pPr>
        <w:spacing w:line="600" w:lineRule="exact"/>
        <w:ind w:firstLineChars="200" w:firstLine="592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</w:p>
    <w:p w:rsidR="00F20DE7" w:rsidRDefault="00601B3C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为确保有序推动大荆镇</w:t>
      </w:r>
      <w:r>
        <w:rPr>
          <w:rFonts w:eastAsia="仿宋_GB2312" w:hint="eastAsia"/>
          <w:sz w:val="32"/>
          <w:szCs w:val="32"/>
          <w:lang w:eastAsia="zh-CN"/>
        </w:rPr>
        <w:t>齐荆线道路拓宽</w:t>
      </w:r>
      <w:r>
        <w:rPr>
          <w:rFonts w:eastAsia="仿宋_GB2312" w:hint="eastAsia"/>
          <w:sz w:val="32"/>
          <w:szCs w:val="32"/>
          <w:lang w:eastAsia="zh-CN"/>
        </w:rPr>
        <w:t>项目建设，确保高质量完成工作任务。政府组建了项目建设专班扎实推进项目建设进度，至</w:t>
      </w:r>
      <w:r>
        <w:rPr>
          <w:rFonts w:eastAsia="仿宋_GB2312" w:hint="eastAsia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年</w:t>
      </w: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月</w:t>
      </w:r>
      <w:r>
        <w:rPr>
          <w:rFonts w:eastAsia="仿宋_GB2312" w:hint="eastAsia"/>
          <w:sz w:val="32"/>
          <w:szCs w:val="32"/>
          <w:lang w:eastAsia="zh-CN"/>
        </w:rPr>
        <w:t>20</w:t>
      </w:r>
      <w:r>
        <w:rPr>
          <w:rFonts w:eastAsia="仿宋_GB2312" w:hint="eastAsia"/>
          <w:sz w:val="32"/>
          <w:szCs w:val="32"/>
          <w:lang w:eastAsia="zh-CN"/>
        </w:rPr>
        <w:t>日顺利完成全部项目建设任务。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完成了</w:t>
      </w:r>
      <w:r>
        <w:rPr>
          <w:rFonts w:eastAsia="仿宋_GB2312" w:hint="eastAsia"/>
          <w:sz w:val="32"/>
          <w:szCs w:val="32"/>
          <w:lang w:eastAsia="zh-CN"/>
        </w:rPr>
        <w:t>道路拓宽长度</w:t>
      </w:r>
      <w:r>
        <w:rPr>
          <w:rFonts w:eastAsia="仿宋_GB2312" w:hint="eastAsia"/>
          <w:sz w:val="32"/>
          <w:szCs w:val="32"/>
          <w:lang w:eastAsia="zh-CN"/>
        </w:rPr>
        <w:t>2800</w:t>
      </w:r>
      <w:r>
        <w:rPr>
          <w:rFonts w:eastAsia="仿宋_GB2312" w:hint="eastAsia"/>
          <w:sz w:val="32"/>
          <w:szCs w:val="32"/>
          <w:lang w:eastAsia="zh-CN"/>
        </w:rPr>
        <w:t>米的工程量，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并验收合格，基本完成产出目标。</w:t>
      </w:r>
      <w:r>
        <w:rPr>
          <w:rFonts w:eastAsia="仿宋_GB2312" w:hint="eastAsia"/>
          <w:sz w:val="32"/>
          <w:szCs w:val="32"/>
          <w:lang w:eastAsia="zh-CN"/>
        </w:rPr>
        <w:t>改善了当地的交通条件，带动本镇居民务工，提高了群众收入。</w:t>
      </w:r>
    </w:p>
    <w:p w:rsidR="00F20DE7" w:rsidRDefault="00601B3C"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</w:p>
    <w:p w:rsidR="00F20DE7" w:rsidRDefault="00601B3C">
      <w:pPr>
        <w:spacing w:line="60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:rsidR="00F20DE7" w:rsidRDefault="00601B3C"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项目支出主要绩效及评价结论</w:t>
      </w:r>
    </w:p>
    <w:p w:rsidR="00F20DE7" w:rsidRDefault="00601B3C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从综合评价来看，我单位项目立项依据基本充分，设定了项目绩效目标，对资金配置方面均有明确的测算依据，整体情况良好。</w:t>
      </w:r>
    </w:p>
    <w:p w:rsidR="00F20DE7" w:rsidRDefault="00601B3C" w:rsidP="003E7BEB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F20DE7" w:rsidRDefault="00601B3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</w:p>
    <w:p w:rsidR="00F20DE7" w:rsidRDefault="00601B3C">
      <w:pPr>
        <w:spacing w:line="600" w:lineRule="exact"/>
        <w:ind w:firstLineChars="200" w:firstLine="640"/>
        <w:rPr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从综合评价来看，我</w:t>
      </w:r>
      <w:proofErr w:type="gramStart"/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单预算</w:t>
      </w:r>
      <w:proofErr w:type="gramEnd"/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项目立项依据基本充分，设定了项目绩效目标，对资金配置方面均有明确的测算依据，整体情况良好。</w:t>
      </w:r>
    </w:p>
    <w:p w:rsidR="00F20DE7" w:rsidRDefault="00601B3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二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F20DE7" w:rsidRDefault="00601B3C">
      <w:pPr>
        <w:spacing w:line="600" w:lineRule="exact"/>
        <w:ind w:firstLineChars="200" w:firstLine="640"/>
        <w:rPr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lastRenderedPageBreak/>
        <w:t>对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:rsidR="00F20DE7" w:rsidRDefault="00601B3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三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项目支出产出情况</w:t>
      </w:r>
    </w:p>
    <w:p w:rsidR="00F20DE7" w:rsidRDefault="00601B3C">
      <w:pPr>
        <w:spacing w:line="600" w:lineRule="exact"/>
        <w:ind w:firstLineChars="200" w:firstLine="640"/>
        <w:rPr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从项目产出评价情况来看，我镇完成了完成齐荆线道路拓宽长度为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2800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米。并验收合格，基本完成产出目标。</w:t>
      </w:r>
    </w:p>
    <w:p w:rsidR="00F20DE7" w:rsidRDefault="00601B3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四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F20DE7" w:rsidRDefault="00601B3C">
      <w:pPr>
        <w:spacing w:line="600" w:lineRule="exact"/>
        <w:ind w:firstLineChars="200" w:firstLine="640"/>
        <w:rPr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从项目效益评价情况来看，大荆镇齐荆线道路拓宽建设完成有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1200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人群众受益，有效改善了交通条件，减少了交通安全风险。</w:t>
      </w:r>
    </w:p>
    <w:p w:rsidR="00F20DE7" w:rsidRDefault="00601B3C" w:rsidP="003E7BEB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F20DE7" w:rsidRDefault="00601B3C">
      <w:pPr>
        <w:spacing w:line="600" w:lineRule="exact"/>
        <w:ind w:firstLineChars="200" w:firstLine="64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（一）主要经验及做法</w:t>
      </w:r>
    </w:p>
    <w:p w:rsidR="00F20DE7" w:rsidRDefault="00601B3C">
      <w:pPr>
        <w:spacing w:line="600" w:lineRule="exact"/>
        <w:ind w:firstLineChars="200" w:firstLine="64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建立了专项资金管理办法，明确规定了该专项资金的来源、资金支出范围、资金分配、申报程序和申报条件、资金拨付及资金使用规定。严格遵循专款专用、独立核算的管理原则。专项项目的申报严格按照省财政资金管理的要求进行，专项资金财政拨款到位后及时进行了项目开展和资金投入，有效提高了财政资金使用效益。</w:t>
      </w:r>
    </w:p>
    <w:p w:rsidR="00F20DE7" w:rsidRDefault="00601B3C" w:rsidP="003E7BEB">
      <w:pPr>
        <w:spacing w:line="600" w:lineRule="exact"/>
        <w:ind w:leftChars="200" w:left="42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（二）存在的问题及原因分析</w:t>
      </w:r>
    </w:p>
    <w:p w:rsidR="00F20DE7" w:rsidRDefault="00601B3C">
      <w:pPr>
        <w:spacing w:line="600" w:lineRule="exact"/>
        <w:ind w:firstLineChars="200" w:firstLine="64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项目管理水平有待进一步提升，需要优化项目日常管理、注重项目后期维护。</w:t>
      </w:r>
    </w:p>
    <w:p w:rsidR="00F20DE7" w:rsidRDefault="00601B3C" w:rsidP="003E7BEB">
      <w:pPr>
        <w:numPr>
          <w:ilvl w:val="0"/>
          <w:numId w:val="4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F20DE7" w:rsidRDefault="00601B3C">
      <w:pPr>
        <w:spacing w:line="60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lastRenderedPageBreak/>
        <w:t>加强项目后期运营管理维护。建议上级主管部门高度重视项目后期维修管护。探索建立森林设施建后管护长效机制，同时建立跟踪问责制度，重视运行管理考核，确保工程长期发挥效益。</w:t>
      </w:r>
    </w:p>
    <w:p w:rsidR="00F20DE7" w:rsidRDefault="00601B3C" w:rsidP="003E7BEB">
      <w:pPr>
        <w:numPr>
          <w:ilvl w:val="0"/>
          <w:numId w:val="4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F20DE7" w:rsidRDefault="00601B3C">
      <w:pPr>
        <w:pStyle w:val="a4"/>
        <w:ind w:firstLineChars="400" w:firstLine="128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无</w:t>
      </w:r>
    </w:p>
    <w:p w:rsidR="00F20DE7" w:rsidRDefault="00F20DE7" w:rsidP="00F20DE7">
      <w:pPr>
        <w:spacing w:line="560" w:lineRule="exact"/>
        <w:ind w:leftChars="200" w:left="42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bookmarkStart w:id="0" w:name="_GoBack"/>
      <w:bookmarkEnd w:id="0"/>
    </w:p>
    <w:sectPr w:rsidR="00F20DE7" w:rsidSect="00F20DE7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E7" w:rsidRDefault="00601B3C">
      <w:r>
        <w:separator/>
      </w:r>
    </w:p>
  </w:endnote>
  <w:endnote w:type="continuationSeparator" w:id="0">
    <w:p w:rsidR="00F20DE7" w:rsidRDefault="0060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1" w:subsetted="1" w:fontKey="{3B38DBDC-98C6-4C28-8D7D-EA707675C62C}"/>
    <w:embedBold r:id="rId2" w:subsetted="1" w:fontKey="{2AD3F606-FC6F-4596-9417-CFB1B29234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F387D08-DE4F-4E0E-86A1-6CECD519A916}"/>
    <w:embedBold r:id="rId4" w:subsetted="1" w:fontKey="{0C0E0B0A-B365-4085-A451-C7AE7917B411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3DF9F374-C1FF-4801-85D2-F9F58F2F2DD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6" w:subsetted="1" w:fontKey="{7B132B61-3C5F-4F10-A1C2-5E0F272D1BE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658AB78D-47A3-450B-8AFE-5B4E24C2FC0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6FD8D2B3-785C-4909-9BC1-2F1C4F389EA8}"/>
    <w:embedBold r:id="rId9" w:subsetted="1" w:fontKey="{E1F821F3-D346-401C-9171-0DB4733A6E5E}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10" w:subsetted="1" w:fontKey="{C3784BF4-B09C-4474-A2B4-832B68BF2A8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1" w:subsetted="1" w:fontKey="{A29309BE-711C-4F7A-8AED-DEF42B8599E3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20DE7" w:rsidRDefault="00F20DE7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01B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01B3C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601B3C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20DE7" w:rsidRDefault="00F20DE7">
    <w:pPr>
      <w:pStyle w:val="a5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20DE7" w:rsidRDefault="00F20DE7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F20DE7" w:rsidRDefault="00F20DE7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EB" w:rsidRDefault="003E7BE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  <w:showingPlcHdr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F20DE7" w:rsidRDefault="00601B3C">
        <w:pPr>
          <w:pStyle w:val="a5"/>
          <w:jc w:val="right"/>
          <w:rPr>
            <w:rFonts w:asciiTheme="minorEastAsia" w:eastAsiaTheme="minorEastAsia" w:hAnsiTheme="minorEastAsia"/>
          </w:rPr>
        </w:pPr>
        <w:r>
          <w:rPr>
            <w:rFonts w:eastAsia="宋体" w:hint="eastAsia"/>
            <w:sz w:val="21"/>
            <w:szCs w:val="21"/>
            <w:lang w:eastAsia="zh-CN"/>
          </w:rPr>
          <w:t xml:space="preserve">     </w:t>
        </w:r>
      </w:p>
    </w:sdtContent>
  </w:sdt>
  <w:p w:rsidR="00F20DE7" w:rsidRDefault="00F20DE7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E7" w:rsidRDefault="00F20DE7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E7" w:rsidRDefault="00F20DE7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E7" w:rsidRDefault="00601B3C">
      <w:r>
        <w:separator/>
      </w:r>
    </w:p>
  </w:footnote>
  <w:footnote w:type="continuationSeparator" w:id="0">
    <w:p w:rsidR="00F20DE7" w:rsidRDefault="00601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EB" w:rsidRDefault="003E7BE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EB" w:rsidRDefault="003E7BE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EB" w:rsidRDefault="003E7B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2E240F"/>
    <w:multiLevelType w:val="singleLevel"/>
    <w:tmpl w:val="AA2E240F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CB0F94CC"/>
    <w:multiLevelType w:val="singleLevel"/>
    <w:tmpl w:val="CB0F94C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69049C"/>
    <w:multiLevelType w:val="singleLevel"/>
    <w:tmpl w:val="1369049C"/>
    <w:lvl w:ilvl="0">
      <w:start w:val="3"/>
      <w:numFmt w:val="chineseCounting"/>
      <w:suff w:val="nothing"/>
      <w:lvlText w:val="（%1）"/>
      <w:lvlJc w:val="left"/>
      <w:pPr>
        <w:ind w:left="430"/>
      </w:pPr>
      <w:rPr>
        <w:rFonts w:hint="eastAsia"/>
      </w:rPr>
    </w:lvl>
  </w:abstractNum>
  <w:abstractNum w:abstractNumId="3">
    <w:nsid w:val="247635F3"/>
    <w:multiLevelType w:val="singleLevel"/>
    <w:tmpl w:val="247635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65039BC"/>
    <w:multiLevelType w:val="singleLevel"/>
    <w:tmpl w:val="665039BC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5139369"/>
    <w:multiLevelType w:val="singleLevel"/>
    <w:tmpl w:val="7513936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F20DE7"/>
    <w:rsid w:val="003E7BEB"/>
    <w:rsid w:val="00601B3C"/>
    <w:rsid w:val="00C4395D"/>
    <w:rsid w:val="00F20DE7"/>
    <w:rsid w:val="01AF3811"/>
    <w:rsid w:val="01F01BD2"/>
    <w:rsid w:val="03795BF7"/>
    <w:rsid w:val="086E756B"/>
    <w:rsid w:val="0ACF37E5"/>
    <w:rsid w:val="0B400BC6"/>
    <w:rsid w:val="0E68228D"/>
    <w:rsid w:val="0EA6787F"/>
    <w:rsid w:val="0F367D8C"/>
    <w:rsid w:val="15276E52"/>
    <w:rsid w:val="178B0954"/>
    <w:rsid w:val="19C67C85"/>
    <w:rsid w:val="19D32FBC"/>
    <w:rsid w:val="1E6A4395"/>
    <w:rsid w:val="21967134"/>
    <w:rsid w:val="25557A3D"/>
    <w:rsid w:val="26EA5ED7"/>
    <w:rsid w:val="27A93B82"/>
    <w:rsid w:val="285C5774"/>
    <w:rsid w:val="2A243011"/>
    <w:rsid w:val="2AE00186"/>
    <w:rsid w:val="308216BE"/>
    <w:rsid w:val="34FE1149"/>
    <w:rsid w:val="35325A82"/>
    <w:rsid w:val="366923C4"/>
    <w:rsid w:val="3A550786"/>
    <w:rsid w:val="3B7A130F"/>
    <w:rsid w:val="3EBC5F44"/>
    <w:rsid w:val="494A1329"/>
    <w:rsid w:val="4C334959"/>
    <w:rsid w:val="4CEC75AB"/>
    <w:rsid w:val="4DC1579E"/>
    <w:rsid w:val="4F8B6063"/>
    <w:rsid w:val="529B5BCB"/>
    <w:rsid w:val="52CD0741"/>
    <w:rsid w:val="52FA3F96"/>
    <w:rsid w:val="53CB1124"/>
    <w:rsid w:val="55850F17"/>
    <w:rsid w:val="57AE6D93"/>
    <w:rsid w:val="5D6B74D4"/>
    <w:rsid w:val="5E3C4FFE"/>
    <w:rsid w:val="5FB623A7"/>
    <w:rsid w:val="5FFE48B5"/>
    <w:rsid w:val="67E81E4D"/>
    <w:rsid w:val="6A720EF8"/>
    <w:rsid w:val="6BB1387F"/>
    <w:rsid w:val="6D075A1F"/>
    <w:rsid w:val="6E3851B0"/>
    <w:rsid w:val="76E539FB"/>
    <w:rsid w:val="784167CA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F20DE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rsid w:val="00F20DE7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20DE7"/>
    <w:rPr>
      <w:rFonts w:ascii="仿宋" w:eastAsia="仿宋" w:hAnsi="仿宋" w:cs="仿宋"/>
      <w:sz w:val="34"/>
      <w:szCs w:val="34"/>
    </w:rPr>
  </w:style>
  <w:style w:type="paragraph" w:styleId="a4">
    <w:name w:val="Block Text"/>
    <w:basedOn w:val="a"/>
    <w:qFormat/>
    <w:rsid w:val="00F20DE7"/>
  </w:style>
  <w:style w:type="paragraph" w:styleId="a5">
    <w:name w:val="footer"/>
    <w:autoRedefine/>
    <w:uiPriority w:val="99"/>
    <w:qFormat/>
    <w:rsid w:val="00F20DE7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autoRedefine/>
    <w:qFormat/>
    <w:rsid w:val="00F20D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F20D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20DE7"/>
  </w:style>
  <w:style w:type="paragraph" w:styleId="a7">
    <w:name w:val="List Paragraph"/>
    <w:autoRedefine/>
    <w:uiPriority w:val="99"/>
    <w:unhideWhenUsed/>
    <w:qFormat/>
    <w:rsid w:val="00F20DE7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NormalCharacter">
    <w:name w:val="NormalCharacter"/>
    <w:semiHidden/>
    <w:qFormat/>
    <w:rsid w:val="00F20D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1317</Words>
  <Characters>7509</Characters>
  <Application>Microsoft Office Word</Application>
  <DocSecurity>0</DocSecurity>
  <Lines>62</Lines>
  <Paragraphs>17</Paragraphs>
  <ScaleCrop>false</ScaleCrop>
  <Company>微软中国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2024-05-21T14:05:00Z</cp:lastPrinted>
  <dcterms:created xsi:type="dcterms:W3CDTF">2025-07-18T08:43:00Z</dcterms:created>
  <dcterms:modified xsi:type="dcterms:W3CDTF">2025-07-18T08:43:00Z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2052-12.1.0.21171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eyJoZGlkIjoiOWRjNzIwOTM1MzAwMTMzOGEyZjA0YmI5MDAwNzg2NDkiLCJ1c2VySWQiOiIxNjg5MzI0OTQ2In0=</vt:lpwstr>
  </property>
</Properties>
</file>