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1128" w:firstLineChars="300"/>
        <w:jc w:val="both"/>
        <w:rPr>
          <w:rFonts w:ascii="方正小标宋简体" w:hAnsi="宋体" w:eastAsia="方正小标宋简体" w:cs="宋体"/>
          <w:bCs/>
          <w:spacing w:val="8"/>
          <w:kern w:val="0"/>
          <w:sz w:val="36"/>
          <w:szCs w:val="36"/>
          <w:lang w:eastAsia="zh-CN"/>
        </w:rPr>
      </w:pPr>
      <w:r>
        <w:rPr>
          <w:rFonts w:hint="eastAsia" w:ascii="方正小标宋简体" w:hAnsi="宋体" w:eastAsia="方正小标宋简体" w:cs="宋体"/>
          <w:bCs/>
          <w:spacing w:val="8"/>
          <w:kern w:val="0"/>
          <w:sz w:val="36"/>
          <w:szCs w:val="36"/>
          <w:lang w:eastAsia="zh-CN"/>
        </w:rPr>
        <w:t>202</w:t>
      </w:r>
      <w:r>
        <w:rPr>
          <w:rFonts w:hint="eastAsia" w:ascii="方正小标宋简体" w:hAnsi="宋体" w:eastAsia="方正小标宋简体" w:cs="宋体"/>
          <w:bCs/>
          <w:spacing w:val="8"/>
          <w:kern w:val="0"/>
          <w:sz w:val="36"/>
          <w:szCs w:val="36"/>
          <w:lang w:val="en-US" w:eastAsia="zh-CN"/>
        </w:rPr>
        <w:t>3</w:t>
      </w:r>
      <w:r>
        <w:rPr>
          <w:rFonts w:hint="eastAsia" w:ascii="方正小标宋简体" w:hAnsi="宋体" w:eastAsia="方正小标宋简体" w:cs="宋体"/>
          <w:bCs/>
          <w:spacing w:val="8"/>
          <w:kern w:val="0"/>
          <w:sz w:val="36"/>
          <w:szCs w:val="36"/>
          <w:lang w:eastAsia="zh-CN"/>
        </w:rPr>
        <w:t>年度工信局系统整体支出绩效评价基础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20B89A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年实际在职人数</w:t>
            </w:r>
          </w:p>
        </w:tc>
        <w:tc>
          <w:tcPr>
            <w:tcW w:w="1983" w:type="dxa"/>
            <w:gridSpan w:val="2"/>
            <w:vAlign w:val="center"/>
          </w:tcPr>
          <w:p w14:paraId="256D162A">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lang w:eastAsia="zh-CN"/>
              </w:rPr>
            </w:pPr>
            <w:r>
              <w:rPr>
                <w:rFonts w:hint="eastAsia" w:ascii="仿宋_GB2312" w:eastAsia="仿宋_GB2312"/>
                <w:kern w:val="0"/>
              </w:rPr>
              <w:t>4</w:t>
            </w:r>
            <w:r>
              <w:rPr>
                <w:rFonts w:hint="eastAsia" w:ascii="仿宋_GB2312" w:eastAsia="仿宋_GB2312"/>
                <w:kern w:val="0"/>
                <w:lang w:val="en-US" w:eastAsia="zh-CN"/>
              </w:rPr>
              <w:t>2</w:t>
            </w:r>
          </w:p>
        </w:tc>
        <w:tc>
          <w:tcPr>
            <w:tcW w:w="2039" w:type="dxa"/>
            <w:gridSpan w:val="2"/>
            <w:vAlign w:val="center"/>
          </w:tcPr>
          <w:p w14:paraId="1D47B169">
            <w:pPr>
              <w:spacing w:line="240" w:lineRule="auto"/>
              <w:ind w:firstLine="420"/>
              <w:jc w:val="center"/>
              <w:rPr>
                <w:rFonts w:hint="eastAsia" w:ascii="仿宋_GB2312" w:eastAsia="仿宋_GB2312"/>
                <w:kern w:val="0"/>
                <w:lang w:eastAsia="zh-CN"/>
              </w:rPr>
            </w:pPr>
            <w:r>
              <w:rPr>
                <w:rFonts w:hint="eastAsia" w:ascii="仿宋_GB2312" w:eastAsia="仿宋_GB2312"/>
                <w:kern w:val="0"/>
              </w:rPr>
              <w:t>4</w:t>
            </w:r>
            <w:r>
              <w:rPr>
                <w:rFonts w:hint="eastAsia" w:ascii="仿宋_GB2312" w:eastAsia="仿宋_GB2312"/>
                <w:kern w:val="0"/>
                <w:lang w:val="en-US" w:eastAsia="zh-CN"/>
              </w:rPr>
              <w:t>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630" w:firstLineChars="300"/>
              <w:jc w:val="left"/>
              <w:rPr>
                <w:rFonts w:hint="default" w:ascii="仿宋_GB2312" w:eastAsia="仿宋_GB2312"/>
                <w:kern w:val="0"/>
                <w:lang w:val="en-US"/>
              </w:rPr>
            </w:pPr>
            <w:r>
              <w:rPr>
                <w:rFonts w:hint="eastAsia" w:ascii="仿宋_GB2312" w:eastAsia="仿宋_GB2312"/>
                <w:kern w:val="0"/>
                <w:lang w:val="en-US" w:eastAsia="zh-CN"/>
              </w:rPr>
              <w:t>10.24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630" w:firstLineChars="300"/>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10.24</w:t>
            </w:r>
          </w:p>
        </w:tc>
        <w:tc>
          <w:tcPr>
            <w:tcW w:w="2039" w:type="dxa"/>
            <w:gridSpan w:val="2"/>
            <w:shd w:val="clear" w:color="auto" w:fill="auto"/>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983" w:type="dxa"/>
            <w:gridSpan w:val="2"/>
            <w:shd w:val="clear" w:color="auto" w:fill="auto"/>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2.66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97.42</w:t>
            </w:r>
          </w:p>
        </w:tc>
        <w:tc>
          <w:tcPr>
            <w:tcW w:w="2039" w:type="dxa"/>
            <w:gridSpan w:val="2"/>
            <w:vAlign w:val="center"/>
          </w:tcPr>
          <w:p w14:paraId="050E075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74.01</w:t>
            </w:r>
          </w:p>
        </w:tc>
        <w:tc>
          <w:tcPr>
            <w:tcW w:w="1983" w:type="dxa"/>
            <w:gridSpan w:val="2"/>
            <w:vAlign w:val="center"/>
          </w:tcPr>
          <w:p w14:paraId="7357305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94.87</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11.04</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4.10</w:t>
            </w:r>
          </w:p>
        </w:tc>
        <w:tc>
          <w:tcPr>
            <w:tcW w:w="1983" w:type="dxa"/>
            <w:gridSpan w:val="2"/>
            <w:vAlign w:val="center"/>
          </w:tcPr>
          <w:p w14:paraId="087A3549">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11.36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7.05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20.49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1.45</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147</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lang w:val="en-US" w:eastAsia="zh-CN"/>
              </w:rPr>
              <w:t>157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1786.77</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536.07</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5216.2</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36A9E52A">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汨罗市工信局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536.07</w:t>
            </w:r>
          </w:p>
        </w:tc>
        <w:tc>
          <w:tcPr>
            <w:tcW w:w="1298" w:type="dxa"/>
            <w:vAlign w:val="center"/>
          </w:tcPr>
          <w:p w14:paraId="78350D28">
            <w:pPr>
              <w:spacing w:line="240" w:lineRule="auto"/>
              <w:ind w:firstLine="210" w:firstLineChars="100"/>
              <w:jc w:val="both"/>
              <w:rPr>
                <w:rFonts w:hint="default" w:ascii="仿宋_GB2312" w:eastAsia="仿宋_GB2312"/>
                <w:kern w:val="0"/>
                <w:lang w:val="en-US"/>
              </w:rPr>
            </w:pPr>
            <w:r>
              <w:rPr>
                <w:rFonts w:hint="eastAsia" w:ascii="仿宋_GB2312" w:eastAsia="仿宋_GB2312"/>
                <w:kern w:val="0"/>
                <w:lang w:val="en-US" w:eastAsia="zh-CN"/>
              </w:rPr>
              <w:t>5216.2</w:t>
            </w:r>
          </w:p>
        </w:tc>
        <w:tc>
          <w:tcPr>
            <w:tcW w:w="1269" w:type="dxa"/>
            <w:vAlign w:val="center"/>
          </w:tcPr>
          <w:p w14:paraId="5FDA3D24">
            <w:pPr>
              <w:spacing w:line="240" w:lineRule="auto"/>
              <w:ind w:firstLine="210" w:firstLineChars="100"/>
              <w:jc w:val="both"/>
              <w:rPr>
                <w:rFonts w:ascii="仿宋_GB2312" w:eastAsia="仿宋_GB2312"/>
                <w:kern w:val="0"/>
              </w:rPr>
            </w:pPr>
            <w:r>
              <w:rPr>
                <w:rFonts w:hint="eastAsia" w:ascii="仿宋_GB2312" w:eastAsia="仿宋_GB2312"/>
                <w:kern w:val="0"/>
                <w:lang w:val="en-US" w:eastAsia="zh-CN"/>
              </w:rPr>
              <w:t>5216.2</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210" w:firstLineChars="100"/>
              <w:jc w:val="both"/>
              <w:rPr>
                <w:rFonts w:hint="eastAsia" w:ascii="仿宋_GB2312" w:eastAsia="仿宋_GB2312"/>
                <w:kern w:val="0"/>
                <w:lang w:val="en-US" w:eastAsia="zh-CN"/>
              </w:rPr>
            </w:pPr>
            <w:r>
              <w:rPr>
                <w:rFonts w:hint="eastAsia" w:ascii="仿宋_GB2312" w:eastAsia="仿宋_GB2312"/>
                <w:kern w:val="0"/>
              </w:rPr>
              <w:t>10</w:t>
            </w:r>
            <w:r>
              <w:rPr>
                <w:rFonts w:hint="eastAsia" w:ascii="仿宋_GB2312" w:eastAsia="仿宋_GB2312"/>
                <w:kern w:val="0"/>
                <w:lang w:val="en-US" w:eastAsia="zh-CN"/>
              </w:rPr>
              <w:t>%</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5216.2</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543.27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4672.92</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both"/>
              <w:rPr>
                <w:rFonts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实现工业总产值1160亿；</w:t>
            </w:r>
            <w:r>
              <w:rPr>
                <w:rFonts w:hint="eastAsia" w:ascii="仿宋_GB2312" w:eastAsia="仿宋_GB2312"/>
                <w:kern w:val="0"/>
                <w:lang w:val="en-US" w:eastAsia="zh-CN"/>
              </w:rPr>
              <w:t>2、</w:t>
            </w:r>
            <w:r>
              <w:rPr>
                <w:rFonts w:hint="eastAsia" w:ascii="仿宋_GB2312" w:eastAsia="仿宋_GB2312"/>
                <w:kern w:val="0"/>
              </w:rPr>
              <w:t>完成入规企业20家；</w:t>
            </w:r>
            <w:r>
              <w:rPr>
                <w:rFonts w:hint="eastAsia" w:ascii="仿宋_GB2312" w:eastAsia="仿宋_GB2312"/>
                <w:kern w:val="0"/>
                <w:lang w:val="en-US" w:eastAsia="zh-CN"/>
              </w:rPr>
              <w:t>3、</w:t>
            </w:r>
            <w:r>
              <w:rPr>
                <w:rFonts w:hint="eastAsia" w:ascii="仿宋_GB2312" w:eastAsia="仿宋_GB2312"/>
                <w:kern w:val="0"/>
              </w:rPr>
              <w:t>争取项目资金2500万；</w:t>
            </w:r>
          </w:p>
        </w:tc>
        <w:tc>
          <w:tcPr>
            <w:tcW w:w="4260"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rPr>
              <w:t>全年预计完成规模工业总产值1160亿元，同比增长14.8%，约占岳阳市同期规模工业总产值的16%；预计规模工业增加值增速7.5%。全年预计完成工业投资198亿元，同比增长11%；预计完成工业技改投资138亿元，同比增长10%。全年预计新增规模工业企业20家、净增12家以上，保持了企稳回升的良好态势。</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rPr>
              <w:t>项目资金完成2500万元</w:t>
            </w:r>
          </w:p>
        </w:tc>
        <w:tc>
          <w:tcPr>
            <w:tcW w:w="1298" w:type="dxa"/>
            <w:vAlign w:val="center"/>
          </w:tcPr>
          <w:p w14:paraId="2A374824">
            <w:pPr>
              <w:spacing w:line="240" w:lineRule="auto"/>
              <w:jc w:val="both"/>
              <w:rPr>
                <w:rFonts w:ascii="仿宋_GB2312" w:eastAsia="仿宋_GB2312"/>
                <w:kern w:val="0"/>
              </w:rPr>
            </w:pPr>
            <w:r>
              <w:rPr>
                <w:rFonts w:hint="eastAsia" w:ascii="仿宋_GB2312" w:eastAsia="仿宋_GB2312"/>
                <w:kern w:val="0"/>
              </w:rPr>
              <w:t>项目资金完成2500万元</w:t>
            </w:r>
          </w:p>
        </w:tc>
        <w:tc>
          <w:tcPr>
            <w:tcW w:w="1269" w:type="dxa"/>
            <w:vAlign w:val="center"/>
          </w:tcPr>
          <w:p w14:paraId="708D788A">
            <w:pPr>
              <w:spacing w:line="240" w:lineRule="auto"/>
              <w:ind w:firstLine="420"/>
              <w:jc w:val="both"/>
              <w:rPr>
                <w:rFonts w:ascii="仿宋_GB2312" w:eastAsia="仿宋_GB2312"/>
                <w:kern w:val="0"/>
              </w:rPr>
            </w:pPr>
            <w:r>
              <w:rPr>
                <w:rFonts w:hint="eastAsia" w:ascii="仿宋_GB2312" w:eastAsia="仿宋_GB2312"/>
                <w:kern w:val="0"/>
              </w:rPr>
              <w:t>2500</w:t>
            </w:r>
          </w:p>
        </w:tc>
        <w:tc>
          <w:tcPr>
            <w:tcW w:w="699" w:type="dxa"/>
            <w:vAlign w:val="center"/>
          </w:tcPr>
          <w:p w14:paraId="567F5E5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实现工业总产值 1160亿</w:t>
            </w:r>
          </w:p>
        </w:tc>
        <w:tc>
          <w:tcPr>
            <w:tcW w:w="1298" w:type="dxa"/>
            <w:vAlign w:val="center"/>
          </w:tcPr>
          <w:p w14:paraId="1A5ADA3A">
            <w:pPr>
              <w:spacing w:line="240" w:lineRule="auto"/>
              <w:jc w:val="both"/>
              <w:rPr>
                <w:rFonts w:ascii="仿宋_GB2312" w:eastAsia="仿宋_GB2312"/>
                <w:kern w:val="0"/>
              </w:rPr>
            </w:pPr>
            <w:r>
              <w:rPr>
                <w:rFonts w:hint="eastAsia" w:ascii="仿宋_GB2312" w:eastAsia="仿宋_GB2312"/>
                <w:kern w:val="0"/>
              </w:rPr>
              <w:t>实现工业总产值 1160亿</w:t>
            </w:r>
          </w:p>
        </w:tc>
        <w:tc>
          <w:tcPr>
            <w:tcW w:w="1269" w:type="dxa"/>
            <w:vAlign w:val="center"/>
          </w:tcPr>
          <w:p w14:paraId="54075F02">
            <w:pPr>
              <w:spacing w:line="240" w:lineRule="auto"/>
              <w:ind w:firstLine="420"/>
              <w:jc w:val="both"/>
              <w:rPr>
                <w:rFonts w:ascii="仿宋_GB2312" w:eastAsia="仿宋_GB2312"/>
                <w:kern w:val="0"/>
              </w:rPr>
            </w:pPr>
            <w:r>
              <w:rPr>
                <w:rFonts w:hint="eastAsia" w:ascii="仿宋_GB2312" w:eastAsia="仿宋_GB2312"/>
                <w:kern w:val="0"/>
              </w:rPr>
              <w:t>1160</w:t>
            </w:r>
          </w:p>
        </w:tc>
        <w:tc>
          <w:tcPr>
            <w:tcW w:w="699" w:type="dxa"/>
            <w:vAlign w:val="center"/>
          </w:tcPr>
          <w:p w14:paraId="5580FC82">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0982B111">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按年初计划</w:t>
            </w:r>
          </w:p>
        </w:tc>
        <w:tc>
          <w:tcPr>
            <w:tcW w:w="1298" w:type="dxa"/>
            <w:vAlign w:val="center"/>
          </w:tcPr>
          <w:p w14:paraId="479FA5D5">
            <w:pPr>
              <w:spacing w:line="240" w:lineRule="auto"/>
              <w:jc w:val="both"/>
              <w:rPr>
                <w:rFonts w:ascii="仿宋_GB2312" w:eastAsia="仿宋_GB2312"/>
                <w:kern w:val="0"/>
              </w:rPr>
            </w:pPr>
            <w:r>
              <w:rPr>
                <w:rFonts w:hint="eastAsia" w:ascii="仿宋_GB2312" w:eastAsia="仿宋_GB2312"/>
                <w:kern w:val="0"/>
              </w:rPr>
              <w:t>按年初计划</w:t>
            </w:r>
          </w:p>
        </w:tc>
        <w:tc>
          <w:tcPr>
            <w:tcW w:w="1269" w:type="dxa"/>
            <w:vAlign w:val="center"/>
          </w:tcPr>
          <w:p w14:paraId="5C1B3402">
            <w:pPr>
              <w:spacing w:line="240" w:lineRule="auto"/>
              <w:ind w:firstLine="420" w:firstLineChars="200"/>
              <w:jc w:val="both"/>
              <w:rPr>
                <w:rFonts w:ascii="仿宋_GB2312" w:eastAsia="仿宋_GB2312"/>
                <w:kern w:val="0"/>
              </w:rPr>
            </w:pPr>
            <w:r>
              <w:rPr>
                <w:rFonts w:hint="eastAsia" w:ascii="仿宋_GB2312" w:eastAsia="仿宋_GB2312"/>
                <w:kern w:val="0"/>
              </w:rPr>
              <w:t>按要求</w:t>
            </w:r>
          </w:p>
        </w:tc>
        <w:tc>
          <w:tcPr>
            <w:tcW w:w="699" w:type="dxa"/>
            <w:vAlign w:val="center"/>
          </w:tcPr>
          <w:p w14:paraId="4C56B99F">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5DA34835">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rPr>
            </w:pPr>
            <w:r>
              <w:rPr>
                <w:rFonts w:hint="eastAsia" w:ascii="仿宋_GB2312" w:eastAsia="仿宋_GB2312"/>
                <w:kern w:val="0"/>
              </w:rPr>
              <w:t>新增规模企业增加产值</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rPr>
              <w:t>新增规模企业增加产值</w:t>
            </w:r>
          </w:p>
        </w:tc>
        <w:tc>
          <w:tcPr>
            <w:tcW w:w="1269" w:type="dxa"/>
            <w:vAlign w:val="center"/>
          </w:tcPr>
          <w:p w14:paraId="7A453B87">
            <w:pPr>
              <w:spacing w:line="240" w:lineRule="auto"/>
              <w:ind w:firstLine="420" w:firstLineChars="200"/>
              <w:jc w:val="both"/>
              <w:rPr>
                <w:rFonts w:ascii="仿宋_GB2312" w:eastAsia="仿宋_GB2312"/>
                <w:kern w:val="0"/>
              </w:rPr>
            </w:pPr>
            <w:r>
              <w:rPr>
                <w:rFonts w:hint="eastAsia" w:ascii="仿宋_GB2312" w:eastAsia="仿宋_GB2312"/>
                <w:kern w:val="0"/>
              </w:rPr>
              <w:t>8亿</w:t>
            </w:r>
          </w:p>
        </w:tc>
        <w:tc>
          <w:tcPr>
            <w:tcW w:w="699" w:type="dxa"/>
            <w:vAlign w:val="center"/>
          </w:tcPr>
          <w:p w14:paraId="415A3F6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万元规模企业增加能耗降低</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万元规模企业增加能耗降低</w:t>
            </w:r>
          </w:p>
        </w:tc>
        <w:tc>
          <w:tcPr>
            <w:tcW w:w="1269" w:type="dxa"/>
            <w:vAlign w:val="center"/>
          </w:tcPr>
          <w:p w14:paraId="4886005B">
            <w:pPr>
              <w:spacing w:line="240" w:lineRule="auto"/>
              <w:ind w:firstLine="210" w:firstLineChars="100"/>
              <w:jc w:val="both"/>
              <w:rPr>
                <w:rFonts w:ascii="仿宋_GB2312" w:eastAsia="仿宋_GB2312"/>
                <w:kern w:val="0"/>
              </w:rPr>
            </w:pPr>
            <w:r>
              <w:rPr>
                <w:rFonts w:hint="eastAsia" w:ascii="仿宋_GB2312" w:eastAsia="仿宋_GB2312"/>
                <w:kern w:val="0"/>
              </w:rPr>
              <w:t>20%以上</w:t>
            </w:r>
          </w:p>
        </w:tc>
        <w:tc>
          <w:tcPr>
            <w:tcW w:w="699" w:type="dxa"/>
            <w:vAlign w:val="center"/>
          </w:tcPr>
          <w:p w14:paraId="75FAE41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节约用煤</w:t>
            </w:r>
          </w:p>
        </w:tc>
        <w:tc>
          <w:tcPr>
            <w:tcW w:w="1298" w:type="dxa"/>
            <w:vAlign w:val="center"/>
          </w:tcPr>
          <w:p w14:paraId="45B96CBB">
            <w:pPr>
              <w:spacing w:line="240" w:lineRule="auto"/>
              <w:jc w:val="both"/>
              <w:rPr>
                <w:rFonts w:ascii="仿宋_GB2312" w:eastAsia="仿宋_GB2312"/>
                <w:kern w:val="0"/>
              </w:rPr>
            </w:pPr>
            <w:r>
              <w:rPr>
                <w:rFonts w:hint="eastAsia" w:ascii="仿宋_GB2312" w:eastAsia="仿宋_GB2312"/>
                <w:kern w:val="0"/>
              </w:rPr>
              <w:t>节约用煤</w:t>
            </w:r>
          </w:p>
        </w:tc>
        <w:tc>
          <w:tcPr>
            <w:tcW w:w="1269" w:type="dxa"/>
            <w:vAlign w:val="center"/>
          </w:tcPr>
          <w:p w14:paraId="35C3564D">
            <w:pPr>
              <w:spacing w:line="240" w:lineRule="auto"/>
              <w:jc w:val="both"/>
              <w:rPr>
                <w:rFonts w:ascii="仿宋_GB2312" w:eastAsia="仿宋_GB2312"/>
                <w:kern w:val="0"/>
              </w:rPr>
            </w:pPr>
            <w:r>
              <w:rPr>
                <w:rFonts w:hint="eastAsia" w:ascii="仿宋_GB2312" w:eastAsia="仿宋_GB2312"/>
                <w:kern w:val="0"/>
              </w:rPr>
              <w:t>5万吨标煤</w:t>
            </w:r>
          </w:p>
        </w:tc>
        <w:tc>
          <w:tcPr>
            <w:tcW w:w="699" w:type="dxa"/>
            <w:vAlign w:val="center"/>
          </w:tcPr>
          <w:p w14:paraId="6A82224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3C931F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p>
        </w:tc>
        <w:tc>
          <w:tcPr>
            <w:tcW w:w="1298" w:type="dxa"/>
            <w:vAlign w:val="center"/>
          </w:tcPr>
          <w:p w14:paraId="055B34ED">
            <w:pPr>
              <w:spacing w:line="240" w:lineRule="auto"/>
              <w:ind w:firstLine="420"/>
              <w:jc w:val="center"/>
              <w:rPr>
                <w:rFonts w:ascii="仿宋_GB2312" w:eastAsia="仿宋_GB2312"/>
                <w:kern w:val="0"/>
              </w:rPr>
            </w:pPr>
          </w:p>
        </w:tc>
        <w:tc>
          <w:tcPr>
            <w:tcW w:w="1269" w:type="dxa"/>
            <w:vAlign w:val="center"/>
          </w:tcPr>
          <w:p w14:paraId="46B41467">
            <w:pPr>
              <w:spacing w:line="240" w:lineRule="auto"/>
              <w:ind w:firstLine="420"/>
              <w:jc w:val="center"/>
              <w:rPr>
                <w:rFonts w:ascii="仿宋_GB2312" w:eastAsia="仿宋_GB2312"/>
                <w:kern w:val="0"/>
              </w:rPr>
            </w:pPr>
          </w:p>
        </w:tc>
        <w:tc>
          <w:tcPr>
            <w:tcW w:w="699" w:type="dxa"/>
            <w:vAlign w:val="center"/>
          </w:tcPr>
          <w:p w14:paraId="447C4D99">
            <w:pPr>
              <w:spacing w:line="240" w:lineRule="auto"/>
              <w:ind w:firstLine="420"/>
              <w:jc w:val="center"/>
              <w:rPr>
                <w:rFonts w:ascii="仿宋_GB2312" w:eastAsia="仿宋_GB2312"/>
                <w:kern w:val="0"/>
              </w:rPr>
            </w:pPr>
          </w:p>
        </w:tc>
        <w:tc>
          <w:tcPr>
            <w:tcW w:w="869" w:type="dxa"/>
            <w:vAlign w:val="center"/>
          </w:tcPr>
          <w:p w14:paraId="71C7C72F">
            <w:pPr>
              <w:spacing w:line="240" w:lineRule="auto"/>
              <w:ind w:firstLine="420"/>
              <w:jc w:val="center"/>
              <w:rPr>
                <w:rFonts w:ascii="仿宋_GB2312" w:eastAsia="仿宋_GB2312"/>
                <w:kern w:val="0"/>
              </w:rPr>
            </w:pP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监管相对人满意</w:t>
            </w:r>
          </w:p>
        </w:tc>
        <w:tc>
          <w:tcPr>
            <w:tcW w:w="1298" w:type="dxa"/>
            <w:vAlign w:val="center"/>
          </w:tcPr>
          <w:p w14:paraId="6ABEB3E2">
            <w:pPr>
              <w:spacing w:line="240" w:lineRule="auto"/>
              <w:jc w:val="both"/>
              <w:rPr>
                <w:rFonts w:ascii="仿宋_GB2312" w:eastAsia="仿宋_GB2312"/>
                <w:kern w:val="0"/>
              </w:rPr>
            </w:pPr>
            <w:r>
              <w:rPr>
                <w:rFonts w:hint="eastAsia" w:ascii="仿宋_GB2312" w:eastAsia="仿宋_GB2312"/>
                <w:kern w:val="0"/>
              </w:rPr>
              <w:t>监管相对人满意</w:t>
            </w:r>
          </w:p>
        </w:tc>
        <w:tc>
          <w:tcPr>
            <w:tcW w:w="1269" w:type="dxa"/>
            <w:vAlign w:val="center"/>
          </w:tcPr>
          <w:p w14:paraId="31B5B329">
            <w:pPr>
              <w:spacing w:line="240" w:lineRule="auto"/>
              <w:ind w:firstLine="420"/>
              <w:jc w:val="both"/>
              <w:rPr>
                <w:rFonts w:ascii="仿宋_GB2312" w:eastAsia="仿宋_GB2312"/>
                <w:kern w:val="0"/>
              </w:rPr>
            </w:pPr>
            <w:r>
              <w:rPr>
                <w:rFonts w:hint="eastAsia" w:ascii="仿宋_GB2312" w:eastAsia="仿宋_GB2312"/>
                <w:kern w:val="0"/>
                <w:lang w:val="en-US" w:eastAsia="zh-CN"/>
              </w:rPr>
              <w:t>＞</w:t>
            </w:r>
            <w:r>
              <w:rPr>
                <w:rFonts w:hint="eastAsia" w:ascii="仿宋_GB2312" w:eastAsia="仿宋_GB2312"/>
                <w:kern w:val="0"/>
              </w:rPr>
              <w:t>90%</w:t>
            </w:r>
          </w:p>
        </w:tc>
        <w:tc>
          <w:tcPr>
            <w:tcW w:w="699" w:type="dxa"/>
            <w:vAlign w:val="center"/>
          </w:tcPr>
          <w:p w14:paraId="41D3F37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jc w:val="center"/>
              <w:rPr>
                <w:rFonts w:ascii="仿宋_GB2312" w:eastAsia="仿宋_GB2312"/>
                <w:kern w:val="0"/>
              </w:rPr>
            </w:pPr>
            <w:r>
              <w:rPr>
                <w:rFonts w:hint="eastAsia" w:ascii="仿宋_GB2312" w:eastAsia="仿宋_GB2312"/>
                <w:kern w:val="0"/>
                <w:lang w:val="en-US" w:eastAsia="zh-CN"/>
              </w:rPr>
              <w:t>8</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hint="default" w:ascii="仿宋_GB2312" w:eastAsia="仿宋_GB2312"/>
                <w:kern w:val="0"/>
                <w:lang w:val="en-US"/>
              </w:rPr>
            </w:pPr>
            <w:r>
              <w:rPr>
                <w:rFonts w:hint="eastAsia" w:ascii="仿宋_GB2312" w:eastAsia="仿宋_GB2312"/>
                <w:kern w:val="0"/>
                <w:lang w:val="en-US" w:eastAsia="zh-CN"/>
              </w:rPr>
              <w:t>＜=5216.2</w:t>
            </w:r>
          </w:p>
        </w:tc>
        <w:tc>
          <w:tcPr>
            <w:tcW w:w="1298" w:type="dxa"/>
            <w:vAlign w:val="center"/>
          </w:tcPr>
          <w:p w14:paraId="15ECA8D3">
            <w:pPr>
              <w:spacing w:line="240" w:lineRule="auto"/>
              <w:ind w:firstLine="420"/>
              <w:jc w:val="center"/>
              <w:rPr>
                <w:rFonts w:ascii="仿宋_GB2312" w:eastAsia="仿宋_GB2312"/>
                <w:kern w:val="0"/>
              </w:rPr>
            </w:pPr>
          </w:p>
        </w:tc>
        <w:tc>
          <w:tcPr>
            <w:tcW w:w="1269" w:type="dxa"/>
            <w:vAlign w:val="center"/>
          </w:tcPr>
          <w:p w14:paraId="3C328246">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5216.2</w:t>
            </w:r>
          </w:p>
        </w:tc>
        <w:tc>
          <w:tcPr>
            <w:tcW w:w="699" w:type="dxa"/>
            <w:vAlign w:val="center"/>
          </w:tcPr>
          <w:p w14:paraId="42BD2B9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786F4305">
            <w:pPr>
              <w:spacing w:line="240" w:lineRule="auto"/>
              <w:jc w:val="center"/>
              <w:rPr>
                <w:rFonts w:ascii="仿宋_GB2312" w:eastAsia="仿宋_GB2312"/>
                <w:kern w:val="0"/>
              </w:rPr>
            </w:pPr>
            <w:r>
              <w:rPr>
                <w:rFonts w:hint="eastAsia" w:ascii="仿宋_GB2312" w:eastAsia="仿宋_GB2312"/>
                <w:kern w:val="0"/>
                <w:lang w:val="en-US" w:eastAsia="zh-CN"/>
              </w:rPr>
              <w:t>20</w:t>
            </w:r>
          </w:p>
        </w:tc>
        <w:tc>
          <w:tcPr>
            <w:tcW w:w="1423" w:type="dxa"/>
            <w:vAlign w:val="center"/>
          </w:tcPr>
          <w:p w14:paraId="0F79A5E1">
            <w:pPr>
              <w:spacing w:line="240" w:lineRule="auto"/>
              <w:ind w:firstLine="420"/>
              <w:jc w:val="center"/>
              <w:rPr>
                <w:rFonts w:hint="default" w:ascii="仿宋_GB2312" w:eastAsia="仿宋_GB2312"/>
                <w:kern w:val="0"/>
                <w:lang w:val="en-US" w:eastAsia="zh-CN"/>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p>
        </w:tc>
        <w:tc>
          <w:tcPr>
            <w:tcW w:w="1298" w:type="dxa"/>
            <w:vAlign w:val="center"/>
          </w:tcPr>
          <w:p w14:paraId="09361E43">
            <w:pPr>
              <w:spacing w:line="240" w:lineRule="auto"/>
              <w:ind w:firstLine="420"/>
              <w:jc w:val="center"/>
              <w:rPr>
                <w:rFonts w:ascii="仿宋_GB2312" w:eastAsia="仿宋_GB2312"/>
                <w:kern w:val="0"/>
              </w:rPr>
            </w:pPr>
          </w:p>
        </w:tc>
        <w:tc>
          <w:tcPr>
            <w:tcW w:w="1269" w:type="dxa"/>
            <w:vAlign w:val="center"/>
          </w:tcPr>
          <w:p w14:paraId="32DCD303">
            <w:pPr>
              <w:spacing w:line="240" w:lineRule="auto"/>
              <w:ind w:firstLine="420"/>
              <w:jc w:val="center"/>
              <w:rPr>
                <w:rFonts w:ascii="仿宋_GB2312" w:eastAsia="仿宋_GB2312"/>
                <w:kern w:val="0"/>
              </w:rPr>
            </w:pP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jc w:val="center"/>
              <w:rPr>
                <w:rFonts w:ascii="仿宋_GB2312" w:eastAsia="仿宋_GB2312"/>
                <w:kern w:val="0"/>
              </w:rPr>
            </w:pPr>
          </w:p>
        </w:tc>
        <w:tc>
          <w:tcPr>
            <w:tcW w:w="1269" w:type="dxa"/>
            <w:vAlign w:val="center"/>
          </w:tcPr>
          <w:p w14:paraId="4E354EE6">
            <w:pPr>
              <w:spacing w:line="240" w:lineRule="auto"/>
              <w:ind w:firstLine="420"/>
              <w:jc w:val="center"/>
              <w:rPr>
                <w:rFonts w:ascii="仿宋_GB2312" w:eastAsia="仿宋_GB2312"/>
                <w:kern w:val="0"/>
              </w:rPr>
            </w:pP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7A8A774">
      <w:pPr>
        <w:spacing w:line="267" w:lineRule="auto"/>
        <w:ind w:firstLine="552"/>
        <w:jc w:val="both"/>
        <w:rPr>
          <w:rFonts w:hint="eastAsia" w:ascii="宋体" w:hAnsi="宋体" w:eastAsia="宋体" w:cs="宋体"/>
          <w:bCs/>
          <w:spacing w:val="-4"/>
          <w:kern w:val="0"/>
          <w:sz w:val="28"/>
          <w:szCs w:val="28"/>
          <w:lang w:eastAsia="zh-CN"/>
        </w:rPr>
      </w:pPr>
    </w:p>
    <w:p w14:paraId="05C06AA8">
      <w:pPr>
        <w:spacing w:line="267" w:lineRule="auto"/>
        <w:ind w:firstLine="552"/>
        <w:jc w:val="both"/>
        <w:rPr>
          <w:rFonts w:hint="eastAsia" w:ascii="宋体" w:hAnsi="宋体" w:eastAsia="宋体" w:cs="宋体"/>
          <w:bCs/>
          <w:spacing w:val="-4"/>
          <w:kern w:val="0"/>
          <w:sz w:val="28"/>
          <w:szCs w:val="28"/>
          <w:lang w:eastAsia="zh-CN"/>
        </w:rPr>
      </w:pPr>
    </w:p>
    <w:p w14:paraId="66081C72">
      <w:pPr>
        <w:spacing w:line="267" w:lineRule="auto"/>
        <w:ind w:firstLine="552"/>
        <w:jc w:val="both"/>
        <w:rPr>
          <w:rFonts w:hint="eastAsia" w:ascii="宋体" w:hAnsi="宋体" w:eastAsia="宋体" w:cs="宋体"/>
          <w:bCs/>
          <w:spacing w:val="-4"/>
          <w:kern w:val="0"/>
          <w:sz w:val="28"/>
          <w:szCs w:val="28"/>
          <w:lang w:eastAsia="zh-CN"/>
        </w:rPr>
      </w:pPr>
    </w:p>
    <w:p w14:paraId="571EC93E">
      <w:pPr>
        <w:spacing w:line="267" w:lineRule="auto"/>
        <w:ind w:firstLine="552"/>
        <w:jc w:val="both"/>
        <w:rPr>
          <w:rFonts w:hint="eastAsia" w:ascii="宋体" w:hAnsi="宋体" w:eastAsia="宋体" w:cs="宋体"/>
          <w:bCs/>
          <w:spacing w:val="-4"/>
          <w:kern w:val="0"/>
          <w:sz w:val="28"/>
          <w:szCs w:val="28"/>
          <w:lang w:eastAsia="zh-CN"/>
        </w:rPr>
      </w:pPr>
    </w:p>
    <w:p w14:paraId="699E066D">
      <w:pPr>
        <w:spacing w:line="267" w:lineRule="auto"/>
        <w:ind w:firstLine="552"/>
        <w:jc w:val="both"/>
        <w:rPr>
          <w:rFonts w:hint="eastAsia" w:ascii="宋体" w:hAnsi="宋体" w:eastAsia="宋体" w:cs="宋体"/>
          <w:bCs/>
          <w:spacing w:val="-4"/>
          <w:kern w:val="0"/>
          <w:sz w:val="28"/>
          <w:szCs w:val="28"/>
          <w:lang w:eastAsia="zh-CN"/>
        </w:rPr>
      </w:pPr>
    </w:p>
    <w:p w14:paraId="4AC74472">
      <w:pPr>
        <w:spacing w:line="267" w:lineRule="auto"/>
        <w:ind w:firstLine="552"/>
        <w:jc w:val="both"/>
        <w:rPr>
          <w:rFonts w:hint="eastAsia" w:ascii="宋体" w:hAnsi="宋体" w:eastAsia="宋体" w:cs="宋体"/>
          <w:bCs/>
          <w:spacing w:val="-4"/>
          <w:kern w:val="0"/>
          <w:sz w:val="28"/>
          <w:szCs w:val="28"/>
          <w:lang w:eastAsia="zh-CN"/>
        </w:rPr>
      </w:pPr>
    </w:p>
    <w:p w14:paraId="4523D016">
      <w:pPr>
        <w:spacing w:line="267" w:lineRule="auto"/>
        <w:ind w:firstLine="552"/>
        <w:jc w:val="both"/>
        <w:rPr>
          <w:rFonts w:hint="eastAsia" w:ascii="宋体" w:hAnsi="宋体" w:eastAsia="宋体" w:cs="宋体"/>
          <w:bCs/>
          <w:spacing w:val="-4"/>
          <w:kern w:val="0"/>
          <w:sz w:val="28"/>
          <w:szCs w:val="28"/>
          <w:lang w:eastAsia="zh-CN"/>
        </w:rPr>
      </w:pPr>
    </w:p>
    <w:p w14:paraId="3A4EB88E">
      <w:pPr>
        <w:spacing w:line="267" w:lineRule="auto"/>
        <w:ind w:firstLine="552"/>
        <w:jc w:val="both"/>
        <w:rPr>
          <w:rFonts w:hint="eastAsia" w:ascii="宋体" w:hAnsi="宋体" w:eastAsia="宋体" w:cs="宋体"/>
          <w:bCs/>
          <w:spacing w:val="-4"/>
          <w:kern w:val="0"/>
          <w:sz w:val="28"/>
          <w:szCs w:val="28"/>
          <w:lang w:eastAsia="zh-CN"/>
        </w:rPr>
      </w:pPr>
    </w:p>
    <w:p w14:paraId="305BB543">
      <w:pPr>
        <w:spacing w:line="267" w:lineRule="auto"/>
        <w:ind w:firstLine="552"/>
        <w:jc w:val="both"/>
        <w:rPr>
          <w:rFonts w:hint="eastAsia" w:ascii="宋体" w:hAnsi="宋体" w:eastAsia="宋体" w:cs="宋体"/>
          <w:bCs/>
          <w:spacing w:val="-4"/>
          <w:kern w:val="0"/>
          <w:sz w:val="28"/>
          <w:szCs w:val="28"/>
          <w:lang w:eastAsia="zh-CN"/>
        </w:rPr>
      </w:pPr>
    </w:p>
    <w:p w14:paraId="23463F2A">
      <w:pPr>
        <w:spacing w:line="267" w:lineRule="auto"/>
        <w:ind w:firstLine="552"/>
        <w:jc w:val="both"/>
        <w:rPr>
          <w:rFonts w:hint="eastAsia" w:ascii="宋体" w:hAnsi="宋体" w:eastAsia="宋体" w:cs="宋体"/>
          <w:bCs/>
          <w:spacing w:val="-4"/>
          <w:kern w:val="0"/>
          <w:sz w:val="28"/>
          <w:szCs w:val="28"/>
          <w:lang w:eastAsia="zh-CN"/>
        </w:rPr>
      </w:pPr>
    </w:p>
    <w:p w14:paraId="57230E92">
      <w:pPr>
        <w:spacing w:line="267" w:lineRule="auto"/>
        <w:ind w:firstLine="552"/>
        <w:jc w:val="both"/>
        <w:rPr>
          <w:rFonts w:hint="eastAsia" w:ascii="宋体" w:hAnsi="宋体" w:eastAsia="宋体" w:cs="宋体"/>
          <w:bCs/>
          <w:spacing w:val="-4"/>
          <w:kern w:val="0"/>
          <w:sz w:val="28"/>
          <w:szCs w:val="28"/>
          <w:lang w:eastAsia="zh-CN"/>
        </w:rPr>
      </w:pPr>
    </w:p>
    <w:p w14:paraId="2445826D">
      <w:pPr>
        <w:spacing w:line="267" w:lineRule="auto"/>
        <w:ind w:firstLine="552"/>
        <w:jc w:val="both"/>
        <w:rPr>
          <w:rFonts w:hint="eastAsia" w:ascii="宋体" w:hAnsi="宋体" w:eastAsia="宋体" w:cs="宋体"/>
          <w:bCs/>
          <w:spacing w:val="-4"/>
          <w:kern w:val="0"/>
          <w:sz w:val="28"/>
          <w:szCs w:val="28"/>
          <w:lang w:eastAsia="zh-CN"/>
        </w:rPr>
      </w:pPr>
    </w:p>
    <w:p w14:paraId="7A0BEB5C">
      <w:pPr>
        <w:spacing w:line="267" w:lineRule="auto"/>
        <w:ind w:firstLine="552"/>
        <w:jc w:val="both"/>
        <w:rPr>
          <w:rFonts w:hint="eastAsia" w:ascii="宋体" w:hAnsi="宋体" w:eastAsia="宋体" w:cs="宋体"/>
          <w:bCs/>
          <w:spacing w:val="-4"/>
          <w:kern w:val="0"/>
          <w:sz w:val="28"/>
          <w:szCs w:val="28"/>
          <w:lang w:eastAsia="zh-CN"/>
        </w:rPr>
      </w:pPr>
    </w:p>
    <w:p w14:paraId="6FA99E81">
      <w:pPr>
        <w:spacing w:line="267" w:lineRule="auto"/>
        <w:ind w:firstLine="552"/>
        <w:jc w:val="both"/>
        <w:rPr>
          <w:rFonts w:hint="eastAsia" w:ascii="宋体" w:hAnsi="宋体" w:eastAsia="宋体" w:cs="宋体"/>
          <w:bCs/>
          <w:spacing w:val="-4"/>
          <w:kern w:val="0"/>
          <w:sz w:val="28"/>
          <w:szCs w:val="28"/>
          <w:lang w:eastAsia="zh-CN"/>
        </w:rPr>
      </w:pPr>
    </w:p>
    <w:p w14:paraId="348B4D79">
      <w:pPr>
        <w:spacing w:line="267" w:lineRule="auto"/>
        <w:ind w:firstLine="552"/>
        <w:jc w:val="both"/>
        <w:rPr>
          <w:rFonts w:hint="eastAsia" w:ascii="宋体" w:hAnsi="宋体" w:eastAsia="宋体" w:cs="宋体"/>
          <w:bCs/>
          <w:spacing w:val="-4"/>
          <w:kern w:val="0"/>
          <w:sz w:val="28"/>
          <w:szCs w:val="28"/>
          <w:lang w:eastAsia="zh-CN"/>
        </w:rPr>
      </w:pPr>
    </w:p>
    <w:p w14:paraId="62C2CFE9">
      <w:pPr>
        <w:spacing w:line="267" w:lineRule="auto"/>
        <w:ind w:firstLine="552"/>
        <w:jc w:val="both"/>
        <w:rPr>
          <w:rFonts w:hint="eastAsia" w:ascii="宋体" w:hAnsi="宋体" w:eastAsia="宋体" w:cs="宋体"/>
          <w:bCs/>
          <w:spacing w:val="-4"/>
          <w:kern w:val="0"/>
          <w:sz w:val="28"/>
          <w:szCs w:val="28"/>
          <w:lang w:eastAsia="zh-CN"/>
        </w:rPr>
      </w:pPr>
    </w:p>
    <w:p w14:paraId="12FA639F">
      <w:pPr>
        <w:spacing w:line="267" w:lineRule="auto"/>
        <w:ind w:firstLine="552"/>
        <w:jc w:val="both"/>
        <w:rPr>
          <w:rFonts w:hint="eastAsia" w:ascii="宋体" w:hAnsi="宋体" w:eastAsia="宋体" w:cs="宋体"/>
          <w:bCs/>
          <w:spacing w:val="-4"/>
          <w:kern w:val="0"/>
          <w:sz w:val="28"/>
          <w:szCs w:val="28"/>
          <w:lang w:eastAsia="zh-CN"/>
        </w:rPr>
      </w:pPr>
    </w:p>
    <w:p w14:paraId="67981959">
      <w:pPr>
        <w:spacing w:line="267" w:lineRule="auto"/>
        <w:ind w:firstLine="552"/>
        <w:jc w:val="both"/>
        <w:rPr>
          <w:rFonts w:hint="eastAsia" w:ascii="宋体" w:hAnsi="宋体" w:eastAsia="宋体" w:cs="宋体"/>
          <w:bCs/>
          <w:spacing w:val="-4"/>
          <w:kern w:val="0"/>
          <w:sz w:val="28"/>
          <w:szCs w:val="28"/>
          <w:lang w:eastAsia="zh-CN"/>
        </w:rPr>
      </w:pPr>
    </w:p>
    <w:p w14:paraId="34AE6043">
      <w:pPr>
        <w:spacing w:line="267" w:lineRule="auto"/>
        <w:ind w:firstLine="552"/>
        <w:jc w:val="both"/>
        <w:rPr>
          <w:rFonts w:hint="eastAsia" w:ascii="宋体" w:hAnsi="宋体" w:eastAsia="宋体" w:cs="宋体"/>
          <w:bCs/>
          <w:spacing w:val="-4"/>
          <w:kern w:val="0"/>
          <w:sz w:val="28"/>
          <w:szCs w:val="28"/>
          <w:lang w:eastAsia="zh-CN"/>
        </w:rPr>
      </w:pPr>
    </w:p>
    <w:p w14:paraId="4556BE02">
      <w:pPr>
        <w:spacing w:line="267" w:lineRule="auto"/>
        <w:ind w:firstLine="552"/>
        <w:jc w:val="both"/>
        <w:rPr>
          <w:rFonts w:hint="eastAsia" w:ascii="宋体" w:hAnsi="宋体" w:eastAsia="宋体" w:cs="宋体"/>
          <w:bCs/>
          <w:spacing w:val="-4"/>
          <w:kern w:val="0"/>
          <w:sz w:val="28"/>
          <w:szCs w:val="28"/>
          <w:lang w:eastAsia="zh-CN"/>
        </w:rPr>
      </w:pPr>
    </w:p>
    <w:p w14:paraId="54E8F823">
      <w:pPr>
        <w:spacing w:line="267" w:lineRule="auto"/>
        <w:ind w:firstLine="552"/>
        <w:jc w:val="both"/>
        <w:rPr>
          <w:rFonts w:hint="eastAsia" w:ascii="宋体" w:hAnsi="宋体" w:eastAsia="宋体" w:cs="宋体"/>
          <w:bCs/>
          <w:spacing w:val="-4"/>
          <w:kern w:val="0"/>
          <w:sz w:val="28"/>
          <w:szCs w:val="28"/>
          <w:lang w:eastAsia="zh-CN"/>
        </w:rPr>
      </w:pPr>
    </w:p>
    <w:p w14:paraId="6728AF27">
      <w:pPr>
        <w:spacing w:line="267" w:lineRule="auto"/>
        <w:ind w:firstLine="552"/>
        <w:jc w:val="both"/>
        <w:rPr>
          <w:rFonts w:hint="eastAsia" w:ascii="宋体" w:hAnsi="宋体" w:eastAsia="宋体" w:cs="宋体"/>
          <w:bCs/>
          <w:spacing w:val="-4"/>
          <w:kern w:val="0"/>
          <w:sz w:val="28"/>
          <w:szCs w:val="28"/>
          <w:lang w:eastAsia="zh-CN"/>
        </w:rPr>
      </w:pPr>
    </w:p>
    <w:p w14:paraId="31932CB1">
      <w:pPr>
        <w:spacing w:line="267" w:lineRule="auto"/>
        <w:ind w:firstLine="552"/>
        <w:jc w:val="both"/>
        <w:rPr>
          <w:rFonts w:hint="eastAsia" w:ascii="宋体" w:hAnsi="宋体" w:eastAsia="宋体" w:cs="宋体"/>
          <w:bCs/>
          <w:spacing w:val="-4"/>
          <w:kern w:val="0"/>
          <w:sz w:val="28"/>
          <w:szCs w:val="28"/>
          <w:lang w:eastAsia="zh-CN"/>
        </w:rPr>
      </w:pPr>
    </w:p>
    <w:p w14:paraId="75A76712">
      <w:pPr>
        <w:spacing w:line="267" w:lineRule="auto"/>
        <w:ind w:firstLine="552"/>
        <w:jc w:val="both"/>
        <w:rPr>
          <w:rFonts w:hint="eastAsia" w:ascii="宋体" w:hAnsi="宋体" w:eastAsia="宋体" w:cs="宋体"/>
          <w:bCs/>
          <w:spacing w:val="-4"/>
          <w:kern w:val="0"/>
          <w:sz w:val="28"/>
          <w:szCs w:val="28"/>
          <w:lang w:eastAsia="zh-CN"/>
        </w:rPr>
      </w:pPr>
    </w:p>
    <w:p w14:paraId="3B7ABAD5">
      <w:pPr>
        <w:spacing w:line="267" w:lineRule="auto"/>
        <w:ind w:firstLine="552"/>
        <w:jc w:val="both"/>
        <w:rPr>
          <w:rFonts w:hint="eastAsia" w:ascii="宋体" w:hAnsi="宋体" w:eastAsia="宋体" w:cs="宋体"/>
          <w:bCs/>
          <w:spacing w:val="-4"/>
          <w:kern w:val="0"/>
          <w:sz w:val="28"/>
          <w:szCs w:val="28"/>
          <w:lang w:eastAsia="zh-CN"/>
        </w:rPr>
      </w:pPr>
    </w:p>
    <w:p w14:paraId="54A4074F">
      <w:pPr>
        <w:spacing w:line="267" w:lineRule="auto"/>
        <w:ind w:firstLine="552"/>
        <w:jc w:val="both"/>
        <w:rPr>
          <w:rFonts w:hint="eastAsia" w:ascii="宋体" w:hAnsi="宋体" w:eastAsia="宋体" w:cs="宋体"/>
          <w:bCs/>
          <w:spacing w:val="-4"/>
          <w:kern w:val="0"/>
          <w:sz w:val="28"/>
          <w:szCs w:val="28"/>
          <w:lang w:eastAsia="zh-CN"/>
        </w:rPr>
      </w:pPr>
    </w:p>
    <w:p w14:paraId="3B22214C">
      <w:pPr>
        <w:spacing w:line="267" w:lineRule="auto"/>
        <w:ind w:firstLine="552"/>
        <w:jc w:val="both"/>
        <w:rPr>
          <w:rFonts w:hint="eastAsia" w:ascii="宋体" w:hAnsi="宋体" w:eastAsia="宋体" w:cs="宋体"/>
          <w:bCs/>
          <w:spacing w:val="-4"/>
          <w:kern w:val="0"/>
          <w:sz w:val="28"/>
          <w:szCs w:val="28"/>
          <w:lang w:eastAsia="zh-CN"/>
        </w:rPr>
      </w:pPr>
    </w:p>
    <w:p w14:paraId="6F91748F">
      <w:pPr>
        <w:spacing w:line="267" w:lineRule="auto"/>
        <w:ind w:firstLine="552"/>
        <w:jc w:val="both"/>
        <w:rPr>
          <w:rFonts w:hint="eastAsia" w:ascii="宋体" w:hAnsi="宋体" w:eastAsia="宋体" w:cs="宋体"/>
          <w:bCs/>
          <w:spacing w:val="-4"/>
          <w:kern w:val="0"/>
          <w:sz w:val="28"/>
          <w:szCs w:val="28"/>
          <w:lang w:eastAsia="zh-CN"/>
        </w:rPr>
      </w:pPr>
    </w:p>
    <w:p w14:paraId="7CA3B564">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汨罗市工信局</w:t>
      </w:r>
      <w:r>
        <w:rPr>
          <w:rFonts w:hint="eastAsia" w:ascii="方正小标宋简体" w:hAnsi="宋体" w:eastAsia="方正小标宋简体" w:cs="宋体"/>
          <w:kern w:val="0"/>
          <w:sz w:val="44"/>
          <w:szCs w:val="44"/>
          <w:lang w:eastAsia="zh-CN"/>
        </w:rPr>
        <w:t>部门整体支出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方正小标宋简体" w:eastAsia="方正小标宋简体"/>
          <w:kern w:val="0"/>
          <w:sz w:val="44"/>
          <w:szCs w:val="44"/>
          <w:lang w:val="en-US" w:eastAsia="zh-CN"/>
        </w:rPr>
        <w:t>汨罗市工信局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0AB95799">
      <w:pPr>
        <w:numPr>
          <w:ilvl w:val="0"/>
          <w:numId w:val="2"/>
        </w:numPr>
        <w:kinsoku w:val="0"/>
        <w:autoSpaceDE w:val="0"/>
        <w:autoSpaceDN w:val="0"/>
        <w:adjustRightInd w:val="0"/>
        <w:snapToGrid w:val="0"/>
        <w:spacing w:before="211" w:line="224" w:lineRule="auto"/>
        <w:ind w:left="378" w:leftChars="0" w:firstLine="0" w:firstLineChars="0"/>
        <w:jc w:val="both"/>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职能职责</w:t>
      </w:r>
    </w:p>
    <w:p w14:paraId="4F1BD356">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1、负责全市工业经济的日常运行调节，编制并组织实施近期工业经济运行调控目标、政策和措施；监测分析近期工业经济运行态势，统计并发布相关信息，进行预测预警和信息引导，协调解决经济运行中的突出矛盾和问题并提出政策建议。 </w:t>
      </w:r>
    </w:p>
    <w:p w14:paraId="1FEF20D2">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2、拟订全市新型工业化的发展战略、规划和相关政策措施并组织实施；负责组织、协调全县培育发展战略性新兴产业工作；综合管理全县工业经济，指导、协调和服务工业企业；推进信息化和工业化融合。</w:t>
      </w:r>
    </w:p>
    <w:p w14:paraId="3AD96A9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拟订并组织实施工业、信息化的发展专项规划，贯彻落实国家和省、市产业政策；拟订优化产业结构和产品结构的地方配套政策措施，并监督检查执行情况；研究和规划全县工业产业投资布局；负责工业与信息化领域的产业安全和应急管理工作，协调处理重大安全事故。</w:t>
      </w:r>
    </w:p>
    <w:p w14:paraId="5CC68637">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4、对涉及工业和信息化领域相关法律法规的执法情况进行监督检查；协调减轻企业负担工作。</w:t>
      </w:r>
    </w:p>
    <w:p w14:paraId="051120F1">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组织拟订全市工业企业技术进步的发展战略、规划并组织实施；编制和组织实施技术改造规划，提出工业和信息化固定资产投资规模和方向；负责工业领域招商引资工作，抓好重大工业项目的督查与协调；推进企业技术创新体系建设，指导行业技术创新和技术进步，以先进适用技术改造提升传统产业，推进产学研结合和科研成果产业化。</w:t>
      </w:r>
    </w:p>
    <w:p w14:paraId="64860B09">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6、制定中小企业发展战略、中长期发展规划并组织实施；指导中小企业加强管理；推进中小企业服务体系建设，做好中小企业融资和融资担保服务与协调工作；指导中小企业法律顾问工作；推进全民创业。</w:t>
      </w:r>
    </w:p>
    <w:p w14:paraId="628C595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7、负责工业节能工作，参与拟订能源节能和资源综合利用规划；承担工业企业的节能考核和监察工作；组织推进清洁生产工作；组织协调相关重大示范工程和相关新产品、新技术、新设备、新材料的推广应用。</w:t>
      </w:r>
    </w:p>
    <w:p w14:paraId="0C90A893">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8、综合协调工业经济运行中与铁路、公路、水运、管理运输以及通信、邮政有关的重大问题；负责经济运行保障要素的综合协调工作；指导生产企业物流外包，促进企业内部物流社会化。</w:t>
      </w:r>
    </w:p>
    <w:p w14:paraId="0416A4D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9、组织拟订全县信息化发展战略、专项规划及相关政策，协调解决相关问题。</w:t>
      </w:r>
    </w:p>
    <w:p w14:paraId="3F7D1282">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10、制定全县信息安全发展战略、规划、指导、协调信息安全保障体系建设；指导监督政府单位、重点行业重要信息系统与基础信息网络的安全保障，协助处理网络与信息安全的重大事件。</w:t>
      </w:r>
    </w:p>
    <w:p w14:paraId="7484A477">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11、根据国家和省市统一规划，协调全县公用通信网、互联网、广播电视网和其他专用通信网的规划和建设，促进网络资源共享；依法监督管理信息服务市场。</w:t>
      </w:r>
    </w:p>
    <w:p w14:paraId="0A8A3AC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12、负责推动软件业及信息服务业发展；组织制订软件业和信息服务业发展战略、专项规划及相关政策，协调解决重大问题，推动软件公共服务体系建设，推进软件服务外包；指导、协调技术开发和相关产业发展。</w:t>
      </w:r>
    </w:p>
    <w:p w14:paraId="1E66E3CF">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13、指导全市工业、信息化领域人才开发与培训工作；开展人才和智力对外合作交流。</w:t>
      </w:r>
    </w:p>
    <w:p w14:paraId="36B8969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14、承办市委、市人民政府交办的其他事项。</w:t>
      </w:r>
    </w:p>
    <w:p w14:paraId="31C7098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（二）机构设置 </w:t>
      </w:r>
    </w:p>
    <w:p w14:paraId="09710830">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我单位为财政全额拨款单位,根据编委核定内设办公室、人事股、财务股、安全生产股、法规股、经济运行股、投资规划股、中小企业股、信息化推进股、纪检监察室及联合工会。</w:t>
      </w:r>
    </w:p>
    <w:p w14:paraId="37D27A50">
      <w:pPr>
        <w:numPr>
          <w:ilvl w:val="0"/>
          <w:numId w:val="0"/>
        </w:numPr>
        <w:kinsoku w:val="0"/>
        <w:autoSpaceDE w:val="0"/>
        <w:autoSpaceDN w:val="0"/>
        <w:adjustRightInd w:val="0"/>
        <w:snapToGrid w:val="0"/>
        <w:spacing w:before="211" w:line="224" w:lineRule="auto"/>
        <w:ind w:firstLine="640" w:firstLineChars="200"/>
        <w:jc w:val="both"/>
        <w:textAlignment w:val="baseline"/>
        <w:rPr>
          <w:rFonts w:hint="default" w:ascii="仿宋" w:hAnsi="仿宋" w:eastAsia="仿宋" w:cs="仿宋"/>
          <w:color w:val="auto"/>
          <w:kern w:val="0"/>
          <w:sz w:val="32"/>
          <w:szCs w:val="32"/>
          <w:lang w:val="en-US" w:eastAsia="zh-CN"/>
        </w:rPr>
      </w:pPr>
    </w:p>
    <w:p w14:paraId="26EA9F2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方正黑体_GBK" w:eastAsia="方正黑体_GBK"/>
          <w:kern w:val="0"/>
          <w:sz w:val="32"/>
          <w:szCs w:val="32"/>
          <w:lang w:eastAsia="zh-CN"/>
        </w:rPr>
      </w:pPr>
    </w:p>
    <w:p w14:paraId="2B641025">
      <w:pPr>
        <w:numPr>
          <w:ilvl w:val="0"/>
          <w:numId w:val="0"/>
        </w:numPr>
        <w:kinsoku w:val="0"/>
        <w:autoSpaceDE w:val="0"/>
        <w:autoSpaceDN w:val="0"/>
        <w:adjustRightInd w:val="0"/>
        <w:snapToGrid w:val="0"/>
        <w:spacing w:before="211" w:line="224" w:lineRule="auto"/>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450F6DC">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5A5F14D">
      <w:pPr>
        <w:pStyle w:val="10"/>
        <w:spacing w:line="600" w:lineRule="exact"/>
        <w:ind w:firstLine="643"/>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2023年本部门基本支出543.27万元，主要是为保障部门正常运转、完成日常工作任务而发生的各项支出，包括工资福利支出，主要用于基本工资、津贴补贴等人员经费；商品和服务支出，主要用于办公费、印刷费、水电费、办公设备购置等公用经费；对个人和家庭的补助，主要用于退休费、奖励金、医疗费补助等；资本性支出，主要用于办公设备的购置。</w:t>
      </w:r>
    </w:p>
    <w:p w14:paraId="5EDD06C7">
      <w:pPr>
        <w:pStyle w:val="10"/>
        <w:numPr>
          <w:ilvl w:val="0"/>
          <w:numId w:val="2"/>
        </w:numPr>
        <w:spacing w:line="600" w:lineRule="exact"/>
        <w:ind w:left="378" w:leftChars="0" w:firstLine="0" w:firstLineChars="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516D3C52">
      <w:pPr>
        <w:spacing w:line="600" w:lineRule="exact"/>
        <w:ind w:firstLine="640" w:firstLineChars="20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2023年本部门项目支出5216.2万元，主要是部门为完成特定行政工作任务或事业发展目标而发生的支出。</w:t>
      </w:r>
    </w:p>
    <w:p w14:paraId="6892DAA6">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政府性基金预算支出情况</w:t>
      </w:r>
    </w:p>
    <w:p w14:paraId="39B000D8">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本单位本年度政府性基金预算支出为0万元。</w:t>
      </w:r>
    </w:p>
    <w:p w14:paraId="2A755169">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56AAA268">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本单位未安排国有资本经营预算支出。</w:t>
      </w:r>
    </w:p>
    <w:p w14:paraId="07F1EBC0">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5681756F">
      <w:pPr>
        <w:widowControl/>
        <w:snapToGrid w:val="0"/>
        <w:spacing w:line="540" w:lineRule="exact"/>
        <w:ind w:firstLine="640" w:firstLineChars="200"/>
        <w:jc w:val="left"/>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12F1FFD">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单位开展整体支出绩效评价，涉及一般公共预算支出</w:t>
      </w:r>
      <w:r>
        <w:rPr>
          <w:rFonts w:hint="eastAsia" w:ascii="仿宋" w:hAnsi="仿宋" w:eastAsia="仿宋" w:cs="仿宋"/>
          <w:snapToGrid w:val="0"/>
          <w:color w:val="000000"/>
          <w:kern w:val="0"/>
          <w:sz w:val="32"/>
          <w:szCs w:val="32"/>
          <w:lang w:val="en-US" w:eastAsia="zh-CN" w:bidi="ar-SA"/>
        </w:rPr>
        <w:t>5216.2</w:t>
      </w:r>
      <w:bookmarkStart w:id="0" w:name="_GoBack"/>
      <w:bookmarkEnd w:id="0"/>
      <w:r>
        <w:rPr>
          <w:rFonts w:hint="eastAsia" w:ascii="Times New Roman" w:hAnsi="Times New Roman" w:eastAsia="仿宋_GB2312"/>
          <w:kern w:val="0"/>
          <w:sz w:val="32"/>
          <w:szCs w:val="32"/>
          <w:lang w:eastAsia="zh-CN"/>
        </w:rPr>
        <w:t>万元，政府性基金预算支出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从评价情况来看，全年预计完成规模工业总产值1160亿元，同比增长14.8%，约占岳阳市同期规模工业总产值的16%；预计规模工业增加值增速7.5%。全年预计完成工业投资198亿元，同比增长11%；预计完成工业技改投资138亿元，同比增长10%。</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BFCD2A8">
      <w:pPr>
        <w:pStyle w:val="10"/>
        <w:widowControl/>
        <w:numPr>
          <w:ilvl w:val="0"/>
          <w:numId w:val="0"/>
        </w:num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前本单位财政仍然面临着不少困难和问题。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21E6073D">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3DECC7FF">
      <w:pPr>
        <w:widowControl/>
        <w:spacing w:line="540" w:lineRule="exact"/>
        <w:ind w:firstLine="640" w:firstLineChars="200"/>
        <w:jc w:val="left"/>
        <w:rPr>
          <w:rFonts w:hint="eastAsia" w:ascii="仿宋" w:hAnsi="仿宋" w:eastAsia="仿宋" w:cs="仿宋"/>
          <w:sz w:val="32"/>
          <w:szCs w:val="32"/>
        </w:rPr>
      </w:pPr>
      <w:r>
        <w:rPr>
          <w:rFonts w:hint="eastAsia" w:ascii="方正黑体_GBK" w:eastAsia="方正黑体_GBK"/>
          <w:kern w:val="0"/>
          <w:sz w:val="32"/>
          <w:szCs w:val="32"/>
          <w:lang w:val="en-US" w:eastAsia="zh-CN"/>
        </w:rPr>
        <w:t xml:space="preserve"> </w:t>
      </w: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13BB99BC">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75217A0E">
      <w:pPr>
        <w:pStyle w:val="10"/>
        <w:widowControl/>
        <w:numPr>
          <w:ilvl w:val="0"/>
          <w:numId w:val="0"/>
        </w:numPr>
        <w:spacing w:line="54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A837EA1">
      <w:pPr>
        <w:spacing w:line="600" w:lineRule="exact"/>
        <w:ind w:firstLine="640" w:firstLineChars="200"/>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16E20"/>
    <w:multiLevelType w:val="singleLevel"/>
    <w:tmpl w:val="8CD16E20"/>
    <w:lvl w:ilvl="0" w:tentative="0">
      <w:start w:val="8"/>
      <w:numFmt w:val="chineseCounting"/>
      <w:suff w:val="nothing"/>
      <w:lvlText w:val="%1、"/>
      <w:lvlJc w:val="left"/>
      <w:rPr>
        <w:rFonts w:hint="eastAsia"/>
      </w:rPr>
    </w:lvl>
  </w:abstractNum>
  <w:abstractNum w:abstractNumId="1">
    <w:nsid w:val="E27111A8"/>
    <w:multiLevelType w:val="singleLevel"/>
    <w:tmpl w:val="E27111A8"/>
    <w:lvl w:ilvl="0" w:tentative="0">
      <w:start w:val="4"/>
      <w:numFmt w:val="chineseCounting"/>
      <w:suff w:val="nothing"/>
      <w:lvlText w:val="%1、"/>
      <w:lvlJc w:val="left"/>
      <w:rPr>
        <w:rFonts w:hint="eastAsia"/>
      </w:rPr>
    </w:lvl>
  </w:abstractNum>
  <w:abstractNum w:abstractNumId="2">
    <w:nsid w:val="ECC8F5D2"/>
    <w:multiLevelType w:val="singleLevel"/>
    <w:tmpl w:val="ECC8F5D2"/>
    <w:lvl w:ilvl="0" w:tentative="0">
      <w:start w:val="1"/>
      <w:numFmt w:val="chineseCounting"/>
      <w:suff w:val="nothing"/>
      <w:lvlText w:val="（%1）"/>
      <w:lvlJc w:val="left"/>
      <w:pPr>
        <w:ind w:left="378" w:leftChars="0" w:firstLine="0" w:firstLineChars="0"/>
      </w:pPr>
      <w:rPr>
        <w:rFonts w:hint="eastAsia"/>
      </w:rPr>
    </w:lvl>
  </w:abstractNum>
  <w:abstractNum w:abstractNumId="3">
    <w:nsid w:val="1D2676F0"/>
    <w:multiLevelType w:val="singleLevel"/>
    <w:tmpl w:val="1D2676F0"/>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xNjcyMjk0ZWZmMDMwMjAzMTEwZTliN2JlZWQzZGUifQ=="/>
  </w:docVars>
  <w:rsids>
    <w:rsidRoot w:val="00000000"/>
    <w:rsid w:val="01AF3811"/>
    <w:rsid w:val="03795BF7"/>
    <w:rsid w:val="048B7233"/>
    <w:rsid w:val="0668768A"/>
    <w:rsid w:val="070063C4"/>
    <w:rsid w:val="086E756B"/>
    <w:rsid w:val="0ACF37E5"/>
    <w:rsid w:val="0B400BC6"/>
    <w:rsid w:val="0D15754E"/>
    <w:rsid w:val="0D912454"/>
    <w:rsid w:val="0E68228D"/>
    <w:rsid w:val="11D57934"/>
    <w:rsid w:val="15276E52"/>
    <w:rsid w:val="17C07E11"/>
    <w:rsid w:val="17F3167D"/>
    <w:rsid w:val="19D32FBC"/>
    <w:rsid w:val="1B104A29"/>
    <w:rsid w:val="1B754A9E"/>
    <w:rsid w:val="1C8D5FA7"/>
    <w:rsid w:val="1D2574C2"/>
    <w:rsid w:val="1D512443"/>
    <w:rsid w:val="1E6A4395"/>
    <w:rsid w:val="25557A3D"/>
    <w:rsid w:val="26EA5ED7"/>
    <w:rsid w:val="27A93B82"/>
    <w:rsid w:val="2AE00186"/>
    <w:rsid w:val="2DA532B1"/>
    <w:rsid w:val="2E99131A"/>
    <w:rsid w:val="308216BE"/>
    <w:rsid w:val="34FE1149"/>
    <w:rsid w:val="396B54A9"/>
    <w:rsid w:val="3A550786"/>
    <w:rsid w:val="3B7A130F"/>
    <w:rsid w:val="3C155562"/>
    <w:rsid w:val="3D632551"/>
    <w:rsid w:val="3F890995"/>
    <w:rsid w:val="40FB7670"/>
    <w:rsid w:val="45FB1E51"/>
    <w:rsid w:val="480A47D3"/>
    <w:rsid w:val="4DD252B5"/>
    <w:rsid w:val="4E811C22"/>
    <w:rsid w:val="4F2D072E"/>
    <w:rsid w:val="4F7E1A87"/>
    <w:rsid w:val="4F8B6063"/>
    <w:rsid w:val="4F964B60"/>
    <w:rsid w:val="51767504"/>
    <w:rsid w:val="52BF6524"/>
    <w:rsid w:val="52FA3F96"/>
    <w:rsid w:val="541303D5"/>
    <w:rsid w:val="545522C5"/>
    <w:rsid w:val="55850F17"/>
    <w:rsid w:val="56EE4812"/>
    <w:rsid w:val="577B58B1"/>
    <w:rsid w:val="57AE6D93"/>
    <w:rsid w:val="5E3E0586"/>
    <w:rsid w:val="5FB623A7"/>
    <w:rsid w:val="5FEC15CA"/>
    <w:rsid w:val="62390258"/>
    <w:rsid w:val="63F97D12"/>
    <w:rsid w:val="671E0A12"/>
    <w:rsid w:val="67924D39"/>
    <w:rsid w:val="6E3851B0"/>
    <w:rsid w:val="6FCD36D6"/>
    <w:rsid w:val="76377AFB"/>
    <w:rsid w:val="7CCA3477"/>
    <w:rsid w:val="7D087678"/>
    <w:rsid w:val="7D1C6AA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3326</Words>
  <Characters>3625</Characters>
  <TotalTime>8</TotalTime>
  <ScaleCrop>false</ScaleCrop>
  <LinksUpToDate>false</LinksUpToDate>
  <CharactersWithSpaces>3724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2024-10-21T02:25:25Z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