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hint="default" w:ascii="Times New Roman" w:hAnsi="Times New Roman" w:eastAsia="黑体" w:cs="Times New Roman"/>
          <w:bCs/>
          <w:spacing w:val="8"/>
          <w:kern w:val="0"/>
          <w:sz w:val="30"/>
          <w:szCs w:val="30"/>
          <w:lang w:eastAsia="zh-CN"/>
        </w:rPr>
      </w:pPr>
      <w:r>
        <w:rPr>
          <w:rFonts w:hint="default" w:ascii="Times New Roman" w:hAnsi="Times New Roman" w:eastAsia="黑体" w:cs="Times New Roman"/>
          <w:bCs/>
          <w:spacing w:val="8"/>
          <w:kern w:val="0"/>
          <w:sz w:val="30"/>
          <w:szCs w:val="30"/>
          <w:lang w:eastAsia="zh-CN"/>
        </w:rPr>
        <w:t>附件1</w:t>
      </w:r>
    </w:p>
    <w:p w14:paraId="4FD06573">
      <w:pPr>
        <w:spacing w:line="560" w:lineRule="exact"/>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3</w:t>
      </w:r>
      <w:r>
        <w:rPr>
          <w:rFonts w:hint="default" w:ascii="Times New Roman" w:hAnsi="Times New Roman" w:eastAsia="方正小标宋简体" w:cs="Times New Roman"/>
          <w:bCs/>
          <w:spacing w:val="8"/>
          <w:kern w:val="0"/>
          <w:sz w:val="44"/>
          <w:szCs w:val="44"/>
          <w:lang w:eastAsia="zh-CN"/>
        </w:rPr>
        <w:t>年度部门整体支出绩效评价基础</w:t>
      </w:r>
    </w:p>
    <w:p w14:paraId="5EFDC095">
      <w:pPr>
        <w:spacing w:line="560" w:lineRule="exact"/>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bCs/>
          <w:spacing w:val="8"/>
          <w:kern w:val="0"/>
          <w:sz w:val="44"/>
          <w:szCs w:val="44"/>
          <w:lang w:eastAsia="zh-CN"/>
        </w:rPr>
        <w:t>数据表</w:t>
      </w:r>
    </w:p>
    <w:p w14:paraId="0DEDA5D4">
      <w:pPr>
        <w:spacing w:line="177" w:lineRule="exact"/>
        <w:ind w:firstLine="420"/>
        <w:jc w:val="left"/>
        <w:rPr>
          <w:rFonts w:hint="default" w:ascii="Times New Roman" w:hAnsi="Times New Roman" w:cs="Times New Roman"/>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116" w:type="dxa"/>
            <w:gridSpan w:val="2"/>
            <w:vAlign w:val="center"/>
          </w:tcPr>
          <w:p w14:paraId="6561653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编制数</w:t>
            </w:r>
          </w:p>
        </w:tc>
        <w:tc>
          <w:tcPr>
            <w:tcW w:w="2039" w:type="dxa"/>
            <w:gridSpan w:val="2"/>
            <w:vAlign w:val="center"/>
          </w:tcPr>
          <w:p w14:paraId="6A93D77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年实际在职</w:t>
            </w:r>
          </w:p>
          <w:p w14:paraId="620B89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人数</w:t>
            </w:r>
          </w:p>
        </w:tc>
        <w:tc>
          <w:tcPr>
            <w:tcW w:w="1983" w:type="dxa"/>
            <w:gridSpan w:val="2"/>
            <w:vAlign w:val="center"/>
          </w:tcPr>
          <w:p w14:paraId="256D162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hint="default" w:ascii="Times New Roman" w:hAnsi="Times New Roman" w:eastAsia="仿宋_GB2312" w:cs="Times New Roman"/>
                <w:kern w:val="0"/>
              </w:rPr>
            </w:pPr>
          </w:p>
        </w:tc>
        <w:tc>
          <w:tcPr>
            <w:tcW w:w="2116" w:type="dxa"/>
            <w:gridSpan w:val="2"/>
            <w:vAlign w:val="center"/>
          </w:tcPr>
          <w:p w14:paraId="4056B26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65</w:t>
            </w:r>
          </w:p>
        </w:tc>
        <w:tc>
          <w:tcPr>
            <w:tcW w:w="2039" w:type="dxa"/>
            <w:gridSpan w:val="2"/>
            <w:vAlign w:val="center"/>
          </w:tcPr>
          <w:p w14:paraId="1D47B16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65</w:t>
            </w:r>
          </w:p>
        </w:tc>
        <w:tc>
          <w:tcPr>
            <w:tcW w:w="1983" w:type="dxa"/>
            <w:gridSpan w:val="2"/>
            <w:vAlign w:val="center"/>
          </w:tcPr>
          <w:p w14:paraId="06F2846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116" w:type="dxa"/>
            <w:gridSpan w:val="2"/>
            <w:vAlign w:val="center"/>
          </w:tcPr>
          <w:p w14:paraId="3559BBE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年决算数</w:t>
            </w:r>
          </w:p>
        </w:tc>
        <w:tc>
          <w:tcPr>
            <w:tcW w:w="2039" w:type="dxa"/>
            <w:gridSpan w:val="2"/>
            <w:vAlign w:val="center"/>
          </w:tcPr>
          <w:p w14:paraId="5DBAAEE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年预算数</w:t>
            </w:r>
          </w:p>
        </w:tc>
        <w:tc>
          <w:tcPr>
            <w:tcW w:w="1983" w:type="dxa"/>
            <w:gridSpan w:val="2"/>
            <w:vAlign w:val="center"/>
          </w:tcPr>
          <w:p w14:paraId="284567B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三公</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经费</w:t>
            </w:r>
          </w:p>
        </w:tc>
        <w:tc>
          <w:tcPr>
            <w:tcW w:w="2116" w:type="dxa"/>
            <w:gridSpan w:val="2"/>
            <w:vAlign w:val="center"/>
          </w:tcPr>
          <w:p w14:paraId="1C1EF02E">
            <w:pPr>
              <w:spacing w:line="240" w:lineRule="auto"/>
              <w:ind w:firstLine="840" w:firstLineChars="4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11.88</w:t>
            </w:r>
          </w:p>
        </w:tc>
        <w:tc>
          <w:tcPr>
            <w:tcW w:w="2039" w:type="dxa"/>
            <w:gridSpan w:val="2"/>
            <w:vAlign w:val="center"/>
          </w:tcPr>
          <w:p w14:paraId="1D6514E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4.46</w:t>
            </w:r>
          </w:p>
        </w:tc>
        <w:tc>
          <w:tcPr>
            <w:tcW w:w="1983" w:type="dxa"/>
            <w:gridSpan w:val="2"/>
            <w:vAlign w:val="center"/>
          </w:tcPr>
          <w:p w14:paraId="7DFA648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4.46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271" w:type="dxa"/>
            <w:vAlign w:val="center"/>
          </w:tcPr>
          <w:p w14:paraId="221D84B4">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1、公务用车购置和维护经费</w:t>
            </w:r>
          </w:p>
        </w:tc>
        <w:tc>
          <w:tcPr>
            <w:tcW w:w="2116" w:type="dxa"/>
            <w:gridSpan w:val="2"/>
            <w:vAlign w:val="center"/>
          </w:tcPr>
          <w:p w14:paraId="2BB3E60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7.9</w:t>
            </w:r>
          </w:p>
        </w:tc>
        <w:tc>
          <w:tcPr>
            <w:tcW w:w="2039" w:type="dxa"/>
            <w:gridSpan w:val="2"/>
            <w:vAlign w:val="center"/>
          </w:tcPr>
          <w:p w14:paraId="7474BB6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2.35</w:t>
            </w:r>
          </w:p>
        </w:tc>
        <w:tc>
          <w:tcPr>
            <w:tcW w:w="1983" w:type="dxa"/>
            <w:gridSpan w:val="2"/>
            <w:vAlign w:val="center"/>
          </w:tcPr>
          <w:p w14:paraId="71BD749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2.35</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其中：公车购置</w:t>
            </w:r>
          </w:p>
        </w:tc>
        <w:tc>
          <w:tcPr>
            <w:tcW w:w="2116" w:type="dxa"/>
            <w:gridSpan w:val="2"/>
            <w:vAlign w:val="center"/>
          </w:tcPr>
          <w:p w14:paraId="31BDC46A">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79420B7F">
            <w:pPr>
              <w:spacing w:line="240" w:lineRule="auto"/>
              <w:ind w:firstLine="420"/>
              <w:jc w:val="center"/>
              <w:rPr>
                <w:rFonts w:hint="default" w:ascii="Times New Roman" w:hAnsi="Times New Roman" w:eastAsia="仿宋_GB2312" w:cs="Times New Roman"/>
                <w:kern w:val="0"/>
              </w:rPr>
            </w:pPr>
          </w:p>
        </w:tc>
        <w:tc>
          <w:tcPr>
            <w:tcW w:w="1983" w:type="dxa"/>
            <w:gridSpan w:val="2"/>
            <w:vAlign w:val="center"/>
          </w:tcPr>
          <w:p w14:paraId="0A161583">
            <w:pPr>
              <w:spacing w:line="240" w:lineRule="auto"/>
              <w:ind w:firstLine="420"/>
              <w:jc w:val="center"/>
              <w:rPr>
                <w:rFonts w:hint="default" w:ascii="Times New Roman" w:hAnsi="Times New Roman" w:eastAsia="仿宋_GB2312" w:cs="Times New Roman"/>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公车运行维护</w:t>
            </w:r>
          </w:p>
        </w:tc>
        <w:tc>
          <w:tcPr>
            <w:tcW w:w="2116" w:type="dxa"/>
            <w:gridSpan w:val="2"/>
            <w:vAlign w:val="center"/>
          </w:tcPr>
          <w:p w14:paraId="6581D34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7.9</w:t>
            </w:r>
          </w:p>
        </w:tc>
        <w:tc>
          <w:tcPr>
            <w:tcW w:w="2039" w:type="dxa"/>
            <w:gridSpan w:val="2"/>
            <w:vAlign w:val="center"/>
          </w:tcPr>
          <w:p w14:paraId="4D0A1ED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2.35</w:t>
            </w:r>
          </w:p>
        </w:tc>
        <w:tc>
          <w:tcPr>
            <w:tcW w:w="1983" w:type="dxa"/>
            <w:gridSpan w:val="2"/>
            <w:vAlign w:val="center"/>
          </w:tcPr>
          <w:p w14:paraId="5A74074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2.35</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2、出国经费</w:t>
            </w:r>
          </w:p>
        </w:tc>
        <w:tc>
          <w:tcPr>
            <w:tcW w:w="2116" w:type="dxa"/>
            <w:gridSpan w:val="2"/>
            <w:vAlign w:val="center"/>
          </w:tcPr>
          <w:p w14:paraId="6F82C84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2039" w:type="dxa"/>
            <w:gridSpan w:val="2"/>
            <w:vAlign w:val="center"/>
          </w:tcPr>
          <w:p w14:paraId="402D38BC">
            <w:pPr>
              <w:spacing w:line="240" w:lineRule="auto"/>
              <w:ind w:firstLine="420"/>
              <w:jc w:val="center"/>
              <w:rPr>
                <w:rFonts w:hint="default" w:ascii="Times New Roman" w:hAnsi="Times New Roman" w:eastAsia="仿宋_GB2312" w:cs="Times New Roman"/>
                <w:kern w:val="0"/>
              </w:rPr>
            </w:pPr>
          </w:p>
        </w:tc>
        <w:tc>
          <w:tcPr>
            <w:tcW w:w="1983" w:type="dxa"/>
            <w:gridSpan w:val="2"/>
            <w:vAlign w:val="center"/>
          </w:tcPr>
          <w:p w14:paraId="0229920A">
            <w:pPr>
              <w:spacing w:line="240" w:lineRule="auto"/>
              <w:ind w:firstLine="420"/>
              <w:jc w:val="center"/>
              <w:rPr>
                <w:rFonts w:hint="default" w:ascii="Times New Roman" w:hAnsi="Times New Roman" w:eastAsia="仿宋_GB2312" w:cs="Times New Roman"/>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3、公务接待</w:t>
            </w:r>
          </w:p>
        </w:tc>
        <w:tc>
          <w:tcPr>
            <w:tcW w:w="2116" w:type="dxa"/>
            <w:gridSpan w:val="2"/>
            <w:vAlign w:val="center"/>
          </w:tcPr>
          <w:p w14:paraId="23AA2EC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3.98</w:t>
            </w:r>
          </w:p>
        </w:tc>
        <w:tc>
          <w:tcPr>
            <w:tcW w:w="2039" w:type="dxa"/>
            <w:gridSpan w:val="2"/>
            <w:vAlign w:val="center"/>
          </w:tcPr>
          <w:p w14:paraId="672289A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2.11</w:t>
            </w:r>
          </w:p>
        </w:tc>
        <w:tc>
          <w:tcPr>
            <w:tcW w:w="1983" w:type="dxa"/>
            <w:gridSpan w:val="2"/>
            <w:vAlign w:val="center"/>
          </w:tcPr>
          <w:p w14:paraId="7985B41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2.11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116" w:type="dxa"/>
            <w:gridSpan w:val="2"/>
            <w:vAlign w:val="center"/>
          </w:tcPr>
          <w:p w14:paraId="6B7C6FF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452.59</w:t>
            </w:r>
          </w:p>
        </w:tc>
        <w:tc>
          <w:tcPr>
            <w:tcW w:w="2039" w:type="dxa"/>
            <w:gridSpan w:val="2"/>
            <w:vAlign w:val="center"/>
          </w:tcPr>
          <w:p w14:paraId="56A401C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637.68</w:t>
            </w:r>
          </w:p>
        </w:tc>
        <w:tc>
          <w:tcPr>
            <w:tcW w:w="1983" w:type="dxa"/>
            <w:gridSpan w:val="2"/>
            <w:vAlign w:val="center"/>
          </w:tcPr>
          <w:p w14:paraId="7E496EB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637.68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1、业务工作经费</w:t>
            </w:r>
          </w:p>
        </w:tc>
        <w:tc>
          <w:tcPr>
            <w:tcW w:w="2116" w:type="dxa"/>
            <w:gridSpan w:val="2"/>
            <w:vAlign w:val="center"/>
          </w:tcPr>
          <w:p w14:paraId="5C6C607C">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142DDA3A">
            <w:pPr>
              <w:spacing w:line="240" w:lineRule="auto"/>
              <w:ind w:firstLine="420"/>
              <w:jc w:val="center"/>
              <w:rPr>
                <w:rFonts w:hint="default" w:ascii="Times New Roman" w:hAnsi="Times New Roman" w:eastAsia="仿宋_GB2312" w:cs="Times New Roman"/>
                <w:kern w:val="0"/>
              </w:rPr>
            </w:pPr>
          </w:p>
        </w:tc>
        <w:tc>
          <w:tcPr>
            <w:tcW w:w="1983" w:type="dxa"/>
            <w:gridSpan w:val="2"/>
            <w:vAlign w:val="center"/>
          </w:tcPr>
          <w:p w14:paraId="2E8DC00D">
            <w:pPr>
              <w:spacing w:line="240" w:lineRule="auto"/>
              <w:ind w:firstLine="420"/>
              <w:jc w:val="center"/>
              <w:rPr>
                <w:rFonts w:hint="default" w:ascii="Times New Roman" w:hAnsi="Times New Roman" w:eastAsia="仿宋_GB2312" w:cs="Times New Roman"/>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2、运行维护经费</w:t>
            </w:r>
          </w:p>
        </w:tc>
        <w:tc>
          <w:tcPr>
            <w:tcW w:w="2116" w:type="dxa"/>
            <w:gridSpan w:val="2"/>
            <w:vAlign w:val="center"/>
          </w:tcPr>
          <w:p w14:paraId="7757DF50">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31C696EB">
            <w:pPr>
              <w:spacing w:line="240" w:lineRule="auto"/>
              <w:ind w:firstLine="420"/>
              <w:jc w:val="center"/>
              <w:rPr>
                <w:rFonts w:hint="default" w:ascii="Times New Roman" w:hAnsi="Times New Roman" w:eastAsia="仿宋_GB2312" w:cs="Times New Roman"/>
                <w:kern w:val="0"/>
              </w:rPr>
            </w:pPr>
          </w:p>
        </w:tc>
        <w:tc>
          <w:tcPr>
            <w:tcW w:w="1983" w:type="dxa"/>
            <w:gridSpan w:val="2"/>
            <w:vAlign w:val="center"/>
          </w:tcPr>
          <w:p w14:paraId="1F7D72B8">
            <w:pPr>
              <w:spacing w:line="240" w:lineRule="auto"/>
              <w:ind w:firstLine="420"/>
              <w:jc w:val="center"/>
              <w:rPr>
                <w:rFonts w:hint="default" w:ascii="Times New Roman" w:hAnsi="Times New Roman" w:eastAsia="仿宋_GB2312" w:cs="Times New Roman"/>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3、县级专项资金</w:t>
            </w:r>
          </w:p>
          <w:p w14:paraId="07481D13">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(一个专项一行)</w:t>
            </w:r>
          </w:p>
        </w:tc>
        <w:tc>
          <w:tcPr>
            <w:tcW w:w="2116" w:type="dxa"/>
            <w:gridSpan w:val="2"/>
            <w:vAlign w:val="center"/>
          </w:tcPr>
          <w:p w14:paraId="482AEA10">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452.59</w:t>
            </w:r>
          </w:p>
        </w:tc>
        <w:tc>
          <w:tcPr>
            <w:tcW w:w="2039" w:type="dxa"/>
            <w:gridSpan w:val="2"/>
            <w:vAlign w:val="center"/>
          </w:tcPr>
          <w:p w14:paraId="18F75CD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637.68</w:t>
            </w:r>
          </w:p>
        </w:tc>
        <w:tc>
          <w:tcPr>
            <w:tcW w:w="1983" w:type="dxa"/>
            <w:gridSpan w:val="2"/>
            <w:vAlign w:val="center"/>
          </w:tcPr>
          <w:p w14:paraId="4D19413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637.68</w:t>
            </w:r>
          </w:p>
        </w:tc>
      </w:tr>
      <w:tr w14:paraId="472A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57B3AE5">
            <w:pPr>
              <w:spacing w:line="240" w:lineRule="auto"/>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其他应急管理支出</w:t>
            </w:r>
          </w:p>
        </w:tc>
        <w:tc>
          <w:tcPr>
            <w:tcW w:w="2116" w:type="dxa"/>
            <w:gridSpan w:val="2"/>
            <w:vAlign w:val="center"/>
          </w:tcPr>
          <w:p w14:paraId="611D782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172.59</w:t>
            </w:r>
          </w:p>
        </w:tc>
        <w:tc>
          <w:tcPr>
            <w:tcW w:w="2039" w:type="dxa"/>
            <w:gridSpan w:val="2"/>
            <w:vAlign w:val="center"/>
          </w:tcPr>
          <w:p w14:paraId="4EE7C86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c>
          <w:tcPr>
            <w:tcW w:w="1983" w:type="dxa"/>
            <w:gridSpan w:val="2"/>
            <w:vAlign w:val="center"/>
          </w:tcPr>
          <w:p w14:paraId="6DCAE6A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r>
      <w:tr w14:paraId="7E8D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EC712F6">
            <w:pPr>
              <w:spacing w:line="240" w:lineRule="auto"/>
              <w:ind w:firstLine="282" w:firstLineChars="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自然灾害救灾补助</w:t>
            </w:r>
          </w:p>
        </w:tc>
        <w:tc>
          <w:tcPr>
            <w:tcW w:w="2116" w:type="dxa"/>
            <w:gridSpan w:val="2"/>
            <w:vAlign w:val="center"/>
          </w:tcPr>
          <w:p w14:paraId="67E3EF6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280</w:t>
            </w:r>
          </w:p>
        </w:tc>
        <w:tc>
          <w:tcPr>
            <w:tcW w:w="2039" w:type="dxa"/>
            <w:gridSpan w:val="2"/>
            <w:vAlign w:val="center"/>
          </w:tcPr>
          <w:p w14:paraId="633BECE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557.68</w:t>
            </w:r>
          </w:p>
        </w:tc>
        <w:tc>
          <w:tcPr>
            <w:tcW w:w="1983" w:type="dxa"/>
            <w:gridSpan w:val="2"/>
            <w:vAlign w:val="center"/>
          </w:tcPr>
          <w:p w14:paraId="3038F95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557.68</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116" w:type="dxa"/>
            <w:gridSpan w:val="2"/>
            <w:vAlign w:val="center"/>
          </w:tcPr>
          <w:p w14:paraId="4A5B86CE">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050E075D">
            <w:pPr>
              <w:spacing w:line="240" w:lineRule="auto"/>
              <w:ind w:firstLine="420"/>
              <w:jc w:val="center"/>
              <w:rPr>
                <w:rFonts w:hint="default" w:ascii="Times New Roman" w:hAnsi="Times New Roman" w:eastAsia="仿宋_GB2312" w:cs="Times New Roman"/>
                <w:kern w:val="0"/>
                <w:lang w:val="en-US" w:eastAsia="zh-CN"/>
              </w:rPr>
            </w:pPr>
          </w:p>
        </w:tc>
        <w:tc>
          <w:tcPr>
            <w:tcW w:w="1983" w:type="dxa"/>
            <w:gridSpan w:val="2"/>
            <w:vAlign w:val="center"/>
          </w:tcPr>
          <w:p w14:paraId="7357305D">
            <w:pPr>
              <w:spacing w:line="240" w:lineRule="auto"/>
              <w:ind w:firstLine="420"/>
              <w:jc w:val="center"/>
              <w:rPr>
                <w:rFonts w:hint="default" w:ascii="Times New Roman" w:hAnsi="Times New Roman" w:eastAsia="仿宋_GB2312" w:cs="Times New Roman"/>
                <w:kern w:val="0"/>
                <w:lang w:val="en-US" w:eastAsia="zh-CN"/>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其中：办公经费</w:t>
            </w:r>
          </w:p>
        </w:tc>
        <w:tc>
          <w:tcPr>
            <w:tcW w:w="2116" w:type="dxa"/>
            <w:gridSpan w:val="2"/>
            <w:vAlign w:val="center"/>
          </w:tcPr>
          <w:p w14:paraId="2C631A9B">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7BB02F1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424.05</w:t>
            </w:r>
          </w:p>
        </w:tc>
        <w:tc>
          <w:tcPr>
            <w:tcW w:w="1983" w:type="dxa"/>
            <w:gridSpan w:val="2"/>
            <w:vAlign w:val="center"/>
          </w:tcPr>
          <w:p w14:paraId="087A354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424.05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水费、电费、差旅费</w:t>
            </w:r>
          </w:p>
        </w:tc>
        <w:tc>
          <w:tcPr>
            <w:tcW w:w="2116" w:type="dxa"/>
            <w:gridSpan w:val="2"/>
            <w:vAlign w:val="center"/>
          </w:tcPr>
          <w:p w14:paraId="7BF1871E">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31E21FE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414.95</w:t>
            </w:r>
          </w:p>
        </w:tc>
        <w:tc>
          <w:tcPr>
            <w:tcW w:w="1983" w:type="dxa"/>
            <w:gridSpan w:val="2"/>
            <w:vAlign w:val="center"/>
          </w:tcPr>
          <w:p w14:paraId="4FD7453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414.95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会议费、培训费</w:t>
            </w:r>
          </w:p>
        </w:tc>
        <w:tc>
          <w:tcPr>
            <w:tcW w:w="2116" w:type="dxa"/>
            <w:gridSpan w:val="2"/>
            <w:vAlign w:val="center"/>
          </w:tcPr>
          <w:p w14:paraId="228A6C55">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467174B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9.1</w:t>
            </w:r>
          </w:p>
        </w:tc>
        <w:tc>
          <w:tcPr>
            <w:tcW w:w="1983" w:type="dxa"/>
            <w:gridSpan w:val="2"/>
            <w:vAlign w:val="center"/>
          </w:tcPr>
          <w:p w14:paraId="550E4F9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116" w:type="dxa"/>
            <w:gridSpan w:val="2"/>
            <w:vAlign w:val="center"/>
          </w:tcPr>
          <w:p w14:paraId="0BB04A1B">
            <w:pPr>
              <w:spacing w:line="240" w:lineRule="auto"/>
              <w:ind w:firstLine="420"/>
              <w:jc w:val="center"/>
              <w:rPr>
                <w:rFonts w:hint="default" w:ascii="Times New Roman" w:hAnsi="Times New Roman" w:eastAsia="仿宋_GB2312" w:cs="Times New Roman"/>
                <w:kern w:val="0"/>
              </w:rPr>
            </w:pPr>
          </w:p>
        </w:tc>
        <w:tc>
          <w:tcPr>
            <w:tcW w:w="2039" w:type="dxa"/>
            <w:gridSpan w:val="2"/>
            <w:vAlign w:val="center"/>
          </w:tcPr>
          <w:p w14:paraId="18AD180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755.77</w:t>
            </w:r>
          </w:p>
        </w:tc>
        <w:tc>
          <w:tcPr>
            <w:tcW w:w="1983" w:type="dxa"/>
            <w:gridSpan w:val="2"/>
            <w:vAlign w:val="center"/>
          </w:tcPr>
          <w:p w14:paraId="4363E71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755.77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部门基本支出预算调整</w:t>
            </w:r>
          </w:p>
        </w:tc>
        <w:tc>
          <w:tcPr>
            <w:tcW w:w="2116" w:type="dxa"/>
            <w:gridSpan w:val="2"/>
            <w:vAlign w:val="center"/>
          </w:tcPr>
          <w:p w14:paraId="56E7EB7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2039" w:type="dxa"/>
            <w:gridSpan w:val="2"/>
            <w:vAlign w:val="center"/>
          </w:tcPr>
          <w:p w14:paraId="50A3B14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1983" w:type="dxa"/>
            <w:gridSpan w:val="2"/>
            <w:vAlign w:val="center"/>
          </w:tcPr>
          <w:p w14:paraId="5A7B693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hint="default" w:ascii="Times New Roman" w:hAnsi="Times New Roman" w:eastAsia="仿宋_GB2312" w:cs="Times New Roman"/>
                <w:kern w:val="0"/>
                <w:lang w:eastAsia="zh-CN"/>
              </w:rPr>
            </w:pPr>
          </w:p>
          <w:p w14:paraId="26217CF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楼堂馆所控制情况</w:t>
            </w:r>
          </w:p>
          <w:p w14:paraId="7155FA6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lang w:eastAsia="zh-CN"/>
              </w:rPr>
              <w:t>年完工项目)</w:t>
            </w:r>
          </w:p>
        </w:tc>
        <w:tc>
          <w:tcPr>
            <w:tcW w:w="1158" w:type="dxa"/>
            <w:vAlign w:val="center"/>
          </w:tcPr>
          <w:p w14:paraId="3B0EE47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批复规模 (m²)</w:t>
            </w:r>
          </w:p>
        </w:tc>
        <w:tc>
          <w:tcPr>
            <w:tcW w:w="958" w:type="dxa"/>
            <w:vAlign w:val="center"/>
          </w:tcPr>
          <w:p w14:paraId="3EA7B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实际规模(m²)</w:t>
            </w:r>
          </w:p>
        </w:tc>
        <w:tc>
          <w:tcPr>
            <w:tcW w:w="960" w:type="dxa"/>
            <w:vAlign w:val="center"/>
          </w:tcPr>
          <w:p w14:paraId="47DFB30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079" w:type="dxa"/>
            <w:vAlign w:val="center"/>
          </w:tcPr>
          <w:p w14:paraId="1EF27F8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w:t>
            </w:r>
          </w:p>
          <w:p w14:paraId="59CF22D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(万元)</w:t>
            </w:r>
          </w:p>
        </w:tc>
        <w:tc>
          <w:tcPr>
            <w:tcW w:w="1039" w:type="dxa"/>
            <w:vAlign w:val="center"/>
          </w:tcPr>
          <w:p w14:paraId="525C93D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(万元)</w:t>
            </w:r>
          </w:p>
        </w:tc>
        <w:tc>
          <w:tcPr>
            <w:tcW w:w="944" w:type="dxa"/>
            <w:vAlign w:val="center"/>
          </w:tcPr>
          <w:p w14:paraId="4C1A08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投</w:t>
            </w:r>
            <w:r>
              <w:rPr>
                <w:rFonts w:hint="default" w:ascii="Times New Roman" w:hAnsi="Times New Roman" w:eastAsia="仿宋_GB2312" w:cs="Times New Roman"/>
                <w:kern w:val="0"/>
              </w:rPr>
              <w:t>资概</w:t>
            </w:r>
            <w:r>
              <w:rPr>
                <w:rFonts w:hint="default" w:ascii="Times New Roman" w:hAnsi="Times New Roman" w:eastAsia="仿宋_GB2312" w:cs="Times New Roman"/>
                <w:kern w:val="0"/>
                <w:lang w:eastAsia="zh-CN"/>
              </w:rPr>
              <w:t>算控</w:t>
            </w:r>
            <w:r>
              <w:rPr>
                <w:rFonts w:hint="default" w:ascii="Times New Roman" w:hAnsi="Times New Roman" w:eastAsia="仿宋_GB2312" w:cs="Times New Roman"/>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hint="default" w:ascii="Times New Roman" w:hAnsi="Times New Roman" w:eastAsia="Arial" w:cs="Times New Roman"/>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w:t>
            </w:r>
          </w:p>
        </w:tc>
        <w:tc>
          <w:tcPr>
            <w:tcW w:w="1079" w:type="dxa"/>
            <w:vAlign w:val="center"/>
          </w:tcPr>
          <w:p w14:paraId="5567D620">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default" w:ascii="Times New Roman" w:hAnsi="Times New Roman" w:eastAsia="Arial" w:cs="Times New Roman"/>
                <w:snapToGrid w:val="0"/>
                <w:color w:val="000000"/>
                <w:sz w:val="21"/>
                <w:szCs w:val="21"/>
                <w:lang w:val="en-US" w:eastAsia="en-US" w:bidi="ar-SA"/>
              </w:rPr>
            </w:pPr>
          </w:p>
        </w:tc>
      </w:tr>
    </w:tbl>
    <w:p w14:paraId="6E22F6CC">
      <w:pPr>
        <w:spacing w:line="240" w:lineRule="auto"/>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说明：“项目支出”需要填报基本支出以外的所有项目支出情况，“公用经费”填报基本支出中的一般商品和服务支出。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snapToGrid w:val="0"/>
          <w:color w:val="000000"/>
          <w:sz w:val="21"/>
          <w:szCs w:val="21"/>
          <w:lang w:val="en-US" w:eastAsia="zh-CN" w:bidi="ar-SA"/>
        </w:rPr>
        <w:t>填表人： 彭琼  填报日期：  2024.10.10   联系电话：13874088061  单位负责人签字：许强</w:t>
      </w:r>
    </w:p>
    <w:p w14:paraId="59DDCDC8">
      <w:pPr>
        <w:spacing w:line="228" w:lineRule="auto"/>
        <w:ind w:firstLine="400"/>
        <w:rPr>
          <w:rFonts w:hint="default" w:ascii="Times New Roman" w:hAnsi="Times New Roman" w:cs="Times New Roman"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kinsoku w:val="0"/>
        <w:autoSpaceDE w:val="0"/>
        <w:autoSpaceDN w:val="0"/>
        <w:adjustRightInd w:val="0"/>
        <w:snapToGrid w:val="0"/>
        <w:spacing w:before="293" w:line="236" w:lineRule="auto"/>
        <w:textAlignment w:val="baseline"/>
        <w:rPr>
          <w:rFonts w:hint="default" w:ascii="Times New Roman" w:hAnsi="Times New Roman" w:eastAsia="黑体" w:cs="Times New Roman"/>
          <w:bCs/>
          <w:snapToGrid w:val="0"/>
          <w:color w:val="000000"/>
          <w:spacing w:val="-4"/>
          <w:sz w:val="28"/>
          <w:szCs w:val="28"/>
          <w:lang w:val="en-US" w:eastAsia="zh-CN" w:bidi="ar-SA"/>
        </w:rPr>
      </w:pPr>
      <w:r>
        <w:rPr>
          <w:rFonts w:hint="default" w:ascii="Times New Roman" w:hAnsi="Times New Roman" w:eastAsia="黑体" w:cs="Times New Roman"/>
          <w:bCs/>
          <w:snapToGrid w:val="0"/>
          <w:color w:val="000000"/>
          <w:spacing w:val="-4"/>
          <w:sz w:val="28"/>
          <w:szCs w:val="28"/>
          <w:lang w:val="en-US" w:eastAsia="zh-CN" w:bidi="ar-SA"/>
        </w:rPr>
        <w:t>附件2</w:t>
      </w:r>
    </w:p>
    <w:p w14:paraId="1202C0FC">
      <w:pPr>
        <w:spacing w:before="117"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3</w:t>
      </w:r>
      <w:r>
        <w:rPr>
          <w:rFonts w:hint="default" w:ascii="Times New Roman" w:hAnsi="Times New Roman" w:eastAsia="方正小标宋简体" w:cs="Times New Roman"/>
          <w:bCs/>
          <w:spacing w:val="8"/>
          <w:kern w:val="0"/>
          <w:sz w:val="44"/>
          <w:szCs w:val="44"/>
          <w:lang w:eastAsia="zh-CN"/>
        </w:rPr>
        <w:t>年度部门整体支出绩效自评表</w:t>
      </w:r>
    </w:p>
    <w:p w14:paraId="1FD6A596">
      <w:pPr>
        <w:spacing w:line="237" w:lineRule="exact"/>
        <w:ind w:firstLine="420"/>
        <w:jc w:val="left"/>
        <w:rPr>
          <w:rFonts w:hint="default" w:ascii="Times New Roman" w:hAnsi="Times New Roman" w:cs="Times New Roman"/>
          <w:kern w:val="0"/>
          <w:lang w:eastAsia="zh-CN"/>
        </w:rPr>
      </w:pPr>
    </w:p>
    <w:tbl>
      <w:tblPr>
        <w:tblStyle w:val="8"/>
        <w:tblW w:w="9896" w:type="dxa"/>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91" w:type="dxa"/>
            <w:vAlign w:val="center"/>
          </w:tcPr>
          <w:p w14:paraId="6FD2D1A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预算部门</w:t>
            </w:r>
          </w:p>
          <w:p w14:paraId="3DEA5CE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名称</w:t>
            </w:r>
          </w:p>
        </w:tc>
        <w:tc>
          <w:tcPr>
            <w:tcW w:w="8905" w:type="dxa"/>
            <w:gridSpan w:val="8"/>
            <w:vAlign w:val="center"/>
          </w:tcPr>
          <w:p w14:paraId="2318A964">
            <w:pPr>
              <w:tabs>
                <w:tab w:val="left" w:pos="380"/>
              </w:tabs>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ab/>
            </w:r>
            <w:r>
              <w:rPr>
                <w:rFonts w:hint="default" w:ascii="Times New Roman" w:hAnsi="Times New Roman" w:eastAsia="仿宋_GB2312" w:cs="Times New Roman"/>
                <w:kern w:val="0"/>
                <w:lang w:eastAsia="zh-CN"/>
              </w:rPr>
              <w:t>汨罗市应急管理局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restart"/>
            <w:tcBorders>
              <w:bottom w:val="nil"/>
            </w:tcBorders>
            <w:vAlign w:val="center"/>
          </w:tcPr>
          <w:p w14:paraId="39F08D05">
            <w:pPr>
              <w:spacing w:line="240" w:lineRule="auto"/>
              <w:ind w:firstLine="420"/>
              <w:jc w:val="center"/>
              <w:rPr>
                <w:rFonts w:hint="default" w:ascii="Times New Roman" w:hAnsi="Times New Roman" w:eastAsia="仿宋_GB2312" w:cs="Times New Roman"/>
                <w:kern w:val="0"/>
              </w:rPr>
            </w:pPr>
          </w:p>
          <w:p w14:paraId="02CC017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年度预算申请(万元)</w:t>
            </w:r>
          </w:p>
        </w:tc>
        <w:tc>
          <w:tcPr>
            <w:tcW w:w="2098" w:type="dxa"/>
            <w:gridSpan w:val="2"/>
            <w:vAlign w:val="center"/>
          </w:tcPr>
          <w:p w14:paraId="7293EDF7">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61B9D6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年初</w:t>
            </w:r>
          </w:p>
          <w:p w14:paraId="50FFE09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98" w:type="dxa"/>
            <w:vAlign w:val="center"/>
          </w:tcPr>
          <w:p w14:paraId="667FCA1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1A154AB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69" w:type="dxa"/>
            <w:vAlign w:val="center"/>
          </w:tcPr>
          <w:p w14:paraId="5EE1142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5230B5E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执行数</w:t>
            </w:r>
          </w:p>
        </w:tc>
        <w:tc>
          <w:tcPr>
            <w:tcW w:w="699" w:type="dxa"/>
            <w:vAlign w:val="center"/>
          </w:tcPr>
          <w:p w14:paraId="26B9A00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09218C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执行率</w:t>
            </w:r>
          </w:p>
        </w:tc>
        <w:tc>
          <w:tcPr>
            <w:tcW w:w="1423" w:type="dxa"/>
            <w:vAlign w:val="center"/>
          </w:tcPr>
          <w:p w14:paraId="73CABA4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bottom w:val="nil"/>
            </w:tcBorders>
            <w:vAlign w:val="center"/>
          </w:tcPr>
          <w:p w14:paraId="730885E9">
            <w:pPr>
              <w:spacing w:line="240" w:lineRule="auto"/>
              <w:ind w:firstLine="420"/>
              <w:jc w:val="center"/>
              <w:rPr>
                <w:rFonts w:hint="default" w:ascii="Times New Roman" w:hAnsi="Times New Roman" w:eastAsia="仿宋_GB2312" w:cs="Times New Roman"/>
                <w:kern w:val="0"/>
              </w:rPr>
            </w:pPr>
          </w:p>
        </w:tc>
        <w:tc>
          <w:tcPr>
            <w:tcW w:w="2098" w:type="dxa"/>
            <w:gridSpan w:val="2"/>
            <w:vAlign w:val="center"/>
          </w:tcPr>
          <w:p w14:paraId="0459E6DD">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年度资金总额</w:t>
            </w:r>
          </w:p>
        </w:tc>
        <w:tc>
          <w:tcPr>
            <w:tcW w:w="1249" w:type="dxa"/>
            <w:vAlign w:val="center"/>
          </w:tcPr>
          <w:p w14:paraId="40867B6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 xml:space="preserve">955.68                                                                                                                                                                                                                                                          </w:t>
            </w:r>
          </w:p>
        </w:tc>
        <w:tc>
          <w:tcPr>
            <w:tcW w:w="1298" w:type="dxa"/>
            <w:vAlign w:val="center"/>
          </w:tcPr>
          <w:p w14:paraId="78350D2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955.68</w:t>
            </w:r>
          </w:p>
        </w:tc>
        <w:tc>
          <w:tcPr>
            <w:tcW w:w="1269" w:type="dxa"/>
            <w:vAlign w:val="center"/>
          </w:tcPr>
          <w:p w14:paraId="5FDA3D2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2457.15</w:t>
            </w:r>
          </w:p>
        </w:tc>
        <w:tc>
          <w:tcPr>
            <w:tcW w:w="699" w:type="dxa"/>
            <w:vAlign w:val="center"/>
          </w:tcPr>
          <w:p w14:paraId="47D1671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w:t>
            </w:r>
          </w:p>
        </w:tc>
        <w:tc>
          <w:tcPr>
            <w:tcW w:w="869" w:type="dxa"/>
            <w:vAlign w:val="center"/>
          </w:tcPr>
          <w:p w14:paraId="0424998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w:t>
            </w:r>
          </w:p>
        </w:tc>
        <w:tc>
          <w:tcPr>
            <w:tcW w:w="1423" w:type="dxa"/>
            <w:vAlign w:val="center"/>
          </w:tcPr>
          <w:p w14:paraId="4BE68CE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1" w:type="dxa"/>
            <w:vMerge w:val="continue"/>
            <w:tcBorders>
              <w:top w:val="nil"/>
              <w:bottom w:val="nil"/>
            </w:tcBorders>
            <w:vAlign w:val="center"/>
          </w:tcPr>
          <w:p w14:paraId="282C8CA6">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DC94066">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按收入性质分：</w:t>
            </w:r>
          </w:p>
        </w:tc>
        <w:tc>
          <w:tcPr>
            <w:tcW w:w="4260" w:type="dxa"/>
            <w:gridSpan w:val="4"/>
            <w:vAlign w:val="center"/>
          </w:tcPr>
          <w:p w14:paraId="02A43B29">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cBorders>
              <w:top w:val="nil"/>
              <w:bottom w:val="nil"/>
            </w:tcBorders>
            <w:vAlign w:val="center"/>
          </w:tcPr>
          <w:p w14:paraId="65FF622F">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37E999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其中：一般公共预算：</w:t>
            </w:r>
            <w:r>
              <w:rPr>
                <w:rFonts w:hint="default" w:ascii="Times New Roman" w:hAnsi="Times New Roman" w:eastAsia="仿宋_GB2312" w:cs="Times New Roman"/>
                <w:kern w:val="0"/>
                <w:lang w:val="en-US" w:eastAsia="zh-CN"/>
              </w:rPr>
              <w:t xml:space="preserve">           855.68</w:t>
            </w:r>
          </w:p>
        </w:tc>
        <w:tc>
          <w:tcPr>
            <w:tcW w:w="4260" w:type="dxa"/>
            <w:gridSpan w:val="4"/>
            <w:vAlign w:val="center"/>
          </w:tcPr>
          <w:p w14:paraId="459DAAEC">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其中：基本支出：</w:t>
            </w:r>
            <w:r>
              <w:rPr>
                <w:rFonts w:hint="default" w:ascii="Times New Roman" w:hAnsi="Times New Roman" w:eastAsia="仿宋_GB2312" w:cs="Times New Roman"/>
                <w:kern w:val="0"/>
                <w:lang w:val="en-US" w:eastAsia="zh-CN"/>
              </w:rPr>
              <w:t xml:space="preserve">          777.68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1" w:type="dxa"/>
            <w:vMerge w:val="continue"/>
            <w:tcBorders>
              <w:top w:val="nil"/>
              <w:bottom w:val="nil"/>
            </w:tcBorders>
            <w:vAlign w:val="center"/>
          </w:tcPr>
          <w:p w14:paraId="12C9CA8E">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1BF65C8A">
            <w:pPr>
              <w:spacing w:line="240" w:lineRule="auto"/>
              <w:ind w:firstLine="1050" w:firstLineChars="50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政府性基金拨款：</w:t>
            </w:r>
          </w:p>
        </w:tc>
        <w:tc>
          <w:tcPr>
            <w:tcW w:w="4260" w:type="dxa"/>
            <w:gridSpan w:val="4"/>
            <w:vAlign w:val="center"/>
          </w:tcPr>
          <w:p w14:paraId="55BECDEE">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项目支出：</w:t>
            </w:r>
            <w:r>
              <w:rPr>
                <w:rFonts w:hint="default" w:ascii="Times New Roman" w:hAnsi="Times New Roman" w:eastAsia="仿宋_GB2312" w:cs="Times New Roman"/>
                <w:kern w:val="0"/>
                <w:lang w:val="en-US" w:eastAsia="zh-CN"/>
              </w:rPr>
              <w:t xml:space="preserve">           178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bottom w:val="nil"/>
            </w:tcBorders>
            <w:vAlign w:val="center"/>
          </w:tcPr>
          <w:p w14:paraId="2E08E053">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E75749">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纳入专户管理的非税收入拨款：</w:t>
            </w:r>
            <w:r>
              <w:rPr>
                <w:rFonts w:hint="default" w:ascii="Times New Roman" w:hAnsi="Times New Roman" w:eastAsia="仿宋_GB2312" w:cs="Times New Roman"/>
                <w:kern w:val="0"/>
                <w:lang w:val="en-US" w:eastAsia="zh-CN"/>
              </w:rPr>
              <w:t>100</w:t>
            </w:r>
          </w:p>
        </w:tc>
        <w:tc>
          <w:tcPr>
            <w:tcW w:w="4260" w:type="dxa"/>
            <w:gridSpan w:val="4"/>
            <w:vAlign w:val="center"/>
          </w:tcPr>
          <w:p w14:paraId="61AD26C7">
            <w:pPr>
              <w:spacing w:line="240" w:lineRule="auto"/>
              <w:ind w:firstLine="420"/>
              <w:jc w:val="left"/>
              <w:rPr>
                <w:rFonts w:hint="default" w:ascii="Times New Roman" w:hAnsi="Times New Roman" w:eastAsia="仿宋_GB2312" w:cs="Times New Roman"/>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tcBorders>
            <w:vAlign w:val="center"/>
          </w:tcPr>
          <w:p w14:paraId="74E29580">
            <w:pPr>
              <w:spacing w:line="240" w:lineRule="auto"/>
              <w:ind w:firstLine="420"/>
              <w:jc w:val="center"/>
              <w:rPr>
                <w:rFonts w:hint="default" w:ascii="Times New Roman" w:hAnsi="Times New Roman" w:eastAsia="仿宋_GB2312" w:cs="Times New Roman"/>
                <w:kern w:val="0"/>
                <w:lang w:eastAsia="zh-CN"/>
              </w:rPr>
            </w:pPr>
          </w:p>
        </w:tc>
        <w:tc>
          <w:tcPr>
            <w:tcW w:w="4645" w:type="dxa"/>
            <w:gridSpan w:val="4"/>
            <w:vAlign w:val="center"/>
          </w:tcPr>
          <w:p w14:paraId="390B59E8">
            <w:pPr>
              <w:spacing w:line="240" w:lineRule="auto"/>
              <w:ind w:firstLine="1050" w:firstLineChars="50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4260" w:type="dxa"/>
            <w:gridSpan w:val="4"/>
            <w:vAlign w:val="center"/>
          </w:tcPr>
          <w:p w14:paraId="557F4DF2">
            <w:pPr>
              <w:spacing w:line="240" w:lineRule="auto"/>
              <w:ind w:firstLine="420"/>
              <w:jc w:val="center"/>
              <w:rPr>
                <w:rFonts w:hint="default" w:ascii="Times New Roman" w:hAnsi="Times New Roman" w:eastAsia="仿宋_GB2312" w:cs="Times New Roman"/>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91" w:type="dxa"/>
            <w:vMerge w:val="restart"/>
            <w:tcBorders>
              <w:bottom w:val="nil"/>
            </w:tcBorders>
            <w:vAlign w:val="center"/>
          </w:tcPr>
          <w:p w14:paraId="05C0D10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年度总体</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目标</w:t>
            </w:r>
          </w:p>
        </w:tc>
        <w:tc>
          <w:tcPr>
            <w:tcW w:w="4645" w:type="dxa"/>
            <w:gridSpan w:val="4"/>
            <w:vAlign w:val="center"/>
          </w:tcPr>
          <w:p w14:paraId="35AA107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260" w:type="dxa"/>
            <w:gridSpan w:val="4"/>
            <w:vAlign w:val="center"/>
          </w:tcPr>
          <w:p w14:paraId="6CC77AB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cBorders>
              <w:top w:val="nil"/>
            </w:tcBorders>
            <w:vAlign w:val="center"/>
          </w:tcPr>
          <w:p w14:paraId="75837B3A">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30C8FD">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w:t>
            </w:r>
            <w:r>
              <w:rPr>
                <w:rFonts w:hint="default" w:ascii="Times New Roman" w:hAnsi="Times New Roman" w:eastAsia="仿宋_GB2312" w:cs="Times New Roman"/>
                <w:kern w:val="0"/>
              </w:rPr>
              <w:t>不发生较大及以上生产安全事故，不发生学生溺亡事故</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加强应急救援演练，举办天然气管道泄漏、工贸企业生产安全事故、地质灾害抢险、危险化学品和非煤矿山突发事故等大型应急救援演练活动</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积极推进防汛、应急值班工作，坚持24小时值班制度</w:t>
            </w:r>
          </w:p>
        </w:tc>
        <w:tc>
          <w:tcPr>
            <w:tcW w:w="4260" w:type="dxa"/>
            <w:gridSpan w:val="4"/>
            <w:vAlign w:val="center"/>
          </w:tcPr>
          <w:p w14:paraId="156E0DC0">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全年事故率下降5%，安全生产执法工作获得全省先进，各项值班值守工作正常进行。</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91" w:type="dxa"/>
            <w:vMerge w:val="restart"/>
            <w:textDirection w:val="tbRlV"/>
            <w:vAlign w:val="center"/>
          </w:tcPr>
          <w:p w14:paraId="39FD8A89">
            <w:pPr>
              <w:spacing w:line="240" w:lineRule="auto"/>
              <w:ind w:firstLine="420"/>
              <w:jc w:val="center"/>
              <w:rPr>
                <w:rFonts w:hint="default" w:ascii="Times New Roman" w:hAnsi="Times New Roman" w:eastAsia="仿宋_GB2312" w:cs="Times New Roman"/>
                <w:kern w:val="0"/>
              </w:rPr>
            </w:pPr>
          </w:p>
          <w:p w14:paraId="50767195">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p w14:paraId="58206D1C">
            <w:pPr>
              <w:spacing w:line="240" w:lineRule="auto"/>
              <w:ind w:firstLine="420"/>
              <w:jc w:val="center"/>
              <w:rPr>
                <w:rFonts w:hint="default" w:ascii="Times New Roman" w:hAnsi="Times New Roman" w:eastAsia="仿宋_GB2312" w:cs="Times New Roman"/>
                <w:kern w:val="0"/>
              </w:rPr>
            </w:pPr>
          </w:p>
        </w:tc>
        <w:tc>
          <w:tcPr>
            <w:tcW w:w="1069" w:type="dxa"/>
            <w:vAlign w:val="center"/>
          </w:tcPr>
          <w:p w14:paraId="6608A1A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29" w:type="dxa"/>
            <w:vAlign w:val="center"/>
          </w:tcPr>
          <w:p w14:paraId="6EE7F8D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249" w:type="dxa"/>
            <w:vAlign w:val="center"/>
          </w:tcPr>
          <w:p w14:paraId="1866AC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298" w:type="dxa"/>
            <w:vAlign w:val="center"/>
          </w:tcPr>
          <w:p w14:paraId="30FBB1D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269" w:type="dxa"/>
            <w:vAlign w:val="center"/>
          </w:tcPr>
          <w:p w14:paraId="42F791D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699" w:type="dxa"/>
            <w:vAlign w:val="center"/>
          </w:tcPr>
          <w:p w14:paraId="50332CA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772EAC6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423" w:type="dxa"/>
            <w:vAlign w:val="center"/>
          </w:tcPr>
          <w:p w14:paraId="00A1F1A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w:t>
            </w:r>
          </w:p>
          <w:p w14:paraId="0B522B3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分析及</w:t>
            </w:r>
          </w:p>
          <w:p w14:paraId="6D42452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43201F45">
            <w:pPr>
              <w:spacing w:line="240" w:lineRule="auto"/>
              <w:ind w:firstLine="420"/>
              <w:jc w:val="center"/>
              <w:rPr>
                <w:rFonts w:hint="default" w:ascii="Times New Roman" w:hAnsi="Times New Roman" w:eastAsia="仿宋_GB2312" w:cs="Times New Roman"/>
                <w:kern w:val="0"/>
                <w:lang w:eastAsia="zh-CN"/>
              </w:rPr>
            </w:pPr>
            <w:bookmarkStart w:id="0" w:name="OLE_LINK1" w:colFirst="4" w:colLast="7"/>
          </w:p>
        </w:tc>
        <w:tc>
          <w:tcPr>
            <w:tcW w:w="1069" w:type="dxa"/>
            <w:vMerge w:val="restart"/>
            <w:tcBorders>
              <w:bottom w:val="nil"/>
            </w:tcBorders>
            <w:vAlign w:val="center"/>
          </w:tcPr>
          <w:p w14:paraId="2A5EB4F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72CA7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029" w:type="dxa"/>
            <w:vMerge w:val="restart"/>
            <w:tcBorders>
              <w:bottom w:val="nil"/>
            </w:tcBorders>
            <w:vAlign w:val="center"/>
          </w:tcPr>
          <w:p w14:paraId="12CA2EB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249" w:type="dxa"/>
            <w:vAlign w:val="center"/>
          </w:tcPr>
          <w:p w14:paraId="785EE4BB">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应急事件处置合格率</w:t>
            </w:r>
          </w:p>
        </w:tc>
        <w:tc>
          <w:tcPr>
            <w:tcW w:w="1298" w:type="dxa"/>
            <w:vAlign w:val="center"/>
          </w:tcPr>
          <w:p w14:paraId="2A374824">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宋体" w:cs="Times New Roman"/>
                <w:sz w:val="24"/>
                <w:szCs w:val="24"/>
              </w:rPr>
              <w:t>≥95%</w:t>
            </w:r>
          </w:p>
        </w:tc>
        <w:tc>
          <w:tcPr>
            <w:tcW w:w="1269" w:type="dxa"/>
            <w:vAlign w:val="center"/>
          </w:tcPr>
          <w:p w14:paraId="708D788A">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567F5E5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2717B7C4">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7CF9B18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及时处置到位</w:t>
            </w:r>
          </w:p>
        </w:tc>
      </w:tr>
      <w:bookmarkEnd w:id="0"/>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extDirection w:val="tbRlV"/>
            <w:vAlign w:val="center"/>
          </w:tcPr>
          <w:p w14:paraId="2591BDA2">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54CAD29D">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62D67C45">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35E485C8">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执法检查企业数量</w:t>
            </w:r>
          </w:p>
        </w:tc>
        <w:tc>
          <w:tcPr>
            <w:tcW w:w="1298" w:type="dxa"/>
            <w:vAlign w:val="center"/>
          </w:tcPr>
          <w:p w14:paraId="15CE1D7F">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100</w:t>
            </w:r>
            <w:r>
              <w:rPr>
                <w:rFonts w:hint="default" w:ascii="Times New Roman" w:hAnsi="Times New Roman" w:eastAsia="仿宋_GB2312" w:cs="Times New Roman"/>
                <w:kern w:val="0"/>
                <w:lang w:eastAsia="zh-CN"/>
              </w:rPr>
              <w:t>家</w:t>
            </w:r>
            <w:r>
              <w:rPr>
                <w:rFonts w:hint="default" w:ascii="Times New Roman" w:hAnsi="Times New Roman" w:eastAsia="仿宋_GB2312" w:cs="Times New Roman"/>
                <w:kern w:val="0"/>
              </w:rPr>
              <w:tab/>
            </w:r>
          </w:p>
        </w:tc>
        <w:tc>
          <w:tcPr>
            <w:tcW w:w="1269" w:type="dxa"/>
            <w:vAlign w:val="center"/>
          </w:tcPr>
          <w:p w14:paraId="346D111F">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102</w:t>
            </w:r>
          </w:p>
        </w:tc>
        <w:tc>
          <w:tcPr>
            <w:tcW w:w="699" w:type="dxa"/>
            <w:vAlign w:val="center"/>
          </w:tcPr>
          <w:p w14:paraId="4812C5E9">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c>
          <w:tcPr>
            <w:tcW w:w="869" w:type="dxa"/>
            <w:vAlign w:val="center"/>
          </w:tcPr>
          <w:p w14:paraId="42665481">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c>
          <w:tcPr>
            <w:tcW w:w="1423" w:type="dxa"/>
            <w:vAlign w:val="center"/>
          </w:tcPr>
          <w:p w14:paraId="01001FE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按年初计划执法数按时按质完成</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22631020">
            <w:pPr>
              <w:spacing w:line="240" w:lineRule="auto"/>
              <w:ind w:firstLine="420"/>
              <w:jc w:val="center"/>
              <w:rPr>
                <w:rFonts w:hint="default" w:ascii="Times New Roman" w:hAnsi="Times New Roman" w:eastAsia="仿宋_GB2312" w:cs="Times New Roman"/>
                <w:kern w:val="0"/>
              </w:rPr>
            </w:pPr>
            <w:bookmarkStart w:id="1" w:name="OLE_LINK2" w:colFirst="4" w:colLast="5"/>
          </w:p>
        </w:tc>
        <w:tc>
          <w:tcPr>
            <w:tcW w:w="1069" w:type="dxa"/>
            <w:vMerge w:val="continue"/>
            <w:tcBorders>
              <w:top w:val="nil"/>
              <w:bottom w:val="nil"/>
            </w:tcBorders>
            <w:vAlign w:val="center"/>
          </w:tcPr>
          <w:p w14:paraId="15DCA989">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17EF051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249" w:type="dxa"/>
            <w:vAlign w:val="center"/>
          </w:tcPr>
          <w:p w14:paraId="10423A4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活动计划人数参与率</w:t>
            </w:r>
          </w:p>
        </w:tc>
        <w:tc>
          <w:tcPr>
            <w:tcW w:w="1298" w:type="dxa"/>
            <w:shd w:val="clear" w:color="auto" w:fill="auto"/>
            <w:vAlign w:val="center"/>
          </w:tcPr>
          <w:p w14:paraId="1A5ADA3A">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≥95%</w:t>
            </w:r>
          </w:p>
        </w:tc>
        <w:tc>
          <w:tcPr>
            <w:tcW w:w="1269" w:type="dxa"/>
            <w:shd w:val="clear" w:color="auto" w:fill="auto"/>
            <w:vAlign w:val="center"/>
          </w:tcPr>
          <w:p w14:paraId="54075F02">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5580FC82">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shd w:val="clear" w:color="auto" w:fill="auto"/>
            <w:vAlign w:val="center"/>
          </w:tcPr>
          <w:p w14:paraId="0982B111">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1423" w:type="dxa"/>
            <w:vAlign w:val="center"/>
          </w:tcPr>
          <w:p w14:paraId="09E0DC5F">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安全生产与应急培训及宣传活动参与率高</w:t>
            </w:r>
          </w:p>
        </w:tc>
      </w:tr>
      <w:bookmarkEnd w:id="1"/>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91" w:type="dxa"/>
            <w:vMerge w:val="continue"/>
            <w:textDirection w:val="tbRlV"/>
            <w:vAlign w:val="center"/>
          </w:tcPr>
          <w:p w14:paraId="13ECD9A6">
            <w:pPr>
              <w:spacing w:line="240" w:lineRule="auto"/>
              <w:ind w:firstLine="420"/>
              <w:jc w:val="center"/>
              <w:rPr>
                <w:rFonts w:hint="default" w:ascii="Times New Roman" w:hAnsi="Times New Roman" w:eastAsia="仿宋_GB2312" w:cs="Times New Roman"/>
                <w:kern w:val="0"/>
              </w:rPr>
            </w:pPr>
            <w:bookmarkStart w:id="2" w:name="OLE_LINK3" w:colFirst="4" w:colLast="5"/>
          </w:p>
        </w:tc>
        <w:tc>
          <w:tcPr>
            <w:tcW w:w="1069" w:type="dxa"/>
            <w:vMerge w:val="continue"/>
            <w:tcBorders>
              <w:top w:val="nil"/>
              <w:bottom w:val="nil"/>
            </w:tcBorders>
            <w:vAlign w:val="center"/>
          </w:tcPr>
          <w:p w14:paraId="2201BAD0">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2EE26171">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3BA53E0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隐患排查整改率</w:t>
            </w:r>
          </w:p>
        </w:tc>
        <w:tc>
          <w:tcPr>
            <w:tcW w:w="1298" w:type="dxa"/>
            <w:shd w:val="clear" w:color="auto" w:fill="auto"/>
            <w:vAlign w:val="center"/>
          </w:tcPr>
          <w:p w14:paraId="33DF5A21">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≥95%</w:t>
            </w:r>
          </w:p>
        </w:tc>
        <w:tc>
          <w:tcPr>
            <w:tcW w:w="1269" w:type="dxa"/>
            <w:shd w:val="clear" w:color="auto" w:fill="auto"/>
            <w:vAlign w:val="center"/>
          </w:tcPr>
          <w:p w14:paraId="4F080A08">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155F4AED">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2A22618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3D7116F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企业隐患排查到位，未发生重大安全生产事故</w:t>
            </w:r>
          </w:p>
        </w:tc>
      </w:tr>
      <w:bookmarkEnd w:id="2"/>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3AF4DA0">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01F2382D">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FAC501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249" w:type="dxa"/>
            <w:vAlign w:val="center"/>
          </w:tcPr>
          <w:p w14:paraId="5323318C">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应急值守保障情况</w:t>
            </w:r>
          </w:p>
        </w:tc>
        <w:tc>
          <w:tcPr>
            <w:tcW w:w="1298" w:type="dxa"/>
            <w:vAlign w:val="center"/>
          </w:tcPr>
          <w:p w14:paraId="479FA5D5">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=24小时/天</w:t>
            </w:r>
          </w:p>
        </w:tc>
        <w:tc>
          <w:tcPr>
            <w:tcW w:w="1269" w:type="dxa"/>
            <w:vAlign w:val="center"/>
          </w:tcPr>
          <w:p w14:paraId="5C1B3402">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4C56B99F">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w:t>
            </w:r>
          </w:p>
        </w:tc>
        <w:tc>
          <w:tcPr>
            <w:tcW w:w="869" w:type="dxa"/>
            <w:vAlign w:val="center"/>
          </w:tcPr>
          <w:p w14:paraId="5DA34835">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w:t>
            </w:r>
          </w:p>
        </w:tc>
        <w:tc>
          <w:tcPr>
            <w:tcW w:w="1423" w:type="dxa"/>
            <w:vAlign w:val="center"/>
          </w:tcPr>
          <w:p w14:paraId="7BF8C6A4">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全天</w:t>
            </w:r>
            <w:r>
              <w:rPr>
                <w:rFonts w:hint="default" w:ascii="Times New Roman" w:hAnsi="Times New Roman" w:eastAsia="仿宋_GB2312" w:cs="Times New Roman"/>
                <w:kern w:val="0"/>
                <w:lang w:val="en-US" w:eastAsia="zh-CN"/>
              </w:rPr>
              <w:t>24小时人员到岗到位值班</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275BB657">
            <w:pPr>
              <w:spacing w:line="240" w:lineRule="auto"/>
              <w:ind w:firstLine="420"/>
              <w:jc w:val="center"/>
              <w:rPr>
                <w:rFonts w:hint="default" w:ascii="Times New Roman" w:hAnsi="Times New Roman" w:eastAsia="仿宋_GB2312" w:cs="Times New Roman"/>
                <w:kern w:val="0"/>
              </w:rPr>
            </w:pPr>
            <w:bookmarkStart w:id="3" w:name="OLE_LINK4" w:colFirst="4" w:colLast="5"/>
          </w:p>
        </w:tc>
        <w:tc>
          <w:tcPr>
            <w:tcW w:w="1069" w:type="dxa"/>
            <w:vMerge w:val="restart"/>
            <w:tcBorders>
              <w:bottom w:val="nil"/>
            </w:tcBorders>
            <w:vAlign w:val="center"/>
          </w:tcPr>
          <w:p w14:paraId="7804D09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效益指标(30分)</w:t>
            </w:r>
          </w:p>
        </w:tc>
        <w:tc>
          <w:tcPr>
            <w:tcW w:w="1029" w:type="dxa"/>
            <w:tcBorders>
              <w:bottom w:val="nil"/>
            </w:tcBorders>
            <w:vAlign w:val="center"/>
          </w:tcPr>
          <w:p w14:paraId="7B7499A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249" w:type="dxa"/>
            <w:vAlign w:val="center"/>
          </w:tcPr>
          <w:p w14:paraId="3261195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298" w:type="dxa"/>
            <w:shd w:val="clear" w:color="auto" w:fill="auto"/>
            <w:vAlign w:val="center"/>
          </w:tcPr>
          <w:p w14:paraId="078289F3">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7A453B8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415A3F60">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2AC58B95">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63D43995">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通过应急处置、救援有效减少群众财产损失</w:t>
            </w:r>
          </w:p>
        </w:tc>
      </w:tr>
      <w:bookmarkEnd w:id="3"/>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77C0973">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4E46C1EB">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135D6A2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249" w:type="dxa"/>
            <w:vAlign w:val="center"/>
          </w:tcPr>
          <w:p w14:paraId="5D9BC27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提升安全监管及应急管理能力</w:t>
            </w:r>
          </w:p>
        </w:tc>
        <w:tc>
          <w:tcPr>
            <w:tcW w:w="1298" w:type="dxa"/>
            <w:shd w:val="clear" w:color="auto" w:fill="auto"/>
            <w:vAlign w:val="center"/>
          </w:tcPr>
          <w:p w14:paraId="6E8C4873">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4886005B">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75FAE414">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3309901E">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4D65F26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基层安全监管及应急管理能力得到提升</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4A612F3">
            <w:pPr>
              <w:spacing w:line="240" w:lineRule="auto"/>
              <w:ind w:firstLine="420"/>
              <w:jc w:val="center"/>
              <w:rPr>
                <w:rFonts w:hint="default" w:ascii="Times New Roman" w:hAnsi="Times New Roman" w:eastAsia="仿宋_GB2312" w:cs="Times New Roman"/>
                <w:kern w:val="0"/>
              </w:rPr>
            </w:pPr>
            <w:bookmarkStart w:id="4" w:name="OLE_LINK7" w:colFirst="4" w:colLast="5"/>
            <w:bookmarkStart w:id="5" w:name="OLE_LINK6" w:colFirst="5" w:colLast="6"/>
          </w:p>
        </w:tc>
        <w:tc>
          <w:tcPr>
            <w:tcW w:w="1069" w:type="dxa"/>
            <w:vMerge w:val="continue"/>
            <w:tcBorders>
              <w:top w:val="nil"/>
              <w:bottom w:val="nil"/>
            </w:tcBorders>
            <w:vAlign w:val="center"/>
          </w:tcPr>
          <w:p w14:paraId="07D09F0E">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42ABD683">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710DCE7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w:t>
            </w:r>
            <w:bookmarkStart w:id="6" w:name="OLE_LINK5"/>
            <w:r>
              <w:rPr>
                <w:rFonts w:hint="default" w:ascii="Times New Roman" w:hAnsi="Times New Roman" w:eastAsia="仿宋_GB2312" w:cs="Times New Roman"/>
                <w:kern w:val="0"/>
                <w:lang w:eastAsia="zh-CN"/>
              </w:rPr>
              <w:t>公众防灾减灾、防震减灾、安全生产意识</w:t>
            </w:r>
            <w:bookmarkEnd w:id="6"/>
          </w:p>
        </w:tc>
        <w:tc>
          <w:tcPr>
            <w:tcW w:w="1298" w:type="dxa"/>
            <w:shd w:val="clear" w:color="auto" w:fill="auto"/>
            <w:vAlign w:val="center"/>
          </w:tcPr>
          <w:p w14:paraId="610F1A26">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4AC0299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56C66EDF">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14AC2896">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759B9D12">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公众防灾减灾、防震减灾、安全生产意识得到加强</w:t>
            </w:r>
          </w:p>
        </w:tc>
      </w:tr>
      <w:bookmarkEnd w:id="4"/>
      <w:bookmarkEnd w:id="5"/>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58F613F5">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70290ED9">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69CFA3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249" w:type="dxa"/>
            <w:vAlign w:val="center"/>
          </w:tcPr>
          <w:p w14:paraId="4DC6068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推动营造良好政治生态</w:t>
            </w:r>
          </w:p>
        </w:tc>
        <w:tc>
          <w:tcPr>
            <w:tcW w:w="1298" w:type="dxa"/>
            <w:vAlign w:val="center"/>
          </w:tcPr>
          <w:p w14:paraId="45B96CBB">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推动开展</w:t>
            </w:r>
          </w:p>
        </w:tc>
        <w:tc>
          <w:tcPr>
            <w:tcW w:w="1269" w:type="dxa"/>
            <w:shd w:val="clear" w:color="auto" w:fill="auto"/>
            <w:vAlign w:val="center"/>
          </w:tcPr>
          <w:p w14:paraId="35C3564D">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6A822248">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vAlign w:val="center"/>
          </w:tcPr>
          <w:p w14:paraId="73C931F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0E6767B7">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通过开展相关工作，为经济发展和社会和谐稳定创造良好的生态环境</w:t>
            </w: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91" w:type="dxa"/>
            <w:vMerge w:val="continue"/>
            <w:textDirection w:val="tbRlV"/>
            <w:vAlign w:val="center"/>
          </w:tcPr>
          <w:p w14:paraId="77D494FA">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5FDA6254">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41D87285">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4F0190D3">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减少影响生态环境的安全生产事故</w:t>
            </w:r>
          </w:p>
        </w:tc>
        <w:tc>
          <w:tcPr>
            <w:tcW w:w="1298" w:type="dxa"/>
            <w:shd w:val="clear" w:color="auto" w:fill="auto"/>
            <w:vAlign w:val="center"/>
          </w:tcPr>
          <w:p w14:paraId="1F4912D3">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53DC0322">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5664813A">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44C25015">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3B6320B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通过开展相关工作减少影响生态环境的安全生产事故</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91" w:type="dxa"/>
            <w:vMerge w:val="continue"/>
            <w:textDirection w:val="tbRlV"/>
            <w:vAlign w:val="center"/>
          </w:tcPr>
          <w:p w14:paraId="19698FF5">
            <w:pPr>
              <w:spacing w:line="240" w:lineRule="auto"/>
              <w:ind w:firstLine="420"/>
              <w:jc w:val="center"/>
              <w:rPr>
                <w:rFonts w:hint="default" w:ascii="Times New Roman" w:hAnsi="Times New Roman" w:eastAsia="仿宋_GB2312" w:cs="Times New Roman"/>
                <w:kern w:val="0"/>
              </w:rPr>
            </w:pPr>
            <w:bookmarkStart w:id="7" w:name="OLE_LINK9" w:colFirst="5" w:colLast="7"/>
          </w:p>
        </w:tc>
        <w:tc>
          <w:tcPr>
            <w:tcW w:w="1069" w:type="dxa"/>
            <w:vMerge w:val="continue"/>
            <w:tcBorders>
              <w:top w:val="nil"/>
              <w:bottom w:val="nil"/>
            </w:tcBorders>
            <w:vAlign w:val="center"/>
          </w:tcPr>
          <w:p w14:paraId="0379108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3200E34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249" w:type="dxa"/>
            <w:vAlign w:val="center"/>
          </w:tcPr>
          <w:p w14:paraId="1B548B4C">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区域监管与应急处置工作机制</w:t>
            </w:r>
          </w:p>
        </w:tc>
        <w:tc>
          <w:tcPr>
            <w:tcW w:w="1298" w:type="dxa"/>
            <w:shd w:val="clear" w:color="auto" w:fill="auto"/>
            <w:vAlign w:val="center"/>
          </w:tcPr>
          <w:p w14:paraId="055B34ED">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bookmarkStart w:id="8" w:name="OLE_LINK8"/>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bookmarkEnd w:id="8"/>
          </w:p>
        </w:tc>
        <w:tc>
          <w:tcPr>
            <w:tcW w:w="1269" w:type="dxa"/>
            <w:shd w:val="clear" w:color="auto" w:fill="auto"/>
            <w:vAlign w:val="center"/>
          </w:tcPr>
          <w:p w14:paraId="46B4146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447C4D99">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vAlign w:val="center"/>
          </w:tcPr>
          <w:p w14:paraId="71C7C72F">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04D49FFC">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通过监管执法，不断提高安监能力与应急管理水平，持续提高全市安全生产能力</w:t>
            </w:r>
          </w:p>
        </w:tc>
      </w:tr>
      <w:bookmarkEnd w:id="7"/>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91" w:type="dxa"/>
            <w:vMerge w:val="continue"/>
            <w:textDirection w:val="tbRlV"/>
            <w:vAlign w:val="center"/>
          </w:tcPr>
          <w:p w14:paraId="42AFB0D6">
            <w:pPr>
              <w:spacing w:line="240" w:lineRule="auto"/>
              <w:ind w:firstLine="420"/>
              <w:jc w:val="center"/>
              <w:rPr>
                <w:rFonts w:hint="default" w:ascii="Times New Roman" w:hAnsi="Times New Roman" w:eastAsia="仿宋_GB2312" w:cs="Times New Roman"/>
                <w:kern w:val="0"/>
              </w:rPr>
            </w:pPr>
          </w:p>
        </w:tc>
        <w:tc>
          <w:tcPr>
            <w:tcW w:w="1069" w:type="dxa"/>
            <w:tcBorders>
              <w:bottom w:val="nil"/>
            </w:tcBorders>
            <w:vAlign w:val="center"/>
          </w:tcPr>
          <w:p w14:paraId="3EBC70E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p>
          <w:p w14:paraId="6A5B01A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(10分)</w:t>
            </w:r>
          </w:p>
        </w:tc>
        <w:tc>
          <w:tcPr>
            <w:tcW w:w="1029" w:type="dxa"/>
            <w:tcBorders>
              <w:bottom w:val="nil"/>
            </w:tcBorders>
            <w:vAlign w:val="center"/>
          </w:tcPr>
          <w:p w14:paraId="78FBBFD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249" w:type="dxa"/>
            <w:vAlign w:val="center"/>
          </w:tcPr>
          <w:p w14:paraId="4F2AFDD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收益对象满意度</w:t>
            </w:r>
          </w:p>
        </w:tc>
        <w:tc>
          <w:tcPr>
            <w:tcW w:w="1298" w:type="dxa"/>
            <w:vAlign w:val="center"/>
          </w:tcPr>
          <w:p w14:paraId="6ABEB3E2">
            <w:pPr>
              <w:spacing w:line="240" w:lineRule="auto"/>
              <w:ind w:firstLine="420"/>
              <w:jc w:val="left"/>
              <w:rPr>
                <w:rFonts w:hint="default" w:ascii="Times New Roman" w:hAnsi="Times New Roman" w:eastAsia="仿宋_GB2312" w:cs="Times New Roman"/>
                <w:kern w:val="0"/>
              </w:rPr>
            </w:pPr>
            <w:bookmarkStart w:id="9" w:name="OLE_LINK14"/>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9"/>
          </w:p>
        </w:tc>
        <w:tc>
          <w:tcPr>
            <w:tcW w:w="1269" w:type="dxa"/>
            <w:shd w:val="clear" w:color="auto" w:fill="auto"/>
            <w:vAlign w:val="center"/>
          </w:tcPr>
          <w:p w14:paraId="31B5B329">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41D3F37B">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69" w:type="dxa"/>
            <w:shd w:val="clear" w:color="auto" w:fill="auto"/>
            <w:vAlign w:val="center"/>
          </w:tcPr>
          <w:p w14:paraId="19FFC8CC">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1423" w:type="dxa"/>
            <w:vAlign w:val="center"/>
          </w:tcPr>
          <w:p w14:paraId="0412303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辖区内群众对安全生产和应急工作的肯定</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1" w:type="dxa"/>
            <w:vMerge w:val="continue"/>
            <w:textDirection w:val="tbRlV"/>
            <w:vAlign w:val="center"/>
          </w:tcPr>
          <w:p w14:paraId="1B343DAD">
            <w:pPr>
              <w:spacing w:line="240" w:lineRule="auto"/>
              <w:ind w:firstLine="420"/>
              <w:jc w:val="center"/>
              <w:rPr>
                <w:rFonts w:hint="default" w:ascii="Times New Roman" w:hAnsi="Times New Roman" w:eastAsia="仿宋_GB2312" w:cs="Times New Roman"/>
                <w:kern w:val="0"/>
              </w:rPr>
            </w:pPr>
          </w:p>
        </w:tc>
        <w:tc>
          <w:tcPr>
            <w:tcW w:w="1069" w:type="dxa"/>
            <w:vMerge w:val="restart"/>
            <w:tcBorders>
              <w:top w:val="nil"/>
            </w:tcBorders>
            <w:vAlign w:val="center"/>
          </w:tcPr>
          <w:p w14:paraId="5D03BB8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4681458A">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（20分）</w:t>
            </w:r>
          </w:p>
        </w:tc>
        <w:tc>
          <w:tcPr>
            <w:tcW w:w="1029" w:type="dxa"/>
            <w:tcBorders>
              <w:top w:val="nil"/>
            </w:tcBorders>
            <w:vAlign w:val="center"/>
          </w:tcPr>
          <w:p w14:paraId="539B6E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经济成本指标</w:t>
            </w:r>
          </w:p>
        </w:tc>
        <w:tc>
          <w:tcPr>
            <w:tcW w:w="1249" w:type="dxa"/>
            <w:vAlign w:val="center"/>
          </w:tcPr>
          <w:p w14:paraId="63B7EC90">
            <w:pPr>
              <w:spacing w:line="240" w:lineRule="auto"/>
              <w:jc w:val="left"/>
              <w:rPr>
                <w:rFonts w:hint="default" w:ascii="Times New Roman" w:hAnsi="Times New Roman" w:eastAsia="仿宋_GB2312" w:cs="Times New Roman"/>
                <w:kern w:val="0"/>
                <w:lang w:eastAsia="zh-CN"/>
              </w:rPr>
            </w:pPr>
            <w:bookmarkStart w:id="10" w:name="OLE_LINK10"/>
            <w:r>
              <w:rPr>
                <w:rFonts w:hint="default" w:ascii="Times New Roman" w:hAnsi="Times New Roman" w:eastAsia="仿宋_GB2312" w:cs="Times New Roman"/>
                <w:kern w:val="0"/>
                <w:lang w:eastAsia="zh-CN"/>
              </w:rPr>
              <w:t>减少人民群众财产损失</w:t>
            </w:r>
            <w:bookmarkEnd w:id="10"/>
          </w:p>
        </w:tc>
        <w:tc>
          <w:tcPr>
            <w:tcW w:w="1298" w:type="dxa"/>
            <w:shd w:val="clear" w:color="auto" w:fill="auto"/>
            <w:vAlign w:val="center"/>
          </w:tcPr>
          <w:p w14:paraId="15ECA8D3">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bookmarkStart w:id="11" w:name="OLE_LINK11"/>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1"/>
          </w:p>
        </w:tc>
        <w:tc>
          <w:tcPr>
            <w:tcW w:w="1269" w:type="dxa"/>
            <w:shd w:val="clear" w:color="auto" w:fill="auto"/>
            <w:vAlign w:val="center"/>
          </w:tcPr>
          <w:p w14:paraId="3C328246">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bookmarkStart w:id="12" w:name="OLE_LINK12"/>
            <w:r>
              <w:rPr>
                <w:rFonts w:hint="default" w:ascii="Times New Roman" w:hAnsi="Times New Roman" w:eastAsia="仿宋_GB2312" w:cs="Times New Roman"/>
                <w:kern w:val="0"/>
                <w:lang w:val="en-US" w:eastAsia="zh-CN"/>
              </w:rPr>
              <w:t>100%</w:t>
            </w:r>
            <w:bookmarkEnd w:id="12"/>
          </w:p>
        </w:tc>
        <w:tc>
          <w:tcPr>
            <w:tcW w:w="699" w:type="dxa"/>
            <w:shd w:val="clear" w:color="auto" w:fill="auto"/>
            <w:vAlign w:val="center"/>
          </w:tcPr>
          <w:p w14:paraId="42BD2B94">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69" w:type="dxa"/>
            <w:shd w:val="clear" w:color="auto" w:fill="auto"/>
            <w:vAlign w:val="center"/>
          </w:tcPr>
          <w:p w14:paraId="786F4305">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1423" w:type="dxa"/>
            <w:vAlign w:val="center"/>
          </w:tcPr>
          <w:p w14:paraId="0F79A5E1">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通过宣传、督促有效减少人民群众财产损失</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91" w:type="dxa"/>
            <w:vMerge w:val="continue"/>
            <w:textDirection w:val="tbRlV"/>
            <w:vAlign w:val="center"/>
          </w:tcPr>
          <w:p w14:paraId="03521D9F">
            <w:pPr>
              <w:spacing w:line="240" w:lineRule="auto"/>
              <w:ind w:firstLine="420"/>
              <w:jc w:val="center"/>
              <w:rPr>
                <w:rFonts w:hint="default" w:ascii="Times New Roman" w:hAnsi="Times New Roman" w:eastAsia="仿宋_GB2312" w:cs="Times New Roman"/>
                <w:kern w:val="0"/>
              </w:rPr>
            </w:pPr>
            <w:bookmarkStart w:id="13" w:name="OLE_LINK13" w:colFirst="4" w:colLast="5"/>
          </w:p>
        </w:tc>
        <w:tc>
          <w:tcPr>
            <w:tcW w:w="1069" w:type="dxa"/>
            <w:vMerge w:val="continue"/>
            <w:vAlign w:val="center"/>
          </w:tcPr>
          <w:p w14:paraId="1471CA84">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632D9A3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社会成本指标</w:t>
            </w:r>
          </w:p>
        </w:tc>
        <w:tc>
          <w:tcPr>
            <w:tcW w:w="1249" w:type="dxa"/>
            <w:vAlign w:val="center"/>
          </w:tcPr>
          <w:p w14:paraId="4C2510AC">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工作秩序保障有力</w:t>
            </w:r>
          </w:p>
        </w:tc>
        <w:tc>
          <w:tcPr>
            <w:tcW w:w="1298" w:type="dxa"/>
            <w:vAlign w:val="center"/>
          </w:tcPr>
          <w:p w14:paraId="09361E43">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269" w:type="dxa"/>
            <w:vAlign w:val="center"/>
          </w:tcPr>
          <w:p w14:paraId="32DCD30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765229A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4012A71B">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6A85C036">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应急管理工作正常有序推进</w:t>
            </w:r>
          </w:p>
        </w:tc>
      </w:tr>
      <w:bookmarkEnd w:id="13"/>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1" w:type="dxa"/>
            <w:vMerge w:val="continue"/>
            <w:textDirection w:val="tbRlV"/>
            <w:vAlign w:val="center"/>
          </w:tcPr>
          <w:p w14:paraId="2F970E6A">
            <w:pPr>
              <w:spacing w:line="240" w:lineRule="auto"/>
              <w:ind w:firstLine="420"/>
              <w:jc w:val="center"/>
              <w:rPr>
                <w:rFonts w:hint="default" w:ascii="Times New Roman" w:hAnsi="Times New Roman" w:eastAsia="仿宋_GB2312" w:cs="Times New Roman"/>
                <w:kern w:val="0"/>
              </w:rPr>
            </w:pPr>
          </w:p>
        </w:tc>
        <w:tc>
          <w:tcPr>
            <w:tcW w:w="1069" w:type="dxa"/>
            <w:vMerge w:val="continue"/>
            <w:vAlign w:val="center"/>
          </w:tcPr>
          <w:p w14:paraId="2827F181">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5CA5848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生态环境成本指标</w:t>
            </w:r>
          </w:p>
        </w:tc>
        <w:tc>
          <w:tcPr>
            <w:tcW w:w="1249" w:type="dxa"/>
            <w:vAlign w:val="center"/>
          </w:tcPr>
          <w:p w14:paraId="304051C0">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节能减排</w:t>
            </w:r>
          </w:p>
        </w:tc>
        <w:tc>
          <w:tcPr>
            <w:tcW w:w="1298" w:type="dxa"/>
            <w:shd w:val="clear" w:color="auto" w:fill="auto"/>
            <w:vAlign w:val="center"/>
          </w:tcPr>
          <w:p w14:paraId="789CDCB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269" w:type="dxa"/>
            <w:shd w:val="clear" w:color="auto" w:fill="auto"/>
            <w:vAlign w:val="center"/>
          </w:tcPr>
          <w:p w14:paraId="4E354EE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6C36DE6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6B31F2AB">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14ED7F29">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有效合理利用资源</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05" w:type="dxa"/>
            <w:gridSpan w:val="6"/>
            <w:vAlign w:val="center"/>
          </w:tcPr>
          <w:p w14:paraId="54CDD55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总分</w:t>
            </w:r>
          </w:p>
        </w:tc>
        <w:tc>
          <w:tcPr>
            <w:tcW w:w="699" w:type="dxa"/>
            <w:vAlign w:val="center"/>
          </w:tcPr>
          <w:p w14:paraId="0F7926F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69" w:type="dxa"/>
            <w:vAlign w:val="center"/>
          </w:tcPr>
          <w:p w14:paraId="6F45C202">
            <w:pPr>
              <w:spacing w:line="240" w:lineRule="auto"/>
              <w:ind w:firstLine="420" w:firstLineChars="20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423" w:type="dxa"/>
            <w:vAlign w:val="center"/>
          </w:tcPr>
          <w:p w14:paraId="74074F36">
            <w:pPr>
              <w:spacing w:line="240" w:lineRule="auto"/>
              <w:ind w:firstLine="420"/>
              <w:jc w:val="center"/>
              <w:rPr>
                <w:rFonts w:hint="default" w:ascii="Times New Roman" w:hAnsi="Times New Roman" w:eastAsia="仿宋_GB2312" w:cs="Times New Roman"/>
                <w:kern w:val="0"/>
              </w:rPr>
            </w:pPr>
          </w:p>
        </w:tc>
      </w:tr>
    </w:tbl>
    <w:p w14:paraId="1494D30D">
      <w:pPr>
        <w:kinsoku w:val="0"/>
        <w:autoSpaceDE w:val="0"/>
        <w:autoSpaceDN w:val="0"/>
        <w:adjustRightInd w:val="0"/>
        <w:snapToGrid w:val="0"/>
        <w:spacing w:before="293" w:line="236" w:lineRule="auto"/>
        <w:textAlignment w:val="baseline"/>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snapToGrid w:val="0"/>
          <w:color w:val="000000"/>
          <w:sz w:val="21"/>
          <w:szCs w:val="21"/>
          <w:lang w:val="en-US" w:eastAsia="zh-CN" w:bidi="ar-SA"/>
        </w:rPr>
        <w:t>填表人：彭琼  填报日期： 2024.10.12   联系电话：13874088061   单位负责人签字：许强</w:t>
      </w:r>
    </w:p>
    <w:p w14:paraId="6527778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AE009ED">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DCFBB02">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799A029A">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2FA79FE2">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06E250B0">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hint="default" w:ascii="Times New Roman" w:hAnsi="Times New Roman" w:eastAsia="黑体" w:cs="Times New Roman"/>
          <w:snapToGrid w:val="0"/>
          <w:color w:val="000000"/>
          <w:sz w:val="35"/>
          <w:szCs w:val="35"/>
          <w:lang w:val="en-US" w:eastAsia="zh-CN" w:bidi="ar-SA"/>
        </w:rPr>
      </w:pPr>
      <w:bookmarkStart w:id="14" w:name="OLE_LINK34"/>
      <w:r>
        <w:rPr>
          <w:rFonts w:hint="default" w:ascii="Times New Roman" w:hAnsi="Times New Roman" w:eastAsia="黑体" w:cs="Times New Roman"/>
          <w:bCs/>
          <w:snapToGrid w:val="0"/>
          <w:color w:val="000000"/>
          <w:spacing w:val="-4"/>
          <w:sz w:val="28"/>
          <w:szCs w:val="28"/>
          <w:lang w:val="en-US" w:eastAsia="zh-CN" w:bidi="ar-SA"/>
        </w:rPr>
        <w:t>附件3</w:t>
      </w:r>
    </w:p>
    <w:p w14:paraId="51F7F242">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3</w:t>
      </w:r>
      <w:r>
        <w:rPr>
          <w:rFonts w:hint="default" w:ascii="Times New Roman" w:hAnsi="Times New Roman" w:eastAsia="方正小标宋简体" w:cs="Times New Roman"/>
          <w:bCs/>
          <w:spacing w:val="8"/>
          <w:kern w:val="0"/>
          <w:sz w:val="44"/>
          <w:szCs w:val="44"/>
          <w:lang w:eastAsia="zh-CN"/>
        </w:rPr>
        <w:t>年度项目支出绩效自评表</w:t>
      </w:r>
    </w:p>
    <w:p w14:paraId="5DA39286">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437E0C6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自然灾害救灾补助</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00FC630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c>
          <w:tcPr>
            <w:tcW w:w="1099" w:type="dxa"/>
            <w:vAlign w:val="center"/>
          </w:tcPr>
          <w:p w14:paraId="7F82618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428437D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3041" w:type="dxa"/>
            <w:gridSpan w:val="3"/>
            <w:vAlign w:val="center"/>
          </w:tcPr>
          <w:p w14:paraId="6A64BF37">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项目资金 (万元)</w:t>
            </w:r>
          </w:p>
        </w:tc>
        <w:tc>
          <w:tcPr>
            <w:tcW w:w="2277" w:type="dxa"/>
            <w:gridSpan w:val="2"/>
            <w:vAlign w:val="center"/>
          </w:tcPr>
          <w:p w14:paraId="78E2698F">
            <w:pPr>
              <w:spacing w:line="240" w:lineRule="auto"/>
              <w:ind w:firstLine="420"/>
              <w:jc w:val="center"/>
              <w:rPr>
                <w:rFonts w:hint="default" w:ascii="Times New Roman" w:hAnsi="Times New Roman" w:eastAsia="仿宋_GB2312" w:cs="Times New Roman"/>
                <w:kern w:val="0"/>
                <w:lang w:eastAsia="zh-CN"/>
              </w:rPr>
            </w:pPr>
          </w:p>
        </w:tc>
        <w:tc>
          <w:tcPr>
            <w:tcW w:w="1020" w:type="dxa"/>
            <w:vAlign w:val="center"/>
          </w:tcPr>
          <w:p w14:paraId="676BDC3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0D84DFA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6A50E95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6EF4187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44422C3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0D3B015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09" w:type="dxa"/>
            <w:vAlign w:val="center"/>
          </w:tcPr>
          <w:p w14:paraId="70F015B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849" w:type="dxa"/>
            <w:vAlign w:val="center"/>
          </w:tcPr>
          <w:p w14:paraId="37ABDFD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383" w:type="dxa"/>
            <w:vAlign w:val="center"/>
          </w:tcPr>
          <w:p w14:paraId="467538FC">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521267B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020" w:type="dxa"/>
            <w:vAlign w:val="center"/>
          </w:tcPr>
          <w:p w14:paraId="6EAE81C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1099" w:type="dxa"/>
            <w:vAlign w:val="center"/>
          </w:tcPr>
          <w:p w14:paraId="54320DC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1099" w:type="dxa"/>
            <w:vAlign w:val="center"/>
          </w:tcPr>
          <w:p w14:paraId="0C9E823D">
            <w:pPr>
              <w:spacing w:line="240" w:lineRule="auto"/>
              <w:ind w:firstLine="210" w:firstLineChars="10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557.68</w:t>
            </w:r>
          </w:p>
        </w:tc>
        <w:tc>
          <w:tcPr>
            <w:tcW w:w="809" w:type="dxa"/>
            <w:vAlign w:val="center"/>
          </w:tcPr>
          <w:p w14:paraId="79BFE3F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10</w:t>
            </w:r>
          </w:p>
        </w:tc>
        <w:tc>
          <w:tcPr>
            <w:tcW w:w="849" w:type="dxa"/>
            <w:vAlign w:val="center"/>
          </w:tcPr>
          <w:p w14:paraId="33470801">
            <w:pPr>
              <w:spacing w:line="240" w:lineRule="auto"/>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7A8C6380">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161F515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020" w:type="dxa"/>
            <w:vAlign w:val="center"/>
          </w:tcPr>
          <w:p w14:paraId="75F04A75">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5536407E">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0401DF6C">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05C9BB92">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4AC8E360">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1785B7FB">
            <w:pPr>
              <w:spacing w:line="240" w:lineRule="auto"/>
              <w:ind w:firstLine="420"/>
              <w:jc w:val="center"/>
              <w:rPr>
                <w:rFonts w:hint="default" w:ascii="Times New Roman" w:hAnsi="Times New Roman" w:eastAsia="仿宋_GB2312" w:cs="Times New Roman"/>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2E9346A2">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020" w:type="dxa"/>
            <w:vAlign w:val="center"/>
          </w:tcPr>
          <w:p w14:paraId="3B2BA98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3E136F30">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7EF1A3EC">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5B513B6B">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72BEE34C">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273A66FC">
            <w:pPr>
              <w:spacing w:line="240" w:lineRule="auto"/>
              <w:ind w:firstLine="420"/>
              <w:jc w:val="center"/>
              <w:rPr>
                <w:rFonts w:hint="default" w:ascii="Times New Roman" w:hAnsi="Times New Roman" w:eastAsia="仿宋_GB2312" w:cs="Times New Roman"/>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766B8F6A">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020" w:type="dxa"/>
            <w:vAlign w:val="center"/>
          </w:tcPr>
          <w:p w14:paraId="51413325">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03D3AC3D">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186F5ED3">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3908879F">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0EAD3560">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0178F4E7">
            <w:pPr>
              <w:spacing w:line="240" w:lineRule="auto"/>
              <w:ind w:firstLine="420"/>
              <w:jc w:val="center"/>
              <w:rPr>
                <w:rFonts w:hint="default" w:ascii="Times New Roman" w:hAnsi="Times New Roman" w:eastAsia="仿宋_GB2312" w:cs="Times New Roman"/>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2989FA6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4586EC9C">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2C4C4FF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指导协调本市自然灾害防治，灾情核查、损失评估、群众生活救助，组织协调应急物资的储备、调拨和紧急配送，承担救灾款物的管理、分配和监督使用工作</w:t>
            </w:r>
          </w:p>
        </w:tc>
        <w:tc>
          <w:tcPr>
            <w:tcW w:w="4140" w:type="dxa"/>
            <w:gridSpan w:val="4"/>
            <w:vAlign w:val="center"/>
          </w:tcPr>
          <w:p w14:paraId="309F7763">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通过风险普查，提前预防，群众及时转移，减少了人员伤亡和财产损失。</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hint="default" w:ascii="Times New Roman" w:hAnsi="Times New Roman" w:eastAsia="仿宋_GB2312" w:cs="Times New Roman"/>
                <w:kern w:val="0"/>
              </w:rPr>
            </w:pPr>
          </w:p>
          <w:p w14:paraId="6F502317">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067A644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218" w:type="dxa"/>
            <w:vAlign w:val="center"/>
          </w:tcPr>
          <w:p w14:paraId="711B464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020" w:type="dxa"/>
            <w:vAlign w:val="center"/>
          </w:tcPr>
          <w:p w14:paraId="0D14D59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1CF5CBF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099" w:type="dxa"/>
            <w:vAlign w:val="center"/>
          </w:tcPr>
          <w:p w14:paraId="6E5FA1D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09" w:type="dxa"/>
            <w:vAlign w:val="center"/>
          </w:tcPr>
          <w:p w14:paraId="5ADC1AF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49" w:type="dxa"/>
            <w:vAlign w:val="center"/>
          </w:tcPr>
          <w:p w14:paraId="3FA241B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383" w:type="dxa"/>
            <w:vAlign w:val="center"/>
          </w:tcPr>
          <w:p w14:paraId="5B1C80B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35BA75D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7207DC1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218" w:type="dxa"/>
            <w:vMerge w:val="restart"/>
            <w:tcBorders>
              <w:bottom w:val="nil"/>
            </w:tcBorders>
            <w:vAlign w:val="center"/>
          </w:tcPr>
          <w:p w14:paraId="20BDD60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020" w:type="dxa"/>
            <w:vAlign w:val="center"/>
          </w:tcPr>
          <w:p w14:paraId="7C29565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减少宣传周及减灾科普宣传完成率</w:t>
            </w:r>
          </w:p>
        </w:tc>
        <w:tc>
          <w:tcPr>
            <w:tcW w:w="1099" w:type="dxa"/>
            <w:vAlign w:val="center"/>
          </w:tcPr>
          <w:p w14:paraId="54B93945">
            <w:pPr>
              <w:spacing w:line="240" w:lineRule="auto"/>
              <w:ind w:firstLine="480" w:firstLineChars="200"/>
              <w:jc w:val="both"/>
              <w:rPr>
                <w:rFonts w:hint="default" w:ascii="Times New Roman" w:hAnsi="Times New Roman" w:eastAsia="仿宋_GB2312" w:cs="Times New Roman"/>
                <w:kern w:val="0"/>
                <w:lang w:val="en-US" w:eastAsia="zh-CN"/>
              </w:rPr>
            </w:pPr>
            <w:bookmarkStart w:id="15" w:name="OLE_LINK15"/>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5"/>
          </w:p>
        </w:tc>
        <w:tc>
          <w:tcPr>
            <w:tcW w:w="1099" w:type="dxa"/>
            <w:vAlign w:val="center"/>
          </w:tcPr>
          <w:p w14:paraId="7F49710C">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450DEC1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5F7B7A4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47B6917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w:t>
            </w:r>
            <w:r>
              <w:rPr>
                <w:rFonts w:hint="default" w:ascii="Times New Roman" w:hAnsi="Times New Roman" w:eastAsia="仿宋_GB2312" w:cs="Times New Roman"/>
                <w:kern w:val="0"/>
                <w:lang w:val="en-US" w:eastAsia="zh-CN"/>
              </w:rPr>
              <w:t>5.12应急演练，安全宣传工作深入千家万户。</w:t>
            </w: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hint="default" w:ascii="Times New Roman" w:hAnsi="Times New Roman" w:eastAsia="仿宋_GB2312" w:cs="Times New Roman"/>
                <w:kern w:val="0"/>
              </w:rPr>
            </w:pPr>
            <w:bookmarkStart w:id="16" w:name="OLE_LINK17" w:colFirst="4" w:colLast="6"/>
          </w:p>
        </w:tc>
        <w:tc>
          <w:tcPr>
            <w:tcW w:w="1059" w:type="dxa"/>
            <w:vMerge w:val="continue"/>
            <w:tcBorders>
              <w:top w:val="nil"/>
              <w:bottom w:val="nil"/>
            </w:tcBorders>
            <w:vAlign w:val="center"/>
          </w:tcPr>
          <w:p w14:paraId="3A694100">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566FD07B">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221334DE">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应急物资储备完成率</w:t>
            </w:r>
          </w:p>
        </w:tc>
        <w:tc>
          <w:tcPr>
            <w:tcW w:w="1099" w:type="dxa"/>
            <w:vAlign w:val="center"/>
          </w:tcPr>
          <w:p w14:paraId="29CCEED8">
            <w:pPr>
              <w:spacing w:line="240" w:lineRule="auto"/>
              <w:ind w:firstLine="420"/>
              <w:jc w:val="center"/>
              <w:rPr>
                <w:rFonts w:hint="default" w:ascii="Times New Roman" w:hAnsi="Times New Roman" w:eastAsia="仿宋_GB2312" w:cs="Times New Roman"/>
                <w:kern w:val="0"/>
              </w:rPr>
            </w:pPr>
            <w:bookmarkStart w:id="17" w:name="OLE_LINK16"/>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7"/>
          </w:p>
        </w:tc>
        <w:tc>
          <w:tcPr>
            <w:tcW w:w="1099" w:type="dxa"/>
            <w:vAlign w:val="center"/>
          </w:tcPr>
          <w:p w14:paraId="70F41D2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662F704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676686A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0ED4F555">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救灾储备物资充足</w:t>
            </w:r>
          </w:p>
        </w:tc>
      </w:tr>
      <w:bookmarkEnd w:id="16"/>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hint="default" w:ascii="Times New Roman" w:hAnsi="Times New Roman" w:eastAsia="仿宋_GB2312" w:cs="Times New Roman"/>
                <w:kern w:val="0"/>
              </w:rPr>
            </w:pPr>
            <w:bookmarkStart w:id="18" w:name="OLE_LINK18" w:colFirst="4" w:colLast="6"/>
          </w:p>
        </w:tc>
        <w:tc>
          <w:tcPr>
            <w:tcW w:w="1059" w:type="dxa"/>
            <w:vMerge w:val="continue"/>
            <w:tcBorders>
              <w:top w:val="nil"/>
              <w:bottom w:val="nil"/>
            </w:tcBorders>
            <w:vAlign w:val="center"/>
          </w:tcPr>
          <w:p w14:paraId="2769C338">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5580340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020" w:type="dxa"/>
            <w:vAlign w:val="center"/>
          </w:tcPr>
          <w:p w14:paraId="61412C8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中长期地质灾害预测报警及重点时段分险趋势分析信息服务</w:t>
            </w:r>
          </w:p>
        </w:tc>
        <w:tc>
          <w:tcPr>
            <w:tcW w:w="1099" w:type="dxa"/>
            <w:shd w:val="clear" w:color="auto" w:fill="auto"/>
            <w:vAlign w:val="center"/>
          </w:tcPr>
          <w:p w14:paraId="2D69FB3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3BC31E1">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5DC8615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25177C6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036CC26">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18"/>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hint="default" w:ascii="Times New Roman" w:hAnsi="Times New Roman" w:eastAsia="仿宋_GB2312" w:cs="Times New Roman"/>
                <w:kern w:val="0"/>
              </w:rPr>
            </w:pPr>
            <w:bookmarkStart w:id="19" w:name="OLE_LINK19" w:colFirst="4" w:colLast="5"/>
          </w:p>
        </w:tc>
        <w:tc>
          <w:tcPr>
            <w:tcW w:w="1059" w:type="dxa"/>
            <w:vMerge w:val="continue"/>
            <w:tcBorders>
              <w:top w:val="nil"/>
              <w:bottom w:val="nil"/>
            </w:tcBorders>
            <w:vAlign w:val="center"/>
          </w:tcPr>
          <w:p w14:paraId="65ACF22D">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4F4A07E3">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37972163">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储备物资验收通过率</w:t>
            </w:r>
          </w:p>
        </w:tc>
        <w:tc>
          <w:tcPr>
            <w:tcW w:w="1099" w:type="dxa"/>
            <w:shd w:val="clear" w:color="auto" w:fill="auto"/>
            <w:vAlign w:val="center"/>
          </w:tcPr>
          <w:p w14:paraId="29C293E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620D8F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1CFE771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182C2D1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0090E9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19"/>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hint="default" w:ascii="Times New Roman" w:hAnsi="Times New Roman" w:eastAsia="仿宋_GB2312" w:cs="Times New Roman"/>
                <w:kern w:val="0"/>
              </w:rPr>
            </w:pPr>
            <w:bookmarkStart w:id="20" w:name="OLE_LINK20" w:colFirst="4" w:colLast="5"/>
          </w:p>
        </w:tc>
        <w:tc>
          <w:tcPr>
            <w:tcW w:w="1059" w:type="dxa"/>
            <w:vMerge w:val="continue"/>
            <w:tcBorders>
              <w:top w:val="nil"/>
              <w:bottom w:val="nil"/>
            </w:tcBorders>
            <w:vAlign w:val="center"/>
          </w:tcPr>
          <w:p w14:paraId="7C15D159">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6E62708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020" w:type="dxa"/>
            <w:vAlign w:val="center"/>
          </w:tcPr>
          <w:p w14:paraId="724A960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调研报告完成及时率</w:t>
            </w:r>
          </w:p>
        </w:tc>
        <w:tc>
          <w:tcPr>
            <w:tcW w:w="1099" w:type="dxa"/>
            <w:shd w:val="clear" w:color="auto" w:fill="auto"/>
            <w:vAlign w:val="center"/>
          </w:tcPr>
          <w:p w14:paraId="015D039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C21687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0D16C33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94C7D5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46CE8FD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20"/>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hint="default" w:ascii="Times New Roman" w:hAnsi="Times New Roman" w:eastAsia="仿宋_GB2312" w:cs="Times New Roman"/>
                <w:kern w:val="0"/>
              </w:rPr>
            </w:pPr>
            <w:bookmarkStart w:id="21" w:name="OLE_LINK21" w:colFirst="4" w:colLast="5"/>
          </w:p>
        </w:tc>
        <w:tc>
          <w:tcPr>
            <w:tcW w:w="1059" w:type="dxa"/>
            <w:vMerge w:val="continue"/>
            <w:tcBorders>
              <w:top w:val="nil"/>
              <w:bottom w:val="nil"/>
            </w:tcBorders>
            <w:vAlign w:val="center"/>
          </w:tcPr>
          <w:p w14:paraId="58001EC4">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33D7B1B6">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54579AB0">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储备物资验收及时率</w:t>
            </w:r>
          </w:p>
        </w:tc>
        <w:tc>
          <w:tcPr>
            <w:tcW w:w="1099" w:type="dxa"/>
            <w:shd w:val="clear" w:color="auto" w:fill="auto"/>
            <w:vAlign w:val="center"/>
          </w:tcPr>
          <w:p w14:paraId="7E44AA5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0736A6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13AFCFC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5322DFE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BEADF1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21"/>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054" w:type="dxa"/>
            <w:vMerge w:val="continue"/>
            <w:textDirection w:val="tbRlV"/>
            <w:vAlign w:val="center"/>
          </w:tcPr>
          <w:p w14:paraId="223B10A2">
            <w:pPr>
              <w:spacing w:line="240" w:lineRule="auto"/>
              <w:ind w:firstLine="420"/>
              <w:jc w:val="center"/>
              <w:rPr>
                <w:rFonts w:hint="default" w:ascii="Times New Roman" w:hAnsi="Times New Roman" w:eastAsia="仿宋_GB2312" w:cs="Times New Roman"/>
                <w:kern w:val="0"/>
              </w:rPr>
            </w:pPr>
            <w:bookmarkStart w:id="22" w:name="OLE_LINK22" w:colFirst="4" w:colLast="6"/>
          </w:p>
        </w:tc>
        <w:tc>
          <w:tcPr>
            <w:tcW w:w="1059" w:type="dxa"/>
            <w:vMerge w:val="restart"/>
            <w:tcBorders>
              <w:bottom w:val="nil"/>
            </w:tcBorders>
            <w:vAlign w:val="center"/>
          </w:tcPr>
          <w:p w14:paraId="60426E4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4DA3C3B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(30分)</w:t>
            </w:r>
          </w:p>
        </w:tc>
        <w:tc>
          <w:tcPr>
            <w:tcW w:w="1218" w:type="dxa"/>
            <w:vMerge w:val="restart"/>
            <w:tcBorders>
              <w:bottom w:val="nil"/>
            </w:tcBorders>
            <w:vAlign w:val="center"/>
          </w:tcPr>
          <w:p w14:paraId="47EE293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020" w:type="dxa"/>
            <w:vAlign w:val="center"/>
          </w:tcPr>
          <w:p w14:paraId="50DC120B">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自然灾害有效措施</w:t>
            </w:r>
          </w:p>
        </w:tc>
        <w:tc>
          <w:tcPr>
            <w:tcW w:w="1099" w:type="dxa"/>
            <w:shd w:val="clear" w:color="auto" w:fill="auto"/>
            <w:vAlign w:val="center"/>
          </w:tcPr>
          <w:p w14:paraId="53928C31">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bookmarkStart w:id="23" w:name="OLE_LINK23"/>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23"/>
          </w:p>
        </w:tc>
        <w:tc>
          <w:tcPr>
            <w:tcW w:w="1099" w:type="dxa"/>
            <w:shd w:val="clear" w:color="auto" w:fill="auto"/>
            <w:vAlign w:val="center"/>
          </w:tcPr>
          <w:p w14:paraId="6D883DD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2958485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1D412C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D804D2D">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及时有效落实到位</w:t>
            </w:r>
          </w:p>
        </w:tc>
      </w:tr>
      <w:bookmarkEnd w:id="22"/>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hint="default" w:ascii="Times New Roman" w:hAnsi="Times New Roman" w:eastAsia="仿宋_GB2312" w:cs="Times New Roman"/>
                <w:kern w:val="0"/>
              </w:rPr>
            </w:pPr>
            <w:bookmarkStart w:id="24" w:name="OLE_LINK24" w:colFirst="4" w:colLast="6"/>
          </w:p>
        </w:tc>
        <w:tc>
          <w:tcPr>
            <w:tcW w:w="1059" w:type="dxa"/>
            <w:vMerge w:val="continue"/>
            <w:tcBorders>
              <w:top w:val="nil"/>
              <w:bottom w:val="nil"/>
            </w:tcBorders>
            <w:vAlign w:val="center"/>
          </w:tcPr>
          <w:p w14:paraId="3BA1947C">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580F7AD3">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393F2438">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防汛应急工程损毁补偿</w:t>
            </w:r>
          </w:p>
        </w:tc>
        <w:tc>
          <w:tcPr>
            <w:tcW w:w="1099" w:type="dxa"/>
            <w:shd w:val="clear" w:color="auto" w:fill="auto"/>
            <w:vAlign w:val="center"/>
          </w:tcPr>
          <w:p w14:paraId="2C0C58B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76658D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3D83AE1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6B84A56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45E24DC">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及时落实到位</w:t>
            </w:r>
          </w:p>
        </w:tc>
      </w:tr>
      <w:bookmarkEnd w:id="24"/>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hint="default" w:ascii="Times New Roman" w:hAnsi="Times New Roman" w:eastAsia="仿宋_GB2312" w:cs="Times New Roman"/>
                <w:kern w:val="0"/>
              </w:rPr>
            </w:pPr>
            <w:bookmarkStart w:id="25" w:name="OLE_LINK25" w:colFirst="4" w:colLast="6"/>
          </w:p>
        </w:tc>
        <w:tc>
          <w:tcPr>
            <w:tcW w:w="1059" w:type="dxa"/>
            <w:vMerge w:val="continue"/>
            <w:tcBorders>
              <w:top w:val="nil"/>
              <w:bottom w:val="nil"/>
            </w:tcBorders>
            <w:vAlign w:val="center"/>
          </w:tcPr>
          <w:p w14:paraId="5A4C7B6B">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3A92374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020" w:type="dxa"/>
            <w:vAlign w:val="center"/>
          </w:tcPr>
          <w:p w14:paraId="73C8CEB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保障城市平稳运行和人民生命财产安全</w:t>
            </w:r>
          </w:p>
        </w:tc>
        <w:tc>
          <w:tcPr>
            <w:tcW w:w="1099" w:type="dxa"/>
            <w:shd w:val="clear" w:color="auto" w:fill="auto"/>
            <w:vAlign w:val="center"/>
          </w:tcPr>
          <w:p w14:paraId="0187539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101F8D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699C14A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0665EFF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7B9758C">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持续发挥作用</w:t>
            </w:r>
          </w:p>
        </w:tc>
      </w:tr>
      <w:bookmarkEnd w:id="25"/>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hint="default" w:ascii="Times New Roman" w:hAnsi="Times New Roman" w:eastAsia="仿宋_GB2312" w:cs="Times New Roman"/>
                <w:kern w:val="0"/>
              </w:rPr>
            </w:pPr>
            <w:bookmarkStart w:id="26" w:name="OLE_LINK26" w:colFirst="4" w:colLast="6"/>
          </w:p>
        </w:tc>
        <w:tc>
          <w:tcPr>
            <w:tcW w:w="1059" w:type="dxa"/>
            <w:vMerge w:val="continue"/>
            <w:tcBorders>
              <w:top w:val="nil"/>
              <w:bottom w:val="nil"/>
            </w:tcBorders>
            <w:vAlign w:val="center"/>
          </w:tcPr>
          <w:p w14:paraId="6021A7C5">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37A2E16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020" w:type="dxa"/>
            <w:vAlign w:val="center"/>
          </w:tcPr>
          <w:p w14:paraId="467C3540">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抗灾减灾能力提高情况</w:t>
            </w:r>
          </w:p>
        </w:tc>
        <w:tc>
          <w:tcPr>
            <w:tcW w:w="1099" w:type="dxa"/>
            <w:shd w:val="clear" w:color="auto" w:fill="auto"/>
            <w:vAlign w:val="center"/>
          </w:tcPr>
          <w:p w14:paraId="286C219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CA75DE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491BA99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1BF7EB9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E0A44CC">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稳定提高</w:t>
            </w:r>
          </w:p>
        </w:tc>
      </w:tr>
      <w:bookmarkEnd w:id="26"/>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hint="default" w:ascii="Times New Roman" w:hAnsi="Times New Roman" w:eastAsia="仿宋_GB2312" w:cs="Times New Roman"/>
                <w:kern w:val="0"/>
              </w:rPr>
            </w:pPr>
            <w:bookmarkStart w:id="27" w:name="OLE_LINK27" w:colFirst="4" w:colLast="8"/>
          </w:p>
        </w:tc>
        <w:tc>
          <w:tcPr>
            <w:tcW w:w="1059" w:type="dxa"/>
            <w:vMerge w:val="continue"/>
            <w:tcBorders>
              <w:top w:val="nil"/>
              <w:bottom w:val="nil"/>
            </w:tcBorders>
            <w:vAlign w:val="center"/>
          </w:tcPr>
          <w:p w14:paraId="6CD572E5">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67FD8A6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020" w:type="dxa"/>
            <w:vAlign w:val="center"/>
          </w:tcPr>
          <w:p w14:paraId="1BFEC1E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全年保障备勤</w:t>
            </w:r>
          </w:p>
        </w:tc>
        <w:tc>
          <w:tcPr>
            <w:tcW w:w="1099" w:type="dxa"/>
            <w:shd w:val="clear" w:color="auto" w:fill="auto"/>
            <w:vAlign w:val="center"/>
          </w:tcPr>
          <w:p w14:paraId="48F3A1C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96F13D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49A57C7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044D5C8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2463F4C6">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已全覆盖</w:t>
            </w:r>
          </w:p>
        </w:tc>
      </w:tr>
      <w:bookmarkEnd w:id="27"/>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hint="default" w:ascii="Times New Roman" w:hAnsi="Times New Roman" w:eastAsia="仿宋_GB2312" w:cs="Times New Roman"/>
                <w:kern w:val="0"/>
              </w:rPr>
            </w:pPr>
            <w:bookmarkStart w:id="28" w:name="OLE_LINK28" w:colFirst="4" w:colLast="6"/>
          </w:p>
        </w:tc>
        <w:tc>
          <w:tcPr>
            <w:tcW w:w="1059" w:type="dxa"/>
            <w:tcBorders>
              <w:bottom w:val="nil"/>
            </w:tcBorders>
            <w:vAlign w:val="center"/>
          </w:tcPr>
          <w:p w14:paraId="726A289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满意度指标(10分)</w:t>
            </w:r>
          </w:p>
        </w:tc>
        <w:tc>
          <w:tcPr>
            <w:tcW w:w="1218" w:type="dxa"/>
            <w:tcBorders>
              <w:bottom w:val="nil"/>
            </w:tcBorders>
            <w:vAlign w:val="center"/>
          </w:tcPr>
          <w:p w14:paraId="14908BE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020" w:type="dxa"/>
            <w:vAlign w:val="center"/>
          </w:tcPr>
          <w:p w14:paraId="4471F21F">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宣传对象满意度</w:t>
            </w:r>
          </w:p>
        </w:tc>
        <w:tc>
          <w:tcPr>
            <w:tcW w:w="1099" w:type="dxa"/>
            <w:shd w:val="clear" w:color="auto" w:fill="auto"/>
            <w:vAlign w:val="center"/>
          </w:tcPr>
          <w:p w14:paraId="10DB725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5FCC67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29FD5B5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shd w:val="clear" w:color="auto" w:fill="auto"/>
            <w:vAlign w:val="center"/>
          </w:tcPr>
          <w:p w14:paraId="57CE9A5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10</w:t>
            </w:r>
          </w:p>
        </w:tc>
        <w:tc>
          <w:tcPr>
            <w:tcW w:w="1383" w:type="dxa"/>
            <w:shd w:val="clear" w:color="auto" w:fill="auto"/>
            <w:vAlign w:val="center"/>
          </w:tcPr>
          <w:p w14:paraId="5D35589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eastAsia="zh-CN"/>
              </w:rPr>
              <w:t>已全覆盖</w:t>
            </w:r>
          </w:p>
        </w:tc>
      </w:tr>
      <w:bookmarkEnd w:id="28"/>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hint="default" w:ascii="Times New Roman" w:hAnsi="Times New Roman" w:eastAsia="仿宋_GB2312" w:cs="Times New Roman"/>
                <w:kern w:val="0"/>
              </w:rPr>
            </w:pPr>
            <w:bookmarkStart w:id="29" w:name="OLE_LINK29" w:colFirst="4" w:colLast="5"/>
          </w:p>
        </w:tc>
        <w:tc>
          <w:tcPr>
            <w:tcW w:w="1059" w:type="dxa"/>
            <w:vMerge w:val="restart"/>
            <w:tcBorders>
              <w:top w:val="nil"/>
            </w:tcBorders>
            <w:vAlign w:val="center"/>
          </w:tcPr>
          <w:p w14:paraId="49989B83">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750BB04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218" w:type="dxa"/>
            <w:tcBorders>
              <w:top w:val="nil"/>
            </w:tcBorders>
            <w:vAlign w:val="center"/>
          </w:tcPr>
          <w:p w14:paraId="795EA9C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020" w:type="dxa"/>
            <w:vAlign w:val="center"/>
          </w:tcPr>
          <w:p w14:paraId="2D05014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099" w:type="dxa"/>
            <w:shd w:val="clear" w:color="auto" w:fill="auto"/>
            <w:vAlign w:val="center"/>
          </w:tcPr>
          <w:p w14:paraId="7D8FEFD1">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729BFD5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43443E1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1005FDF9">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2AB38FDF">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有效减少了人民群众财产损失</w:t>
            </w:r>
          </w:p>
        </w:tc>
      </w:tr>
      <w:bookmarkEnd w:id="29"/>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hint="default" w:ascii="Times New Roman" w:hAnsi="Times New Roman" w:eastAsia="仿宋_GB2312" w:cs="Times New Roman"/>
                <w:kern w:val="0"/>
              </w:rPr>
            </w:pPr>
            <w:bookmarkStart w:id="30" w:name="OLE_LINK30" w:colFirst="4" w:colLast="6"/>
          </w:p>
        </w:tc>
        <w:tc>
          <w:tcPr>
            <w:tcW w:w="1059" w:type="dxa"/>
            <w:vMerge w:val="continue"/>
            <w:tcBorders>
              <w:top w:val="nil"/>
            </w:tcBorders>
            <w:vAlign w:val="center"/>
          </w:tcPr>
          <w:p w14:paraId="196E843C">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5D444AA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020" w:type="dxa"/>
            <w:vAlign w:val="center"/>
          </w:tcPr>
          <w:p w14:paraId="61DC1F6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区域抵御自然灾害的能力体系</w:t>
            </w:r>
          </w:p>
        </w:tc>
        <w:tc>
          <w:tcPr>
            <w:tcW w:w="1099" w:type="dxa"/>
            <w:shd w:val="clear" w:color="auto" w:fill="auto"/>
            <w:vAlign w:val="center"/>
          </w:tcPr>
          <w:p w14:paraId="515A677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79BCBEC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7CB491C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7D79764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A01EA7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提高全社会抵御自然灾害的能力，避免因灾返贫情况</w:t>
            </w:r>
          </w:p>
        </w:tc>
      </w:tr>
      <w:bookmarkEnd w:id="30"/>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40BFF40B">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517D0F6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020" w:type="dxa"/>
            <w:vAlign w:val="center"/>
          </w:tcPr>
          <w:p w14:paraId="2C28E6A5">
            <w:pPr>
              <w:spacing w:line="240" w:lineRule="auto"/>
              <w:jc w:val="left"/>
              <w:rPr>
                <w:rFonts w:hint="default" w:ascii="Times New Roman" w:hAnsi="Times New Roman" w:eastAsia="仿宋_GB2312" w:cs="Times New Roman"/>
                <w:kern w:val="0"/>
                <w:lang w:eastAsia="zh-CN"/>
              </w:rPr>
            </w:pPr>
            <w:bookmarkStart w:id="31" w:name="OLE_LINK31"/>
            <w:r>
              <w:rPr>
                <w:rFonts w:hint="default" w:ascii="Times New Roman" w:hAnsi="Times New Roman" w:eastAsia="仿宋_GB2312" w:cs="Times New Roman"/>
                <w:kern w:val="0"/>
                <w:lang w:eastAsia="zh-CN"/>
              </w:rPr>
              <w:t>提升公众防灾减灾、防震减灾、安全生产意识</w:t>
            </w:r>
            <w:bookmarkEnd w:id="31"/>
          </w:p>
        </w:tc>
        <w:tc>
          <w:tcPr>
            <w:tcW w:w="1099" w:type="dxa"/>
            <w:shd w:val="clear" w:color="auto" w:fill="auto"/>
            <w:vAlign w:val="center"/>
          </w:tcPr>
          <w:p w14:paraId="52AC4F9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867BB9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640DCB8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03C9828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7AC32C23">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有效提升公众防灾减灾、防震减灾、安全生产意识</w:t>
            </w: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09" w:type="dxa"/>
            <w:vAlign w:val="center"/>
          </w:tcPr>
          <w:p w14:paraId="20B2CC3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49" w:type="dxa"/>
            <w:vAlign w:val="center"/>
          </w:tcPr>
          <w:p w14:paraId="3FD2854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643C41F8">
            <w:pPr>
              <w:spacing w:line="240" w:lineRule="auto"/>
              <w:ind w:firstLine="420"/>
              <w:jc w:val="center"/>
              <w:rPr>
                <w:rFonts w:hint="default" w:ascii="Times New Roman" w:hAnsi="Times New Roman" w:eastAsia="仿宋_GB2312" w:cs="Times New Roman"/>
                <w:kern w:val="0"/>
              </w:rPr>
            </w:pPr>
          </w:p>
        </w:tc>
      </w:tr>
    </w:tbl>
    <w:p w14:paraId="6224FA4D">
      <w:pPr>
        <w:spacing w:before="52" w:line="219"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51522281">
      <w:pPr>
        <w:spacing w:line="240" w:lineRule="auto"/>
        <w:ind w:firstLine="420"/>
        <w:jc w:val="left"/>
        <w:rPr>
          <w:rFonts w:hint="default" w:ascii="Times New Roman" w:hAnsi="Times New Roman" w:eastAsia="宋体" w:cs="Times New Roman"/>
          <w:kern w:val="0"/>
          <w:lang w:eastAsia="zh-CN"/>
        </w:rPr>
      </w:pPr>
    </w:p>
    <w:p w14:paraId="1A000801">
      <w:pPr>
        <w:rPr>
          <w:rFonts w:hint="default" w:ascii="Times New Roman" w:hAnsi="Times New Roman" w:eastAsia="仿宋_GB2312" w:cs="Times New Roman"/>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default" w:ascii="Times New Roman" w:hAnsi="Times New Roman" w:eastAsia="仿宋_GB2312" w:cs="Times New Roman"/>
          <w:kern w:val="0"/>
          <w:lang w:eastAsia="zh-CN"/>
        </w:rPr>
        <w:t>填表人：彭琼   填报日期：</w:t>
      </w:r>
      <w:r>
        <w:rPr>
          <w:rFonts w:hint="default" w:ascii="Times New Roman" w:hAnsi="Times New Roman" w:eastAsia="仿宋_GB2312" w:cs="Times New Roman"/>
          <w:kern w:val="0"/>
          <w:lang w:val="en-US" w:eastAsia="zh-CN"/>
        </w:rPr>
        <w:t>2024.10.12</w:t>
      </w:r>
      <w:r>
        <w:rPr>
          <w:rFonts w:hint="default" w:ascii="Times New Roman" w:hAnsi="Times New Roman" w:eastAsia="仿宋_GB2312" w:cs="Times New Roman"/>
          <w:kern w:val="0"/>
          <w:lang w:eastAsia="zh-CN"/>
        </w:rPr>
        <w:t xml:space="preserve">   联系电话：</w:t>
      </w:r>
      <w:r>
        <w:rPr>
          <w:rFonts w:hint="default" w:ascii="Times New Roman" w:hAnsi="Times New Roman" w:eastAsia="仿宋_GB2312" w:cs="Times New Roman"/>
          <w:kern w:val="0"/>
          <w:lang w:val="en-US" w:eastAsia="zh-CN"/>
        </w:rPr>
        <w:t>13874088061</w:t>
      </w:r>
      <w:r>
        <w:rPr>
          <w:rFonts w:hint="default" w:ascii="Times New Roman" w:hAnsi="Times New Roman" w:eastAsia="仿宋_GB2312" w:cs="Times New Roman"/>
          <w:kern w:val="0"/>
          <w:lang w:eastAsia="zh-CN"/>
        </w:rPr>
        <w:t xml:space="preserve">   单位负责人签字:许强</w:t>
      </w:r>
    </w:p>
    <w:bookmarkEnd w:id="14"/>
    <w:p w14:paraId="55C30A03">
      <w:pPr>
        <w:spacing w:line="267" w:lineRule="auto"/>
        <w:jc w:val="both"/>
        <w:rPr>
          <w:rFonts w:hint="default" w:ascii="Times New Roman" w:hAnsi="Times New Roman" w:eastAsia="黑体" w:cs="Times New Roman"/>
          <w:bCs/>
          <w:spacing w:val="-4"/>
          <w:kern w:val="0"/>
          <w:sz w:val="28"/>
          <w:szCs w:val="28"/>
          <w:lang w:eastAsia="zh-CN"/>
        </w:rPr>
      </w:pPr>
      <w:r>
        <w:rPr>
          <w:rFonts w:hint="default" w:ascii="Times New Roman" w:hAnsi="Times New Roman" w:eastAsia="黑体" w:cs="Times New Roman"/>
          <w:bCs/>
          <w:spacing w:val="-4"/>
          <w:kern w:val="0"/>
          <w:sz w:val="28"/>
          <w:szCs w:val="28"/>
          <w:lang w:eastAsia="zh-CN"/>
        </w:rPr>
        <w:t>附件4</w:t>
      </w:r>
    </w:p>
    <w:p w14:paraId="68C70125">
      <w:pPr>
        <w:spacing w:line="240" w:lineRule="auto"/>
        <w:ind w:firstLine="880"/>
        <w:jc w:val="center"/>
        <w:rPr>
          <w:rFonts w:hint="default" w:ascii="Times New Roman" w:hAnsi="Times New Roman" w:eastAsia="方正小标宋简体" w:cs="Times New Roman"/>
          <w:kern w:val="0"/>
          <w:sz w:val="44"/>
          <w:szCs w:val="44"/>
          <w:lang w:eastAsia="zh-CN"/>
        </w:rPr>
      </w:pPr>
    </w:p>
    <w:p w14:paraId="651F7153">
      <w:pPr>
        <w:spacing w:line="240" w:lineRule="auto"/>
        <w:ind w:firstLine="880"/>
        <w:jc w:val="center"/>
        <w:rPr>
          <w:rFonts w:hint="default" w:ascii="Times New Roman" w:hAnsi="Times New Roman" w:eastAsia="方正小标宋简体" w:cs="Times New Roman"/>
          <w:kern w:val="0"/>
          <w:sz w:val="44"/>
          <w:szCs w:val="44"/>
          <w:lang w:eastAsia="zh-CN"/>
        </w:rPr>
      </w:pPr>
    </w:p>
    <w:p w14:paraId="46C4629C">
      <w:pPr>
        <w:spacing w:line="240" w:lineRule="auto"/>
        <w:ind w:firstLine="880"/>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202</w:t>
      </w:r>
      <w:r>
        <w:rPr>
          <w:rFonts w:hint="default" w:ascii="Times New Roman" w:hAnsi="Times New Roman" w:eastAsia="方正小标宋简体" w:cs="Times New Roman"/>
          <w:kern w:val="0"/>
          <w:sz w:val="44"/>
          <w:szCs w:val="44"/>
          <w:lang w:val="en-US" w:eastAsia="zh-CN"/>
        </w:rPr>
        <w:t>3</w:t>
      </w:r>
      <w:r>
        <w:rPr>
          <w:rFonts w:hint="default" w:ascii="Times New Roman" w:hAnsi="Times New Roman" w:eastAsia="方正小标宋简体" w:cs="Times New Roman"/>
          <w:kern w:val="0"/>
          <w:sz w:val="44"/>
          <w:szCs w:val="44"/>
          <w:lang w:eastAsia="zh-CN"/>
        </w:rPr>
        <w:t>年度应急管理部门整体支出</w:t>
      </w:r>
    </w:p>
    <w:p w14:paraId="4E3D087B">
      <w:pPr>
        <w:spacing w:line="240" w:lineRule="auto"/>
        <w:ind w:firstLine="880"/>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snapToGrid w:val="0"/>
          <w:color w:val="000000"/>
          <w:sz w:val="32"/>
          <w:szCs w:val="32"/>
          <w:lang w:val="en-US" w:eastAsia="zh-CN" w:bidi="ar-SA"/>
        </w:rPr>
      </w:pPr>
      <w:r>
        <w:rPr>
          <w:rFonts w:hint="default" w:ascii="Times New Roman" w:hAnsi="Times New Roman" w:eastAsia="楷体_GB2312" w:cs="Times New Roman"/>
          <w:b/>
          <w:bCs/>
          <w:snapToGrid w:val="0"/>
          <w:color w:val="000000"/>
          <w:spacing w:val="-28"/>
          <w:sz w:val="32"/>
          <w:szCs w:val="32"/>
          <w:lang w:val="en-US" w:eastAsia="zh-CN" w:bidi="ar-SA"/>
        </w:rPr>
        <w:t>部门名称</w:t>
      </w:r>
      <w:r>
        <w:rPr>
          <w:rFonts w:hint="eastAsia" w:ascii="Times New Roman" w:hAnsi="Times New Roman" w:eastAsia="楷体_GB2312" w:cs="Times New Roman"/>
          <w:b/>
          <w:bCs/>
          <w:snapToGrid w:val="0"/>
          <w:color w:val="000000"/>
          <w:spacing w:val="-28"/>
          <w:sz w:val="32"/>
          <w:szCs w:val="32"/>
          <w:u w:val="none"/>
          <w:lang w:val="en-US" w:eastAsia="zh-CN" w:bidi="ar-SA"/>
        </w:rPr>
        <w:t>（</w:t>
      </w:r>
      <w:r>
        <w:rPr>
          <w:rFonts w:hint="default" w:ascii="Times New Roman" w:hAnsi="Times New Roman" w:eastAsia="楷体_GB2312" w:cs="Times New Roman"/>
          <w:b/>
          <w:bCs/>
          <w:snapToGrid w:val="0"/>
          <w:color w:val="000000"/>
          <w:spacing w:val="-28"/>
          <w:sz w:val="32"/>
          <w:szCs w:val="32"/>
          <w:u w:val="none"/>
          <w:lang w:val="en-US" w:eastAsia="zh-CN" w:bidi="ar-SA"/>
        </w:rPr>
        <w:t>盖章</w:t>
      </w:r>
      <w:r>
        <w:rPr>
          <w:rFonts w:hint="eastAsia" w:ascii="Times New Roman" w:hAnsi="Times New Roman" w:eastAsia="楷体_GB2312" w:cs="Times New Roman"/>
          <w:b/>
          <w:bCs/>
          <w:snapToGrid w:val="0"/>
          <w:color w:val="000000"/>
          <w:spacing w:val="-28"/>
          <w:sz w:val="32"/>
          <w:szCs w:val="32"/>
          <w:u w:val="none"/>
          <w:lang w:val="en-US" w:eastAsia="zh-CN" w:bidi="ar-SA"/>
        </w:rPr>
        <w:t>）</w:t>
      </w:r>
      <w:r>
        <w:rPr>
          <w:rFonts w:hint="default" w:ascii="Times New Roman" w:hAnsi="Times New Roman" w:eastAsia="楷体_GB2312" w:cs="Times New Roman"/>
          <w:b/>
          <w:bCs/>
          <w:snapToGrid w:val="0"/>
          <w:color w:val="000000"/>
          <w:spacing w:val="-28"/>
          <w:sz w:val="32"/>
          <w:szCs w:val="32"/>
          <w:lang w:val="en-US" w:eastAsia="zh-CN" w:bidi="ar-SA"/>
        </w:rPr>
        <w:t>：</w:t>
      </w:r>
      <w:r>
        <w:rPr>
          <w:rFonts w:hint="eastAsia" w:ascii="Times New Roman" w:hAnsi="Times New Roman" w:eastAsia="楷体_GB2312" w:cs="Times New Roman"/>
          <w:b/>
          <w:bCs/>
          <w:snapToGrid w:val="0"/>
          <w:color w:val="000000"/>
          <w:spacing w:val="-28"/>
          <w:sz w:val="32"/>
          <w:szCs w:val="32"/>
          <w:u w:val="single"/>
          <w:lang w:val="en-US" w:eastAsia="zh-CN" w:bidi="ar-SA"/>
        </w:rPr>
        <w:t>　汨罗市应急管理局　</w:t>
      </w:r>
    </w:p>
    <w:p w14:paraId="2CE85E71">
      <w:pPr>
        <w:spacing w:before="274" w:line="225" w:lineRule="auto"/>
        <w:ind w:firstLine="617"/>
        <w:jc w:val="center"/>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b/>
          <w:bCs/>
          <w:spacing w:val="-13"/>
          <w:kern w:val="0"/>
          <w:sz w:val="32"/>
          <w:szCs w:val="32"/>
          <w:lang w:val="en-US" w:eastAsia="zh-CN"/>
        </w:rPr>
        <w:t>2024</w:t>
      </w:r>
      <w:r>
        <w:rPr>
          <w:rFonts w:hint="default" w:ascii="Times New Roman" w:hAnsi="Times New Roman" w:eastAsia="楷体_GB2312" w:cs="Times New Roman"/>
          <w:b/>
          <w:bCs/>
          <w:spacing w:val="-13"/>
          <w:kern w:val="0"/>
          <w:sz w:val="32"/>
          <w:szCs w:val="32"/>
          <w:lang w:eastAsia="zh-CN"/>
        </w:rPr>
        <w:t xml:space="preserve">年  </w:t>
      </w:r>
      <w:r>
        <w:rPr>
          <w:rFonts w:hint="default" w:ascii="Times New Roman" w:hAnsi="Times New Roman" w:eastAsia="楷体_GB2312" w:cs="Times New Roman"/>
          <w:b/>
          <w:bCs/>
          <w:spacing w:val="-13"/>
          <w:kern w:val="0"/>
          <w:sz w:val="32"/>
          <w:szCs w:val="32"/>
          <w:lang w:val="en-US" w:eastAsia="zh-CN"/>
        </w:rPr>
        <w:t>10</w:t>
      </w:r>
      <w:r>
        <w:rPr>
          <w:rFonts w:hint="default" w:ascii="Times New Roman" w:hAnsi="Times New Roman" w:eastAsia="楷体_GB2312" w:cs="Times New Roman"/>
          <w:b/>
          <w:bCs/>
          <w:spacing w:val="-13"/>
          <w:kern w:val="0"/>
          <w:sz w:val="32"/>
          <w:szCs w:val="32"/>
          <w:lang w:eastAsia="zh-CN"/>
        </w:rPr>
        <w:t xml:space="preserve"> </w:t>
      </w:r>
      <w:r>
        <w:rPr>
          <w:rFonts w:hint="default" w:ascii="Times New Roman" w:hAnsi="Times New Roman" w:eastAsia="楷体_GB2312" w:cs="Times New Roman"/>
          <w:spacing w:val="-13"/>
          <w:kern w:val="0"/>
          <w:sz w:val="32"/>
          <w:szCs w:val="32"/>
          <w:lang w:eastAsia="zh-CN"/>
        </w:rPr>
        <w:t xml:space="preserve">月  </w:t>
      </w:r>
      <w:r>
        <w:rPr>
          <w:rFonts w:hint="default" w:ascii="Times New Roman" w:hAnsi="Times New Roman" w:eastAsia="楷体_GB2312" w:cs="Times New Roman"/>
          <w:spacing w:val="-13"/>
          <w:kern w:val="0"/>
          <w:sz w:val="32"/>
          <w:szCs w:val="32"/>
          <w:lang w:val="en-US" w:eastAsia="zh-CN"/>
        </w:rPr>
        <w:t>12</w:t>
      </w:r>
      <w:r>
        <w:rPr>
          <w:rFonts w:hint="default" w:ascii="Times New Roman" w:hAnsi="Times New Roman" w:eastAsia="楷体_GB2312" w:cs="Times New Roman"/>
          <w:spacing w:val="-13"/>
          <w:kern w:val="0"/>
          <w:sz w:val="32"/>
          <w:szCs w:val="32"/>
          <w:lang w:eastAsia="zh-CN"/>
        </w:rPr>
        <w:t xml:space="preserve">  </w:t>
      </w:r>
      <w:r>
        <w:rPr>
          <w:rFonts w:hint="default" w:ascii="Times New Roman" w:hAnsi="Times New Roman" w:eastAsia="楷体_GB2312" w:cs="Times New Roman"/>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r>
        <w:rPr>
          <w:rFonts w:hint="default" w:ascii="Times New Roman" w:hAnsi="Times New Roman" w:eastAsia="仿宋" w:cs="Times New Roman"/>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5309014B">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500AB52C">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4BF35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color w:val="auto"/>
          <w:spacing w:val="16"/>
          <w:sz w:val="44"/>
          <w:szCs w:val="44"/>
        </w:rPr>
      </w:pPr>
      <w:r>
        <w:rPr>
          <w:rFonts w:hint="default" w:ascii="Times New Roman" w:hAnsi="Times New Roman" w:eastAsia="方正小标宋简体" w:cs="Times New Roman"/>
          <w:color w:val="auto"/>
          <w:spacing w:val="16"/>
          <w:sz w:val="44"/>
          <w:szCs w:val="44"/>
        </w:rPr>
        <w:t>202</w:t>
      </w:r>
      <w:r>
        <w:rPr>
          <w:rFonts w:hint="default" w:ascii="Times New Roman" w:hAnsi="Times New Roman" w:eastAsia="方正小标宋简体" w:cs="Times New Roman"/>
          <w:color w:val="auto"/>
          <w:spacing w:val="16"/>
          <w:sz w:val="44"/>
          <w:szCs w:val="44"/>
          <w:lang w:val="en-US" w:eastAsia="zh-CN"/>
        </w:rPr>
        <w:t>3</w:t>
      </w:r>
      <w:r>
        <w:rPr>
          <w:rFonts w:hint="default" w:ascii="Times New Roman" w:hAnsi="Times New Roman" w:eastAsia="方正小标宋简体" w:cs="Times New Roman"/>
          <w:color w:val="auto"/>
          <w:spacing w:val="16"/>
          <w:sz w:val="44"/>
          <w:szCs w:val="44"/>
        </w:rPr>
        <w:t>年度</w:t>
      </w:r>
      <w:r>
        <w:rPr>
          <w:rFonts w:hint="default" w:ascii="Times New Roman" w:hAnsi="Times New Roman" w:eastAsia="方正小标宋简体" w:cs="Times New Roman"/>
          <w:color w:val="auto"/>
          <w:sz w:val="44"/>
          <w:szCs w:val="44"/>
          <w:lang w:eastAsia="zh-CN"/>
        </w:rPr>
        <w:t>应急管理</w:t>
      </w:r>
      <w:r>
        <w:rPr>
          <w:rFonts w:hint="default" w:ascii="Times New Roman" w:hAnsi="Times New Roman" w:eastAsia="方正小标宋简体" w:cs="Times New Roman"/>
          <w:color w:val="auto"/>
          <w:spacing w:val="16"/>
          <w:sz w:val="44"/>
          <w:szCs w:val="44"/>
        </w:rPr>
        <w:t>部门整体支出绩效</w:t>
      </w:r>
    </w:p>
    <w:p w14:paraId="6A3F30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pacing w:val="-24"/>
          <w:position w:val="20"/>
          <w:sz w:val="44"/>
          <w:szCs w:val="44"/>
        </w:rPr>
        <w:t>自评报告</w:t>
      </w:r>
    </w:p>
    <w:p w14:paraId="5DCEFC59">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p>
    <w:p w14:paraId="78637705">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一、部门基本情况</w:t>
      </w:r>
    </w:p>
    <w:p w14:paraId="59CB49E5">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（一）负责应急管理工作，指导全市各镇各单位应对安全生产类、自然灾害类等突发事件和综合防灾减灾救灾工作。负责安全生产综合监督管理和工矿商贸行业安全生产监督管理工作。</w:t>
      </w:r>
    </w:p>
    <w:p w14:paraId="010D35B3">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（二）贯彻实施相关法律法规、单位规章、规程和标准，组织编制全市应急体系建设、安全生产和综合防灾减灾规划，组织拟订相关制度、规程和标准并监督实施。</w:t>
      </w:r>
    </w:p>
    <w:p w14:paraId="2EDA9A51">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14:paraId="50EBB0B5">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（四）牵头推进全市统一的应急管理信息系统建设，负责信息传输渠道的规划和布局，建立监测预警和灾情报告制度，健全自然灾害信息资源获取和共享机制，依法统一发布灾情。</w:t>
      </w:r>
    </w:p>
    <w:p w14:paraId="11778078">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（五）组织指导协调安全生产类、自然灾害类等突发事件应急救援，承担市应对灾害指挥部办公室工作，综合研判突发事件发展态势并提出应对建议，协助市委、市政府指定的负责同志组织灾害应急处置工作。</w:t>
      </w:r>
    </w:p>
    <w:p w14:paraId="23946AF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（六）统一协调指挥各类应急专业队伍，建立应急协调联动机制，推进指挥平台对接，负责做好解放军和武警部队参与应急救援相关衔接工作。</w:t>
      </w:r>
    </w:p>
    <w:p w14:paraId="35DB1224">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（七）统筹全市应急救援力量建设，负责消防、森林和草原火灾扑救、抗洪抢险、地震和地质灾害救援、生产安全事故救援等专业应急救援力量建设，指导各镇、相关单位及社会应急救援力量建设。</w:t>
      </w:r>
    </w:p>
    <w:p w14:paraId="6B3E410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（八）负责全市消防管理有关工作，指导各镇及相关单位消防监督、火灾预防、火灾扑救等工作。</w:t>
      </w:r>
    </w:p>
    <w:p w14:paraId="1E1C593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（九）指导协调全市森林和草原火灾、水旱灾害、地震和地质灾害等防治工作，负责自然灾害综合监测预警工作，指导开展自然灾害综合风险评估工作。</w:t>
      </w:r>
    </w:p>
    <w:p w14:paraId="3E13DB5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（十）组织协调灾害救助工作，组织指导灾情核查、损失评估、救灾捐赠工作，按权限管理、分配中央、省、岳阳下达和市级救灾款物并监督使用。</w:t>
      </w:r>
    </w:p>
    <w:p w14:paraId="31F11ED2">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（十一）承担市安全生产委员会日常工作，依法行使安全生产综合监督管理职权，指导协调、监督检查各镇及有关单位安全生产工作，组织开展安全生产巡查、考核工作。</w:t>
      </w:r>
    </w:p>
    <w:p w14:paraId="4E0AF49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按照分级、属地原则，依法监督检查工矿商贸生产经营单位贯彻执行安全生产法律法规情况及其安全生产条件和有关设备（特种设备除外）、材料、劳动防护用品的安全生产管理工作。负责监督管理列入年度内计划执法的工矿商贸企业的安全生产工作。依法组织和指导监督实施安全生产准入制度。负责危险化学品安全监督管理综合工作和烟花爆竹安全生产监督管理工作。</w:t>
      </w:r>
    </w:p>
    <w:p w14:paraId="468376B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（十三）依法组织指导生产安全事故调查处理工作，监督事故查处和责任追究落实情况。组织开展自然灾害类突发事件的调查评估工作。</w:t>
      </w:r>
    </w:p>
    <w:p w14:paraId="1D2E9969">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（十四）开展应急管理对外交流与合作，组织参与安全生产类、自然灾害类等突发事件的对外救援工作。</w:t>
      </w:r>
    </w:p>
    <w:p w14:paraId="1991041C">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（十五）制定全市应急物资储备和应急救援装备规划并组织实施，会同市商务粮食局建立健全应急物资信息平台和调拨制度，在救灾时统一调度。</w:t>
      </w:r>
    </w:p>
    <w:p w14:paraId="1B8A319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（十六）负责应急管理、安全生产宣传教育和培训工作，组织指导应急管理、安全生产的科学技术研究、推广应用和信息化建设工作。</w:t>
      </w:r>
    </w:p>
    <w:p w14:paraId="72103AF2">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（十七）承担市防汛抗旱指挥部日常工作，协调市防汛抗旱指挥部成员单位的相关工作，组织执行国家、省、岳阳市及本市防汛抗旱指挥部的指示、命令。</w:t>
      </w:r>
    </w:p>
    <w:p w14:paraId="4B5178D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（十八）完成市委和市政府交办的其他任务。</w:t>
      </w:r>
    </w:p>
    <w:p w14:paraId="4AB0B03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九）职能转变。市应急局应加强、优化、统筹全市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一般事故、杜绝较大及以上安全事故。</w:t>
      </w:r>
    </w:p>
    <w:p w14:paraId="684E0296">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（一）内设机构设置。根据编委核定，我局内设十二个股室及四个二级机构。全部纳入2023年部门预算编制范围。</w:t>
      </w:r>
    </w:p>
    <w:p w14:paraId="0D231FA6">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内设科室分别是：办公室、应急指挥中心、人事和宣传教育股、防汛抗旱和风险监测综合减灾股、火灾防治管理股、危险化学品安全监督管理股（非煤矿山安全监督管理股）、工贸行业和烟花爆竹安全监督管理股、安全生产综合协调和调查评估统计股、政策法规股、规划财务股、行政审批股、政工室，四个二级机构是汨罗市应急救援指挥中心，汨罗市安全生产监督执法大队,地震办公室（参公单位），汨罗市民兵训练基地。</w:t>
      </w:r>
    </w:p>
    <w:p w14:paraId="64CB997B">
      <w:pPr>
        <w:pStyle w:val="5"/>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（二）决算单位构成。</w:t>
      </w:r>
      <w:r>
        <w:rPr>
          <w:rFonts w:hint="default" w:ascii="Times New Roman" w:hAnsi="Times New Roman" w:eastAsia="仿宋_GB2312" w:cs="Times New Roman"/>
          <w:color w:val="auto"/>
          <w:sz w:val="32"/>
          <w:szCs w:val="32"/>
          <w:lang w:eastAsia="zh-CN"/>
        </w:rPr>
        <w:t>汨罗市应急管理局</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年部门决算汇总公开单位构成包</w:t>
      </w:r>
      <w:r>
        <w:rPr>
          <w:rFonts w:hint="default" w:ascii="Times New Roman" w:hAnsi="Times New Roman" w:eastAsia="仿宋_GB2312" w:cs="Times New Roman"/>
          <w:color w:val="auto"/>
          <w:sz w:val="32"/>
          <w:szCs w:val="32"/>
          <w:lang w:eastAsia="zh-CN"/>
        </w:rPr>
        <w:t>括</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汨罗市应急管理局</w:t>
      </w:r>
      <w:r>
        <w:rPr>
          <w:rFonts w:hint="default" w:ascii="Times New Roman" w:hAnsi="Times New Roman" w:eastAsia="仿宋_GB2312" w:cs="Times New Roman"/>
          <w:color w:val="auto"/>
          <w:sz w:val="32"/>
          <w:szCs w:val="32"/>
        </w:rPr>
        <w:t>本级以及四个非独立预算核算二级机构：汨罗市应急救援指挥中心，汨罗市</w:t>
      </w:r>
      <w:r>
        <w:rPr>
          <w:rFonts w:hint="eastAsia" w:ascii="Times New Roman" w:hAnsi="Times New Roman" w:eastAsia="仿宋_GB2312" w:cs="Times New Roman"/>
          <w:color w:val="auto"/>
          <w:sz w:val="32"/>
          <w:szCs w:val="32"/>
          <w:lang w:eastAsia="zh-CN"/>
        </w:rPr>
        <w:t>应急管理综合行政</w:t>
      </w:r>
      <w:r>
        <w:rPr>
          <w:rFonts w:hint="default" w:ascii="Times New Roman" w:hAnsi="Times New Roman" w:eastAsia="仿宋_GB2312" w:cs="Times New Roman"/>
          <w:color w:val="auto"/>
          <w:sz w:val="32"/>
          <w:szCs w:val="32"/>
        </w:rPr>
        <w:t>执法大队</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汨罗市</w:t>
      </w:r>
      <w:r>
        <w:rPr>
          <w:rFonts w:hint="default" w:ascii="Times New Roman" w:hAnsi="Times New Roman" w:eastAsia="仿宋_GB2312" w:cs="Times New Roman"/>
          <w:color w:val="auto"/>
          <w:sz w:val="32"/>
          <w:szCs w:val="32"/>
        </w:rPr>
        <w:t>地震办公室（参公单位），汨罗市民兵训练基地。</w:t>
      </w:r>
    </w:p>
    <w:p w14:paraId="69C78851">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p>
    <w:p w14:paraId="2B641025">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二、一般公共预</w:t>
      </w:r>
      <w:r>
        <w:rPr>
          <w:rFonts w:hint="eastAsia" w:ascii="Times New Roman" w:hAnsi="Times New Roman" w:eastAsia="黑体" w:cs="Times New Roman"/>
          <w:snapToGrid w:val="0"/>
          <w:color w:val="auto"/>
          <w:sz w:val="32"/>
          <w:szCs w:val="32"/>
          <w:lang w:val="en-US" w:eastAsia="zh-CN" w:bidi="ar-SA"/>
        </w:rPr>
        <w:t>算财政拨款</w:t>
      </w:r>
      <w:r>
        <w:rPr>
          <w:rFonts w:hint="default" w:ascii="Times New Roman" w:hAnsi="Times New Roman" w:eastAsia="黑体" w:cs="Times New Roman"/>
          <w:snapToGrid w:val="0"/>
          <w:color w:val="auto"/>
          <w:sz w:val="32"/>
          <w:szCs w:val="32"/>
          <w:lang w:val="en-US" w:eastAsia="zh-CN" w:bidi="ar-SA"/>
        </w:rPr>
        <w:t>支出情况</w:t>
      </w:r>
    </w:p>
    <w:p w14:paraId="5C5D06E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（一）一般公共预算财政拨款支出决算总体情况</w:t>
      </w:r>
    </w:p>
    <w:p w14:paraId="4A0BF1B3">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bookmarkStart w:id="32" w:name="OLE_LINK36"/>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年度财政拨款支出</w:t>
      </w:r>
      <w:r>
        <w:rPr>
          <w:rFonts w:hint="default" w:ascii="Times New Roman" w:hAnsi="Times New Roman" w:eastAsia="仿宋_GB2312" w:cs="Times New Roman"/>
          <w:color w:val="auto"/>
          <w:sz w:val="32"/>
          <w:szCs w:val="32"/>
          <w:lang w:val="en-US" w:eastAsia="zh-CN"/>
        </w:rPr>
        <w:t>2457.15</w:t>
      </w:r>
      <w:r>
        <w:rPr>
          <w:rFonts w:hint="default" w:ascii="Times New Roman" w:hAnsi="Times New Roman" w:eastAsia="仿宋_GB2312" w:cs="Times New Roman"/>
          <w:color w:val="auto"/>
          <w:sz w:val="32"/>
          <w:szCs w:val="32"/>
        </w:rPr>
        <w:t>万元，占本年支出合计的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%，与上年相比，增加</w:t>
      </w:r>
      <w:r>
        <w:rPr>
          <w:rFonts w:hint="default" w:ascii="Times New Roman" w:hAnsi="Times New Roman" w:eastAsia="仿宋_GB2312" w:cs="Times New Roman"/>
          <w:color w:val="auto"/>
          <w:sz w:val="32"/>
          <w:szCs w:val="32"/>
          <w:lang w:val="en-US" w:eastAsia="zh-CN"/>
        </w:rPr>
        <w:t>636.3</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34.95</w:t>
      </w:r>
      <w:r>
        <w:rPr>
          <w:rFonts w:hint="default" w:ascii="Times New Roman" w:hAnsi="Times New Roman" w:eastAsia="仿宋_GB2312" w:cs="Times New Roman"/>
          <w:color w:val="auto"/>
          <w:sz w:val="32"/>
          <w:szCs w:val="32"/>
        </w:rPr>
        <w:t>%，主要是因为市政府加大对安全生产与应急管理的投入，应急管理专项行动工作经费增加。</w:t>
      </w:r>
    </w:p>
    <w:bookmarkEnd w:id="32"/>
    <w:p w14:paraId="7DD9287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（二）一般公共预算财政拨款支出决算结构情况</w:t>
      </w:r>
    </w:p>
    <w:p w14:paraId="54859D3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年度财政拨款支出</w:t>
      </w:r>
      <w:r>
        <w:rPr>
          <w:rFonts w:hint="default" w:ascii="Times New Roman" w:hAnsi="Times New Roman" w:eastAsia="仿宋_GB2312" w:cs="Times New Roman"/>
          <w:color w:val="auto"/>
          <w:sz w:val="32"/>
          <w:szCs w:val="32"/>
          <w:lang w:val="en-US" w:eastAsia="zh-CN"/>
        </w:rPr>
        <w:t>2457.15</w:t>
      </w:r>
      <w:r>
        <w:rPr>
          <w:rFonts w:hint="default" w:ascii="Times New Roman" w:hAnsi="Times New Roman" w:eastAsia="仿宋_GB2312" w:cs="Times New Roman"/>
          <w:color w:val="auto"/>
          <w:sz w:val="32"/>
          <w:szCs w:val="32"/>
        </w:rPr>
        <w:t>万元，主要用于以下方面：一般公共服务（类）支出</w:t>
      </w:r>
      <w:r>
        <w:rPr>
          <w:rFonts w:hint="default" w:ascii="Times New Roman" w:hAnsi="Times New Roman" w:eastAsia="仿宋_GB2312" w:cs="Times New Roman"/>
          <w:color w:val="auto"/>
          <w:sz w:val="32"/>
          <w:szCs w:val="32"/>
          <w:lang w:val="en-US" w:eastAsia="zh-CN"/>
        </w:rPr>
        <w:t>1.87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0.09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70.53</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2.87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33.79</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1.37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住房保障支出</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47.7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1.94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2303.27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93.73</w:t>
      </w:r>
      <w:r>
        <w:rPr>
          <w:rFonts w:hint="default" w:ascii="Times New Roman" w:hAnsi="Times New Roman" w:eastAsia="仿宋_GB2312" w:cs="Times New Roman"/>
          <w:color w:val="auto"/>
          <w:sz w:val="32"/>
          <w:szCs w:val="32"/>
        </w:rPr>
        <w:t>%；</w:t>
      </w:r>
    </w:p>
    <w:p w14:paraId="073ABCD2">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（三）一般公共预算财政拨款支出决算具体情况</w:t>
      </w:r>
    </w:p>
    <w:p w14:paraId="4A10A04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年度财政拨款支出年初预算数为</w:t>
      </w:r>
      <w:r>
        <w:rPr>
          <w:rFonts w:hint="default" w:ascii="Times New Roman" w:hAnsi="Times New Roman" w:eastAsia="仿宋_GB2312" w:cs="Times New Roman"/>
          <w:color w:val="auto"/>
          <w:sz w:val="32"/>
          <w:szCs w:val="32"/>
          <w:lang w:val="en-US" w:eastAsia="zh-CN"/>
        </w:rPr>
        <w:t>955.68</w:t>
      </w:r>
      <w:r>
        <w:rPr>
          <w:rFonts w:hint="default" w:ascii="Times New Roman" w:hAnsi="Times New Roman" w:eastAsia="仿宋_GB2312" w:cs="Times New Roman"/>
          <w:color w:val="auto"/>
          <w:sz w:val="32"/>
          <w:szCs w:val="32"/>
        </w:rPr>
        <w:t>万元，支出决算数为</w:t>
      </w:r>
      <w:r>
        <w:rPr>
          <w:rFonts w:hint="default" w:ascii="Times New Roman" w:hAnsi="Times New Roman" w:eastAsia="仿宋_GB2312" w:cs="Times New Roman"/>
          <w:color w:val="auto"/>
          <w:sz w:val="32"/>
          <w:szCs w:val="32"/>
          <w:lang w:val="en-US" w:eastAsia="zh-CN"/>
        </w:rPr>
        <w:t>2457.15</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257.11</w:t>
      </w:r>
      <w:r>
        <w:rPr>
          <w:rFonts w:hint="default" w:ascii="Times New Roman" w:hAnsi="Times New Roman" w:eastAsia="仿宋_GB2312" w:cs="Times New Roman"/>
          <w:color w:val="auto"/>
          <w:sz w:val="32"/>
          <w:szCs w:val="32"/>
        </w:rPr>
        <w:t>%，其中：</w:t>
      </w:r>
    </w:p>
    <w:p w14:paraId="0F51C0F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1、一般公共服务（类）</w:t>
      </w:r>
      <w:r>
        <w:rPr>
          <w:rFonts w:hint="default" w:ascii="Times New Roman" w:hAnsi="Times New Roman" w:eastAsia="仿宋_GB2312" w:cs="Times New Roman"/>
          <w:color w:val="auto"/>
          <w:sz w:val="32"/>
          <w:szCs w:val="32"/>
          <w:lang w:eastAsia="zh-CN"/>
        </w:rPr>
        <w:t>群众团体事务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工会事务</w:t>
      </w:r>
      <w:r>
        <w:rPr>
          <w:rFonts w:hint="default" w:ascii="Times New Roman" w:hAnsi="Times New Roman" w:eastAsia="仿宋_GB2312" w:cs="Times New Roman"/>
          <w:color w:val="auto"/>
          <w:sz w:val="32"/>
          <w:szCs w:val="32"/>
        </w:rPr>
        <w:t>（项）。</w:t>
      </w:r>
    </w:p>
    <w:p w14:paraId="7AA71361">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1.87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因预算金额为</w:t>
      </w:r>
      <w:r>
        <w:rPr>
          <w:rFonts w:hint="default" w:ascii="Times New Roman" w:hAnsi="Times New Roman" w:eastAsia="仿宋_GB2312" w:cs="Times New Roman"/>
          <w:color w:val="auto"/>
          <w:sz w:val="32"/>
          <w:szCs w:val="32"/>
          <w:lang w:val="en-US" w:eastAsia="zh-CN"/>
        </w:rPr>
        <w:t>0，无法计算百分比。</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工会部分支出未做预算。</w:t>
      </w:r>
    </w:p>
    <w:p w14:paraId="14A835F7">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机关事业单位基本养老保险缴费支出</w:t>
      </w:r>
      <w:r>
        <w:rPr>
          <w:rFonts w:hint="default" w:ascii="Times New Roman" w:hAnsi="Times New Roman" w:eastAsia="仿宋_GB2312" w:cs="Times New Roman"/>
          <w:color w:val="auto"/>
          <w:sz w:val="32"/>
          <w:szCs w:val="32"/>
        </w:rPr>
        <w:t>（项）。</w:t>
      </w:r>
    </w:p>
    <w:p w14:paraId="07A140C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63.6</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63.6</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26E5480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其他社会保障和就业支出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其他社会保障和就业支出</w:t>
      </w:r>
      <w:r>
        <w:rPr>
          <w:rFonts w:hint="default" w:ascii="Times New Roman" w:hAnsi="Times New Roman" w:eastAsia="仿宋_GB2312" w:cs="Times New Roman"/>
          <w:color w:val="auto"/>
          <w:sz w:val="32"/>
          <w:szCs w:val="32"/>
        </w:rPr>
        <w:t>（项）。</w:t>
      </w:r>
    </w:p>
    <w:p w14:paraId="7DB02A32">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3.97</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6.93</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174</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人员增加，社保费增加。</w:t>
      </w:r>
    </w:p>
    <w:p w14:paraId="08326F7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行政单位医疗</w:t>
      </w:r>
      <w:r>
        <w:rPr>
          <w:rFonts w:hint="default" w:ascii="Times New Roman" w:hAnsi="Times New Roman" w:eastAsia="仿宋_GB2312" w:cs="Times New Roman"/>
          <w:color w:val="auto"/>
          <w:sz w:val="32"/>
          <w:szCs w:val="32"/>
        </w:rPr>
        <w:t>（项）。</w:t>
      </w:r>
    </w:p>
    <w:p w14:paraId="1EA8A0C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33.79</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33.79</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30AFE623">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住房保障支出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住房改革支出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（项）。</w:t>
      </w:r>
    </w:p>
    <w:p w14:paraId="32499E52">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47.7</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小于预算数的主要原因是</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年底住房公积金补缴部分津贴未计算。</w:t>
      </w:r>
    </w:p>
    <w:p w14:paraId="3293BAD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应急管理事务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行政运行</w:t>
      </w:r>
      <w:r>
        <w:rPr>
          <w:rFonts w:hint="default" w:ascii="Times New Roman" w:hAnsi="Times New Roman" w:eastAsia="仿宋_GB2312" w:cs="Times New Roman"/>
          <w:color w:val="auto"/>
          <w:sz w:val="32"/>
          <w:szCs w:val="32"/>
        </w:rPr>
        <w:t>（项）。</w:t>
      </w:r>
    </w:p>
    <w:p w14:paraId="776FCA8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960" w:firstLineChars="3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596.83</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658.17</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110.27</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大于预算数的主要原因是</w:t>
      </w:r>
      <w:r>
        <w:rPr>
          <w:rFonts w:hint="default" w:ascii="Times New Roman" w:hAnsi="Times New Roman" w:eastAsia="仿宋_GB2312" w:cs="Times New Roman"/>
          <w:color w:val="auto"/>
          <w:sz w:val="32"/>
          <w:szCs w:val="32"/>
          <w:lang w:val="en-US" w:eastAsia="zh-CN"/>
        </w:rPr>
        <w:t>:2024年汨罗市应急指挥中心运营，应急管理专项经费投入增加。</w:t>
      </w:r>
    </w:p>
    <w:p w14:paraId="2529F22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应急管理事务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安全监管</w:t>
      </w:r>
      <w:r>
        <w:rPr>
          <w:rFonts w:hint="default" w:ascii="Times New Roman" w:hAnsi="Times New Roman" w:eastAsia="仿宋_GB2312" w:cs="Times New Roman"/>
          <w:color w:val="auto"/>
          <w:sz w:val="32"/>
          <w:szCs w:val="32"/>
        </w:rPr>
        <w:t>（项）。</w:t>
      </w:r>
    </w:p>
    <w:p w14:paraId="1D9F0CA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7363CB13">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应急管理事务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应急救援</w:t>
      </w:r>
      <w:r>
        <w:rPr>
          <w:rFonts w:hint="default" w:ascii="Times New Roman" w:hAnsi="Times New Roman" w:eastAsia="仿宋_GB2312" w:cs="Times New Roman"/>
          <w:color w:val="auto"/>
          <w:sz w:val="32"/>
          <w:szCs w:val="32"/>
        </w:rPr>
        <w:t>（项）。</w:t>
      </w:r>
    </w:p>
    <w:p w14:paraId="1498ADF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4166741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应急管理事务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应急管理</w:t>
      </w:r>
      <w:r>
        <w:rPr>
          <w:rFonts w:hint="default" w:ascii="Times New Roman" w:hAnsi="Times New Roman" w:eastAsia="仿宋_GB2312" w:cs="Times New Roman"/>
          <w:color w:val="auto"/>
          <w:sz w:val="32"/>
          <w:szCs w:val="32"/>
        </w:rPr>
        <w:t>（项）。</w:t>
      </w:r>
    </w:p>
    <w:p w14:paraId="23ED21CC">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29A37C31">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应急管理事务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其他应急管理支出</w:t>
      </w:r>
      <w:r>
        <w:rPr>
          <w:rFonts w:hint="default" w:ascii="Times New Roman" w:hAnsi="Times New Roman" w:eastAsia="仿宋_GB2312" w:cs="Times New Roman"/>
          <w:color w:val="auto"/>
          <w:sz w:val="32"/>
          <w:szCs w:val="32"/>
        </w:rPr>
        <w:t>（项）。</w:t>
      </w:r>
    </w:p>
    <w:p w14:paraId="0031460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624.3</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124.86</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大于预算数的主要原因是</w:t>
      </w:r>
      <w:r>
        <w:rPr>
          <w:rFonts w:hint="default" w:ascii="Times New Roman" w:hAnsi="Times New Roman" w:eastAsia="仿宋_GB2312" w:cs="Times New Roman"/>
          <w:color w:val="auto"/>
          <w:sz w:val="32"/>
          <w:szCs w:val="32"/>
          <w:lang w:val="en-US" w:eastAsia="zh-CN"/>
        </w:rPr>
        <w:t>:2023年汨罗市应急指挥中心建设、运营费和上级救灾资金都纳入了部门决算。</w:t>
      </w:r>
    </w:p>
    <w:p w14:paraId="3F1E270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消防救援事务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其他消防救援事务支出</w:t>
      </w:r>
      <w:r>
        <w:rPr>
          <w:rFonts w:hint="default" w:ascii="Times New Roman" w:hAnsi="Times New Roman" w:eastAsia="仿宋_GB2312" w:cs="Times New Roman"/>
          <w:color w:val="auto"/>
          <w:sz w:val="32"/>
          <w:szCs w:val="32"/>
        </w:rPr>
        <w:t>（项）。</w:t>
      </w:r>
    </w:p>
    <w:p w14:paraId="01A84A9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372E7B3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地震事务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行政运行</w:t>
      </w:r>
      <w:r>
        <w:rPr>
          <w:rFonts w:hint="default" w:ascii="Times New Roman" w:hAnsi="Times New Roman" w:eastAsia="仿宋_GB2312" w:cs="Times New Roman"/>
          <w:color w:val="auto"/>
          <w:sz w:val="32"/>
          <w:szCs w:val="32"/>
        </w:rPr>
        <w:t>（项）。</w:t>
      </w:r>
    </w:p>
    <w:p w14:paraId="74ABED3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3676F8C7">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地震事务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地震监测</w:t>
      </w:r>
      <w:r>
        <w:rPr>
          <w:rFonts w:hint="default" w:ascii="Times New Roman" w:hAnsi="Times New Roman" w:eastAsia="仿宋_GB2312" w:cs="Times New Roman"/>
          <w:color w:val="auto"/>
          <w:sz w:val="32"/>
          <w:szCs w:val="32"/>
        </w:rPr>
        <w:t>（项）。</w:t>
      </w:r>
    </w:p>
    <w:p w14:paraId="46CA086D">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4.8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因预算金额为</w:t>
      </w:r>
      <w:r>
        <w:rPr>
          <w:rFonts w:hint="default" w:ascii="Times New Roman" w:hAnsi="Times New Roman" w:eastAsia="仿宋_GB2312" w:cs="Times New Roman"/>
          <w:color w:val="auto"/>
          <w:sz w:val="32"/>
          <w:szCs w:val="32"/>
          <w:lang w:val="en-US" w:eastAsia="zh-CN"/>
        </w:rPr>
        <w:t>0，无法计算百分比。</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地震办预算纳入机关经费，</w:t>
      </w:r>
      <w:r>
        <w:rPr>
          <w:rFonts w:hint="default" w:ascii="Times New Roman" w:hAnsi="Times New Roman" w:eastAsia="仿宋_GB2312" w:cs="Times New Roman"/>
          <w:color w:val="auto"/>
          <w:sz w:val="32"/>
          <w:szCs w:val="32"/>
          <w:lang w:val="en-US" w:eastAsia="zh-CN"/>
        </w:rPr>
        <w:t>4.8万元</w:t>
      </w:r>
      <w:r>
        <w:rPr>
          <w:rFonts w:hint="default" w:ascii="Times New Roman" w:hAnsi="Times New Roman" w:eastAsia="仿宋_GB2312" w:cs="Times New Roman"/>
          <w:color w:val="auto"/>
          <w:sz w:val="32"/>
          <w:szCs w:val="32"/>
          <w:lang w:eastAsia="zh-CN"/>
        </w:rPr>
        <w:t>办公经费列入地震监测经费。</w:t>
      </w:r>
    </w:p>
    <w:p w14:paraId="385E637B">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自然灾害防治</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森林草原防灾减灾</w:t>
      </w:r>
      <w:r>
        <w:rPr>
          <w:rFonts w:hint="default" w:ascii="Times New Roman" w:hAnsi="Times New Roman" w:eastAsia="仿宋_GB2312" w:cs="Times New Roman"/>
          <w:color w:val="auto"/>
          <w:sz w:val="32"/>
          <w:szCs w:val="32"/>
        </w:rPr>
        <w:t>（项）。</w:t>
      </w:r>
    </w:p>
    <w:p w14:paraId="2CAEEBE7">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%，完成年初预算的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和预算数一致。</w:t>
      </w:r>
    </w:p>
    <w:p w14:paraId="73173B0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自然灾害防治</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其他自然灾害防治支出</w:t>
      </w:r>
      <w:r>
        <w:rPr>
          <w:rFonts w:hint="default" w:ascii="Times New Roman" w:hAnsi="Times New Roman" w:eastAsia="仿宋_GB2312" w:cs="Times New Roman"/>
          <w:color w:val="auto"/>
          <w:sz w:val="32"/>
          <w:szCs w:val="32"/>
        </w:rPr>
        <w:t>（项）。</w:t>
      </w:r>
    </w:p>
    <w:p w14:paraId="515C4773">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因预算金额为</w:t>
      </w:r>
      <w:r>
        <w:rPr>
          <w:rFonts w:hint="default" w:ascii="Times New Roman" w:hAnsi="Times New Roman" w:eastAsia="仿宋_GB2312" w:cs="Times New Roman"/>
          <w:color w:val="auto"/>
          <w:sz w:val="32"/>
          <w:szCs w:val="32"/>
          <w:lang w:val="en-US" w:eastAsia="zh-CN"/>
        </w:rPr>
        <w:t>0，无法计算百分比。</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上级安排的自然灾害救灾资金未做部门预算，</w:t>
      </w:r>
      <w:r>
        <w:rPr>
          <w:rFonts w:hint="default" w:ascii="Times New Roman" w:hAnsi="Times New Roman" w:eastAsia="仿宋_GB2312" w:cs="Times New Roman"/>
          <w:color w:val="auto"/>
          <w:sz w:val="32"/>
          <w:szCs w:val="32"/>
          <w:lang w:val="en-US" w:eastAsia="zh-CN"/>
        </w:rPr>
        <w:t>5.6万元</w:t>
      </w:r>
      <w:r>
        <w:rPr>
          <w:rFonts w:hint="default" w:ascii="Times New Roman" w:hAnsi="Times New Roman" w:eastAsia="仿宋_GB2312" w:cs="Times New Roman"/>
          <w:color w:val="auto"/>
          <w:sz w:val="32"/>
          <w:szCs w:val="32"/>
          <w:lang w:eastAsia="zh-CN"/>
        </w:rPr>
        <w:t>支出列入其他自然灾害防治支出</w:t>
      </w:r>
      <w:r>
        <w:rPr>
          <w:rFonts w:hint="default" w:ascii="Times New Roman" w:hAnsi="Times New Roman" w:eastAsia="仿宋_GB2312" w:cs="Times New Roman"/>
          <w:color w:val="auto"/>
          <w:sz w:val="32"/>
          <w:szCs w:val="32"/>
          <w:lang w:val="en-US" w:eastAsia="zh-CN"/>
        </w:rPr>
        <w:t>。</w:t>
      </w:r>
    </w:p>
    <w:p w14:paraId="0A73C58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自然灾害救灾及恢复重建支出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自然灾害救灾补助</w:t>
      </w:r>
      <w:r>
        <w:rPr>
          <w:rFonts w:hint="default" w:ascii="Times New Roman" w:hAnsi="Times New Roman" w:eastAsia="仿宋_GB2312" w:cs="Times New Roman"/>
          <w:color w:val="auto"/>
          <w:sz w:val="32"/>
          <w:szCs w:val="32"/>
        </w:rPr>
        <w:t>（项）。</w:t>
      </w:r>
    </w:p>
    <w:p w14:paraId="6C023129">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603.68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因预算金额为</w:t>
      </w:r>
      <w:r>
        <w:rPr>
          <w:rFonts w:hint="default" w:ascii="Times New Roman" w:hAnsi="Times New Roman" w:eastAsia="仿宋_GB2312" w:cs="Times New Roman"/>
          <w:color w:val="auto"/>
          <w:sz w:val="32"/>
          <w:szCs w:val="32"/>
          <w:lang w:val="en-US" w:eastAsia="zh-CN"/>
        </w:rPr>
        <w:t>0，无法计算百分比。</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上级安排的自然灾害救灾资金未做部门预算，</w:t>
      </w:r>
      <w:r>
        <w:rPr>
          <w:rFonts w:hint="default" w:ascii="Times New Roman" w:hAnsi="Times New Roman" w:eastAsia="仿宋_GB2312" w:cs="Times New Roman"/>
          <w:color w:val="auto"/>
          <w:sz w:val="32"/>
          <w:szCs w:val="32"/>
          <w:lang w:val="en-US" w:eastAsia="zh-CN"/>
        </w:rPr>
        <w:t>603.68万元</w:t>
      </w:r>
      <w:r>
        <w:rPr>
          <w:rFonts w:hint="default" w:ascii="Times New Roman" w:hAnsi="Times New Roman" w:eastAsia="仿宋_GB2312" w:cs="Times New Roman"/>
          <w:color w:val="auto"/>
          <w:sz w:val="32"/>
          <w:szCs w:val="32"/>
          <w:lang w:eastAsia="zh-CN"/>
        </w:rPr>
        <w:t>支出列入其他自然灾害救灾补助支出</w:t>
      </w:r>
      <w:r>
        <w:rPr>
          <w:rFonts w:hint="default" w:ascii="Times New Roman" w:hAnsi="Times New Roman" w:eastAsia="仿宋_GB2312" w:cs="Times New Roman"/>
          <w:color w:val="auto"/>
          <w:sz w:val="32"/>
          <w:szCs w:val="32"/>
          <w:lang w:val="en-US" w:eastAsia="zh-CN"/>
        </w:rPr>
        <w:t>。</w:t>
      </w:r>
    </w:p>
    <w:p w14:paraId="2474D9A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灾害防治及应急管理支出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其他灾害防治及应急管理支出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其他灾害防治及应急管理支出</w:t>
      </w:r>
      <w:r>
        <w:rPr>
          <w:rFonts w:hint="default" w:ascii="Times New Roman" w:hAnsi="Times New Roman" w:eastAsia="仿宋_GB2312" w:cs="Times New Roman"/>
          <w:color w:val="auto"/>
          <w:sz w:val="32"/>
          <w:szCs w:val="32"/>
        </w:rPr>
        <w:t>（项）。</w:t>
      </w:r>
    </w:p>
    <w:p w14:paraId="670A40BB">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lang w:val="en-US" w:eastAsia="zh-CN"/>
        </w:rPr>
        <w:t>233.71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因预算金额为</w:t>
      </w:r>
      <w:r>
        <w:rPr>
          <w:rFonts w:hint="default" w:ascii="Times New Roman" w:hAnsi="Times New Roman" w:eastAsia="仿宋_GB2312" w:cs="Times New Roman"/>
          <w:color w:val="auto"/>
          <w:sz w:val="32"/>
          <w:szCs w:val="32"/>
          <w:lang w:val="en-US" w:eastAsia="zh-CN"/>
        </w:rPr>
        <w:t>0，无法计算百分比。</w:t>
      </w:r>
      <w:r>
        <w:rPr>
          <w:rFonts w:hint="default"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color w:val="auto"/>
          <w:sz w:val="32"/>
          <w:szCs w:val="32"/>
          <w:lang w:eastAsia="zh-CN"/>
        </w:rPr>
        <w:t>上级安排的自然灾害救灾资金未做部门预算，</w:t>
      </w:r>
      <w:r>
        <w:rPr>
          <w:rFonts w:hint="default" w:ascii="Times New Roman" w:hAnsi="Times New Roman" w:eastAsia="仿宋_GB2312" w:cs="Times New Roman"/>
          <w:color w:val="auto"/>
          <w:sz w:val="32"/>
          <w:szCs w:val="32"/>
          <w:lang w:val="en-US" w:eastAsia="zh-CN"/>
        </w:rPr>
        <w:t>233.71万元</w:t>
      </w:r>
      <w:r>
        <w:rPr>
          <w:rFonts w:hint="default" w:ascii="Times New Roman" w:hAnsi="Times New Roman" w:eastAsia="仿宋_GB2312" w:cs="Times New Roman"/>
          <w:color w:val="auto"/>
          <w:sz w:val="32"/>
          <w:szCs w:val="32"/>
          <w:lang w:eastAsia="zh-CN"/>
        </w:rPr>
        <w:t>支出列入其他自然灾害救灾补助支出</w:t>
      </w:r>
      <w:r>
        <w:rPr>
          <w:rFonts w:hint="default" w:ascii="Times New Roman" w:hAnsi="Times New Roman" w:eastAsia="仿宋_GB2312" w:cs="Times New Roman"/>
          <w:color w:val="auto"/>
          <w:sz w:val="32"/>
          <w:szCs w:val="32"/>
          <w:lang w:val="en-US" w:eastAsia="zh-CN"/>
        </w:rPr>
        <w:t>。</w:t>
      </w:r>
    </w:p>
    <w:p w14:paraId="00657FCB">
      <w:pPr>
        <w:pStyle w:val="10"/>
        <w:keepNext w:val="0"/>
        <w:keepLines w:val="0"/>
        <w:pageBreakBefore w:val="0"/>
        <w:widowControl w:val="0"/>
        <w:kinsoku/>
        <w:wordWrap/>
        <w:overflowPunct/>
        <w:topLinePunct w:val="0"/>
        <w:autoSpaceDE w:val="0"/>
        <w:autoSpaceDN w:val="0"/>
        <w:bidi w:val="0"/>
        <w:adjustRightInd w:val="0"/>
        <w:spacing w:line="576" w:lineRule="exact"/>
        <w:ind w:left="0" w:leftChars="0" w:firstLine="643" w:firstLineChars="200"/>
        <w:jc w:val="both"/>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项目支出情况</w:t>
      </w:r>
    </w:p>
    <w:p w14:paraId="47082996">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color w:val="auto"/>
          <w:spacing w:val="0"/>
          <w:kern w:val="0"/>
          <w:position w:val="0"/>
          <w:sz w:val="32"/>
          <w:szCs w:val="32"/>
          <w:shd w:val="clear" w:fill="auto"/>
          <w:lang w:val="en-US" w:eastAsia="zh-CN"/>
        </w:rPr>
        <w:t>2023年项目支出为</w:t>
      </w:r>
      <w:bookmarkStart w:id="33" w:name="OLE_LINK37"/>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其他应急管理支出</w:t>
      </w:r>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自然灾害救灾补助</w:t>
      </w:r>
      <w:r>
        <w:rPr>
          <w:rFonts w:hint="default" w:ascii="Times New Roman" w:hAnsi="Times New Roman" w:eastAsia="仿宋_GB2312" w:cs="Times New Roman"/>
          <w:color w:val="auto"/>
          <w:spacing w:val="0"/>
          <w:kern w:val="0"/>
          <w:position w:val="0"/>
          <w:sz w:val="32"/>
          <w:szCs w:val="32"/>
          <w:shd w:val="clear" w:fill="auto"/>
        </w:rPr>
        <w:t>”</w:t>
      </w:r>
      <w:bookmarkEnd w:id="33"/>
      <w:r>
        <w:rPr>
          <w:rFonts w:hint="eastAsia" w:ascii="Times New Roman" w:hAnsi="Times New Roman" w:eastAsia="仿宋_GB2312" w:cs="Times New Roman"/>
          <w:color w:val="auto"/>
          <w:spacing w:val="0"/>
          <w:kern w:val="0"/>
          <w:position w:val="0"/>
          <w:sz w:val="32"/>
          <w:szCs w:val="32"/>
          <w:shd w:val="clear" w:fill="auto"/>
          <w:lang w:val="en-US" w:eastAsia="zh-CN"/>
        </w:rPr>
        <w:t>2个，</w:t>
      </w:r>
      <w:r>
        <w:rPr>
          <w:rFonts w:hint="default" w:ascii="Times New Roman" w:hAnsi="Times New Roman" w:eastAsia="仿宋_GB2312" w:cs="Times New Roman"/>
          <w:color w:val="auto"/>
          <w:spacing w:val="0"/>
          <w:kern w:val="0"/>
          <w:position w:val="0"/>
          <w:sz w:val="32"/>
          <w:szCs w:val="32"/>
          <w:shd w:val="clear" w:fill="auto"/>
        </w:rPr>
        <w:t>涉及一般公共预算支出</w:t>
      </w:r>
      <w:r>
        <w:rPr>
          <w:rFonts w:hint="default" w:ascii="Times New Roman" w:hAnsi="Times New Roman" w:eastAsia="仿宋_GB2312" w:cs="Times New Roman"/>
          <w:color w:val="auto"/>
          <w:spacing w:val="0"/>
          <w:kern w:val="0"/>
          <w:position w:val="0"/>
          <w:sz w:val="32"/>
          <w:szCs w:val="32"/>
          <w:shd w:val="clear" w:fill="auto"/>
          <w:lang w:val="en-US" w:eastAsia="zh-CN"/>
        </w:rPr>
        <w:t>637.68</w:t>
      </w:r>
      <w:r>
        <w:rPr>
          <w:rFonts w:hint="default" w:ascii="Times New Roman" w:hAnsi="Times New Roman" w:eastAsia="仿宋_GB2312" w:cs="Times New Roman"/>
          <w:color w:val="auto"/>
          <w:spacing w:val="0"/>
          <w:kern w:val="0"/>
          <w:position w:val="0"/>
          <w:sz w:val="32"/>
          <w:szCs w:val="32"/>
          <w:shd w:val="clear" w:fill="auto"/>
        </w:rPr>
        <w:t>万元，</w:t>
      </w:r>
      <w:r>
        <w:rPr>
          <w:rFonts w:hint="eastAsia" w:ascii="Times New Roman" w:hAnsi="Times New Roman" w:eastAsia="仿宋_GB2312" w:cs="Times New Roman"/>
          <w:color w:val="auto"/>
          <w:spacing w:val="0"/>
          <w:kern w:val="0"/>
          <w:position w:val="0"/>
          <w:sz w:val="32"/>
          <w:szCs w:val="32"/>
          <w:shd w:val="clear" w:fill="auto"/>
          <w:lang w:eastAsia="zh-CN"/>
        </w:rPr>
        <w:t>其中</w:t>
      </w:r>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其他应急管理支出</w:t>
      </w:r>
      <w:r>
        <w:rPr>
          <w:rFonts w:hint="default" w:ascii="Times New Roman" w:hAnsi="Times New Roman" w:eastAsia="仿宋_GB2312" w:cs="Times New Roman"/>
          <w:color w:val="auto"/>
          <w:spacing w:val="0"/>
          <w:kern w:val="0"/>
          <w:position w:val="0"/>
          <w:sz w:val="32"/>
          <w:szCs w:val="32"/>
          <w:shd w:val="clear" w:fill="auto"/>
        </w:rPr>
        <w:t>”</w:t>
      </w:r>
      <w:r>
        <w:rPr>
          <w:rFonts w:hint="eastAsia" w:ascii="Times New Roman" w:hAnsi="Times New Roman" w:eastAsia="仿宋_GB2312" w:cs="Times New Roman"/>
          <w:color w:val="auto"/>
          <w:spacing w:val="0"/>
          <w:kern w:val="0"/>
          <w:position w:val="0"/>
          <w:sz w:val="32"/>
          <w:szCs w:val="32"/>
          <w:shd w:val="clear" w:fill="auto"/>
          <w:lang w:val="en-US" w:eastAsia="zh-CN"/>
        </w:rPr>
        <w:t>80万元，</w:t>
      </w:r>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自然灾害救灾补助</w:t>
      </w:r>
      <w:r>
        <w:rPr>
          <w:rFonts w:hint="default" w:ascii="Times New Roman" w:hAnsi="Times New Roman" w:eastAsia="仿宋_GB2312" w:cs="Times New Roman"/>
          <w:color w:val="auto"/>
          <w:spacing w:val="0"/>
          <w:kern w:val="0"/>
          <w:position w:val="0"/>
          <w:sz w:val="32"/>
          <w:szCs w:val="32"/>
          <w:shd w:val="clear" w:fill="auto"/>
        </w:rPr>
        <w:t>”</w:t>
      </w:r>
      <w:r>
        <w:rPr>
          <w:rFonts w:hint="eastAsia" w:ascii="Times New Roman" w:hAnsi="Times New Roman" w:eastAsia="仿宋_GB2312" w:cs="Times New Roman"/>
          <w:color w:val="auto"/>
          <w:spacing w:val="0"/>
          <w:kern w:val="0"/>
          <w:position w:val="0"/>
          <w:sz w:val="32"/>
          <w:szCs w:val="32"/>
          <w:shd w:val="clear" w:fill="auto"/>
          <w:lang w:eastAsia="zh-CN"/>
        </w:rPr>
        <w:t>支出</w:t>
      </w:r>
      <w:r>
        <w:rPr>
          <w:rFonts w:hint="eastAsia" w:ascii="Times New Roman" w:hAnsi="Times New Roman" w:eastAsia="仿宋_GB2312" w:cs="Times New Roman"/>
          <w:color w:val="auto"/>
          <w:spacing w:val="0"/>
          <w:kern w:val="0"/>
          <w:position w:val="0"/>
          <w:sz w:val="32"/>
          <w:szCs w:val="32"/>
          <w:shd w:val="clear" w:fill="auto"/>
          <w:lang w:val="en-US" w:eastAsia="zh-CN"/>
        </w:rPr>
        <w:t>557.68万元。</w:t>
      </w:r>
    </w:p>
    <w:p w14:paraId="0929CFCC">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p>
    <w:p w14:paraId="516D3C5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三、政府性基金预算</w:t>
      </w:r>
      <w:r>
        <w:rPr>
          <w:rFonts w:hint="eastAsia" w:ascii="Times New Roman" w:hAnsi="Times New Roman" w:eastAsia="黑体" w:cs="Times New Roman"/>
          <w:snapToGrid w:val="0"/>
          <w:color w:val="auto"/>
          <w:sz w:val="32"/>
          <w:szCs w:val="32"/>
          <w:lang w:val="en-US" w:eastAsia="zh-CN" w:bidi="ar-SA"/>
        </w:rPr>
        <w:t>财政拨款</w:t>
      </w:r>
      <w:r>
        <w:rPr>
          <w:rFonts w:hint="default" w:ascii="Times New Roman" w:hAnsi="Times New Roman" w:eastAsia="黑体" w:cs="Times New Roman"/>
          <w:snapToGrid w:val="0"/>
          <w:color w:val="auto"/>
          <w:sz w:val="32"/>
          <w:szCs w:val="32"/>
          <w:lang w:val="en-US" w:eastAsia="zh-CN" w:bidi="ar-SA"/>
        </w:rPr>
        <w:t>支出情况</w:t>
      </w:r>
    </w:p>
    <w:p w14:paraId="4E1EA33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bookmarkStart w:id="34" w:name="OLE_LINK32"/>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w:t>
      </w:r>
      <w:r>
        <w:rPr>
          <w:rFonts w:hint="default" w:ascii="Times New Roman" w:hAnsi="Times New Roman" w:eastAsia="仿宋_GB2312" w:cs="Times New Roman"/>
          <w:color w:val="auto"/>
          <w:sz w:val="32"/>
          <w:szCs w:val="32"/>
        </w:rPr>
        <w:t>政府性基金预算</w:t>
      </w:r>
      <w:r>
        <w:rPr>
          <w:rFonts w:hint="default" w:ascii="Times New Roman" w:hAnsi="Times New Roman" w:eastAsia="仿宋_GB2312" w:cs="Times New Roman"/>
          <w:color w:val="auto"/>
          <w:sz w:val="32"/>
          <w:szCs w:val="32"/>
          <w:lang w:eastAsia="zh-CN"/>
        </w:rPr>
        <w:t>收支。</w:t>
      </w:r>
      <w:bookmarkEnd w:id="34"/>
    </w:p>
    <w:p w14:paraId="070D464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四、国有资本经营预算</w:t>
      </w:r>
      <w:r>
        <w:rPr>
          <w:rFonts w:hint="eastAsia" w:ascii="Times New Roman" w:hAnsi="Times New Roman" w:eastAsia="黑体" w:cs="Times New Roman"/>
          <w:snapToGrid w:val="0"/>
          <w:color w:val="auto"/>
          <w:sz w:val="32"/>
          <w:szCs w:val="32"/>
          <w:lang w:val="en-US" w:eastAsia="zh-CN" w:bidi="ar-SA"/>
        </w:rPr>
        <w:t>财政拨款</w:t>
      </w:r>
      <w:r>
        <w:rPr>
          <w:rFonts w:hint="default" w:ascii="Times New Roman" w:hAnsi="Times New Roman" w:eastAsia="黑体" w:cs="Times New Roman"/>
          <w:snapToGrid w:val="0"/>
          <w:color w:val="auto"/>
          <w:sz w:val="32"/>
          <w:szCs w:val="32"/>
          <w:lang w:val="en-US" w:eastAsia="zh-CN" w:bidi="ar-SA"/>
        </w:rPr>
        <w:t>支出情况</w:t>
      </w:r>
    </w:p>
    <w:p w14:paraId="2A755169">
      <w:pPr>
        <w:keepNext w:val="0"/>
        <w:keepLines w:val="0"/>
        <w:pageBreakBefore w:val="0"/>
        <w:widowControl w:val="0"/>
        <w:numPr>
          <w:ilvl w:val="0"/>
          <w:numId w:val="0"/>
        </w:numPr>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bookmarkStart w:id="35" w:name="OLE_LINK33"/>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我单位无国有资本经营</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收支。</w:t>
      </w:r>
    </w:p>
    <w:bookmarkEnd w:id="35"/>
    <w:p w14:paraId="07F1EBC0">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五、社会保险基金预算支出情况</w:t>
      </w:r>
    </w:p>
    <w:p w14:paraId="1B15DB30">
      <w:pPr>
        <w:keepNext w:val="0"/>
        <w:keepLines w:val="0"/>
        <w:pageBreakBefore w:val="0"/>
        <w:widowControl w:val="0"/>
        <w:numPr>
          <w:ilvl w:val="0"/>
          <w:numId w:val="0"/>
        </w:numPr>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我单位无社会保险基金</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收支。</w:t>
      </w:r>
    </w:p>
    <w:p w14:paraId="03087A41">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六、部门整体支出绩效情况</w:t>
      </w:r>
    </w:p>
    <w:p w14:paraId="2EAC0433">
      <w:pPr>
        <w:keepNext w:val="0"/>
        <w:keepLines w:val="0"/>
        <w:pageBreakBefore w:val="0"/>
        <w:widowControl w:val="0"/>
        <w:kinsoku/>
        <w:wordWrap/>
        <w:overflowPunct/>
        <w:topLinePunct w:val="0"/>
        <w:autoSpaceDE w:val="0"/>
        <w:autoSpaceDN w:val="0"/>
        <w:bidi w:val="0"/>
        <w:adjustRightInd w:val="0"/>
        <w:snapToGrid/>
        <w:spacing w:after="0" w:line="576" w:lineRule="exact"/>
        <w:ind w:left="0" w:right="0" w:firstLine="6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根据财政预算绩效管理要求，</w:t>
      </w:r>
      <w:r>
        <w:rPr>
          <w:rFonts w:hint="default" w:ascii="Times New Roman" w:hAnsi="Times New Roman" w:eastAsia="仿宋_GB2312" w:cs="Times New Roman"/>
          <w:color w:val="auto"/>
          <w:spacing w:val="0"/>
          <w:kern w:val="0"/>
          <w:position w:val="0"/>
          <w:sz w:val="32"/>
          <w:szCs w:val="32"/>
          <w:shd w:val="clear" w:fill="auto"/>
          <w:lang w:eastAsia="zh-CN"/>
        </w:rPr>
        <w:t>我</w:t>
      </w:r>
      <w:r>
        <w:rPr>
          <w:rFonts w:hint="default" w:ascii="Times New Roman" w:hAnsi="Times New Roman" w:eastAsia="仿宋_GB2312" w:cs="Times New Roman"/>
          <w:color w:val="auto"/>
          <w:spacing w:val="0"/>
          <w:kern w:val="0"/>
          <w:position w:val="0"/>
          <w:sz w:val="32"/>
          <w:szCs w:val="32"/>
          <w:shd w:val="clear" w:fill="auto"/>
        </w:rPr>
        <w:t>部门认真总结归纳支出的绩效目标完成情况</w:t>
      </w:r>
      <w:r>
        <w:rPr>
          <w:rFonts w:hint="default" w:ascii="Times New Roman" w:hAnsi="Times New Roman" w:eastAsia="仿宋_GB2312" w:cs="Times New Roman"/>
          <w:color w:val="auto"/>
          <w:spacing w:val="0"/>
          <w:kern w:val="0"/>
          <w:position w:val="0"/>
          <w:sz w:val="32"/>
          <w:szCs w:val="32"/>
          <w:shd w:val="clear" w:fill="auto"/>
          <w:lang w:eastAsia="zh-CN"/>
        </w:rPr>
        <w:t>、</w:t>
      </w:r>
      <w:r>
        <w:rPr>
          <w:rFonts w:hint="default" w:ascii="Times New Roman" w:hAnsi="Times New Roman" w:eastAsia="仿宋_GB2312" w:cs="Times New Roman"/>
          <w:color w:val="auto"/>
          <w:spacing w:val="0"/>
          <w:kern w:val="0"/>
          <w:position w:val="0"/>
          <w:sz w:val="32"/>
          <w:szCs w:val="32"/>
          <w:shd w:val="clear" w:fill="auto"/>
        </w:rPr>
        <w:t>实现产出和取得效益的情况。围绕部门职责、行业发展规划，以预算资金管理为主线，总结部门资产管理和开展业务情况，从运行成本、管理效率、履职效能、社会效应、可持续发展能力和服务对象满意度等方面，衡量部门（单位）整体及核心业务实施效果。</w:t>
      </w:r>
    </w:p>
    <w:p w14:paraId="2785B720">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640" w:firstLineChars="200"/>
        <w:jc w:val="both"/>
        <w:rPr>
          <w:rFonts w:hint="default" w:ascii="Times New Roman" w:hAnsi="Times New Roman" w:eastAsia="仿宋_GB2312" w:cs="Times New Roman"/>
          <w:i/>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我部门组织对</w:t>
      </w:r>
      <w:r>
        <w:rPr>
          <w:rFonts w:hint="default" w:ascii="Times New Roman" w:hAnsi="Times New Roman" w:eastAsia="仿宋_GB2312" w:cs="Times New Roman"/>
          <w:color w:val="auto"/>
          <w:spacing w:val="0"/>
          <w:kern w:val="0"/>
          <w:position w:val="0"/>
          <w:sz w:val="32"/>
          <w:szCs w:val="32"/>
          <w:shd w:val="clear" w:fill="auto"/>
          <w:lang w:eastAsia="zh-CN"/>
        </w:rPr>
        <w:t>汨罗市应急管理局及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汨罗应急救援事务中心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汨罗市</w:t>
      </w:r>
      <w:r>
        <w:rPr>
          <w:rFonts w:hint="eastAsia" w:ascii="Times New Roman" w:hAnsi="Times New Roman" w:eastAsia="仿宋_GB2312" w:cs="Times New Roman"/>
          <w:color w:val="auto"/>
          <w:sz w:val="32"/>
          <w:szCs w:val="32"/>
          <w:lang w:eastAsia="zh-CN"/>
        </w:rPr>
        <w:t>应急管理行政</w:t>
      </w:r>
      <w:r>
        <w:rPr>
          <w:rFonts w:hint="default" w:ascii="Times New Roman" w:hAnsi="Times New Roman" w:eastAsia="仿宋_GB2312" w:cs="Times New Roman"/>
          <w:color w:val="auto"/>
          <w:sz w:val="32"/>
          <w:szCs w:val="32"/>
        </w:rPr>
        <w:t>执法大队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地震办公室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汨罗市民兵训练基地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kern w:val="0"/>
          <w:position w:val="0"/>
          <w:sz w:val="32"/>
          <w:szCs w:val="32"/>
          <w:shd w:val="clear" w:fill="auto"/>
        </w:rPr>
        <w:t>等</w:t>
      </w:r>
      <w:r>
        <w:rPr>
          <w:rFonts w:hint="default" w:ascii="Times New Roman" w:hAnsi="Times New Roman" w:eastAsia="仿宋_GB2312" w:cs="Times New Roman"/>
          <w:color w:val="auto"/>
          <w:spacing w:val="0"/>
          <w:kern w:val="0"/>
          <w:position w:val="0"/>
          <w:sz w:val="32"/>
          <w:szCs w:val="32"/>
          <w:shd w:val="clear" w:fill="auto"/>
          <w:lang w:val="en-US" w:eastAsia="zh-CN"/>
        </w:rPr>
        <w:t>4</w:t>
      </w:r>
      <w:r>
        <w:rPr>
          <w:rFonts w:hint="default" w:ascii="Times New Roman" w:hAnsi="Times New Roman" w:eastAsia="仿宋_GB2312" w:cs="Times New Roman"/>
          <w:color w:val="auto"/>
          <w:spacing w:val="0"/>
          <w:kern w:val="0"/>
          <w:position w:val="0"/>
          <w:sz w:val="32"/>
          <w:szCs w:val="32"/>
          <w:shd w:val="clear" w:fill="auto"/>
        </w:rPr>
        <w:t>个</w:t>
      </w:r>
      <w:r>
        <w:rPr>
          <w:rFonts w:hint="default" w:ascii="Times New Roman" w:hAnsi="Times New Roman" w:eastAsia="仿宋_GB2312" w:cs="Times New Roman"/>
          <w:color w:val="auto"/>
          <w:spacing w:val="0"/>
          <w:kern w:val="0"/>
          <w:position w:val="0"/>
          <w:sz w:val="32"/>
          <w:szCs w:val="32"/>
          <w:shd w:val="clear" w:fill="auto"/>
          <w:lang w:eastAsia="zh-CN"/>
        </w:rPr>
        <w:t>二级机构</w:t>
      </w:r>
      <w:r>
        <w:rPr>
          <w:rFonts w:hint="default" w:ascii="Times New Roman" w:hAnsi="Times New Roman" w:eastAsia="仿宋_GB2312" w:cs="Times New Roman"/>
          <w:color w:val="auto"/>
          <w:spacing w:val="0"/>
          <w:kern w:val="0"/>
          <w:position w:val="0"/>
          <w:sz w:val="32"/>
          <w:szCs w:val="32"/>
          <w:shd w:val="clear" w:fill="auto"/>
        </w:rPr>
        <w:t>单位开展整体支出绩效评价，涉及一般公共预算支出</w:t>
      </w:r>
      <w:r>
        <w:rPr>
          <w:rFonts w:hint="default" w:ascii="Times New Roman" w:hAnsi="Times New Roman" w:eastAsia="仿宋_GB2312" w:cs="Times New Roman"/>
          <w:color w:val="auto"/>
          <w:spacing w:val="0"/>
          <w:kern w:val="0"/>
          <w:position w:val="0"/>
          <w:sz w:val="32"/>
          <w:szCs w:val="32"/>
          <w:shd w:val="clear" w:fill="auto"/>
          <w:lang w:val="en-US" w:eastAsia="zh-CN"/>
        </w:rPr>
        <w:t>1819.47</w:t>
      </w:r>
      <w:r>
        <w:rPr>
          <w:rFonts w:hint="default" w:ascii="Times New Roman" w:hAnsi="Times New Roman" w:eastAsia="仿宋_GB2312" w:cs="Times New Roman"/>
          <w:color w:val="auto"/>
          <w:spacing w:val="0"/>
          <w:kern w:val="0"/>
          <w:position w:val="0"/>
          <w:sz w:val="32"/>
          <w:szCs w:val="32"/>
          <w:shd w:val="clear" w:fill="auto"/>
        </w:rPr>
        <w:t>万元，政府性基金预算支出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万元。从评价情况来看，</w:t>
      </w:r>
      <w:r>
        <w:rPr>
          <w:rFonts w:hint="default" w:ascii="Times New Roman" w:hAnsi="Times New Roman" w:eastAsia="仿宋_GB2312" w:cs="Times New Roman"/>
          <w:i w:val="0"/>
          <w:iCs w:val="0"/>
          <w:caps w:val="0"/>
          <w:color w:val="auto"/>
          <w:spacing w:val="0"/>
          <w:sz w:val="32"/>
          <w:szCs w:val="32"/>
          <w:shd w:val="clear" w:fill="FFFFFF"/>
        </w:rPr>
        <w:t>严格执行财务管理制度，研究制定应急管理局目标绩效考核办法，把目标任务逐条逐项分解，逐级逐层下达，具体落实到每个岗位、每个职工，实行领导干部分块包干、捆绑责任和跟进督导机制，倒排工期、挂图作战，做到厉行节约、精打细算，把有效的资金用到刀刃上，让财政资金发挥最大的社会及经济效益并保证全局各项工作的正常运转。</w:t>
      </w:r>
    </w:p>
    <w:p w14:paraId="56CEB9DE">
      <w:pPr>
        <w:keepNext w:val="0"/>
        <w:keepLines w:val="0"/>
        <w:pageBreakBefore w:val="0"/>
        <w:widowControl w:val="0"/>
        <w:kinsoku/>
        <w:wordWrap/>
        <w:overflowPunct/>
        <w:topLinePunct w:val="0"/>
        <w:autoSpaceDE w:val="0"/>
        <w:autoSpaceDN w:val="0"/>
        <w:bidi w:val="0"/>
        <w:adjustRightInd w:val="0"/>
        <w:snapToGrid/>
        <w:spacing w:after="0" w:line="576" w:lineRule="exact"/>
        <w:ind w:right="0" w:firstLine="640" w:firstLineChars="2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我部门组织对202</w:t>
      </w:r>
      <w:r>
        <w:rPr>
          <w:rFonts w:hint="default" w:ascii="Times New Roman" w:hAnsi="Times New Roman" w:eastAsia="仿宋_GB2312" w:cs="Times New Roman"/>
          <w:color w:val="auto"/>
          <w:spacing w:val="0"/>
          <w:kern w:val="0"/>
          <w:position w:val="0"/>
          <w:sz w:val="32"/>
          <w:szCs w:val="32"/>
          <w:shd w:val="clear" w:fill="auto"/>
          <w:lang w:val="en-US" w:eastAsia="zh-CN"/>
        </w:rPr>
        <w:t>3</w:t>
      </w:r>
      <w:r>
        <w:rPr>
          <w:rFonts w:hint="default" w:ascii="Times New Roman" w:hAnsi="Times New Roman" w:eastAsia="仿宋_GB2312" w:cs="Times New Roman"/>
          <w:color w:val="auto"/>
          <w:spacing w:val="0"/>
          <w:kern w:val="0"/>
          <w:position w:val="0"/>
          <w:sz w:val="32"/>
          <w:szCs w:val="32"/>
          <w:shd w:val="clear" w:fill="auto"/>
        </w:rPr>
        <w:t>年度一般公共预算项目支出全面开展绩效自评，其中，一级项目</w:t>
      </w:r>
      <w:r>
        <w:rPr>
          <w:rFonts w:hint="default" w:ascii="Times New Roman" w:hAnsi="Times New Roman" w:eastAsia="仿宋_GB2312" w:cs="Times New Roman"/>
          <w:color w:val="auto"/>
          <w:spacing w:val="0"/>
          <w:kern w:val="0"/>
          <w:position w:val="0"/>
          <w:sz w:val="32"/>
          <w:szCs w:val="32"/>
          <w:shd w:val="clear" w:fill="auto"/>
          <w:lang w:val="en-US" w:eastAsia="zh-CN"/>
        </w:rPr>
        <w:t>2</w:t>
      </w:r>
      <w:r>
        <w:rPr>
          <w:rFonts w:hint="default" w:ascii="Times New Roman" w:hAnsi="Times New Roman" w:eastAsia="仿宋_GB2312" w:cs="Times New Roman"/>
          <w:color w:val="auto"/>
          <w:spacing w:val="0"/>
          <w:kern w:val="0"/>
          <w:position w:val="0"/>
          <w:sz w:val="32"/>
          <w:szCs w:val="32"/>
          <w:shd w:val="clear" w:fill="auto"/>
        </w:rPr>
        <w:t>个，二级项目</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 xml:space="preserve"> 个，共涉及资金</w:t>
      </w:r>
      <w:r>
        <w:rPr>
          <w:rFonts w:hint="default" w:ascii="Times New Roman" w:hAnsi="Times New Roman" w:eastAsia="仿宋_GB2312" w:cs="Times New Roman"/>
          <w:color w:val="auto"/>
          <w:spacing w:val="0"/>
          <w:kern w:val="0"/>
          <w:position w:val="0"/>
          <w:sz w:val="32"/>
          <w:szCs w:val="32"/>
          <w:shd w:val="clear" w:fill="auto"/>
          <w:lang w:val="en-US" w:eastAsia="zh-CN"/>
        </w:rPr>
        <w:t>637.68</w:t>
      </w:r>
      <w:r>
        <w:rPr>
          <w:rFonts w:hint="default" w:ascii="Times New Roman" w:hAnsi="Times New Roman" w:eastAsia="仿宋_GB2312" w:cs="Times New Roman"/>
          <w:color w:val="auto"/>
          <w:spacing w:val="0"/>
          <w:kern w:val="0"/>
          <w:position w:val="0"/>
          <w:sz w:val="32"/>
          <w:szCs w:val="32"/>
          <w:shd w:val="clear" w:fill="auto"/>
        </w:rPr>
        <w:t>万元，占一般公共预算项目支出总额的</w:t>
      </w:r>
      <w:r>
        <w:rPr>
          <w:rFonts w:hint="default" w:ascii="Times New Roman" w:hAnsi="Times New Roman" w:eastAsia="仿宋_GB2312" w:cs="Times New Roman"/>
          <w:color w:val="auto"/>
          <w:spacing w:val="0"/>
          <w:kern w:val="0"/>
          <w:position w:val="0"/>
          <w:sz w:val="32"/>
          <w:szCs w:val="32"/>
          <w:shd w:val="clear" w:fill="auto"/>
          <w:lang w:val="en-US" w:eastAsia="zh-CN"/>
        </w:rPr>
        <w:t>25.95</w:t>
      </w:r>
      <w:r>
        <w:rPr>
          <w:rFonts w:hint="default" w:ascii="Times New Roman" w:hAnsi="Times New Roman" w:eastAsia="仿宋_GB2312" w:cs="Times New Roman"/>
          <w:color w:val="auto"/>
          <w:spacing w:val="0"/>
          <w:kern w:val="0"/>
          <w:position w:val="0"/>
          <w:sz w:val="32"/>
          <w:szCs w:val="32"/>
          <w:shd w:val="clear" w:fill="auto"/>
        </w:rPr>
        <w:t>%。202</w:t>
      </w:r>
      <w:r>
        <w:rPr>
          <w:rFonts w:hint="default" w:ascii="Times New Roman" w:hAnsi="Times New Roman" w:eastAsia="仿宋_GB2312" w:cs="Times New Roman"/>
          <w:color w:val="auto"/>
          <w:spacing w:val="0"/>
          <w:kern w:val="0"/>
          <w:position w:val="0"/>
          <w:sz w:val="32"/>
          <w:szCs w:val="32"/>
          <w:shd w:val="clear" w:fill="auto"/>
          <w:lang w:val="en-US" w:eastAsia="zh-CN"/>
        </w:rPr>
        <w:t>3</w:t>
      </w:r>
      <w:r>
        <w:rPr>
          <w:rFonts w:hint="default" w:ascii="Times New Roman" w:hAnsi="Times New Roman" w:eastAsia="仿宋_GB2312" w:cs="Times New Roman"/>
          <w:color w:val="auto"/>
          <w:spacing w:val="0"/>
          <w:kern w:val="0"/>
          <w:position w:val="0"/>
          <w:sz w:val="32"/>
          <w:szCs w:val="32"/>
          <w:shd w:val="clear" w:fill="auto"/>
        </w:rPr>
        <w:t>年度我部门</w:t>
      </w:r>
      <w:r>
        <w:rPr>
          <w:rFonts w:hint="default" w:ascii="Times New Roman" w:hAnsi="Times New Roman" w:eastAsia="仿宋_GB2312" w:cs="Times New Roman"/>
          <w:color w:val="auto"/>
          <w:spacing w:val="0"/>
          <w:kern w:val="0"/>
          <w:position w:val="0"/>
          <w:sz w:val="32"/>
          <w:szCs w:val="32"/>
          <w:shd w:val="clear" w:fill="auto"/>
          <w:lang w:eastAsia="zh-CN"/>
        </w:rPr>
        <w:t>无</w:t>
      </w:r>
      <w:r>
        <w:rPr>
          <w:rFonts w:hint="default" w:ascii="Times New Roman" w:hAnsi="Times New Roman" w:eastAsia="仿宋_GB2312" w:cs="Times New Roman"/>
          <w:color w:val="auto"/>
          <w:spacing w:val="0"/>
          <w:kern w:val="0"/>
          <w:position w:val="0"/>
          <w:sz w:val="32"/>
          <w:szCs w:val="32"/>
          <w:shd w:val="clear" w:fill="auto"/>
        </w:rPr>
        <w:t>政府性基金预算项目</w:t>
      </w:r>
      <w:r>
        <w:rPr>
          <w:rFonts w:hint="default" w:ascii="Times New Roman" w:hAnsi="Times New Roman" w:eastAsia="仿宋_GB2312" w:cs="Times New Roman"/>
          <w:color w:val="auto"/>
          <w:spacing w:val="0"/>
          <w:kern w:val="0"/>
          <w:position w:val="0"/>
          <w:sz w:val="32"/>
          <w:szCs w:val="32"/>
          <w:shd w:val="clear" w:fill="auto"/>
          <w:lang w:eastAsia="zh-CN"/>
        </w:rPr>
        <w:t>支出，无</w:t>
      </w:r>
      <w:r>
        <w:rPr>
          <w:rFonts w:hint="default" w:ascii="Times New Roman" w:hAnsi="Times New Roman" w:eastAsia="仿宋_GB2312" w:cs="Times New Roman"/>
          <w:color w:val="auto"/>
          <w:spacing w:val="0"/>
          <w:kern w:val="0"/>
          <w:position w:val="0"/>
          <w:sz w:val="32"/>
          <w:szCs w:val="32"/>
          <w:shd w:val="clear" w:fill="auto"/>
        </w:rPr>
        <w:t>国有资本经营预算</w:t>
      </w:r>
      <w:r>
        <w:rPr>
          <w:rFonts w:hint="default" w:ascii="Times New Roman" w:hAnsi="Times New Roman" w:eastAsia="仿宋_GB2312" w:cs="Times New Roman"/>
          <w:color w:val="auto"/>
          <w:spacing w:val="0"/>
          <w:kern w:val="0"/>
          <w:position w:val="0"/>
          <w:sz w:val="32"/>
          <w:szCs w:val="32"/>
          <w:shd w:val="clear" w:fill="auto"/>
          <w:lang w:eastAsia="zh-CN"/>
        </w:rPr>
        <w:t>项目</w:t>
      </w:r>
      <w:r>
        <w:rPr>
          <w:rFonts w:hint="default" w:ascii="Times New Roman" w:hAnsi="Times New Roman" w:eastAsia="仿宋_GB2312" w:cs="Times New Roman"/>
          <w:color w:val="auto"/>
          <w:spacing w:val="0"/>
          <w:kern w:val="0"/>
          <w:position w:val="0"/>
          <w:sz w:val="32"/>
          <w:szCs w:val="32"/>
          <w:shd w:val="clear" w:fill="auto"/>
        </w:rPr>
        <w:t>支出，对202</w:t>
      </w:r>
      <w:r>
        <w:rPr>
          <w:rFonts w:hint="default" w:ascii="Times New Roman" w:hAnsi="Times New Roman" w:eastAsia="仿宋_GB2312" w:cs="Times New Roman"/>
          <w:color w:val="auto"/>
          <w:spacing w:val="0"/>
          <w:kern w:val="0"/>
          <w:position w:val="0"/>
          <w:sz w:val="32"/>
          <w:szCs w:val="32"/>
          <w:shd w:val="clear" w:fill="auto"/>
          <w:lang w:val="en-US" w:eastAsia="zh-CN"/>
        </w:rPr>
        <w:t>3</w:t>
      </w:r>
      <w:r>
        <w:rPr>
          <w:rFonts w:hint="default" w:ascii="Times New Roman" w:hAnsi="Times New Roman" w:eastAsia="仿宋_GB2312" w:cs="Times New Roman"/>
          <w:color w:val="auto"/>
          <w:spacing w:val="0"/>
          <w:kern w:val="0"/>
          <w:position w:val="0"/>
          <w:sz w:val="32"/>
          <w:szCs w:val="32"/>
          <w:shd w:val="clear" w:fill="auto"/>
        </w:rPr>
        <w:t>年度0个政府性基金预算项目支出开展绩效自评，共涉及资金0万元，</w:t>
      </w:r>
      <w:r>
        <w:rPr>
          <w:rFonts w:hint="default" w:ascii="Times New Roman" w:hAnsi="Times New Roman" w:eastAsia="仿宋_GB2312" w:cs="Times New Roman"/>
          <w:color w:val="auto"/>
          <w:spacing w:val="0"/>
          <w:kern w:val="0"/>
          <w:position w:val="0"/>
          <w:sz w:val="32"/>
          <w:szCs w:val="32"/>
          <w:shd w:val="clear" w:fill="auto"/>
          <w:lang w:eastAsia="zh-CN"/>
        </w:rPr>
        <w:t>因项目支出金额为</w:t>
      </w:r>
      <w:r>
        <w:rPr>
          <w:rFonts w:hint="default" w:ascii="Times New Roman" w:hAnsi="Times New Roman" w:eastAsia="仿宋_GB2312" w:cs="Times New Roman"/>
          <w:color w:val="auto"/>
          <w:spacing w:val="0"/>
          <w:kern w:val="0"/>
          <w:position w:val="0"/>
          <w:sz w:val="32"/>
          <w:szCs w:val="32"/>
          <w:shd w:val="clear" w:fill="auto"/>
          <w:lang w:val="en-US" w:eastAsia="zh-CN"/>
        </w:rPr>
        <w:t>0，无法计算百分比</w:t>
      </w:r>
      <w:r>
        <w:rPr>
          <w:rFonts w:hint="default" w:ascii="Times New Roman" w:hAnsi="Times New Roman" w:eastAsia="仿宋_GB2312" w:cs="Times New Roman"/>
          <w:color w:val="auto"/>
          <w:spacing w:val="0"/>
          <w:kern w:val="0"/>
          <w:position w:val="0"/>
          <w:sz w:val="32"/>
          <w:szCs w:val="32"/>
          <w:shd w:val="clear" w:fill="auto"/>
        </w:rPr>
        <w:t>；对202</w:t>
      </w:r>
      <w:r>
        <w:rPr>
          <w:rFonts w:hint="default" w:ascii="Times New Roman" w:hAnsi="Times New Roman" w:eastAsia="仿宋_GB2312" w:cs="Times New Roman"/>
          <w:color w:val="auto"/>
          <w:spacing w:val="0"/>
          <w:kern w:val="0"/>
          <w:position w:val="0"/>
          <w:sz w:val="32"/>
          <w:szCs w:val="32"/>
          <w:shd w:val="clear" w:fill="auto"/>
          <w:lang w:val="en-US" w:eastAsia="zh-CN"/>
        </w:rPr>
        <w:t>3</w:t>
      </w:r>
      <w:r>
        <w:rPr>
          <w:rFonts w:hint="default" w:ascii="Times New Roman" w:hAnsi="Times New Roman" w:eastAsia="仿宋_GB2312" w:cs="Times New Roman"/>
          <w:color w:val="auto"/>
          <w:spacing w:val="0"/>
          <w:kern w:val="0"/>
          <w:position w:val="0"/>
          <w:sz w:val="32"/>
          <w:szCs w:val="32"/>
          <w:shd w:val="clear" w:fill="auto"/>
        </w:rPr>
        <w:t>年度0个国有资本经营预算项目支出开展绩效自评，共涉及资金0万元，</w:t>
      </w:r>
      <w:r>
        <w:rPr>
          <w:rFonts w:hint="default" w:ascii="Times New Roman" w:hAnsi="Times New Roman" w:eastAsia="仿宋_GB2312" w:cs="Times New Roman"/>
          <w:color w:val="auto"/>
          <w:spacing w:val="0"/>
          <w:kern w:val="0"/>
          <w:position w:val="0"/>
          <w:sz w:val="32"/>
          <w:szCs w:val="32"/>
          <w:shd w:val="clear" w:fill="auto"/>
          <w:lang w:eastAsia="zh-CN"/>
        </w:rPr>
        <w:t>因项目支出金额为</w:t>
      </w:r>
      <w:r>
        <w:rPr>
          <w:rFonts w:hint="default" w:ascii="Times New Roman" w:hAnsi="Times New Roman" w:eastAsia="仿宋_GB2312" w:cs="Times New Roman"/>
          <w:color w:val="auto"/>
          <w:spacing w:val="0"/>
          <w:kern w:val="0"/>
          <w:position w:val="0"/>
          <w:sz w:val="32"/>
          <w:szCs w:val="32"/>
          <w:shd w:val="clear" w:fill="auto"/>
          <w:lang w:val="en-US" w:eastAsia="zh-CN"/>
        </w:rPr>
        <w:t>0，无法计算百分比</w:t>
      </w:r>
      <w:r>
        <w:rPr>
          <w:rFonts w:hint="default" w:ascii="Times New Roman" w:hAnsi="Times New Roman" w:eastAsia="仿宋_GB2312" w:cs="Times New Roman"/>
          <w:color w:val="auto"/>
          <w:spacing w:val="0"/>
          <w:kern w:val="0"/>
          <w:position w:val="0"/>
          <w:sz w:val="32"/>
          <w:szCs w:val="32"/>
          <w:shd w:val="clear" w:fill="auto"/>
        </w:rPr>
        <w:t>。</w:t>
      </w:r>
    </w:p>
    <w:p w14:paraId="3F3783D5">
      <w:pPr>
        <w:keepNext w:val="0"/>
        <w:keepLines w:val="0"/>
        <w:pageBreakBefore w:val="0"/>
        <w:widowControl w:val="0"/>
        <w:kinsoku/>
        <w:wordWrap/>
        <w:overflowPunct/>
        <w:topLinePunct w:val="0"/>
        <w:autoSpaceDE w:val="0"/>
        <w:autoSpaceDN w:val="0"/>
        <w:bidi w:val="0"/>
        <w:adjustRightInd w:val="0"/>
        <w:snapToGrid/>
        <w:spacing w:after="0" w:line="576" w:lineRule="exact"/>
        <w:ind w:right="0" w:firstLine="640" w:firstLineChars="2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组织对“</w:t>
      </w:r>
      <w:r>
        <w:rPr>
          <w:rFonts w:hint="default" w:ascii="Times New Roman" w:hAnsi="Times New Roman" w:eastAsia="仿宋_GB2312" w:cs="Times New Roman"/>
          <w:color w:val="auto"/>
          <w:spacing w:val="0"/>
          <w:kern w:val="0"/>
          <w:position w:val="0"/>
          <w:sz w:val="32"/>
          <w:szCs w:val="32"/>
          <w:shd w:val="clear" w:fill="auto"/>
          <w:lang w:eastAsia="zh-CN"/>
        </w:rPr>
        <w:t>其他应急管理支出</w:t>
      </w:r>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自然灾害救灾补助</w:t>
      </w:r>
      <w:r>
        <w:rPr>
          <w:rFonts w:hint="default" w:ascii="Times New Roman" w:hAnsi="Times New Roman" w:eastAsia="仿宋_GB2312" w:cs="Times New Roman"/>
          <w:color w:val="auto"/>
          <w:spacing w:val="0"/>
          <w:kern w:val="0"/>
          <w:position w:val="0"/>
          <w:sz w:val="32"/>
          <w:szCs w:val="32"/>
          <w:shd w:val="clear" w:fill="auto"/>
        </w:rPr>
        <w:t>”等</w:t>
      </w:r>
      <w:r>
        <w:rPr>
          <w:rFonts w:hint="default" w:ascii="Times New Roman" w:hAnsi="Times New Roman" w:eastAsia="仿宋_GB2312" w:cs="Times New Roman"/>
          <w:color w:val="auto"/>
          <w:spacing w:val="0"/>
          <w:kern w:val="0"/>
          <w:position w:val="0"/>
          <w:sz w:val="32"/>
          <w:szCs w:val="32"/>
          <w:shd w:val="clear" w:fill="auto"/>
          <w:lang w:val="en-US" w:eastAsia="zh-CN"/>
        </w:rPr>
        <w:t>2</w:t>
      </w:r>
      <w:r>
        <w:rPr>
          <w:rFonts w:hint="default" w:ascii="Times New Roman" w:hAnsi="Times New Roman" w:eastAsia="仿宋_GB2312" w:cs="Times New Roman"/>
          <w:color w:val="auto"/>
          <w:spacing w:val="0"/>
          <w:kern w:val="0"/>
          <w:position w:val="0"/>
          <w:sz w:val="32"/>
          <w:szCs w:val="32"/>
          <w:shd w:val="clear" w:fill="auto"/>
        </w:rPr>
        <w:t>项目开展了部门评价，涉及一般公共预算支出</w:t>
      </w:r>
      <w:r>
        <w:rPr>
          <w:rFonts w:hint="default" w:ascii="Times New Roman" w:hAnsi="Times New Roman" w:eastAsia="仿宋_GB2312" w:cs="Times New Roman"/>
          <w:color w:val="auto"/>
          <w:spacing w:val="0"/>
          <w:kern w:val="0"/>
          <w:position w:val="0"/>
          <w:sz w:val="32"/>
          <w:szCs w:val="32"/>
          <w:shd w:val="clear" w:fill="auto"/>
          <w:lang w:val="en-US" w:eastAsia="zh-CN"/>
        </w:rPr>
        <w:t>637.68</w:t>
      </w:r>
      <w:r>
        <w:rPr>
          <w:rFonts w:hint="default" w:ascii="Times New Roman" w:hAnsi="Times New Roman" w:eastAsia="仿宋_GB2312" w:cs="Times New Roman"/>
          <w:color w:val="auto"/>
          <w:spacing w:val="0"/>
          <w:kern w:val="0"/>
          <w:position w:val="0"/>
          <w:sz w:val="32"/>
          <w:szCs w:val="32"/>
          <w:shd w:val="clear" w:fill="auto"/>
        </w:rPr>
        <w:t>万元，政府性基金预算支出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万元，国有资本经营预算支出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万元。从评价情况来看，</w:t>
      </w:r>
      <w:r>
        <w:rPr>
          <w:rFonts w:hint="default" w:ascii="Times New Roman" w:hAnsi="Times New Roman" w:eastAsia="仿宋_GB2312" w:cs="Times New Roman"/>
          <w:color w:val="auto"/>
          <w:spacing w:val="0"/>
          <w:kern w:val="0"/>
          <w:position w:val="0"/>
          <w:sz w:val="32"/>
          <w:szCs w:val="32"/>
          <w:shd w:val="clear" w:fill="auto"/>
          <w:lang w:eastAsia="zh-CN"/>
        </w:rPr>
        <w:t>其他</w:t>
      </w:r>
      <w:r>
        <w:rPr>
          <w:rFonts w:hint="default" w:ascii="Times New Roman" w:hAnsi="Times New Roman" w:eastAsia="仿宋_GB2312" w:cs="Times New Roman"/>
          <w:i w:val="0"/>
          <w:iCs w:val="0"/>
          <w:caps w:val="0"/>
          <w:color w:val="auto"/>
          <w:spacing w:val="0"/>
          <w:sz w:val="32"/>
          <w:szCs w:val="32"/>
          <w:shd w:val="clear" w:fill="FFFFFF"/>
        </w:rPr>
        <w:t>应急管理</w:t>
      </w:r>
      <w:r>
        <w:rPr>
          <w:rFonts w:hint="default" w:ascii="Times New Roman" w:hAnsi="Times New Roman" w:eastAsia="仿宋_GB2312" w:cs="Times New Roman"/>
          <w:i w:val="0"/>
          <w:iCs w:val="0"/>
          <w:caps w:val="0"/>
          <w:color w:val="auto"/>
          <w:spacing w:val="0"/>
          <w:sz w:val="32"/>
          <w:szCs w:val="32"/>
          <w:shd w:val="clear" w:fill="FFFFFF"/>
          <w:lang w:eastAsia="zh-CN"/>
        </w:rPr>
        <w:t>支出</w:t>
      </w:r>
      <w:r>
        <w:rPr>
          <w:rFonts w:hint="default" w:ascii="Times New Roman" w:hAnsi="Times New Roman" w:eastAsia="仿宋_GB2312" w:cs="Times New Roman"/>
          <w:i w:val="0"/>
          <w:iCs w:val="0"/>
          <w:caps w:val="0"/>
          <w:color w:val="auto"/>
          <w:spacing w:val="0"/>
          <w:sz w:val="32"/>
          <w:szCs w:val="32"/>
          <w:shd w:val="clear" w:fill="FFFFFF"/>
        </w:rPr>
        <w:t>经费项目根据实际情况设置了年度总体目标为：为机关工作人员体检、应急值守、应急处置、全局应急管理工作等提供必要经费。</w:t>
      </w:r>
      <w:r>
        <w:rPr>
          <w:rFonts w:hint="default" w:ascii="Times New Roman" w:hAnsi="Times New Roman" w:eastAsia="仿宋_GB2312" w:cs="Times New Roman"/>
          <w:i w:val="0"/>
          <w:iCs w:val="0"/>
          <w:caps w:val="0"/>
          <w:color w:val="auto"/>
          <w:spacing w:val="0"/>
          <w:sz w:val="32"/>
          <w:szCs w:val="32"/>
          <w:shd w:val="clear" w:fill="FFFFFF"/>
          <w:lang w:eastAsia="zh-CN"/>
        </w:rPr>
        <w:t>自然灾害救灾补助支出经费，</w:t>
      </w: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val="en-US" w:eastAsia="zh-CN"/>
        </w:rPr>
        <w:t>严格按照</w:t>
      </w:r>
      <w:r>
        <w:rPr>
          <w:rFonts w:hint="default" w:ascii="Times New Roman" w:hAnsi="Times New Roman" w:eastAsia="仿宋_GB2312" w:cs="Times New Roman"/>
          <w:color w:val="auto"/>
          <w:sz w:val="32"/>
          <w:szCs w:val="32"/>
        </w:rPr>
        <w:t>救灾资金</w:t>
      </w:r>
      <w:r>
        <w:rPr>
          <w:rFonts w:hint="default" w:ascii="Times New Roman" w:hAnsi="Times New Roman" w:eastAsia="仿宋_GB2312" w:cs="Times New Roman"/>
          <w:color w:val="auto"/>
          <w:sz w:val="32"/>
          <w:szCs w:val="32"/>
          <w:lang w:eastAsia="zh-CN"/>
        </w:rPr>
        <w:t>使用要求，</w:t>
      </w:r>
      <w:r>
        <w:rPr>
          <w:rFonts w:hint="default" w:ascii="Times New Roman" w:hAnsi="Times New Roman" w:eastAsia="仿宋_GB2312" w:cs="Times New Roman"/>
          <w:color w:val="auto"/>
          <w:sz w:val="32"/>
          <w:szCs w:val="32"/>
        </w:rPr>
        <w:t>切实做到专户储存、专人负责、专项管理、专款专用，任何单位和个人都不得以任何借口挤占、挪用，以保障</w:t>
      </w:r>
      <w:r>
        <w:rPr>
          <w:rFonts w:hint="default" w:ascii="Times New Roman" w:hAnsi="Times New Roman" w:eastAsia="仿宋_GB2312" w:cs="Times New Roman"/>
          <w:color w:val="auto"/>
          <w:sz w:val="32"/>
          <w:szCs w:val="32"/>
          <w:lang w:eastAsia="zh-CN"/>
        </w:rPr>
        <w:t>受群众</w:t>
      </w:r>
      <w:r>
        <w:rPr>
          <w:rFonts w:hint="default" w:ascii="Times New Roman" w:hAnsi="Times New Roman" w:eastAsia="仿宋_GB2312" w:cs="Times New Roman"/>
          <w:color w:val="auto"/>
          <w:sz w:val="32"/>
          <w:szCs w:val="32"/>
        </w:rPr>
        <w:t>基本生活为</w:t>
      </w:r>
      <w:r>
        <w:rPr>
          <w:rFonts w:hint="default" w:ascii="Times New Roman" w:hAnsi="Times New Roman" w:eastAsia="仿宋_GB2312" w:cs="Times New Roman"/>
          <w:color w:val="auto"/>
          <w:sz w:val="32"/>
          <w:szCs w:val="32"/>
          <w:lang w:eastAsia="zh-CN"/>
        </w:rPr>
        <w:t>宗旨</w:t>
      </w:r>
      <w:r>
        <w:rPr>
          <w:rFonts w:hint="default" w:ascii="Times New Roman" w:hAnsi="Times New Roman" w:eastAsia="仿宋_GB2312" w:cs="Times New Roman"/>
          <w:color w:val="auto"/>
          <w:sz w:val="32"/>
          <w:szCs w:val="32"/>
        </w:rPr>
        <w:t>，根据灾害大小，损失程度，自救能力，突出重点，以“五个一”要求（即身份证、受灾照片、受灾报告及镇村组核灾审批表、银行卡、电话号码）按照户报、村评、镇审、县定的原则，不搞特殊化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不搞平均主义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无挪用、截留等违规行为。</w:t>
      </w:r>
      <w:r>
        <w:rPr>
          <w:rFonts w:hint="default" w:ascii="Times New Roman" w:hAnsi="Times New Roman" w:eastAsia="仿宋_GB2312" w:cs="Times New Roman"/>
          <w:color w:val="auto"/>
          <w:sz w:val="32"/>
          <w:szCs w:val="32"/>
          <w:lang w:eastAsia="zh-CN"/>
        </w:rPr>
        <w:t>资金</w:t>
      </w:r>
      <w:r>
        <w:rPr>
          <w:rFonts w:hint="default" w:ascii="Times New Roman" w:hAnsi="Times New Roman" w:eastAsia="仿宋_GB2312" w:cs="Times New Roman"/>
          <w:color w:val="auto"/>
          <w:sz w:val="32"/>
          <w:szCs w:val="32"/>
        </w:rPr>
        <w:t>发放</w:t>
      </w:r>
      <w:r>
        <w:rPr>
          <w:rFonts w:hint="default" w:ascii="Times New Roman" w:hAnsi="Times New Roman" w:eastAsia="仿宋_GB2312" w:cs="Times New Roman"/>
          <w:color w:val="auto"/>
          <w:sz w:val="32"/>
          <w:szCs w:val="32"/>
          <w:lang w:eastAsia="zh-CN"/>
        </w:rPr>
        <w:t>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在乡镇“一卡通”平台上公示，</w:t>
      </w:r>
      <w:r>
        <w:rPr>
          <w:rFonts w:hint="default" w:ascii="Times New Roman" w:hAnsi="Times New Roman" w:eastAsia="仿宋_GB2312" w:cs="Times New Roman"/>
          <w:color w:val="auto"/>
          <w:sz w:val="32"/>
          <w:szCs w:val="32"/>
        </w:rPr>
        <w:t>公示期为七天，坚持做到对象公开，金额公开，自觉接受社会监督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14:paraId="4D33A17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七、存在的问题及原因分析</w:t>
      </w:r>
    </w:p>
    <w:p w14:paraId="79766AAF">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i w:val="0"/>
          <w:iCs w:val="0"/>
          <w:caps w:val="0"/>
          <w:color w:val="auto"/>
          <w:spacing w:val="0"/>
          <w:sz w:val="32"/>
          <w:szCs w:val="32"/>
        </w:rPr>
        <w:t>部门整体支出资金安排和使用上具有不可预见性，资金使用规范性需进一步提高。 </w:t>
      </w:r>
    </w:p>
    <w:p w14:paraId="21E6073D">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八、下一步改进措施</w:t>
      </w:r>
    </w:p>
    <w:p w14:paraId="6B0DEF52">
      <w:pPr>
        <w:keepNext w:val="0"/>
        <w:keepLines w:val="0"/>
        <w:pageBreakBefore w:val="0"/>
        <w:widowControl w:val="0"/>
        <w:kinsoku/>
        <w:wordWrap/>
        <w:overflowPunct/>
        <w:topLinePunct w:val="0"/>
        <w:autoSpaceDE w:val="0"/>
        <w:autoSpaceDN w:val="0"/>
        <w:bidi w:val="0"/>
        <w:adjustRightInd w:val="0"/>
        <w:spacing w:line="576" w:lineRule="exact"/>
        <w:ind w:firstLine="643"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i w:val="0"/>
          <w:iCs w:val="0"/>
          <w:caps w:val="0"/>
          <w:color w:val="auto"/>
          <w:spacing w:val="0"/>
          <w:sz w:val="32"/>
          <w:szCs w:val="32"/>
        </w:rPr>
        <w:t>一是</w:t>
      </w:r>
      <w:r>
        <w:rPr>
          <w:rFonts w:hint="default" w:ascii="Times New Roman" w:hAnsi="Times New Roman" w:eastAsia="仿宋_GB2312" w:cs="Times New Roman"/>
          <w:i w:val="0"/>
          <w:iCs w:val="0"/>
          <w:caps w:val="0"/>
          <w:color w:val="auto"/>
          <w:spacing w:val="0"/>
          <w:sz w:val="32"/>
          <w:szCs w:val="32"/>
        </w:rPr>
        <w:t>提高单位领导对</w:t>
      </w:r>
      <w:r>
        <w:rPr>
          <w:rFonts w:hint="default" w:ascii="Times New Roman" w:hAnsi="Times New Roman" w:eastAsia="仿宋_GB2312" w:cs="Times New Roman"/>
          <w:i w:val="0"/>
          <w:iCs w:val="0"/>
          <w:caps w:val="0"/>
          <w:color w:val="auto"/>
          <w:spacing w:val="0"/>
          <w:sz w:val="32"/>
          <w:szCs w:val="32"/>
          <w:lang w:eastAsia="zh-CN"/>
        </w:rPr>
        <w:t>单位预决算</w:t>
      </w:r>
      <w:r>
        <w:rPr>
          <w:rFonts w:hint="default" w:ascii="Times New Roman" w:hAnsi="Times New Roman" w:eastAsia="仿宋_GB2312" w:cs="Times New Roman"/>
          <w:i w:val="0"/>
          <w:iCs w:val="0"/>
          <w:caps w:val="0"/>
          <w:color w:val="auto"/>
          <w:spacing w:val="0"/>
          <w:sz w:val="32"/>
          <w:szCs w:val="32"/>
        </w:rPr>
        <w:t>管理的重视程度；</w:t>
      </w:r>
      <w:r>
        <w:rPr>
          <w:rFonts w:hint="default" w:ascii="Times New Roman" w:hAnsi="Times New Roman" w:eastAsia="仿宋_GB2312" w:cs="Times New Roman"/>
          <w:b/>
          <w:bCs/>
          <w:i w:val="0"/>
          <w:iCs w:val="0"/>
          <w:caps w:val="0"/>
          <w:color w:val="auto"/>
          <w:spacing w:val="0"/>
          <w:sz w:val="32"/>
          <w:szCs w:val="32"/>
        </w:rPr>
        <w:t>二是</w:t>
      </w:r>
      <w:r>
        <w:rPr>
          <w:rFonts w:hint="default" w:ascii="Times New Roman" w:hAnsi="Times New Roman" w:eastAsia="仿宋_GB2312" w:cs="Times New Roman"/>
          <w:i w:val="0"/>
          <w:iCs w:val="0"/>
          <w:caps w:val="0"/>
          <w:color w:val="auto"/>
          <w:spacing w:val="0"/>
          <w:sz w:val="32"/>
          <w:szCs w:val="32"/>
        </w:rPr>
        <w:t>增强工作人员相关能力。</w:t>
      </w:r>
    </w:p>
    <w:p w14:paraId="37ACA1C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九、部门整体支出绩效自评结果拟应用和公开情况</w:t>
      </w:r>
    </w:p>
    <w:p w14:paraId="66F05AE8">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根据《项目支出绩效评价办法》（财预〔2020〕10号）中《项目支出绩效评价报告（参考提纲）》、《湖南省预算支出绩效评价管理办法》（湘财绩〔2020〕7号），“</w:t>
      </w:r>
      <w:r>
        <w:rPr>
          <w:rFonts w:hint="default" w:ascii="Times New Roman" w:hAnsi="Times New Roman" w:eastAsia="仿宋_GB2312" w:cs="Times New Roman"/>
          <w:color w:val="auto"/>
          <w:kern w:val="0"/>
          <w:sz w:val="32"/>
          <w:szCs w:val="32"/>
          <w:lang w:eastAsia="zh-CN"/>
        </w:rPr>
        <w:t>自然灾害救灾补助</w:t>
      </w:r>
      <w:r>
        <w:rPr>
          <w:rFonts w:hint="default" w:ascii="Times New Roman" w:hAnsi="Times New Roman" w:eastAsia="仿宋_GB2312" w:cs="Times New Roman"/>
          <w:color w:val="auto"/>
          <w:kern w:val="0"/>
          <w:sz w:val="32"/>
          <w:szCs w:val="32"/>
        </w:rPr>
        <w:t>”该项目绩效评价综合得分100分，绩效评价结果为“优”绩效评价报告详见附件；“</w:t>
      </w:r>
      <w:r>
        <w:rPr>
          <w:rFonts w:hint="default" w:ascii="Times New Roman" w:hAnsi="Times New Roman" w:eastAsia="仿宋_GB2312" w:cs="Times New Roman"/>
          <w:color w:val="auto"/>
          <w:kern w:val="0"/>
          <w:sz w:val="32"/>
          <w:szCs w:val="32"/>
          <w:lang w:eastAsia="zh-CN"/>
        </w:rPr>
        <w:t>其他应急管理支出</w:t>
      </w:r>
      <w:r>
        <w:rPr>
          <w:rFonts w:hint="default" w:ascii="Times New Roman" w:hAnsi="Times New Roman" w:eastAsia="仿宋_GB2312" w:cs="Times New Roman"/>
          <w:color w:val="auto"/>
          <w:kern w:val="0"/>
          <w:sz w:val="32"/>
          <w:szCs w:val="32"/>
        </w:rPr>
        <w:t>” 项目绩效评价综合得分100分，绩效评价结果为“优”绩效评价报告详见附件。</w:t>
      </w:r>
    </w:p>
    <w:p w14:paraId="03E13B94">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十、其他需要说明的情况</w:t>
      </w:r>
    </w:p>
    <w:p w14:paraId="3C7E2132">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14:paraId="74550A2A">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报告需要以下附件：</w:t>
      </w:r>
    </w:p>
    <w:p w14:paraId="223B0648">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1、部门整体支出绩效评价基础数据表</w:t>
      </w:r>
    </w:p>
    <w:p w14:paraId="32446569">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2、部门整体支出绩效自评表</w:t>
      </w:r>
    </w:p>
    <w:p w14:paraId="77C0C86B">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3、项目支出绩效自评表（每个一级项目支出一张表）</w:t>
      </w:r>
    </w:p>
    <w:p w14:paraId="296CC7B5">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4、政府性基金预算</w:t>
      </w:r>
      <w:r>
        <w:rPr>
          <w:rFonts w:hint="eastAsia" w:ascii="Times New Roman" w:hAnsi="Times New Roman" w:eastAsia="仿宋_GB2312" w:cs="Times New Roman"/>
          <w:color w:val="auto"/>
          <w:kern w:val="0"/>
          <w:sz w:val="32"/>
          <w:szCs w:val="32"/>
          <w:lang w:eastAsia="zh-CN"/>
        </w:rPr>
        <w:t>财政拨款</w:t>
      </w:r>
      <w:r>
        <w:rPr>
          <w:rFonts w:hint="default" w:ascii="Times New Roman" w:hAnsi="Times New Roman" w:eastAsia="仿宋_GB2312" w:cs="Times New Roman"/>
          <w:color w:val="auto"/>
          <w:kern w:val="0"/>
          <w:sz w:val="32"/>
          <w:szCs w:val="32"/>
          <w:lang w:eastAsia="zh-CN"/>
        </w:rPr>
        <w:t>支出情况表</w:t>
      </w:r>
    </w:p>
    <w:p w14:paraId="0F7D610A">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5、国有资本经营预算</w:t>
      </w:r>
      <w:r>
        <w:rPr>
          <w:rFonts w:hint="eastAsia" w:ascii="Times New Roman" w:hAnsi="Times New Roman" w:eastAsia="仿宋_GB2312" w:cs="Times New Roman"/>
          <w:color w:val="auto"/>
          <w:kern w:val="0"/>
          <w:sz w:val="32"/>
          <w:szCs w:val="32"/>
          <w:lang w:eastAsia="zh-CN"/>
        </w:rPr>
        <w:t>财政拨款</w:t>
      </w:r>
      <w:r>
        <w:rPr>
          <w:rFonts w:hint="default" w:ascii="Times New Roman" w:hAnsi="Times New Roman" w:eastAsia="仿宋_GB2312" w:cs="Times New Roman"/>
          <w:color w:val="auto"/>
          <w:kern w:val="0"/>
          <w:sz w:val="32"/>
          <w:szCs w:val="32"/>
          <w:lang w:eastAsia="zh-CN"/>
        </w:rPr>
        <w:t>支出情况表</w:t>
      </w:r>
    </w:p>
    <w:p w14:paraId="026050E2">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6、社会保险基金预算支出情况表</w:t>
      </w:r>
    </w:p>
    <w:p w14:paraId="36122B9F">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p>
    <w:p w14:paraId="18C27175">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kern w:val="0"/>
          <w:sz w:val="32"/>
          <w:szCs w:val="32"/>
          <w:lang w:eastAsia="zh-CN"/>
        </w:rPr>
      </w:pPr>
    </w:p>
    <w:p w14:paraId="123AA73E">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kern w:val="0"/>
          <w:sz w:val="32"/>
          <w:szCs w:val="32"/>
          <w:lang w:eastAsia="zh-CN"/>
        </w:rPr>
      </w:pPr>
    </w:p>
    <w:p w14:paraId="576ECD00">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kern w:val="0"/>
          <w:sz w:val="32"/>
          <w:szCs w:val="32"/>
          <w:lang w:eastAsia="zh-CN"/>
        </w:rPr>
      </w:pPr>
    </w:p>
    <w:p w14:paraId="5C24F041">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kern w:val="0"/>
          <w:sz w:val="32"/>
          <w:szCs w:val="32"/>
          <w:lang w:eastAsia="zh-CN"/>
        </w:rPr>
      </w:pPr>
    </w:p>
    <w:p w14:paraId="77574628">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kern w:val="0"/>
          <w:sz w:val="32"/>
          <w:szCs w:val="32"/>
          <w:lang w:eastAsia="zh-CN"/>
        </w:rPr>
      </w:pPr>
    </w:p>
    <w:p w14:paraId="46BFA3ED">
      <w:pPr>
        <w:keepNext w:val="0"/>
        <w:keepLines w:val="0"/>
        <w:pageBreakBefore w:val="0"/>
        <w:widowControl w:val="0"/>
        <w:kinsoku/>
        <w:wordWrap/>
        <w:overflowPunct/>
        <w:topLinePunct w:val="0"/>
        <w:autoSpaceDE w:val="0"/>
        <w:autoSpaceDN w:val="0"/>
        <w:bidi w:val="0"/>
        <w:adjustRightInd w:val="0"/>
        <w:spacing w:line="267" w:lineRule="auto"/>
        <w:ind w:firstLine="552"/>
        <w:jc w:val="both"/>
        <w:rPr>
          <w:rFonts w:hint="default" w:ascii="Times New Roman" w:hAnsi="Times New Roman" w:eastAsia="宋体" w:cs="Times New Roman"/>
          <w:bCs/>
          <w:spacing w:val="-4"/>
          <w:kern w:val="0"/>
          <w:sz w:val="28"/>
          <w:szCs w:val="28"/>
          <w:lang w:eastAsia="zh-CN"/>
        </w:rPr>
      </w:pPr>
    </w:p>
    <w:p w14:paraId="1A7C30C8">
      <w:pPr>
        <w:keepNext w:val="0"/>
        <w:keepLines w:val="0"/>
        <w:pageBreakBefore w:val="0"/>
        <w:widowControl w:val="0"/>
        <w:kinsoku/>
        <w:wordWrap/>
        <w:overflowPunct/>
        <w:topLinePunct w:val="0"/>
        <w:autoSpaceDE w:val="0"/>
        <w:autoSpaceDN w:val="0"/>
        <w:bidi w:val="0"/>
        <w:adjustRightInd w:val="0"/>
        <w:spacing w:line="267" w:lineRule="auto"/>
        <w:jc w:val="both"/>
        <w:rPr>
          <w:rFonts w:hint="default" w:ascii="Times New Roman" w:hAnsi="Times New Roman" w:eastAsia="黑体" w:cs="Times New Roman"/>
          <w:bCs/>
          <w:spacing w:val="-4"/>
          <w:kern w:val="0"/>
          <w:sz w:val="28"/>
          <w:szCs w:val="28"/>
          <w:lang w:val="en-US" w:eastAsia="zh-CN"/>
        </w:rPr>
      </w:pPr>
      <w:r>
        <w:rPr>
          <w:rFonts w:hint="default" w:ascii="Times New Roman" w:hAnsi="Times New Roman" w:eastAsia="黑体" w:cs="Times New Roman"/>
          <w:bCs/>
          <w:spacing w:val="-4"/>
          <w:kern w:val="0"/>
          <w:sz w:val="28"/>
          <w:szCs w:val="28"/>
          <w:lang w:eastAsia="zh-CN"/>
        </w:rPr>
        <w:t>附件</w:t>
      </w:r>
      <w:r>
        <w:rPr>
          <w:rFonts w:hint="default" w:ascii="Times New Roman" w:hAnsi="Times New Roman" w:eastAsia="黑体" w:cs="Times New Roman"/>
          <w:bCs/>
          <w:spacing w:val="-4"/>
          <w:kern w:val="0"/>
          <w:sz w:val="28"/>
          <w:szCs w:val="28"/>
          <w:lang w:val="en-US" w:eastAsia="zh-CN"/>
        </w:rPr>
        <w:t>5</w:t>
      </w:r>
    </w:p>
    <w:p w14:paraId="67A5B11B">
      <w:pPr>
        <w:keepNext w:val="0"/>
        <w:keepLines w:val="0"/>
        <w:pageBreakBefore w:val="0"/>
        <w:widowControl w:val="0"/>
        <w:kinsoku/>
        <w:wordWrap/>
        <w:overflowPunct/>
        <w:topLinePunct w:val="0"/>
        <w:autoSpaceDE w:val="0"/>
        <w:autoSpaceDN w:val="0"/>
        <w:bidi w:val="0"/>
        <w:adjustRightInd w:val="0"/>
        <w:spacing w:line="267" w:lineRule="auto"/>
        <w:jc w:val="both"/>
        <w:rPr>
          <w:rFonts w:hint="default" w:ascii="Times New Roman" w:hAnsi="Times New Roman" w:eastAsia="黑体" w:cs="Times New Roman"/>
          <w:bCs/>
          <w:spacing w:val="-4"/>
          <w:kern w:val="0"/>
          <w:sz w:val="28"/>
          <w:szCs w:val="28"/>
          <w:lang w:val="en-US" w:eastAsia="zh-CN"/>
        </w:rPr>
      </w:pPr>
    </w:p>
    <w:p w14:paraId="238A4818">
      <w:pPr>
        <w:keepNext w:val="0"/>
        <w:keepLines w:val="0"/>
        <w:pageBreakBefore w:val="0"/>
        <w:widowControl w:val="0"/>
        <w:kinsoku/>
        <w:wordWrap/>
        <w:overflowPunct/>
        <w:topLinePunct w:val="0"/>
        <w:autoSpaceDE w:val="0"/>
        <w:autoSpaceDN w:val="0"/>
        <w:bidi w:val="0"/>
        <w:adjustRightInd w:val="0"/>
        <w:spacing w:line="267" w:lineRule="auto"/>
        <w:jc w:val="both"/>
        <w:rPr>
          <w:rFonts w:hint="default" w:ascii="Times New Roman" w:hAnsi="Times New Roman" w:eastAsia="黑体" w:cs="Times New Roman"/>
          <w:bCs/>
          <w:spacing w:val="-4"/>
          <w:kern w:val="0"/>
          <w:sz w:val="28"/>
          <w:szCs w:val="28"/>
          <w:lang w:val="en-US" w:eastAsia="zh-CN"/>
        </w:rPr>
      </w:pPr>
    </w:p>
    <w:p w14:paraId="0574EA6A">
      <w:pPr>
        <w:keepNext w:val="0"/>
        <w:keepLines w:val="0"/>
        <w:pageBreakBefore w:val="0"/>
        <w:widowControl w:val="0"/>
        <w:kinsoku/>
        <w:wordWrap/>
        <w:overflowPunct/>
        <w:topLinePunct w:val="0"/>
        <w:autoSpaceDE w:val="0"/>
        <w:autoSpaceDN w:val="0"/>
        <w:bidi w:val="0"/>
        <w:adjustRightInd w:val="0"/>
        <w:spacing w:line="267" w:lineRule="auto"/>
        <w:jc w:val="both"/>
        <w:rPr>
          <w:rFonts w:hint="default" w:ascii="Times New Roman" w:hAnsi="Times New Roman" w:eastAsia="黑体" w:cs="Times New Roman"/>
          <w:bCs/>
          <w:spacing w:val="-4"/>
          <w:kern w:val="0"/>
          <w:sz w:val="28"/>
          <w:szCs w:val="28"/>
          <w:lang w:val="en-US" w:eastAsia="zh-CN"/>
        </w:rPr>
      </w:pPr>
    </w:p>
    <w:p w14:paraId="093061A5">
      <w:pPr>
        <w:keepNext w:val="0"/>
        <w:keepLines w:val="0"/>
        <w:pageBreakBefore w:val="0"/>
        <w:widowControl w:val="0"/>
        <w:kinsoku/>
        <w:wordWrap/>
        <w:overflowPunct/>
        <w:topLinePunct w:val="0"/>
        <w:autoSpaceDE w:val="0"/>
        <w:autoSpaceDN w:val="0"/>
        <w:bidi w:val="0"/>
        <w:adjustRightInd w:val="0"/>
        <w:spacing w:before="201" w:line="578" w:lineRule="exact"/>
        <w:jc w:val="center"/>
        <w:rPr>
          <w:rFonts w:hint="default" w:ascii="Times New Roman" w:hAnsi="Times New Roman" w:eastAsia="方正小标宋简体" w:cs="Times New Roman"/>
          <w:b w:val="0"/>
          <w:bCs w:val="0"/>
          <w:sz w:val="42"/>
          <w:szCs w:val="42"/>
        </w:rPr>
      </w:pPr>
      <w:r>
        <w:rPr>
          <w:rFonts w:hint="default" w:ascii="Times New Roman" w:hAnsi="Times New Roman" w:eastAsia="方正小标宋简体" w:cs="Times New Roman"/>
          <w:b w:val="0"/>
          <w:bCs w:val="0"/>
          <w:spacing w:val="15"/>
          <w:position w:val="10"/>
          <w:sz w:val="42"/>
          <w:szCs w:val="42"/>
        </w:rPr>
        <w:t>202</w:t>
      </w:r>
      <w:r>
        <w:rPr>
          <w:rFonts w:hint="default" w:ascii="Times New Roman" w:hAnsi="Times New Roman" w:eastAsia="方正小标宋简体" w:cs="Times New Roman"/>
          <w:b w:val="0"/>
          <w:bCs w:val="0"/>
          <w:spacing w:val="15"/>
          <w:position w:val="10"/>
          <w:sz w:val="42"/>
          <w:szCs w:val="42"/>
          <w:lang w:val="en-US" w:eastAsia="zh-CN"/>
        </w:rPr>
        <w:t>3</w:t>
      </w:r>
      <w:r>
        <w:rPr>
          <w:rFonts w:hint="default" w:ascii="Times New Roman" w:hAnsi="Times New Roman" w:eastAsia="方正小标宋简体" w:cs="Times New Roman"/>
          <w:b w:val="0"/>
          <w:bCs w:val="0"/>
          <w:spacing w:val="15"/>
          <w:position w:val="10"/>
          <w:sz w:val="42"/>
          <w:szCs w:val="42"/>
        </w:rPr>
        <w:t>年度</w:t>
      </w:r>
      <w:r>
        <w:rPr>
          <w:rFonts w:hint="default" w:ascii="Times New Roman" w:hAnsi="Times New Roman" w:eastAsia="方正小标宋简体" w:cs="Times New Roman"/>
          <w:b w:val="0"/>
          <w:bCs w:val="0"/>
          <w:position w:val="10"/>
          <w:sz w:val="42"/>
          <w:szCs w:val="42"/>
          <w:lang w:eastAsia="zh-CN"/>
        </w:rPr>
        <w:t>自然灾害救灾补助</w:t>
      </w:r>
      <w:r>
        <w:rPr>
          <w:rFonts w:hint="default" w:ascii="Times New Roman" w:hAnsi="Times New Roman" w:eastAsia="方正小标宋简体" w:cs="Times New Roman"/>
          <w:b w:val="0"/>
          <w:bCs w:val="0"/>
          <w:spacing w:val="15"/>
          <w:position w:val="10"/>
          <w:sz w:val="42"/>
          <w:szCs w:val="42"/>
        </w:rPr>
        <w:t>项目支出</w:t>
      </w:r>
    </w:p>
    <w:p w14:paraId="5035F9FC">
      <w:pPr>
        <w:keepNext w:val="0"/>
        <w:keepLines w:val="0"/>
        <w:pageBreakBefore w:val="0"/>
        <w:widowControl w:val="0"/>
        <w:kinsoku/>
        <w:wordWrap/>
        <w:overflowPunct/>
        <w:topLinePunct w:val="0"/>
        <w:autoSpaceDE w:val="0"/>
        <w:autoSpaceDN w:val="0"/>
        <w:bidi w:val="0"/>
        <w:adjustRightInd w:val="0"/>
        <w:spacing w:before="1" w:line="220" w:lineRule="auto"/>
        <w:jc w:val="center"/>
        <w:rPr>
          <w:rFonts w:hint="default" w:ascii="Times New Roman" w:hAnsi="Times New Roman" w:eastAsia="方正小标宋简体" w:cs="Times New Roman"/>
          <w:b w:val="0"/>
          <w:bCs w:val="0"/>
          <w:sz w:val="42"/>
          <w:szCs w:val="42"/>
        </w:rPr>
      </w:pPr>
      <w:r>
        <w:rPr>
          <w:rFonts w:hint="default" w:ascii="Times New Roman" w:hAnsi="Times New Roman" w:eastAsia="方正小标宋简体" w:cs="Times New Roman"/>
          <w:b w:val="0"/>
          <w:bCs w:val="0"/>
          <w:spacing w:val="10"/>
          <w:sz w:val="42"/>
          <w:szCs w:val="42"/>
        </w:rPr>
        <w:t>绩效自评报告</w:t>
      </w:r>
    </w:p>
    <w:p w14:paraId="032D9877">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3C26564A">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0A3A7E53">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AB0F11F">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04BC4C29">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55E97675">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3F8CB4A2">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011F14D2">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08934728">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D5C5D32">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DDE6D18">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75D20DB">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53DF4336">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8A925AC">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25C9C9C9">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bookmarkStart w:id="37" w:name="_GoBack"/>
      <w:bookmarkEnd w:id="37"/>
    </w:p>
    <w:p w14:paraId="2A99ADA6">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33B6F041">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3C923FF6">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05807A9B">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50B78604">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5B205D90">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78E8A7C6">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1A386648">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06115F05">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6D3AA56C">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23C18839">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05C1AC58">
      <w:pPr>
        <w:pStyle w:val="2"/>
        <w:keepNext w:val="0"/>
        <w:keepLines w:val="0"/>
        <w:pageBreakBefore w:val="0"/>
        <w:widowControl w:val="0"/>
        <w:kinsoku/>
        <w:wordWrap/>
        <w:overflowPunct/>
        <w:topLinePunct w:val="0"/>
        <w:autoSpaceDE w:val="0"/>
        <w:autoSpaceDN w:val="0"/>
        <w:bidi w:val="0"/>
        <w:adjustRightInd w:val="0"/>
        <w:spacing w:before="89" w:line="221" w:lineRule="auto"/>
        <w:ind w:left="2270"/>
        <w:rPr>
          <w:rFonts w:hint="default" w:ascii="Times New Roman" w:hAnsi="Times New Roman" w:cs="Times New Roman"/>
          <w:sz w:val="27"/>
          <w:szCs w:val="27"/>
        </w:rPr>
      </w:pPr>
      <w:r>
        <w:rPr>
          <w:rFonts w:hint="default" w:ascii="Times New Roman" w:hAnsi="Times New Roman" w:cs="Times New Roman"/>
          <w:spacing w:val="-22"/>
          <w:sz w:val="27"/>
          <w:szCs w:val="27"/>
        </w:rPr>
        <w:t>部 门</w:t>
      </w:r>
      <w:r>
        <w:rPr>
          <w:rFonts w:hint="default" w:ascii="Times New Roman" w:hAnsi="Times New Roman" w:cs="Times New Roman"/>
          <w:spacing w:val="-36"/>
          <w:sz w:val="27"/>
          <w:szCs w:val="27"/>
        </w:rPr>
        <w:t xml:space="preserve"> </w:t>
      </w:r>
      <w:r>
        <w:rPr>
          <w:rFonts w:hint="default" w:ascii="Times New Roman" w:hAnsi="Times New Roman" w:cs="Times New Roman"/>
          <w:spacing w:val="-22"/>
          <w:sz w:val="27"/>
          <w:szCs w:val="27"/>
        </w:rPr>
        <w:t>名</w:t>
      </w:r>
      <w:r>
        <w:rPr>
          <w:rFonts w:hint="default" w:ascii="Times New Roman" w:hAnsi="Times New Roman" w:cs="Times New Roman"/>
          <w:spacing w:val="-37"/>
          <w:sz w:val="27"/>
          <w:szCs w:val="27"/>
        </w:rPr>
        <w:t xml:space="preserve"> </w:t>
      </w:r>
      <w:r>
        <w:rPr>
          <w:rFonts w:hint="default" w:ascii="Times New Roman" w:hAnsi="Times New Roman" w:cs="Times New Roman"/>
          <w:spacing w:val="-22"/>
          <w:sz w:val="27"/>
          <w:szCs w:val="27"/>
        </w:rPr>
        <w:t>称</w:t>
      </w:r>
      <w:r>
        <w:rPr>
          <w:rFonts w:hint="eastAsia" w:ascii="Times New Roman" w:hAnsi="Times New Roman" w:cs="Times New Roman"/>
          <w:spacing w:val="-54"/>
          <w:sz w:val="27"/>
          <w:szCs w:val="27"/>
          <w:u w:val="none" w:color="auto"/>
          <w:lang w:eastAsia="zh-CN"/>
        </w:rPr>
        <w:t>（</w:t>
      </w:r>
      <w:r>
        <w:rPr>
          <w:rFonts w:hint="default" w:ascii="Times New Roman" w:hAnsi="Times New Roman" w:cs="Times New Roman"/>
          <w:spacing w:val="-22"/>
          <w:sz w:val="27"/>
          <w:szCs w:val="27"/>
          <w:u w:val="none" w:color="auto"/>
        </w:rPr>
        <w:t>盖章</w:t>
      </w:r>
      <w:r>
        <w:rPr>
          <w:rFonts w:hint="eastAsia" w:ascii="Times New Roman" w:hAnsi="Times New Roman" w:cs="Times New Roman"/>
          <w:spacing w:val="-22"/>
          <w:sz w:val="27"/>
          <w:szCs w:val="27"/>
          <w:u w:val="none" w:color="auto"/>
          <w:lang w:eastAsia="zh-CN"/>
        </w:rPr>
        <w:t>）</w:t>
      </w:r>
      <w:r>
        <w:rPr>
          <w:rFonts w:hint="default" w:ascii="Times New Roman" w:hAnsi="Times New Roman" w:cs="Times New Roman"/>
          <w:spacing w:val="-22"/>
          <w:sz w:val="27"/>
          <w:szCs w:val="27"/>
        </w:rPr>
        <w:t>：</w:t>
      </w:r>
      <w:r>
        <w:rPr>
          <w:rFonts w:hint="default" w:ascii="Times New Roman" w:hAnsi="Times New Roman" w:cs="Times New Roman"/>
          <w:spacing w:val="-22"/>
          <w:sz w:val="27"/>
          <w:szCs w:val="27"/>
          <w:u w:val="single" w:color="auto"/>
        </w:rPr>
        <w:t xml:space="preserve">   </w:t>
      </w:r>
      <w:r>
        <w:rPr>
          <w:rFonts w:hint="default" w:ascii="Times New Roman" w:hAnsi="Times New Roman" w:cs="Times New Roman"/>
          <w:sz w:val="27"/>
          <w:szCs w:val="27"/>
          <w:u w:val="single" w:color="auto"/>
        </w:rPr>
        <w:t xml:space="preserve"> </w:t>
      </w:r>
      <w:r>
        <w:rPr>
          <w:rFonts w:hint="eastAsia" w:ascii="Times New Roman" w:hAnsi="Times New Roman" w:cs="Times New Roman"/>
          <w:sz w:val="27"/>
          <w:szCs w:val="27"/>
          <w:u w:val="single" w:color="auto"/>
          <w:lang w:eastAsia="zh-CN"/>
        </w:rPr>
        <w:t>汨罗市应急管理局</w:t>
      </w:r>
      <w:r>
        <w:rPr>
          <w:rFonts w:hint="default" w:ascii="Times New Roman" w:hAnsi="Times New Roman" w:cs="Times New Roman"/>
          <w:sz w:val="27"/>
          <w:szCs w:val="27"/>
          <w:u w:val="single" w:color="auto"/>
        </w:rPr>
        <w:t xml:space="preserve">    </w:t>
      </w:r>
    </w:p>
    <w:p w14:paraId="6B80A16B">
      <w:pPr>
        <w:pStyle w:val="2"/>
        <w:keepNext w:val="0"/>
        <w:keepLines w:val="0"/>
        <w:pageBreakBefore w:val="0"/>
        <w:widowControl w:val="0"/>
        <w:kinsoku/>
        <w:wordWrap/>
        <w:overflowPunct/>
        <w:topLinePunct w:val="0"/>
        <w:autoSpaceDE w:val="0"/>
        <w:autoSpaceDN w:val="0"/>
        <w:bidi w:val="0"/>
        <w:adjustRightInd w:val="0"/>
        <w:spacing w:before="289" w:line="610" w:lineRule="exact"/>
        <w:ind w:left="3490"/>
        <w:rPr>
          <w:rFonts w:hint="default" w:ascii="Times New Roman" w:hAnsi="Times New Roman" w:cs="Times New Roman"/>
          <w:sz w:val="27"/>
          <w:szCs w:val="27"/>
        </w:rPr>
      </w:pPr>
      <w:r>
        <w:rPr>
          <w:rFonts w:hint="default" w:ascii="Times New Roman" w:hAnsi="Times New Roman" w:cs="Times New Roman"/>
          <w:spacing w:val="-13"/>
          <w:position w:val="26"/>
          <w:sz w:val="27"/>
          <w:szCs w:val="27"/>
          <w:lang w:val="en-US" w:eastAsia="zh-CN"/>
        </w:rPr>
        <w:t>2024</w:t>
      </w:r>
      <w:r>
        <w:rPr>
          <w:rFonts w:hint="default" w:ascii="Times New Roman" w:hAnsi="Times New Roman" w:cs="Times New Roman"/>
          <w:spacing w:val="-13"/>
          <w:position w:val="26"/>
          <w:sz w:val="27"/>
          <w:szCs w:val="27"/>
        </w:rPr>
        <w:t xml:space="preserve">年  </w:t>
      </w:r>
      <w:r>
        <w:rPr>
          <w:rFonts w:hint="default" w:ascii="Times New Roman" w:hAnsi="Times New Roman" w:cs="Times New Roman"/>
          <w:spacing w:val="-13"/>
          <w:position w:val="26"/>
          <w:sz w:val="27"/>
          <w:szCs w:val="27"/>
          <w:lang w:val="en-US" w:eastAsia="zh-CN"/>
        </w:rPr>
        <w:t>10</w:t>
      </w:r>
      <w:r>
        <w:rPr>
          <w:rFonts w:hint="default" w:ascii="Times New Roman" w:hAnsi="Times New Roman" w:cs="Times New Roman"/>
          <w:spacing w:val="-13"/>
          <w:position w:val="26"/>
          <w:sz w:val="27"/>
          <w:szCs w:val="27"/>
        </w:rPr>
        <w:t xml:space="preserve"> 月</w:t>
      </w:r>
      <w:r>
        <w:rPr>
          <w:rFonts w:hint="default" w:ascii="Times New Roman" w:hAnsi="Times New Roman" w:cs="Times New Roman"/>
          <w:spacing w:val="12"/>
          <w:position w:val="26"/>
          <w:sz w:val="27"/>
          <w:szCs w:val="27"/>
        </w:rPr>
        <w:t xml:space="preserve">  </w:t>
      </w:r>
      <w:r>
        <w:rPr>
          <w:rFonts w:hint="default" w:ascii="Times New Roman" w:hAnsi="Times New Roman" w:cs="Times New Roman"/>
          <w:spacing w:val="12"/>
          <w:position w:val="26"/>
          <w:sz w:val="27"/>
          <w:szCs w:val="27"/>
          <w:lang w:val="en-US" w:eastAsia="zh-CN"/>
        </w:rPr>
        <w:t>12</w:t>
      </w:r>
      <w:r>
        <w:rPr>
          <w:rFonts w:hint="default" w:ascii="Times New Roman" w:hAnsi="Times New Roman" w:cs="Times New Roman"/>
          <w:spacing w:val="12"/>
          <w:position w:val="26"/>
          <w:sz w:val="27"/>
          <w:szCs w:val="27"/>
        </w:rPr>
        <w:t xml:space="preserve"> </w:t>
      </w:r>
      <w:r>
        <w:rPr>
          <w:rFonts w:hint="default" w:ascii="Times New Roman" w:hAnsi="Times New Roman" w:cs="Times New Roman"/>
          <w:spacing w:val="-13"/>
          <w:position w:val="26"/>
          <w:sz w:val="27"/>
          <w:szCs w:val="27"/>
        </w:rPr>
        <w:t>日</w:t>
      </w:r>
    </w:p>
    <w:p w14:paraId="7715D00C">
      <w:pPr>
        <w:pStyle w:val="2"/>
        <w:keepNext w:val="0"/>
        <w:keepLines w:val="0"/>
        <w:pageBreakBefore w:val="0"/>
        <w:widowControl w:val="0"/>
        <w:kinsoku/>
        <w:wordWrap/>
        <w:overflowPunct/>
        <w:topLinePunct w:val="0"/>
        <w:autoSpaceDE w:val="0"/>
        <w:autoSpaceDN w:val="0"/>
        <w:bidi w:val="0"/>
        <w:adjustRightInd w:val="0"/>
        <w:spacing w:before="1" w:line="223" w:lineRule="auto"/>
        <w:ind w:left="3560"/>
        <w:rPr>
          <w:rFonts w:hint="default" w:ascii="Times New Roman" w:hAnsi="Times New Roman" w:cs="Times New Roman"/>
          <w:sz w:val="24"/>
          <w:szCs w:val="24"/>
        </w:rPr>
      </w:pPr>
      <w:r>
        <w:rPr>
          <w:rFonts w:hint="default" w:ascii="Times New Roman" w:hAnsi="Times New Roman" w:cs="Times New Roman"/>
          <w:spacing w:val="7"/>
          <w:sz w:val="24"/>
          <w:szCs w:val="24"/>
        </w:rPr>
        <w:t>(此面为封面)</w:t>
      </w:r>
    </w:p>
    <w:p w14:paraId="630BF31E">
      <w:pPr>
        <w:keepNext w:val="0"/>
        <w:keepLines w:val="0"/>
        <w:pageBreakBefore w:val="0"/>
        <w:widowControl w:val="0"/>
        <w:kinsoku/>
        <w:wordWrap/>
        <w:overflowPunct/>
        <w:topLinePunct w:val="0"/>
        <w:autoSpaceDE w:val="0"/>
        <w:autoSpaceDN w:val="0"/>
        <w:bidi w:val="0"/>
        <w:adjustRightInd w:val="0"/>
        <w:spacing w:line="223" w:lineRule="auto"/>
        <w:rPr>
          <w:rFonts w:hint="default" w:ascii="Times New Roman" w:hAnsi="Times New Roman" w:cs="Times New Roman"/>
          <w:sz w:val="24"/>
          <w:szCs w:val="24"/>
        </w:rPr>
        <w:sectPr>
          <w:footerReference r:id="rId8" w:type="default"/>
          <w:pgSz w:w="11900" w:h="16820"/>
          <w:pgMar w:top="1429" w:right="1782" w:bottom="1158" w:left="1450" w:header="0" w:footer="850" w:gutter="0"/>
          <w:cols w:space="720" w:num="1"/>
        </w:sectPr>
      </w:pPr>
    </w:p>
    <w:p w14:paraId="28BCDE33">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b w:val="0"/>
          <w:bCs w:val="0"/>
          <w:sz w:val="44"/>
          <w:szCs w:val="44"/>
        </w:rPr>
      </w:pPr>
      <w:bookmarkStart w:id="36" w:name="OLE_LINK35"/>
      <w:r>
        <w:rPr>
          <w:rFonts w:hint="default" w:ascii="Times New Roman" w:hAnsi="Times New Roman" w:eastAsia="方正小标宋简体" w:cs="Times New Roman"/>
          <w:b w:val="0"/>
          <w:bCs w:val="0"/>
          <w:spacing w:val="6"/>
          <w:sz w:val="44"/>
          <w:szCs w:val="44"/>
          <w:lang w:eastAsia="zh-CN"/>
        </w:rPr>
        <w:t>自然灾害救灾补助</w:t>
      </w:r>
      <w:r>
        <w:rPr>
          <w:rFonts w:hint="default" w:ascii="Times New Roman" w:hAnsi="Times New Roman" w:eastAsia="方正小标宋简体" w:cs="Times New Roman"/>
          <w:b w:val="0"/>
          <w:bCs w:val="0"/>
          <w:spacing w:val="6"/>
          <w:sz w:val="44"/>
          <w:szCs w:val="44"/>
        </w:rPr>
        <w:t>项目支出绩效评价报告</w:t>
      </w:r>
    </w:p>
    <w:p w14:paraId="22BCF8F0">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p>
    <w:p w14:paraId="4EB639E6">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5"/>
          <w:sz w:val="32"/>
          <w:szCs w:val="32"/>
        </w:rPr>
        <w:t>一、项目支出基本情况</w:t>
      </w:r>
      <w:r>
        <w:rPr>
          <w:rFonts w:hint="default" w:ascii="Times New Roman" w:hAnsi="Times New Roman" w:eastAsia="黑体" w:cs="Times New Roman"/>
          <w:b w:val="0"/>
          <w:bCs w:val="0"/>
          <w:spacing w:val="-15"/>
          <w:sz w:val="32"/>
          <w:szCs w:val="32"/>
          <w:lang w:val="en-US" w:eastAsia="zh-CN"/>
        </w:rPr>
        <w:t xml:space="preserve"> </w:t>
      </w:r>
    </w:p>
    <w:p w14:paraId="2BEDDE4F">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napToGrid w:val="0"/>
          <w:color w:val="000000"/>
          <w:spacing w:val="-15"/>
          <w:kern w:val="0"/>
          <w:sz w:val="32"/>
          <w:szCs w:val="32"/>
          <w:lang w:val="en-US" w:eastAsia="en-US" w:bidi="ar-SA"/>
        </w:rPr>
        <w:t>(一)项目支出概况。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年度，上级有关部门共计下达汨罗市救灾方面（含冬春救助）专项资金共计</w:t>
      </w:r>
      <w:r>
        <w:rPr>
          <w:rFonts w:hint="default" w:ascii="Times New Roman" w:hAnsi="Times New Roman" w:eastAsia="仿宋_GB2312" w:cs="Times New Roman"/>
          <w:sz w:val="32"/>
          <w:szCs w:val="32"/>
          <w:lang w:val="en-US" w:eastAsia="zh-CN"/>
        </w:rPr>
        <w:t>557.68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10555BC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(二)项目资金使用管理情况。</w:t>
      </w:r>
    </w:p>
    <w:p w14:paraId="1A7E8750">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收到省财政厅、省应急厅相关文件后，我们第一时间与财政部门对口股室取得联系，并明确对相关救灾资金“专款专用、重点使用”</w:t>
      </w:r>
      <w:r>
        <w:rPr>
          <w:rFonts w:hint="default" w:ascii="Times New Roman" w:hAnsi="Times New Roman" w:eastAsia="仿宋_GB2312" w:cs="Times New Roman"/>
          <w:sz w:val="32"/>
          <w:szCs w:val="32"/>
          <w:lang w:eastAsia="zh-CN"/>
        </w:rPr>
        <w:t>。</w:t>
      </w:r>
    </w:p>
    <w:p w14:paraId="0F01F5D2">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(三)项目支出绩效目标完成程度</w:t>
      </w:r>
    </w:p>
    <w:p w14:paraId="2669E796">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项目资金执行情况</w:t>
      </w:r>
    </w:p>
    <w:p w14:paraId="64FC8F6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在救灾款发放的过程中，我们坚持在乡镇核灾的基础上，由应急、财政联合提出初步方案，并报市政府分管副市长和常务副市长审批，由应急、财政联合正式行文下发，资金发放比较公正、透明。</w:t>
      </w:r>
    </w:p>
    <w:p w14:paraId="338B8E3E">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、项目资金管理情况</w:t>
      </w:r>
    </w:p>
    <w:p w14:paraId="73CDDB8F">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对于救灾款项，</w:t>
      </w:r>
      <w:r>
        <w:rPr>
          <w:rFonts w:hint="default" w:ascii="Times New Roman" w:hAnsi="Times New Roman" w:eastAsia="仿宋_GB2312" w:cs="Times New Roman"/>
          <w:color w:val="000000"/>
          <w:sz w:val="32"/>
          <w:szCs w:val="32"/>
        </w:rPr>
        <w:t>坚持专款专用、依法规范使用的原则。</w:t>
      </w:r>
      <w:r>
        <w:rPr>
          <w:rFonts w:hint="default" w:ascii="Times New Roman" w:hAnsi="Times New Roman" w:eastAsia="仿宋_GB2312" w:cs="Times New Roman"/>
          <w:color w:val="000000"/>
          <w:sz w:val="32"/>
          <w:szCs w:val="32"/>
          <w:lang w:eastAsia="zh-CN"/>
        </w:rPr>
        <w:t>所有资金都是通过阳光审批系统，“一卡通”打卡发放到户，</w:t>
      </w:r>
      <w:r>
        <w:rPr>
          <w:rFonts w:hint="default" w:ascii="Times New Roman" w:hAnsi="Times New Roman" w:eastAsia="仿宋_GB2312" w:cs="Times New Roman"/>
          <w:color w:val="000000"/>
          <w:sz w:val="32"/>
          <w:szCs w:val="32"/>
        </w:rPr>
        <w:t>进一步加强加大资金监管和审计力度，建立健全应急资金监督管理机制。通过工作会议、专项培训等办法，明确和强调救灾资金和其他应急资金的不同使用范围，确保精准救助和重点救助。市直有关部门将督查审计常态化，“一根杆子插到底”“一把尺子量到底”，</w:t>
      </w:r>
      <w:r>
        <w:rPr>
          <w:rFonts w:hint="default" w:ascii="Times New Roman" w:hAnsi="Times New Roman" w:eastAsia="仿宋_GB2312" w:cs="Times New Roman"/>
          <w:color w:val="000000"/>
          <w:sz w:val="32"/>
          <w:szCs w:val="32"/>
          <w:highlight w:val="none"/>
        </w:rPr>
        <w:t>不仅将督查审计目标瞄准镇账，也将有针对性地加大村账审计检查，</w:t>
      </w:r>
      <w:r>
        <w:rPr>
          <w:rFonts w:hint="default" w:ascii="Times New Roman" w:hAnsi="Times New Roman" w:eastAsia="仿宋_GB2312" w:cs="Times New Roman"/>
          <w:color w:val="000000"/>
          <w:sz w:val="32"/>
          <w:szCs w:val="32"/>
        </w:rPr>
        <w:t>确保监督无盲区，使领导满意，群众认同。</w:t>
      </w:r>
    </w:p>
    <w:p w14:paraId="6732EB45">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二、绩效评价工作情况</w:t>
      </w:r>
    </w:p>
    <w:p w14:paraId="48927D2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1、产出指标完成情况分析</w:t>
      </w:r>
    </w:p>
    <w:p w14:paraId="72D0675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（1）数量指标：在洪涝灾害救助方面，紧急转移安置受灾群众总人次</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人，过渡期生活救助</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过渡期生活救助（人）（每人每天补助</w:t>
      </w:r>
      <w:r>
        <w:rPr>
          <w:rFonts w:hint="default" w:ascii="Times New Roman" w:hAnsi="Times New Roman" w:eastAsia="仿宋_GB2312" w:cs="Times New Roman"/>
          <w:sz w:val="32"/>
          <w:szCs w:val="32"/>
          <w:lang w:val="en-US" w:eastAsia="zh-CN"/>
        </w:rPr>
        <w:t>20元，最长3个月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对栋一般损坏房屋进行修缮。冬春期间，共救助受灾困难群众</w:t>
      </w:r>
      <w:r>
        <w:rPr>
          <w:rFonts w:hint="default" w:ascii="Times New Roman" w:hAnsi="Times New Roman" w:eastAsia="仿宋_GB2312" w:cs="Times New Roman"/>
          <w:sz w:val="32"/>
          <w:szCs w:val="32"/>
          <w:lang w:val="en-US" w:eastAsia="zh-CN"/>
        </w:rPr>
        <w:t>4257</w:t>
      </w:r>
      <w:r>
        <w:rPr>
          <w:rFonts w:hint="default" w:ascii="Times New Roman" w:hAnsi="Times New Roman" w:eastAsia="仿宋_GB2312" w:cs="Times New Roman"/>
          <w:sz w:val="32"/>
          <w:szCs w:val="32"/>
        </w:rPr>
        <w:t>余人次。</w:t>
      </w:r>
    </w:p>
    <w:p w14:paraId="30E900C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（2）质量指标：救灾款和冬春救助资金</w:t>
      </w:r>
      <w:r>
        <w:rPr>
          <w:rFonts w:hint="default" w:ascii="Times New Roman" w:hAnsi="Times New Roman" w:eastAsia="仿宋_GB2312" w:cs="Times New Roman"/>
          <w:sz w:val="32"/>
          <w:szCs w:val="32"/>
          <w:highlight w:val="none"/>
        </w:rPr>
        <w:t>下达到乡镇均为100%，灾害应急救助人均300元，过渡期生活救助每人每天不低于20元，房屋倒塌补助根据自救能力、倒损程度和困难类型，分别补助2000—20000元。冬春救助按照人均每月90元标准安排口粮补助资金，但一次性补助不超过6个月。</w:t>
      </w:r>
    </w:p>
    <w:p w14:paraId="66BBE369">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2、效益指标完成情况分析</w:t>
      </w:r>
    </w:p>
    <w:p w14:paraId="67F49E7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（1）社会效益：</w:t>
      </w:r>
      <w:r>
        <w:rPr>
          <w:rFonts w:hint="default" w:ascii="Times New Roman" w:hAnsi="Times New Roman" w:eastAsia="仿宋_GB2312" w:cs="Times New Roman"/>
          <w:sz w:val="32"/>
          <w:szCs w:val="32"/>
          <w:highlight w:val="none"/>
        </w:rPr>
        <w:t>救灾款和冬春救助款的发放，确保了灾区的生活稳定和垸区堤垸的稳固，没有出现社会负面舆情，群众反响良好。</w:t>
      </w:r>
    </w:p>
    <w:p w14:paraId="7B001459">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3、满意度指标完成情况分析</w:t>
      </w:r>
    </w:p>
    <w:p w14:paraId="4FF236EA">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以来，我们在省财政厅、省应急厅的高度重视下，在岳阳市委市政府和汨罗市委市政府的坚强领导下，以防灾减灾为立足点，以民生保障为导向标，较好地发挥了救灾救济在促进灾区稳定、加速灾后重建、维护群众利益等方面的基础作用，彰显了良好的社会效益，群众对救灾工作反响良好。</w:t>
      </w:r>
    </w:p>
    <w:p w14:paraId="2BA3A1F0">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三、下一步工作措施</w:t>
      </w:r>
    </w:p>
    <w:p w14:paraId="2192BBC4">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工作是民生实事工程，在后段的工作中，我们将进一步细化救灾应急预案，落实灾后重建的各项工作要求，并切实加强资金监管，积极引导社会组织、公益性社会团体参与防灾减灾、救灾救济工作，凝聚全社会抗灾救灾合力，不定期组织业务培训，提升队伍素质，提高应急系统救灾救济和防灾减灾工作水平。特别是</w:t>
      </w:r>
      <w:r>
        <w:rPr>
          <w:rFonts w:hint="default" w:ascii="Times New Roman" w:hAnsi="Times New Roman" w:eastAsia="仿宋_GB2312" w:cs="Times New Roman"/>
          <w:bCs/>
          <w:color w:val="000000"/>
          <w:sz w:val="32"/>
          <w:szCs w:val="32"/>
        </w:rPr>
        <w:t>进一步健全工作长效机制，进一步补齐工作薄弱环节。</w:t>
      </w:r>
      <w:r>
        <w:rPr>
          <w:rFonts w:hint="default" w:ascii="Times New Roman" w:hAnsi="Times New Roman" w:eastAsia="仿宋_GB2312" w:cs="Times New Roman"/>
          <w:color w:val="000000"/>
          <w:sz w:val="32"/>
          <w:szCs w:val="32"/>
        </w:rPr>
        <w:t>按照“政府统一领导、部门分工协作、社会共同参与”的原则，建立健全以市减灾委为核心，应急、自然资源、气象、水务、农业、林业等有关灾害主管部门联动配合的工作机制，层层压实责任，确保救灾救济工作万无一失。</w:t>
      </w:r>
    </w:p>
    <w:p w14:paraId="3771819D">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三、项目支出主要绩效及评价结论</w:t>
      </w:r>
    </w:p>
    <w:p w14:paraId="2613C06A">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已通过“互联网+监督”平台和汨罗市人民政府网站依法主动公开，接受社会和群众监督。</w:t>
      </w:r>
    </w:p>
    <w:p w14:paraId="72818C86">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五</w:t>
      </w:r>
      <w:r>
        <w:rPr>
          <w:rFonts w:hint="default" w:ascii="Times New Roman" w:hAnsi="Times New Roman" w:eastAsia="黑体" w:cs="Times New Roman"/>
          <w:b w:val="0"/>
          <w:bCs w:val="0"/>
          <w:spacing w:val="-15"/>
          <w:sz w:val="32"/>
          <w:szCs w:val="32"/>
        </w:rPr>
        <w:t>、绩效评价指标分析</w:t>
      </w:r>
    </w:p>
    <w:p w14:paraId="1FD15479">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(一)项目支出决策情况</w:t>
      </w:r>
    </w:p>
    <w:p w14:paraId="0680996B">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严格按照相关法律法规行业制度，进行资金使用，严格监控资金的使用，做到每一笔支出符合规范。做到财务管理制度健全，资金使用合规，项目支出预算执行到位。</w:t>
      </w:r>
    </w:p>
    <w:p w14:paraId="1E93AEB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(二)项目执行过程情况</w:t>
      </w:r>
    </w:p>
    <w:p w14:paraId="18F5A60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专项经费开支合理；财务管理制度健全，资金使用合理，政府采购合规；人员编制合规，人事管理制度健全；资产管理制度健全，年度资产清查正常；</w:t>
      </w:r>
    </w:p>
    <w:p w14:paraId="2FDADA7A">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(三)项目支出产出情况</w:t>
      </w:r>
    </w:p>
    <w:p w14:paraId="19E0A7A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配合省级及以上督查组完成督查检查、调研任务：开展本级防灾减灾救灾、应急救援、行政执法、事故查处、挂牌督办及安全生产督查检查工作；开展安全生产、应急管理、防灾减灾救灾相关宣传培训活动，印发相关产法律法规等宣传资料：严格安全生产三项岗位培训、执证上岗制度，夯实安全生产的基础，切实防范风险隐患。</w:t>
      </w:r>
    </w:p>
    <w:p w14:paraId="2025BF04">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(四)项目支出效益情况</w:t>
      </w:r>
    </w:p>
    <w:p w14:paraId="1196FA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1.社会效益</w:t>
      </w:r>
    </w:p>
    <w:p w14:paraId="331A9A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增强全民风险防范意识，防范和减少事故灾害，保障人民群众生命和财产安全，确保全市社会安定和谐。</w:t>
      </w:r>
    </w:p>
    <w:p w14:paraId="3206DBE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2.生态效益</w:t>
      </w:r>
    </w:p>
    <w:p w14:paraId="18458A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构建新型的应急管理体系，提高安全生产水平和灾害防治能力，为全市高质量发展保驾护航。</w:t>
      </w:r>
    </w:p>
    <w:p w14:paraId="3A603ACF">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六</w:t>
      </w:r>
      <w:r>
        <w:rPr>
          <w:rFonts w:hint="default" w:ascii="Times New Roman" w:hAnsi="Times New Roman" w:eastAsia="黑体" w:cs="Times New Roman"/>
          <w:b w:val="0"/>
          <w:bCs w:val="0"/>
          <w:spacing w:val="-15"/>
          <w:sz w:val="32"/>
          <w:szCs w:val="32"/>
        </w:rPr>
        <w:t>、主要经验及做法、存在的问题及原因分析</w:t>
      </w:r>
    </w:p>
    <w:p w14:paraId="117F4105">
      <w:pPr>
        <w:pStyle w:val="2"/>
        <w:keepNext w:val="0"/>
        <w:keepLines w:val="0"/>
        <w:pageBreakBefore w:val="0"/>
        <w:widowControl w:val="0"/>
        <w:kinsoku/>
        <w:wordWrap/>
        <w:overflowPunct/>
        <w:topLinePunct w:val="0"/>
        <w:autoSpaceDE w:val="0"/>
        <w:autoSpaceDN w:val="0"/>
        <w:bidi w:val="0"/>
        <w:adjustRightInd w:val="0"/>
        <w:snapToGrid w:val="0"/>
        <w:spacing w:line="576" w:lineRule="exact"/>
        <w:ind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可从资金分配和安排，资金指标下达、资金拨付和资金使用进度，资金使用管理，项目管理，政策适应性等方面概括存在的主要问题。</w:t>
      </w:r>
    </w:p>
    <w:p w14:paraId="58DE1297">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七</w:t>
      </w:r>
      <w:r>
        <w:rPr>
          <w:rFonts w:hint="default" w:ascii="Times New Roman" w:hAnsi="Times New Roman" w:eastAsia="黑体" w:cs="Times New Roman"/>
          <w:b w:val="0"/>
          <w:bCs w:val="0"/>
          <w:spacing w:val="-15"/>
          <w:sz w:val="32"/>
          <w:szCs w:val="32"/>
        </w:rPr>
        <w:t>、有关建议</w:t>
      </w:r>
    </w:p>
    <w:p w14:paraId="702F08C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汨罗市救灾救济工作整体良好，较好地发挥了在保障民生方面的“润滑剂”作用。</w:t>
      </w:r>
    </w:p>
    <w:p w14:paraId="6BBCD63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r>
        <w:rPr>
          <w:rFonts w:hint="default" w:ascii="Times New Roman" w:hAnsi="Times New Roman" w:eastAsia="仿宋_GB2312" w:cs="Times New Roman"/>
          <w:b/>
          <w:bCs/>
          <w:snapToGrid w:val="0"/>
          <w:color w:val="000000"/>
          <w:spacing w:val="-15"/>
          <w:kern w:val="0"/>
          <w:sz w:val="32"/>
          <w:szCs w:val="32"/>
          <w:lang w:val="en-US" w:eastAsia="zh-CN" w:bidi="ar-SA"/>
        </w:rPr>
        <w:t>八</w:t>
      </w:r>
      <w:r>
        <w:rPr>
          <w:rFonts w:hint="default" w:ascii="Times New Roman" w:hAnsi="Times New Roman" w:eastAsia="仿宋_GB2312" w:cs="Times New Roman"/>
          <w:b/>
          <w:bCs/>
          <w:snapToGrid w:val="0"/>
          <w:color w:val="000000"/>
          <w:spacing w:val="-15"/>
          <w:kern w:val="0"/>
          <w:sz w:val="32"/>
          <w:szCs w:val="32"/>
          <w:lang w:val="en-US" w:eastAsia="en-US" w:bidi="ar-SA"/>
        </w:rPr>
        <w:t>、</w:t>
      </w:r>
      <w:r>
        <w:rPr>
          <w:rFonts w:hint="default" w:ascii="Times New Roman" w:hAnsi="Times New Roman" w:eastAsia="仿宋_GB2312" w:cs="Times New Roman"/>
          <w:b/>
          <w:bCs/>
          <w:spacing w:val="-15"/>
          <w:sz w:val="32"/>
          <w:szCs w:val="32"/>
        </w:rPr>
        <w:t>其他需要说明的问题</w:t>
      </w:r>
    </w:p>
    <w:p w14:paraId="168082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lang w:val="en-US" w:eastAsia="zh-CN"/>
        </w:rPr>
      </w:pPr>
      <w:r>
        <w:rPr>
          <w:rFonts w:hint="default" w:ascii="Times New Roman" w:hAnsi="Times New Roman" w:eastAsia="仿宋_GB2312" w:cs="Times New Roman"/>
          <w:b/>
          <w:bCs/>
          <w:spacing w:val="-15"/>
          <w:sz w:val="32"/>
          <w:szCs w:val="32"/>
          <w:lang w:val="en-US" w:eastAsia="zh-CN"/>
        </w:rPr>
        <w:t>无</w:t>
      </w:r>
    </w:p>
    <w:p w14:paraId="208C45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textAlignment w:val="baseline"/>
        <w:outlineLvl w:val="0"/>
        <w:rPr>
          <w:rFonts w:hint="default" w:ascii="Times New Roman" w:hAnsi="Times New Roman" w:eastAsia="仿宋_GB2312" w:cs="Times New Roman"/>
          <w:b/>
          <w:bCs/>
          <w:spacing w:val="-15"/>
          <w:sz w:val="32"/>
          <w:szCs w:val="32"/>
          <w:lang w:val="en-US" w:eastAsia="zh-CN"/>
        </w:rPr>
      </w:pPr>
    </w:p>
    <w:bookmarkEnd w:id="36"/>
    <w:p w14:paraId="6D0E3484">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6"/>
          <w:sz w:val="44"/>
          <w:szCs w:val="44"/>
          <w:lang w:eastAsia="zh-CN"/>
        </w:rPr>
        <w:t>其他应急管理支出</w:t>
      </w:r>
      <w:r>
        <w:rPr>
          <w:rFonts w:hint="default" w:ascii="Times New Roman" w:hAnsi="Times New Roman" w:eastAsia="方正小标宋简体" w:cs="Times New Roman"/>
          <w:b w:val="0"/>
          <w:bCs w:val="0"/>
          <w:spacing w:val="6"/>
          <w:sz w:val="44"/>
          <w:szCs w:val="44"/>
        </w:rPr>
        <w:t>项目支出绩效评价报告</w:t>
      </w:r>
    </w:p>
    <w:p w14:paraId="3ABCC84C">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p>
    <w:p w14:paraId="2F825BF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5"/>
          <w:sz w:val="32"/>
          <w:szCs w:val="32"/>
        </w:rPr>
        <w:t>一、项目支出基本情况</w:t>
      </w:r>
      <w:r>
        <w:rPr>
          <w:rFonts w:hint="default" w:ascii="Times New Roman" w:hAnsi="Times New Roman" w:eastAsia="黑体" w:cs="Times New Roman"/>
          <w:b w:val="0"/>
          <w:bCs w:val="0"/>
          <w:spacing w:val="-15"/>
          <w:sz w:val="32"/>
          <w:szCs w:val="32"/>
          <w:lang w:val="en-US" w:eastAsia="zh-CN"/>
        </w:rPr>
        <w:t xml:space="preserve"> </w:t>
      </w:r>
    </w:p>
    <w:p w14:paraId="018E001F">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napToGrid w:val="0"/>
          <w:color w:val="000000"/>
          <w:spacing w:val="-15"/>
          <w:kern w:val="0"/>
          <w:sz w:val="32"/>
          <w:szCs w:val="32"/>
          <w:lang w:val="en-US" w:eastAsia="en-US" w:bidi="ar-SA"/>
        </w:rPr>
        <w:t>(一)项目支出概况。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其他应急管理支出</w:t>
      </w:r>
      <w:r>
        <w:rPr>
          <w:rFonts w:hint="default" w:ascii="Times New Roman" w:hAnsi="Times New Roman" w:eastAsia="仿宋_GB2312" w:cs="Times New Roman"/>
          <w:sz w:val="32"/>
          <w:szCs w:val="32"/>
        </w:rPr>
        <w:t>专项资金共计</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3565E260">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(二)项目资金使用管理情况。</w:t>
      </w:r>
    </w:p>
    <w:p w14:paraId="6904BB80">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
          <w:bCs/>
          <w:snapToGrid w:val="0"/>
          <w:color w:val="000000"/>
          <w:spacing w:val="-15"/>
          <w:kern w:val="0"/>
          <w:sz w:val="32"/>
          <w:szCs w:val="32"/>
          <w:lang w:val="en-US" w:eastAsia="en-US" w:bidi="ar-SA"/>
        </w:rPr>
      </w:pPr>
      <w:r>
        <w:rPr>
          <w:rFonts w:hint="default" w:ascii="Times New Roman" w:hAnsi="Times New Roman" w:eastAsia="仿宋_GB2312" w:cs="Times New Roman"/>
          <w:i w:val="0"/>
          <w:iCs w:val="0"/>
          <w:caps w:val="0"/>
          <w:color w:val="333333"/>
          <w:spacing w:val="0"/>
          <w:sz w:val="32"/>
          <w:szCs w:val="32"/>
          <w:shd w:val="clear" w:fill="FFFFFF"/>
        </w:rPr>
        <w:t>2023年应急管理局在</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委</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政府的坚强领导和上级主管部门的精心指导下，以习近平新时代中国特色社会主义思想为指导，认真贯彻落实习近平总书记关于安全生产、应急管理、防灾减灾救灾的重要指示和批示精神。坚持以人民为中心的发展思想，强化安全发展理念，牢固树立安全生产红线意识和底线思维，推动安全生产、应急管理和防灾减灾救灾责任落实，加强风险管控，开展安全专项整治，推进重大事故隐患专项排查整治2023行动，努力完成各项目标任务。</w:t>
      </w:r>
    </w:p>
    <w:p w14:paraId="58D6444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(三)项目支出绩效目标完成程度</w:t>
      </w:r>
    </w:p>
    <w:p w14:paraId="384E8D09">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项目资金执行情况</w:t>
      </w:r>
    </w:p>
    <w:p w14:paraId="5866C8F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为机关工作人员体检、应急值守、应急处置、全局应急管理工作等提供必要经费，以加强应急管理工作，理顺全</w:t>
      </w:r>
      <w:r>
        <w:rPr>
          <w:rFonts w:hint="default" w:ascii="Times New Roman" w:hAnsi="Times New Roman" w:eastAsia="仿宋_GB2312" w:cs="Times New Roman"/>
          <w:i w:val="0"/>
          <w:iCs w:val="0"/>
          <w:caps w:val="0"/>
          <w:color w:val="000000"/>
          <w:spacing w:val="0"/>
          <w:sz w:val="32"/>
          <w:szCs w:val="32"/>
          <w:shd w:val="clear" w:fill="FFFFFF"/>
          <w:lang w:eastAsia="zh-CN"/>
        </w:rPr>
        <w:t>市</w:t>
      </w:r>
      <w:r>
        <w:rPr>
          <w:rFonts w:hint="default" w:ascii="Times New Roman" w:hAnsi="Times New Roman" w:eastAsia="仿宋_GB2312" w:cs="Times New Roman"/>
          <w:i w:val="0"/>
          <w:iCs w:val="0"/>
          <w:caps w:val="0"/>
          <w:color w:val="000000"/>
          <w:spacing w:val="0"/>
          <w:sz w:val="32"/>
          <w:szCs w:val="32"/>
          <w:shd w:val="clear" w:fill="FFFFFF"/>
        </w:rPr>
        <w:t>应急管理机制体制，常态化做足应急准备，提高事故及自然灾害应急处置能力，有效发挥社会公益性和服务功能，提高群众满意度。</w:t>
      </w:r>
    </w:p>
    <w:p w14:paraId="5E95EE6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、项目资金管理情况</w:t>
      </w:r>
    </w:p>
    <w:p w14:paraId="52FB57CC">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shd w:val="clear" w:fill="FFFFFF"/>
        </w:rPr>
        <w:t>本项目的资金使用符合国家财经法规和财务管理制度以及有关专项资金管理办法的规定，资金支出审批手续完整，符合项目预算批复和合同的规定，无截留、挤占、挪用、虚列支出等违规情况。</w:t>
      </w:r>
    </w:p>
    <w:p w14:paraId="0F58E4BF">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二、绩效评价工作情况</w:t>
      </w:r>
    </w:p>
    <w:p w14:paraId="553F5AE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1、产出指标完成情况分析</w:t>
      </w:r>
    </w:p>
    <w:p w14:paraId="20EF38C1">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i w:val="0"/>
          <w:iCs w:val="0"/>
          <w:caps w:val="0"/>
          <w:color w:val="000000"/>
          <w:spacing w:val="0"/>
          <w:sz w:val="32"/>
          <w:szCs w:val="32"/>
          <w:shd w:val="clear" w:fill="FFFFFF"/>
        </w:rPr>
        <w:t>一</w:t>
      </w:r>
      <w:r>
        <w:rPr>
          <w:rFonts w:hint="default" w:ascii="Times New Roman" w:hAnsi="Times New Roman" w:eastAsia="仿宋_GB2312" w:cs="Times New Roman"/>
          <w:b/>
          <w:bCs/>
          <w:i w:val="0"/>
          <w:iCs w:val="0"/>
          <w:caps w:val="0"/>
          <w:color w:val="333333"/>
          <w:spacing w:val="0"/>
          <w:sz w:val="32"/>
          <w:szCs w:val="32"/>
          <w:shd w:val="clear" w:fill="FFFFFF"/>
        </w:rPr>
        <w:t>是</w:t>
      </w:r>
      <w:r>
        <w:rPr>
          <w:rFonts w:hint="default" w:ascii="Times New Roman" w:hAnsi="Times New Roman" w:eastAsia="仿宋_GB2312" w:cs="Times New Roman"/>
          <w:i w:val="0"/>
          <w:iCs w:val="0"/>
          <w:caps w:val="0"/>
          <w:color w:val="333333"/>
          <w:spacing w:val="0"/>
          <w:sz w:val="32"/>
          <w:szCs w:val="32"/>
          <w:shd w:val="clear" w:fill="FFFFFF"/>
        </w:rPr>
        <w:t>督促辖区内各重点行业企业开展应急演练</w:t>
      </w:r>
      <w:r>
        <w:rPr>
          <w:rFonts w:hint="default" w:ascii="Times New Roman" w:hAnsi="Times New Roman" w:eastAsia="仿宋_GB2312" w:cs="Times New Roman"/>
          <w:i w:val="0"/>
          <w:iCs w:val="0"/>
          <w:caps w:val="0"/>
          <w:color w:val="333333"/>
          <w:spacing w:val="0"/>
          <w:sz w:val="32"/>
          <w:szCs w:val="32"/>
          <w:shd w:val="clear" w:fill="FFFFFF"/>
          <w:lang w:val="en-US" w:eastAsia="zh-CN"/>
        </w:rPr>
        <w:t>40</w:t>
      </w:r>
      <w:r>
        <w:rPr>
          <w:rFonts w:hint="default" w:ascii="Times New Roman" w:hAnsi="Times New Roman" w:eastAsia="仿宋_GB2312" w:cs="Times New Roman"/>
          <w:i w:val="0"/>
          <w:iCs w:val="0"/>
          <w:caps w:val="0"/>
          <w:color w:val="333333"/>
          <w:spacing w:val="0"/>
          <w:sz w:val="32"/>
          <w:szCs w:val="32"/>
          <w:shd w:val="clear" w:fill="FFFFFF"/>
        </w:rPr>
        <w:t>余次，检验预案的有效性、处置的规范性。牵头组织开展</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5.12</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防灾减灾</w:t>
      </w:r>
      <w:r>
        <w:rPr>
          <w:rFonts w:hint="default" w:ascii="Times New Roman" w:hAnsi="Times New Roman" w:eastAsia="仿宋_GB2312" w:cs="Times New Roman"/>
          <w:i w:val="0"/>
          <w:iCs w:val="0"/>
          <w:caps w:val="0"/>
          <w:color w:val="333333"/>
          <w:spacing w:val="0"/>
          <w:sz w:val="32"/>
          <w:szCs w:val="32"/>
          <w:shd w:val="clear" w:fill="FFFFFF"/>
        </w:rPr>
        <w:t>专项应急演练</w:t>
      </w:r>
      <w:r>
        <w:rPr>
          <w:rFonts w:hint="default" w:ascii="Times New Roman" w:hAnsi="Times New Roman" w:eastAsia="仿宋_GB2312" w:cs="Times New Roman"/>
          <w:i w:val="0"/>
          <w:iCs w:val="0"/>
          <w:caps w:val="0"/>
          <w:color w:val="333333"/>
          <w:spacing w:val="8"/>
          <w:sz w:val="32"/>
          <w:szCs w:val="32"/>
          <w:shd w:val="clear" w:fill="FFFFFF"/>
        </w:rPr>
        <w:t>。</w:t>
      </w:r>
      <w:r>
        <w:rPr>
          <w:rFonts w:hint="default" w:ascii="Times New Roman" w:hAnsi="Times New Roman" w:eastAsia="仿宋_GB2312" w:cs="Times New Roman"/>
          <w:b/>
          <w:bCs/>
          <w:i w:val="0"/>
          <w:iCs w:val="0"/>
          <w:caps w:val="0"/>
          <w:color w:val="333333"/>
          <w:spacing w:val="0"/>
          <w:sz w:val="32"/>
          <w:szCs w:val="32"/>
          <w:shd w:val="clear" w:fill="FFFFFF"/>
        </w:rPr>
        <w:t>二是</w:t>
      </w:r>
      <w:r>
        <w:rPr>
          <w:rFonts w:hint="default" w:ascii="Times New Roman" w:hAnsi="Times New Roman" w:eastAsia="仿宋_GB2312" w:cs="Times New Roman"/>
          <w:i w:val="0"/>
          <w:iCs w:val="0"/>
          <w:caps w:val="0"/>
          <w:color w:val="333333"/>
          <w:spacing w:val="0"/>
          <w:sz w:val="32"/>
          <w:szCs w:val="32"/>
          <w:shd w:val="clear" w:fill="FFFFFF"/>
        </w:rPr>
        <w:t>强化预警发布，及时通过手机短信、微信等多种渠道，广泛发布灾害性天气预警信息和风险提示，提醒全社会做好风险防范，今年以来共发布各类预警信息100余条。</w:t>
      </w:r>
      <w:r>
        <w:rPr>
          <w:rFonts w:hint="default" w:ascii="Times New Roman" w:hAnsi="Times New Roman" w:eastAsia="仿宋_GB2312" w:cs="Times New Roman"/>
          <w:i w:val="0"/>
          <w:iCs w:val="0"/>
          <w:caps w:val="0"/>
          <w:color w:val="000000"/>
          <w:spacing w:val="0"/>
          <w:sz w:val="32"/>
          <w:szCs w:val="32"/>
          <w:shd w:val="clear" w:fill="FFFFFF"/>
        </w:rPr>
        <w:t>本项目各环节工作均能按时按计划进行，实际完成率100%。</w:t>
      </w:r>
    </w:p>
    <w:p w14:paraId="06A89EC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b/>
          <w:bCs/>
          <w:i w:val="0"/>
          <w:iCs w:val="0"/>
          <w:caps w:val="0"/>
          <w:color w:val="333333"/>
          <w:spacing w:val="0"/>
          <w:sz w:val="32"/>
          <w:szCs w:val="32"/>
          <w:shd w:val="clear" w:fill="FFFFFF"/>
        </w:rPr>
        <w:t>一是</w:t>
      </w:r>
      <w:r>
        <w:rPr>
          <w:rFonts w:hint="default" w:ascii="Times New Roman" w:hAnsi="Times New Roman" w:eastAsia="仿宋_GB2312" w:cs="Times New Roman"/>
          <w:i w:val="0"/>
          <w:iCs w:val="0"/>
          <w:caps w:val="0"/>
          <w:color w:val="333333"/>
          <w:spacing w:val="0"/>
          <w:sz w:val="32"/>
          <w:szCs w:val="32"/>
          <w:shd w:val="clear" w:fill="FFFFFF"/>
        </w:rPr>
        <w:t>重新梳理</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专项应急预案，督促各有关单位依照修订时限、机构调整、职责变动等修订相关预案。</w:t>
      </w:r>
      <w:r>
        <w:rPr>
          <w:rFonts w:hint="default" w:ascii="Times New Roman" w:hAnsi="Times New Roman" w:eastAsia="仿宋_GB2312" w:cs="Times New Roman"/>
          <w:b/>
          <w:bCs/>
          <w:i w:val="0"/>
          <w:iCs w:val="0"/>
          <w:caps w:val="0"/>
          <w:color w:val="333333"/>
          <w:spacing w:val="0"/>
          <w:sz w:val="32"/>
          <w:szCs w:val="32"/>
          <w:shd w:val="clear" w:fill="FFFFFF"/>
        </w:rPr>
        <w:t>二是</w:t>
      </w:r>
      <w:r>
        <w:rPr>
          <w:rFonts w:hint="default" w:ascii="Times New Roman" w:hAnsi="Times New Roman" w:eastAsia="仿宋_GB2312" w:cs="Times New Roman"/>
          <w:i w:val="0"/>
          <w:iCs w:val="0"/>
          <w:caps w:val="0"/>
          <w:color w:val="333333"/>
          <w:spacing w:val="0"/>
          <w:sz w:val="32"/>
          <w:szCs w:val="32"/>
          <w:shd w:val="clear" w:fill="FFFFFF"/>
        </w:rPr>
        <w:t>做好值班值守工作。严格执行24小时在岗值班和领导带班制度，做到事件有记录、处理有结果，</w:t>
      </w:r>
      <w:r>
        <w:rPr>
          <w:rFonts w:hint="default" w:ascii="Times New Roman" w:hAnsi="Times New Roman" w:eastAsia="仿宋_GB2312" w:cs="Times New Roman"/>
          <w:i w:val="0"/>
          <w:iCs w:val="0"/>
          <w:caps w:val="0"/>
          <w:color w:val="333333"/>
          <w:spacing w:val="0"/>
          <w:sz w:val="32"/>
          <w:szCs w:val="32"/>
          <w:shd w:val="clear" w:fill="FFFFFF"/>
          <w:lang w:eastAsia="zh-CN"/>
        </w:rPr>
        <w:t>积极配合市委市政府各项重大活动的应急保障工作。</w:t>
      </w:r>
    </w:p>
    <w:p w14:paraId="0BAB982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2、效益指标完成情况分析</w:t>
      </w:r>
    </w:p>
    <w:p w14:paraId="18F3B2B1">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（1）社会效益：</w:t>
      </w:r>
      <w:r>
        <w:rPr>
          <w:rFonts w:hint="default" w:ascii="Times New Roman" w:hAnsi="Times New Roman" w:eastAsia="仿宋_GB2312" w:cs="Times New Roman"/>
          <w:i w:val="0"/>
          <w:iCs w:val="0"/>
          <w:caps w:val="0"/>
          <w:color w:val="000000"/>
          <w:spacing w:val="0"/>
          <w:sz w:val="32"/>
          <w:szCs w:val="32"/>
          <w:shd w:val="clear" w:fill="FFFFFF"/>
        </w:rPr>
        <w:t>年度内按时完成本项目的各项工作，确保每一环节均能够按时实施。</w:t>
      </w:r>
    </w:p>
    <w:p w14:paraId="4E02B2DC">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3、满意度指标完成情况分析</w:t>
      </w:r>
    </w:p>
    <w:p w14:paraId="60D3CE62">
      <w:pPr>
        <w:pStyle w:val="14"/>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rPr>
        <w:t>通过项目的实施，加强应急管理工作，</w:t>
      </w:r>
      <w:r>
        <w:rPr>
          <w:rFonts w:hint="default" w:ascii="Times New Roman" w:hAnsi="Times New Roman" w:eastAsia="仿宋_GB2312" w:cs="Times New Roman"/>
          <w:color w:val="000000"/>
          <w:sz w:val="32"/>
          <w:szCs w:val="32"/>
        </w:rPr>
        <w:t>以防灾减灾为立足点，以民生保障为导向标，较好地发挥了救灾救济在促进灾区稳定、加速灾后重建、维护群众利益等方面的基础作用，彰显了良好的社会效益，群众对救灾工作反响良好。</w:t>
      </w:r>
    </w:p>
    <w:p w14:paraId="5D88887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三、下一步工作措施</w:t>
      </w:r>
    </w:p>
    <w:p w14:paraId="3644946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outlineLvl w:val="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切实提高社会对应急管理、安全生产、防灾减灾政策知识的知晓率，增强群众应急避险、生命安全、减灾救灾实际操作能力。</w:t>
      </w:r>
    </w:p>
    <w:p w14:paraId="07AD4586">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eastAsia="zh-CN"/>
        </w:rPr>
        <w:t>四</w:t>
      </w:r>
      <w:r>
        <w:rPr>
          <w:rFonts w:hint="default" w:ascii="Times New Roman" w:hAnsi="Times New Roman" w:eastAsia="黑体" w:cs="Times New Roman"/>
          <w:b w:val="0"/>
          <w:bCs w:val="0"/>
          <w:spacing w:val="-15"/>
          <w:sz w:val="32"/>
          <w:szCs w:val="32"/>
        </w:rPr>
        <w:t>、项目支出主要绩效及评价结论</w:t>
      </w:r>
    </w:p>
    <w:p w14:paraId="1875C1C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outlineLvl w:val="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通过入户调查和问卷的方式，项目实施单位对服务对象进行了随机调查，满意度达到97%。</w:t>
      </w:r>
    </w:p>
    <w:p w14:paraId="37FB2171">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eastAsia="zh-CN"/>
        </w:rPr>
        <w:t>五</w:t>
      </w:r>
      <w:r>
        <w:rPr>
          <w:rFonts w:hint="default" w:ascii="Times New Roman" w:hAnsi="Times New Roman" w:eastAsia="黑体" w:cs="Times New Roman"/>
          <w:b w:val="0"/>
          <w:bCs w:val="0"/>
          <w:spacing w:val="-15"/>
          <w:sz w:val="32"/>
          <w:szCs w:val="32"/>
        </w:rPr>
        <w:t>、绩效评价指标分析</w:t>
      </w:r>
    </w:p>
    <w:p w14:paraId="0B1D8FE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(一)项目支出决策情况</w:t>
      </w:r>
    </w:p>
    <w:p w14:paraId="0969107D">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严格按照相关法律法规行业制度，进行资金使用，严格监控资金的使用，做到每一笔支出符合规范。做到财务管理制度健全，资金使用合规，项目支出预算执行到位。</w:t>
      </w:r>
    </w:p>
    <w:p w14:paraId="728032D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(二)项目执行过程情况</w:t>
      </w:r>
    </w:p>
    <w:p w14:paraId="6880E0F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专项经费开支合理；财务管理制度健全，资金使用合理，政府采购合规；人员编制合规，人事管理制度健全；资产管理制度健全，年度资产清查正常；</w:t>
      </w:r>
    </w:p>
    <w:p w14:paraId="5FF1A2A3">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(三)项目支出产出情况</w:t>
      </w:r>
    </w:p>
    <w:p w14:paraId="21A41F2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配合省级及以上督查组完成督查检查、调研任务：开展本级防灾减灾救灾、应急救援、行政执法、事故查处、挂牌督办及安全生产督查检查工作；开展安全生产、应急管理、防灾减灾救灾相关宣传培训活动，印发相关产法律法规等宣传资料：严格安全生产三项岗位培训、执证上岗制度，夯实安全生产的基础，切实防范风险隐患。</w:t>
      </w:r>
    </w:p>
    <w:p w14:paraId="7B94075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(四)项目支出效益情况</w:t>
      </w:r>
    </w:p>
    <w:p w14:paraId="4F0FB1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1.社会效益</w:t>
      </w:r>
    </w:p>
    <w:p w14:paraId="56CC4E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增强全民风险防范意识，防范和减少事故灾害，保障人民群众生命和财产安全，确保全市社会安定和谐。</w:t>
      </w:r>
    </w:p>
    <w:p w14:paraId="03033C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2.生态效益</w:t>
      </w:r>
    </w:p>
    <w:p w14:paraId="7E253A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构建新型的应急管理体系，提高安全生产水平和灾害防治能力，为全市高质量发展保驾护航。</w:t>
      </w:r>
    </w:p>
    <w:p w14:paraId="5C932E88">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六</w:t>
      </w:r>
      <w:r>
        <w:rPr>
          <w:rFonts w:hint="default" w:ascii="Times New Roman" w:hAnsi="Times New Roman" w:eastAsia="黑体" w:cs="Times New Roman"/>
          <w:b w:val="0"/>
          <w:bCs w:val="0"/>
          <w:spacing w:val="-15"/>
          <w:sz w:val="32"/>
          <w:szCs w:val="32"/>
        </w:rPr>
        <w:t>、主要经验及做法、存在的问题及原因分析</w:t>
      </w:r>
    </w:p>
    <w:p w14:paraId="4DF0BB58">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7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BB80434">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主要问题。</w:t>
      </w:r>
    </w:p>
    <w:p w14:paraId="5501D1CB">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七</w:t>
      </w:r>
      <w:r>
        <w:rPr>
          <w:rFonts w:hint="default" w:ascii="Times New Roman" w:hAnsi="Times New Roman" w:eastAsia="黑体" w:cs="Times New Roman"/>
          <w:b w:val="0"/>
          <w:bCs w:val="0"/>
          <w:spacing w:val="-15"/>
          <w:sz w:val="32"/>
          <w:szCs w:val="32"/>
        </w:rPr>
        <w:t>、有关建议</w:t>
      </w:r>
    </w:p>
    <w:p w14:paraId="29D3688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汨罗市</w:t>
      </w:r>
      <w:r>
        <w:rPr>
          <w:rFonts w:hint="default"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工作整体良好，</w:t>
      </w:r>
      <w:r>
        <w:rPr>
          <w:rFonts w:hint="default" w:ascii="Times New Roman" w:hAnsi="Times New Roman" w:eastAsia="仿宋_GB2312" w:cs="Times New Roman"/>
          <w:i w:val="0"/>
          <w:iCs w:val="0"/>
          <w:caps w:val="0"/>
          <w:color w:val="000000"/>
          <w:spacing w:val="0"/>
          <w:sz w:val="32"/>
          <w:szCs w:val="32"/>
          <w:shd w:val="clear" w:fill="FFFFFF"/>
        </w:rPr>
        <w:t>理顺全</w:t>
      </w:r>
      <w:r>
        <w:rPr>
          <w:rFonts w:hint="default" w:ascii="Times New Roman" w:hAnsi="Times New Roman" w:eastAsia="仿宋_GB2312" w:cs="Times New Roman"/>
          <w:i w:val="0"/>
          <w:iCs w:val="0"/>
          <w:caps w:val="0"/>
          <w:color w:val="000000"/>
          <w:spacing w:val="0"/>
          <w:sz w:val="32"/>
          <w:szCs w:val="32"/>
          <w:shd w:val="clear" w:fill="FFFFFF"/>
          <w:lang w:eastAsia="zh-CN"/>
        </w:rPr>
        <w:t>市</w:t>
      </w:r>
      <w:r>
        <w:rPr>
          <w:rFonts w:hint="default" w:ascii="Times New Roman" w:hAnsi="Times New Roman" w:eastAsia="仿宋_GB2312" w:cs="Times New Roman"/>
          <w:i w:val="0"/>
          <w:iCs w:val="0"/>
          <w:caps w:val="0"/>
          <w:color w:val="000000"/>
          <w:spacing w:val="0"/>
          <w:sz w:val="32"/>
          <w:szCs w:val="32"/>
          <w:shd w:val="clear" w:fill="FFFFFF"/>
        </w:rPr>
        <w:t>应急管理机制体制，常态化做足应急准备，提高事故及自然灾害应急处置能力，有效发挥了社会公益性和服务功能，提高了群众满意度。</w:t>
      </w:r>
    </w:p>
    <w:p w14:paraId="44DDFA9E">
      <w:pPr>
        <w:keepNext w:val="0"/>
        <w:keepLines w:val="0"/>
        <w:pageBreakBefore w:val="0"/>
        <w:widowControl/>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en-US"/>
        </w:rPr>
        <w:t>八、</w:t>
      </w:r>
      <w:r>
        <w:rPr>
          <w:rFonts w:hint="default" w:ascii="Times New Roman" w:hAnsi="Times New Roman" w:eastAsia="黑体" w:cs="Times New Roman"/>
          <w:b w:val="0"/>
          <w:bCs w:val="0"/>
          <w:spacing w:val="-15"/>
          <w:sz w:val="32"/>
          <w:szCs w:val="32"/>
        </w:rPr>
        <w:t>其他需要说明的问题</w:t>
      </w:r>
    </w:p>
    <w:p w14:paraId="0740BE27">
      <w:pPr>
        <w:keepNext w:val="0"/>
        <w:keepLines w:val="0"/>
        <w:pageBreakBefore w:val="0"/>
        <w:widowControl/>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lang w:val="en-US" w:eastAsia="zh-CN"/>
        </w:rPr>
      </w:pPr>
      <w:r>
        <w:rPr>
          <w:rFonts w:hint="default" w:ascii="Times New Roman" w:hAnsi="Times New Roman" w:eastAsia="仿宋_GB2312" w:cs="Times New Roman"/>
          <w:b/>
          <w:bCs/>
          <w:spacing w:val="-15"/>
          <w:sz w:val="32"/>
          <w:szCs w:val="32"/>
          <w:lang w:val="en-US" w:eastAsia="zh-CN"/>
        </w:rPr>
        <w:t>无</w:t>
      </w:r>
    </w:p>
    <w:p w14:paraId="1B1ED9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textAlignment w:val="baseline"/>
        <w:outlineLvl w:val="0"/>
        <w:rPr>
          <w:rFonts w:hint="default" w:ascii="Times New Roman" w:hAnsi="Times New Roman" w:eastAsia="黑体" w:cs="Times New Roman"/>
          <w:b/>
          <w:bCs/>
          <w:spacing w:val="-15"/>
          <w:sz w:val="31"/>
          <w:szCs w:val="31"/>
          <w:lang w:val="en-US" w:eastAsia="zh-CN"/>
        </w:rPr>
      </w:pPr>
    </w:p>
    <w:p w14:paraId="7F6F1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5677C0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01A343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4ED41A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0290AB92">
      <w:pPr>
        <w:kinsoku w:val="0"/>
        <w:autoSpaceDE w:val="0"/>
        <w:autoSpaceDN w:val="0"/>
        <w:adjustRightInd w:val="0"/>
        <w:snapToGrid w:val="0"/>
        <w:spacing w:before="293" w:line="236" w:lineRule="auto"/>
        <w:textAlignment w:val="baseline"/>
        <w:rPr>
          <w:rFonts w:hint="eastAsia" w:ascii="黑体" w:hAnsi="黑体" w:eastAsia="黑体" w:cs="黑体"/>
          <w:snapToGrid w:val="0"/>
          <w:color w:val="000000"/>
          <w:sz w:val="35"/>
          <w:szCs w:val="35"/>
          <w:lang w:val="en-US" w:eastAsia="zh-CN" w:bidi="ar-SA"/>
        </w:rPr>
      </w:pPr>
      <w:r>
        <w:rPr>
          <w:rFonts w:hint="eastAsia" w:ascii="黑体" w:hAnsi="黑体" w:eastAsia="黑体" w:cs="黑体"/>
          <w:bCs/>
          <w:snapToGrid w:val="0"/>
          <w:color w:val="000000"/>
          <w:spacing w:val="-4"/>
          <w:sz w:val="28"/>
          <w:szCs w:val="28"/>
          <w:lang w:val="en-US" w:eastAsia="zh-CN" w:bidi="ar-SA"/>
        </w:rPr>
        <w:t>附件3</w:t>
      </w:r>
    </w:p>
    <w:p w14:paraId="711B1740">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3</w:t>
      </w:r>
      <w:r>
        <w:rPr>
          <w:rFonts w:hint="default" w:ascii="Times New Roman" w:hAnsi="Times New Roman" w:eastAsia="方正小标宋简体" w:cs="Times New Roman"/>
          <w:bCs/>
          <w:spacing w:val="8"/>
          <w:kern w:val="0"/>
          <w:sz w:val="44"/>
          <w:szCs w:val="44"/>
          <w:lang w:eastAsia="zh-CN"/>
        </w:rPr>
        <w:t>年度项目支出绩效自评表</w:t>
      </w:r>
    </w:p>
    <w:p w14:paraId="78E92C9F">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EE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376D16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42F5EDA7">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其他应急管理支出</w:t>
            </w:r>
          </w:p>
        </w:tc>
      </w:tr>
      <w:tr w14:paraId="4A91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9E5E9C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382BDF0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c>
          <w:tcPr>
            <w:tcW w:w="1099" w:type="dxa"/>
            <w:vAlign w:val="center"/>
          </w:tcPr>
          <w:p w14:paraId="1FD7C8D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3B5AF0B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3041" w:type="dxa"/>
            <w:gridSpan w:val="3"/>
            <w:vAlign w:val="center"/>
          </w:tcPr>
          <w:p w14:paraId="756D7F83">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r>
      <w:tr w14:paraId="75DF2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931E8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项目资金 (万元)</w:t>
            </w:r>
          </w:p>
        </w:tc>
        <w:tc>
          <w:tcPr>
            <w:tcW w:w="2277" w:type="dxa"/>
            <w:gridSpan w:val="2"/>
            <w:vAlign w:val="center"/>
          </w:tcPr>
          <w:p w14:paraId="353FCC70">
            <w:pPr>
              <w:spacing w:line="240" w:lineRule="auto"/>
              <w:ind w:firstLine="420"/>
              <w:jc w:val="center"/>
              <w:rPr>
                <w:rFonts w:hint="default" w:ascii="Times New Roman" w:hAnsi="Times New Roman" w:eastAsia="仿宋_GB2312" w:cs="Times New Roman"/>
                <w:kern w:val="0"/>
                <w:lang w:eastAsia="zh-CN"/>
              </w:rPr>
            </w:pPr>
          </w:p>
        </w:tc>
        <w:tc>
          <w:tcPr>
            <w:tcW w:w="1020" w:type="dxa"/>
            <w:vAlign w:val="center"/>
          </w:tcPr>
          <w:p w14:paraId="1E03336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1CCA00D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54757D3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26ECA55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4D22EA8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00DF9DB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09" w:type="dxa"/>
            <w:vAlign w:val="center"/>
          </w:tcPr>
          <w:p w14:paraId="4A5A57D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849" w:type="dxa"/>
            <w:vAlign w:val="center"/>
          </w:tcPr>
          <w:p w14:paraId="44E538D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383" w:type="dxa"/>
            <w:vAlign w:val="center"/>
          </w:tcPr>
          <w:p w14:paraId="3730135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02CE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461B164">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607F238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020" w:type="dxa"/>
            <w:vAlign w:val="center"/>
          </w:tcPr>
          <w:p w14:paraId="4CACC601">
            <w:pPr>
              <w:spacing w:line="240" w:lineRule="auto"/>
              <w:ind w:firstLine="420"/>
              <w:jc w:val="center"/>
              <w:rPr>
                <w:rFonts w:hint="default" w:ascii="Times New Roman" w:hAnsi="Times New Roman" w:eastAsia="仿宋_GB2312" w:cs="Times New Roman"/>
                <w:kern w:val="0"/>
                <w:lang w:val="en-US" w:eastAsia="zh-CN"/>
              </w:rPr>
            </w:pPr>
          </w:p>
        </w:tc>
        <w:tc>
          <w:tcPr>
            <w:tcW w:w="1099" w:type="dxa"/>
            <w:vAlign w:val="center"/>
          </w:tcPr>
          <w:p w14:paraId="0D0DA0D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c>
          <w:tcPr>
            <w:tcW w:w="1099" w:type="dxa"/>
            <w:vAlign w:val="center"/>
          </w:tcPr>
          <w:p w14:paraId="45C97615">
            <w:pPr>
              <w:spacing w:line="240" w:lineRule="auto"/>
              <w:ind w:firstLine="210" w:firstLineChars="10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c>
          <w:tcPr>
            <w:tcW w:w="809" w:type="dxa"/>
            <w:vAlign w:val="center"/>
          </w:tcPr>
          <w:p w14:paraId="7384307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10</w:t>
            </w:r>
          </w:p>
        </w:tc>
        <w:tc>
          <w:tcPr>
            <w:tcW w:w="849" w:type="dxa"/>
            <w:vAlign w:val="center"/>
          </w:tcPr>
          <w:p w14:paraId="47D63352">
            <w:pPr>
              <w:spacing w:line="240" w:lineRule="auto"/>
              <w:ind w:firstLine="210" w:firstLineChars="10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384DA9F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r>
      <w:tr w14:paraId="09D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5BE9F1">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0F1075C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020" w:type="dxa"/>
            <w:vAlign w:val="center"/>
          </w:tcPr>
          <w:p w14:paraId="6304BD9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37110FDC">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31AAC2C1">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2B1F223B">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4D972504">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7A30998E">
            <w:pPr>
              <w:spacing w:line="240" w:lineRule="auto"/>
              <w:ind w:firstLine="420"/>
              <w:jc w:val="center"/>
              <w:rPr>
                <w:rFonts w:hint="default" w:ascii="Times New Roman" w:hAnsi="Times New Roman" w:eastAsia="仿宋_GB2312" w:cs="Times New Roman"/>
                <w:kern w:val="0"/>
                <w:lang w:eastAsia="zh-CN"/>
              </w:rPr>
            </w:pPr>
          </w:p>
        </w:tc>
      </w:tr>
      <w:tr w14:paraId="779A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F8010A">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5C680A3A">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020" w:type="dxa"/>
            <w:vAlign w:val="center"/>
          </w:tcPr>
          <w:p w14:paraId="1D688E6C">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58AD886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730791AC">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05BBFEF3">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6CA7375B">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3E7846F2">
            <w:pPr>
              <w:spacing w:line="240" w:lineRule="auto"/>
              <w:ind w:firstLine="420"/>
              <w:jc w:val="center"/>
              <w:rPr>
                <w:rFonts w:hint="default" w:ascii="Times New Roman" w:hAnsi="Times New Roman" w:eastAsia="仿宋_GB2312" w:cs="Times New Roman"/>
                <w:kern w:val="0"/>
                <w:lang w:eastAsia="zh-CN"/>
              </w:rPr>
            </w:pPr>
          </w:p>
        </w:tc>
      </w:tr>
      <w:tr w14:paraId="324C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EBE8F8">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4A00ACB3">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020" w:type="dxa"/>
            <w:vAlign w:val="center"/>
          </w:tcPr>
          <w:p w14:paraId="4FD54B53">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2E51C22B">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099E8572">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79225F50">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19AC82B7">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1B885D1E">
            <w:pPr>
              <w:spacing w:line="240" w:lineRule="auto"/>
              <w:ind w:firstLine="420"/>
              <w:jc w:val="center"/>
              <w:rPr>
                <w:rFonts w:hint="default" w:ascii="Times New Roman" w:hAnsi="Times New Roman" w:eastAsia="仿宋_GB2312" w:cs="Times New Roman"/>
                <w:kern w:val="0"/>
              </w:rPr>
            </w:pPr>
          </w:p>
        </w:tc>
      </w:tr>
      <w:tr w14:paraId="6AD8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E2EDA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65F96054">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683AC8A9">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1979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D68068">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1544980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指导协调本市自然灾害防治，灾情核查、损失评估、群众生活救助，组织协调应急物资的储备、调拨和紧急配送，承担救灾款物的管理、分配和监督使用工作</w:t>
            </w:r>
          </w:p>
        </w:tc>
        <w:tc>
          <w:tcPr>
            <w:tcW w:w="4140" w:type="dxa"/>
            <w:gridSpan w:val="4"/>
            <w:vAlign w:val="center"/>
          </w:tcPr>
          <w:p w14:paraId="072E251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通过风险普查，提前预防，群众及时转移，减少了人员伤亡和财产损失。</w:t>
            </w:r>
          </w:p>
        </w:tc>
      </w:tr>
      <w:tr w14:paraId="043D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1BD835A">
            <w:pPr>
              <w:spacing w:line="240" w:lineRule="auto"/>
              <w:ind w:firstLine="420"/>
              <w:jc w:val="center"/>
              <w:rPr>
                <w:rFonts w:hint="default" w:ascii="Times New Roman" w:hAnsi="Times New Roman" w:eastAsia="仿宋_GB2312" w:cs="Times New Roman"/>
                <w:kern w:val="0"/>
              </w:rPr>
            </w:pPr>
          </w:p>
          <w:p w14:paraId="71CDAD8A">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1C62F06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218" w:type="dxa"/>
            <w:vAlign w:val="center"/>
          </w:tcPr>
          <w:p w14:paraId="36A52C3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020" w:type="dxa"/>
            <w:vAlign w:val="center"/>
          </w:tcPr>
          <w:p w14:paraId="1ABB1BE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3C6BFFF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099" w:type="dxa"/>
            <w:vAlign w:val="center"/>
          </w:tcPr>
          <w:p w14:paraId="317430C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09" w:type="dxa"/>
            <w:vAlign w:val="center"/>
          </w:tcPr>
          <w:p w14:paraId="293A65A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49" w:type="dxa"/>
            <w:vAlign w:val="center"/>
          </w:tcPr>
          <w:p w14:paraId="2E14AE5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383" w:type="dxa"/>
            <w:vAlign w:val="center"/>
          </w:tcPr>
          <w:p w14:paraId="2DE2B2E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3A65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9C2337">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79EC2C4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3C3098D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218" w:type="dxa"/>
            <w:vMerge w:val="restart"/>
            <w:tcBorders>
              <w:bottom w:val="nil"/>
            </w:tcBorders>
            <w:vAlign w:val="center"/>
          </w:tcPr>
          <w:p w14:paraId="541CBB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020" w:type="dxa"/>
            <w:vAlign w:val="center"/>
          </w:tcPr>
          <w:p w14:paraId="2AF58D1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减少宣传周及减灾科普宣传完成率</w:t>
            </w:r>
          </w:p>
        </w:tc>
        <w:tc>
          <w:tcPr>
            <w:tcW w:w="1099" w:type="dxa"/>
            <w:vAlign w:val="center"/>
          </w:tcPr>
          <w:p w14:paraId="19B3805D">
            <w:pPr>
              <w:spacing w:line="240" w:lineRule="auto"/>
              <w:ind w:firstLine="480" w:firstLineChars="200"/>
              <w:jc w:val="both"/>
              <w:rPr>
                <w:rFonts w:hint="default" w:ascii="Times New Roman" w:hAnsi="Times New Roman" w:eastAsia="仿宋_GB2312" w:cs="Times New Roman"/>
                <w:kern w:val="0"/>
                <w:lang w:val="en-US" w:eastAsia="zh-CN"/>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vAlign w:val="center"/>
          </w:tcPr>
          <w:p w14:paraId="55B3F8F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1E4D108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537F6F3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4528EBC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w:t>
            </w:r>
            <w:r>
              <w:rPr>
                <w:rFonts w:hint="default" w:ascii="Times New Roman" w:hAnsi="Times New Roman" w:eastAsia="仿宋_GB2312" w:cs="Times New Roman"/>
                <w:kern w:val="0"/>
                <w:lang w:val="en-US" w:eastAsia="zh-CN"/>
              </w:rPr>
              <w:t>5.12应急演练，安全宣传工作深入千家万户。</w:t>
            </w:r>
          </w:p>
        </w:tc>
      </w:tr>
      <w:tr w14:paraId="288F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0045A2">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0689D709">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406D03F2">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0B10B6D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应急物资储备完成率</w:t>
            </w:r>
          </w:p>
        </w:tc>
        <w:tc>
          <w:tcPr>
            <w:tcW w:w="1099" w:type="dxa"/>
            <w:vAlign w:val="center"/>
          </w:tcPr>
          <w:p w14:paraId="52D7662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vAlign w:val="center"/>
          </w:tcPr>
          <w:p w14:paraId="1B32324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5B262AD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4B21840">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39035D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救灾储备物资充足</w:t>
            </w:r>
          </w:p>
        </w:tc>
      </w:tr>
      <w:tr w14:paraId="7E35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4638141">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74F5CD91">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72D832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020" w:type="dxa"/>
            <w:vAlign w:val="center"/>
          </w:tcPr>
          <w:p w14:paraId="6D03CA0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事故调查处理符合率</w:t>
            </w:r>
          </w:p>
        </w:tc>
        <w:tc>
          <w:tcPr>
            <w:tcW w:w="1099" w:type="dxa"/>
            <w:shd w:val="clear" w:color="auto" w:fill="auto"/>
            <w:vAlign w:val="center"/>
          </w:tcPr>
          <w:p w14:paraId="228DBAE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2A2B091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40BB197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6DAF535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306352E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69C0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042EA2">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3958DDB4">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65D011DD">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3C61440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应急突发事件保障率</w:t>
            </w:r>
          </w:p>
        </w:tc>
        <w:tc>
          <w:tcPr>
            <w:tcW w:w="1099" w:type="dxa"/>
            <w:shd w:val="clear" w:color="auto" w:fill="auto"/>
            <w:vAlign w:val="center"/>
          </w:tcPr>
          <w:p w14:paraId="5C9C74C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B8B4B7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7C6F03B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773033F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FF7C58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44D9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830EFC">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E45D504">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0FF53B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020" w:type="dxa"/>
            <w:vAlign w:val="center"/>
          </w:tcPr>
          <w:p w14:paraId="2BF25D3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调研报告完成及时率</w:t>
            </w:r>
          </w:p>
        </w:tc>
        <w:tc>
          <w:tcPr>
            <w:tcW w:w="1099" w:type="dxa"/>
            <w:shd w:val="clear" w:color="auto" w:fill="auto"/>
            <w:vAlign w:val="center"/>
          </w:tcPr>
          <w:p w14:paraId="3E670F6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E3861E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531243D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3E8A40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4D50A7A">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0C98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2CF7A2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CAF0C7B">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32D24EBC">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4BB9ACCC">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储备物资验收及时率</w:t>
            </w:r>
          </w:p>
        </w:tc>
        <w:tc>
          <w:tcPr>
            <w:tcW w:w="1099" w:type="dxa"/>
            <w:shd w:val="clear" w:color="auto" w:fill="auto"/>
            <w:vAlign w:val="center"/>
          </w:tcPr>
          <w:p w14:paraId="0C2E0DD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830793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43A6002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DADAA4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6CF0D30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24A1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054" w:type="dxa"/>
            <w:vMerge w:val="continue"/>
            <w:textDirection w:val="tbRlV"/>
            <w:vAlign w:val="center"/>
          </w:tcPr>
          <w:p w14:paraId="452CDDBE">
            <w:pPr>
              <w:spacing w:line="240" w:lineRule="auto"/>
              <w:ind w:firstLine="420"/>
              <w:jc w:val="center"/>
              <w:rPr>
                <w:rFonts w:hint="default" w:ascii="Times New Roman" w:hAnsi="Times New Roman" w:eastAsia="仿宋_GB2312" w:cs="Times New Roman"/>
                <w:kern w:val="0"/>
              </w:rPr>
            </w:pPr>
          </w:p>
        </w:tc>
        <w:tc>
          <w:tcPr>
            <w:tcW w:w="1059" w:type="dxa"/>
            <w:vMerge w:val="restart"/>
            <w:tcBorders>
              <w:bottom w:val="nil"/>
            </w:tcBorders>
            <w:vAlign w:val="center"/>
          </w:tcPr>
          <w:p w14:paraId="7A6885D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1221F49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(30分)</w:t>
            </w:r>
          </w:p>
        </w:tc>
        <w:tc>
          <w:tcPr>
            <w:tcW w:w="1218" w:type="dxa"/>
            <w:vMerge w:val="restart"/>
            <w:tcBorders>
              <w:bottom w:val="nil"/>
            </w:tcBorders>
            <w:vAlign w:val="center"/>
          </w:tcPr>
          <w:p w14:paraId="5CBB52C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020" w:type="dxa"/>
            <w:vAlign w:val="center"/>
          </w:tcPr>
          <w:p w14:paraId="4B9CF17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自然灾害有效措施</w:t>
            </w:r>
          </w:p>
        </w:tc>
        <w:tc>
          <w:tcPr>
            <w:tcW w:w="1099" w:type="dxa"/>
            <w:shd w:val="clear" w:color="auto" w:fill="auto"/>
            <w:vAlign w:val="center"/>
          </w:tcPr>
          <w:p w14:paraId="0AB4AA1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35FA06B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0E1E00D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1D8C10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6150768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及时有效落实到位</w:t>
            </w:r>
          </w:p>
        </w:tc>
      </w:tr>
      <w:tr w14:paraId="12F9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CEAB5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6F71D08">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29F77420">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2A9CE23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隐患排查整改率</w:t>
            </w:r>
          </w:p>
        </w:tc>
        <w:tc>
          <w:tcPr>
            <w:tcW w:w="1099" w:type="dxa"/>
            <w:shd w:val="clear" w:color="auto" w:fill="auto"/>
            <w:vAlign w:val="center"/>
          </w:tcPr>
          <w:p w14:paraId="1903391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6BA0C9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5ACCB65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4353E01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7CD5CB2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及时落实到位</w:t>
            </w:r>
          </w:p>
        </w:tc>
      </w:tr>
      <w:tr w14:paraId="0E223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1B6ADE">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F02859C">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7FF0FA6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020" w:type="dxa"/>
            <w:vAlign w:val="center"/>
          </w:tcPr>
          <w:p w14:paraId="7B62322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保障城市平稳运行和人民生命财产安全</w:t>
            </w:r>
          </w:p>
        </w:tc>
        <w:tc>
          <w:tcPr>
            <w:tcW w:w="1099" w:type="dxa"/>
            <w:shd w:val="clear" w:color="auto" w:fill="auto"/>
            <w:vAlign w:val="center"/>
          </w:tcPr>
          <w:p w14:paraId="47ABC87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45A6DF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7EA69BB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352C426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410B11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持续发挥作用</w:t>
            </w:r>
          </w:p>
        </w:tc>
      </w:tr>
      <w:tr w14:paraId="6081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6F04B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8F7C395">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78B3A89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020" w:type="dxa"/>
            <w:vAlign w:val="center"/>
          </w:tcPr>
          <w:p w14:paraId="2373C5B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抗灾减灾能力提高情况</w:t>
            </w:r>
          </w:p>
        </w:tc>
        <w:tc>
          <w:tcPr>
            <w:tcW w:w="1099" w:type="dxa"/>
            <w:shd w:val="clear" w:color="auto" w:fill="auto"/>
            <w:vAlign w:val="center"/>
          </w:tcPr>
          <w:p w14:paraId="6535E56C">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84D658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05802AD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17FB8D3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6ED021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稳定提高</w:t>
            </w:r>
          </w:p>
        </w:tc>
      </w:tr>
      <w:tr w14:paraId="5F50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3F9AC14">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7CAAC228">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2C52BA2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020" w:type="dxa"/>
            <w:vAlign w:val="center"/>
          </w:tcPr>
          <w:p w14:paraId="3B6628B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全年保障备勤</w:t>
            </w:r>
          </w:p>
        </w:tc>
        <w:tc>
          <w:tcPr>
            <w:tcW w:w="1099" w:type="dxa"/>
            <w:shd w:val="clear" w:color="auto" w:fill="auto"/>
            <w:vAlign w:val="center"/>
          </w:tcPr>
          <w:p w14:paraId="09673AD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152B0D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1F9373B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24CF515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716C359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已全覆盖</w:t>
            </w:r>
          </w:p>
        </w:tc>
      </w:tr>
      <w:tr w14:paraId="1FE4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54B9AE">
            <w:pPr>
              <w:spacing w:line="240" w:lineRule="auto"/>
              <w:ind w:firstLine="420"/>
              <w:jc w:val="center"/>
              <w:rPr>
                <w:rFonts w:hint="default" w:ascii="Times New Roman" w:hAnsi="Times New Roman" w:eastAsia="仿宋_GB2312" w:cs="Times New Roman"/>
                <w:kern w:val="0"/>
              </w:rPr>
            </w:pPr>
          </w:p>
        </w:tc>
        <w:tc>
          <w:tcPr>
            <w:tcW w:w="1059" w:type="dxa"/>
            <w:tcBorders>
              <w:bottom w:val="nil"/>
            </w:tcBorders>
            <w:vAlign w:val="center"/>
          </w:tcPr>
          <w:p w14:paraId="769F28A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满意度指标(10分)</w:t>
            </w:r>
          </w:p>
        </w:tc>
        <w:tc>
          <w:tcPr>
            <w:tcW w:w="1218" w:type="dxa"/>
            <w:tcBorders>
              <w:bottom w:val="nil"/>
            </w:tcBorders>
            <w:vAlign w:val="center"/>
          </w:tcPr>
          <w:p w14:paraId="5C68467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020" w:type="dxa"/>
            <w:vAlign w:val="center"/>
          </w:tcPr>
          <w:p w14:paraId="4711C661">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宣传对象满意度</w:t>
            </w:r>
          </w:p>
        </w:tc>
        <w:tc>
          <w:tcPr>
            <w:tcW w:w="1099" w:type="dxa"/>
            <w:shd w:val="clear" w:color="auto" w:fill="auto"/>
            <w:vAlign w:val="center"/>
          </w:tcPr>
          <w:p w14:paraId="20103C3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2AC0E5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76DDCA6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shd w:val="clear" w:color="auto" w:fill="auto"/>
            <w:vAlign w:val="center"/>
          </w:tcPr>
          <w:p w14:paraId="7769988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10</w:t>
            </w:r>
          </w:p>
        </w:tc>
        <w:tc>
          <w:tcPr>
            <w:tcW w:w="1383" w:type="dxa"/>
            <w:shd w:val="clear" w:color="auto" w:fill="auto"/>
            <w:vAlign w:val="center"/>
          </w:tcPr>
          <w:p w14:paraId="05DF7B8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eastAsia="zh-CN"/>
              </w:rPr>
              <w:t>已全覆盖</w:t>
            </w:r>
          </w:p>
        </w:tc>
      </w:tr>
      <w:tr w14:paraId="7C31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6E6870">
            <w:pPr>
              <w:spacing w:line="240" w:lineRule="auto"/>
              <w:ind w:firstLine="420"/>
              <w:jc w:val="center"/>
              <w:rPr>
                <w:rFonts w:hint="default" w:ascii="Times New Roman" w:hAnsi="Times New Roman" w:eastAsia="仿宋_GB2312" w:cs="Times New Roman"/>
                <w:kern w:val="0"/>
              </w:rPr>
            </w:pPr>
          </w:p>
        </w:tc>
        <w:tc>
          <w:tcPr>
            <w:tcW w:w="1059" w:type="dxa"/>
            <w:vMerge w:val="restart"/>
            <w:tcBorders>
              <w:top w:val="nil"/>
            </w:tcBorders>
            <w:vAlign w:val="center"/>
          </w:tcPr>
          <w:p w14:paraId="224908F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22E9FD3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218" w:type="dxa"/>
            <w:tcBorders>
              <w:top w:val="nil"/>
            </w:tcBorders>
            <w:vAlign w:val="center"/>
          </w:tcPr>
          <w:p w14:paraId="56C4877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020" w:type="dxa"/>
            <w:vAlign w:val="center"/>
          </w:tcPr>
          <w:p w14:paraId="1D999A2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099" w:type="dxa"/>
            <w:shd w:val="clear" w:color="auto" w:fill="auto"/>
            <w:vAlign w:val="center"/>
          </w:tcPr>
          <w:p w14:paraId="5223CC4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EF3E31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027E03D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2DB7CE0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6FF4FEC5">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有效减少了人民群众财产损失</w:t>
            </w:r>
          </w:p>
        </w:tc>
      </w:tr>
      <w:tr w14:paraId="3572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8C34E5">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22F701BE">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474A4E7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020" w:type="dxa"/>
            <w:vAlign w:val="center"/>
          </w:tcPr>
          <w:p w14:paraId="413B593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减少影响生态环境的安全生产事故</w:t>
            </w:r>
          </w:p>
        </w:tc>
        <w:tc>
          <w:tcPr>
            <w:tcW w:w="1099" w:type="dxa"/>
            <w:shd w:val="clear" w:color="auto" w:fill="auto"/>
            <w:vAlign w:val="center"/>
          </w:tcPr>
          <w:p w14:paraId="726DF7B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A7B761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6D4B979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2F20F4B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545EAEE">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事故大幅度减少</w:t>
            </w:r>
          </w:p>
        </w:tc>
      </w:tr>
      <w:tr w14:paraId="0D4D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599CCF">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7711A1AE">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1E9B497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020" w:type="dxa"/>
            <w:vAlign w:val="center"/>
          </w:tcPr>
          <w:p w14:paraId="4D12BFA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提升公众防灾减灾、防震减灾、安全生产意识</w:t>
            </w:r>
          </w:p>
        </w:tc>
        <w:tc>
          <w:tcPr>
            <w:tcW w:w="1099" w:type="dxa"/>
            <w:shd w:val="clear" w:color="auto" w:fill="auto"/>
            <w:vAlign w:val="center"/>
          </w:tcPr>
          <w:p w14:paraId="2C2A6C1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7FA48EE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557AE74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385EB961">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5</w:t>
            </w:r>
          </w:p>
        </w:tc>
        <w:tc>
          <w:tcPr>
            <w:tcW w:w="1383" w:type="dxa"/>
            <w:vAlign w:val="center"/>
          </w:tcPr>
          <w:p w14:paraId="2B4DD59E">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有效提升公众防灾减灾、防震减灾、安全生产意识</w:t>
            </w:r>
          </w:p>
        </w:tc>
      </w:tr>
      <w:tr w14:paraId="1D31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9D87E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09" w:type="dxa"/>
            <w:vAlign w:val="center"/>
          </w:tcPr>
          <w:p w14:paraId="40E012B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49" w:type="dxa"/>
            <w:vAlign w:val="center"/>
          </w:tcPr>
          <w:p w14:paraId="6EE32F97">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c>
          <w:tcPr>
            <w:tcW w:w="1383" w:type="dxa"/>
            <w:vAlign w:val="center"/>
          </w:tcPr>
          <w:p w14:paraId="53B66434">
            <w:pPr>
              <w:spacing w:line="240" w:lineRule="auto"/>
              <w:ind w:firstLine="420"/>
              <w:jc w:val="center"/>
              <w:rPr>
                <w:rFonts w:hint="default" w:ascii="Times New Roman" w:hAnsi="Times New Roman" w:eastAsia="仿宋_GB2312" w:cs="Times New Roman"/>
                <w:kern w:val="0"/>
              </w:rPr>
            </w:pPr>
          </w:p>
        </w:tc>
      </w:tr>
    </w:tbl>
    <w:p w14:paraId="1A1060A5">
      <w:pPr>
        <w:spacing w:before="52" w:line="219"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1B8688F5">
      <w:pPr>
        <w:spacing w:line="240" w:lineRule="auto"/>
        <w:ind w:firstLine="420"/>
        <w:jc w:val="left"/>
        <w:rPr>
          <w:rFonts w:hint="default" w:ascii="Times New Roman" w:hAnsi="Times New Roman" w:eastAsia="宋体" w:cs="Times New Roman"/>
          <w:kern w:val="0"/>
          <w:lang w:eastAsia="zh-CN"/>
        </w:rPr>
      </w:pPr>
    </w:p>
    <w:p w14:paraId="6347170F">
      <w:pPr>
        <w:rPr>
          <w:rFonts w:hint="default" w:ascii="Times New Roman" w:hAnsi="Times New Roman" w:eastAsia="黑体" w:cs="Times New Roman"/>
          <w:b/>
          <w:bCs/>
          <w:spacing w:val="-15"/>
          <w:sz w:val="31"/>
          <w:szCs w:val="31"/>
          <w:lang w:val="en-US" w:eastAsia="zh-CN"/>
        </w:rPr>
      </w:pPr>
      <w:r>
        <w:rPr>
          <w:rFonts w:hint="default" w:ascii="Times New Roman" w:hAnsi="Times New Roman" w:eastAsia="仿宋_GB2312" w:cs="Times New Roman"/>
          <w:kern w:val="0"/>
          <w:lang w:eastAsia="zh-CN"/>
        </w:rPr>
        <w:t>填表人：彭琼    填报日期：</w:t>
      </w:r>
      <w:r>
        <w:rPr>
          <w:rFonts w:hint="default" w:ascii="Times New Roman" w:hAnsi="Times New Roman" w:eastAsia="仿宋_GB2312" w:cs="Times New Roman"/>
          <w:kern w:val="0"/>
          <w:lang w:val="en-US" w:eastAsia="zh-CN"/>
        </w:rPr>
        <w:t>2024.10.12</w:t>
      </w:r>
      <w:r>
        <w:rPr>
          <w:rFonts w:hint="default" w:ascii="Times New Roman" w:hAnsi="Times New Roman" w:eastAsia="仿宋_GB2312" w:cs="Times New Roman"/>
          <w:kern w:val="0"/>
          <w:lang w:eastAsia="zh-CN"/>
        </w:rPr>
        <w:t xml:space="preserve">    联系电话：</w:t>
      </w:r>
      <w:r>
        <w:rPr>
          <w:rFonts w:hint="default" w:ascii="Times New Roman" w:hAnsi="Times New Roman" w:eastAsia="仿宋_GB2312" w:cs="Times New Roman"/>
          <w:kern w:val="0"/>
          <w:lang w:val="en-US" w:eastAsia="zh-CN"/>
        </w:rPr>
        <w:t>13874088061</w:t>
      </w:r>
      <w:r>
        <w:rPr>
          <w:rFonts w:hint="default" w:ascii="Times New Roman" w:hAnsi="Times New Roman" w:eastAsia="仿宋_GB2312" w:cs="Times New Roman"/>
          <w:kern w:val="0"/>
          <w:lang w:eastAsia="zh-CN"/>
        </w:rPr>
        <w:t xml:space="preserve">   单位负责人签字:许强</w:t>
      </w:r>
    </w:p>
    <w:sectPr>
      <w:footerReference r:id="rId9" w:type="default"/>
      <w:pgSz w:w="11900" w:h="16820"/>
      <w:pgMar w:top="1587" w:right="1451" w:bottom="1485" w:left="1406"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I5ZTY4ZjU0ZjQ2OGRiOTU1YTdkZDA1NDZiOGExYTEifQ=="/>
  </w:docVars>
  <w:rsids>
    <w:rsidRoot w:val="00000000"/>
    <w:rsid w:val="01050DFA"/>
    <w:rsid w:val="01AF3811"/>
    <w:rsid w:val="03795BF7"/>
    <w:rsid w:val="05442BD4"/>
    <w:rsid w:val="059E74B3"/>
    <w:rsid w:val="086E756B"/>
    <w:rsid w:val="09DC2A3C"/>
    <w:rsid w:val="0AB92811"/>
    <w:rsid w:val="0ACF37E5"/>
    <w:rsid w:val="0B400BC6"/>
    <w:rsid w:val="0C0149DC"/>
    <w:rsid w:val="0E68228D"/>
    <w:rsid w:val="0EA6787F"/>
    <w:rsid w:val="127E0318"/>
    <w:rsid w:val="15141FD9"/>
    <w:rsid w:val="15276E52"/>
    <w:rsid w:val="16976FEE"/>
    <w:rsid w:val="18A213BC"/>
    <w:rsid w:val="19D32FBC"/>
    <w:rsid w:val="1B5B127F"/>
    <w:rsid w:val="1E6A4395"/>
    <w:rsid w:val="25557A3D"/>
    <w:rsid w:val="26EA5ED7"/>
    <w:rsid w:val="271A18DE"/>
    <w:rsid w:val="27A93B82"/>
    <w:rsid w:val="2843570A"/>
    <w:rsid w:val="2AE00186"/>
    <w:rsid w:val="2C4B162F"/>
    <w:rsid w:val="2E7B7577"/>
    <w:rsid w:val="308216BE"/>
    <w:rsid w:val="332558BE"/>
    <w:rsid w:val="336031F8"/>
    <w:rsid w:val="349F69BC"/>
    <w:rsid w:val="34FE1149"/>
    <w:rsid w:val="35C22A2D"/>
    <w:rsid w:val="38710670"/>
    <w:rsid w:val="39245DD4"/>
    <w:rsid w:val="3A550786"/>
    <w:rsid w:val="3AE41E37"/>
    <w:rsid w:val="3B7A130F"/>
    <w:rsid w:val="3BF2101A"/>
    <w:rsid w:val="3E23065E"/>
    <w:rsid w:val="3F3E4D5E"/>
    <w:rsid w:val="3F7679B5"/>
    <w:rsid w:val="42D86AE7"/>
    <w:rsid w:val="43C51AFC"/>
    <w:rsid w:val="446C43C0"/>
    <w:rsid w:val="45FD1795"/>
    <w:rsid w:val="47E0311C"/>
    <w:rsid w:val="480E6E35"/>
    <w:rsid w:val="481E3B08"/>
    <w:rsid w:val="494A1329"/>
    <w:rsid w:val="4C9E5354"/>
    <w:rsid w:val="4D5E19EE"/>
    <w:rsid w:val="4F8B6063"/>
    <w:rsid w:val="51CD3662"/>
    <w:rsid w:val="5279732F"/>
    <w:rsid w:val="52FA3F96"/>
    <w:rsid w:val="55850F17"/>
    <w:rsid w:val="563C2602"/>
    <w:rsid w:val="57AE6D93"/>
    <w:rsid w:val="5D3D64C3"/>
    <w:rsid w:val="5FA143E3"/>
    <w:rsid w:val="5FB623A7"/>
    <w:rsid w:val="60000C40"/>
    <w:rsid w:val="6292373A"/>
    <w:rsid w:val="64EE6A20"/>
    <w:rsid w:val="657A6506"/>
    <w:rsid w:val="66A55799"/>
    <w:rsid w:val="67C15C84"/>
    <w:rsid w:val="68146FDD"/>
    <w:rsid w:val="695D4175"/>
    <w:rsid w:val="6C1F384E"/>
    <w:rsid w:val="6C4B4758"/>
    <w:rsid w:val="6D9923DD"/>
    <w:rsid w:val="6E3851B0"/>
    <w:rsid w:val="6ED82B6E"/>
    <w:rsid w:val="71952E68"/>
    <w:rsid w:val="73D85527"/>
    <w:rsid w:val="742835C2"/>
    <w:rsid w:val="774F1A67"/>
    <w:rsid w:val="784167CA"/>
    <w:rsid w:val="78A4106E"/>
    <w:rsid w:val="79F92FE2"/>
    <w:rsid w:val="7A6A66F1"/>
    <w:rsid w:val="7B9A2F2A"/>
    <w:rsid w:val="7ED67756"/>
    <w:rsid w:val="7F5C4A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2">
    <w:name w:val="NormalCharacter"/>
    <w:link w:val="13"/>
    <w:autoRedefine/>
    <w:semiHidden/>
    <w:qFormat/>
    <w:uiPriority w:val="0"/>
    <w:rPr>
      <w:szCs w:val="20"/>
    </w:rPr>
  </w:style>
  <w:style w:type="paragraph" w:customStyle="1" w:styleId="13">
    <w:name w:val="UserStyle_1"/>
    <w:basedOn w:val="1"/>
    <w:link w:val="12"/>
    <w:autoRedefine/>
    <w:qFormat/>
    <w:uiPriority w:val="0"/>
    <w:rPr>
      <w:szCs w:val="20"/>
    </w:rPr>
  </w:style>
  <w:style w:type="paragraph" w:customStyle="1" w:styleId="14">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11484</Words>
  <Characters>12370</Characters>
  <TotalTime>8</TotalTime>
  <ScaleCrop>false</ScaleCrop>
  <LinksUpToDate>false</LinksUpToDate>
  <CharactersWithSpaces>12737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吴玉端</cp:lastModifiedBy>
  <cp:lastPrinted>2024-05-21T14:05:00Z</cp:lastPrinted>
  <dcterms:modified xsi:type="dcterms:W3CDTF">2025-06-11T01:33:21Z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A1E9AC54BF58440288AD196632C2A254_12</vt:lpwstr>
  </property>
  <property fmtid="{D5CDD505-2E9C-101B-9397-08002B2CF9AE}" pid="7" name="KSOTemplateDocerSaveRecord">
    <vt:lpwstr>eyJoZGlkIjoiNjk0MDdlZjBkYzZhZGMzNzdlNTA0OGJiZDQ0N2M0NWYiLCJ1c2VySWQiOiI2NjA5MzMzODAifQ==</vt:lpwstr>
  </property>
</Properties>
</file>