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shd w:val="clear"/>
            <w:vAlign w:val="center"/>
          </w:tcPr>
          <w:p w14:paraId="4056B26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20</w:t>
            </w:r>
          </w:p>
        </w:tc>
        <w:tc>
          <w:tcPr>
            <w:tcW w:w="2039" w:type="dxa"/>
            <w:gridSpan w:val="2"/>
            <w:shd w:val="clear"/>
            <w:vAlign w:val="center"/>
          </w:tcPr>
          <w:p w14:paraId="1D47B16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19</w:t>
            </w:r>
          </w:p>
        </w:tc>
        <w:tc>
          <w:tcPr>
            <w:tcW w:w="1983" w:type="dxa"/>
            <w:gridSpan w:val="2"/>
            <w:shd w:val="clear"/>
            <w:vAlign w:val="center"/>
          </w:tcPr>
          <w:p w14:paraId="06F2846E">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95%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shd w:val="clear"/>
            <w:vAlign w:val="center"/>
          </w:tcPr>
          <w:p w14:paraId="3559BBE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2022年决算数</w:t>
            </w:r>
          </w:p>
        </w:tc>
        <w:tc>
          <w:tcPr>
            <w:tcW w:w="2039" w:type="dxa"/>
            <w:gridSpan w:val="2"/>
            <w:shd w:val="clear"/>
            <w:vAlign w:val="center"/>
          </w:tcPr>
          <w:p w14:paraId="5DBAAEE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2023年预算数</w:t>
            </w:r>
          </w:p>
        </w:tc>
        <w:tc>
          <w:tcPr>
            <w:tcW w:w="1983" w:type="dxa"/>
            <w:gridSpan w:val="2"/>
            <w:shd w:val="clear"/>
            <w:vAlign w:val="center"/>
          </w:tcPr>
          <w:p w14:paraId="284567B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2023年决算数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vAlign w:val="center"/>
          </w:tcPr>
          <w:p w14:paraId="1C1EF02E">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1D6514E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7DFA648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vAlign w:val="center"/>
          </w:tcPr>
          <w:p w14:paraId="2BB3E60E">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0</w:t>
            </w:r>
          </w:p>
        </w:tc>
        <w:tc>
          <w:tcPr>
            <w:tcW w:w="2039" w:type="dxa"/>
            <w:gridSpan w:val="2"/>
            <w:shd w:val="clear"/>
            <w:vAlign w:val="center"/>
          </w:tcPr>
          <w:p w14:paraId="7474BB6E">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0</w:t>
            </w:r>
          </w:p>
        </w:tc>
        <w:tc>
          <w:tcPr>
            <w:tcW w:w="1983" w:type="dxa"/>
            <w:gridSpan w:val="2"/>
            <w:shd w:val="clear"/>
            <w:vAlign w:val="center"/>
          </w:tcPr>
          <w:p w14:paraId="71BD7494">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vAlign w:val="center"/>
          </w:tcPr>
          <w:p w14:paraId="31BDC46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79420B7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0A16158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vAlign w:val="center"/>
          </w:tcPr>
          <w:p w14:paraId="6581D34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4D0A1ED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5A74074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vAlign w:val="center"/>
          </w:tcPr>
          <w:p w14:paraId="6F82C84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402D38B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0229920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vAlign w:val="center"/>
          </w:tcPr>
          <w:p w14:paraId="23AA2EC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672289A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7985B41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vAlign w:val="center"/>
          </w:tcPr>
          <w:p w14:paraId="6B7C6FF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56A401C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7E496EB6">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vAlign w:val="center"/>
          </w:tcPr>
          <w:p w14:paraId="5C6C607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142DDA3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2E8DC00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vAlign w:val="center"/>
          </w:tcPr>
          <w:p w14:paraId="7757DF5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31C696E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1F7D72B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vAlign w:val="center"/>
          </w:tcPr>
          <w:p w14:paraId="482AEA10">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0</w:t>
            </w:r>
          </w:p>
        </w:tc>
        <w:tc>
          <w:tcPr>
            <w:tcW w:w="2039" w:type="dxa"/>
            <w:gridSpan w:val="2"/>
            <w:shd w:val="clear"/>
            <w:vAlign w:val="center"/>
          </w:tcPr>
          <w:p w14:paraId="18F75CDE">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0</w:t>
            </w:r>
          </w:p>
        </w:tc>
        <w:tc>
          <w:tcPr>
            <w:tcW w:w="1983" w:type="dxa"/>
            <w:gridSpan w:val="2"/>
            <w:shd w:val="clear"/>
            <w:vAlign w:val="center"/>
          </w:tcPr>
          <w:p w14:paraId="4D19413F">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vAlign w:val="center"/>
          </w:tcPr>
          <w:p w14:paraId="4A5B86CE">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122.5</w:t>
            </w:r>
          </w:p>
        </w:tc>
        <w:tc>
          <w:tcPr>
            <w:tcW w:w="2039" w:type="dxa"/>
            <w:gridSpan w:val="2"/>
            <w:shd w:val="clear"/>
            <w:vAlign w:val="center"/>
          </w:tcPr>
          <w:p w14:paraId="050E075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7357305D">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261.89</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vAlign w:val="center"/>
          </w:tcPr>
          <w:p w14:paraId="2C631A9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1.21</w:t>
            </w:r>
          </w:p>
        </w:tc>
        <w:tc>
          <w:tcPr>
            <w:tcW w:w="2039" w:type="dxa"/>
            <w:gridSpan w:val="2"/>
            <w:shd w:val="clear"/>
            <w:vAlign w:val="center"/>
          </w:tcPr>
          <w:p w14:paraId="7BB02F1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087A354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41.3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vAlign w:val="center"/>
          </w:tcPr>
          <w:p w14:paraId="7BF1871E">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7.45</w:t>
            </w:r>
          </w:p>
        </w:tc>
        <w:tc>
          <w:tcPr>
            <w:tcW w:w="2039" w:type="dxa"/>
            <w:gridSpan w:val="2"/>
            <w:shd w:val="clear"/>
            <w:vAlign w:val="center"/>
          </w:tcPr>
          <w:p w14:paraId="31E21FE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4FD7453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24.66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vAlign w:val="center"/>
          </w:tcPr>
          <w:p w14:paraId="228A6C5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2.25</w:t>
            </w:r>
          </w:p>
        </w:tc>
        <w:tc>
          <w:tcPr>
            <w:tcW w:w="2039" w:type="dxa"/>
            <w:gridSpan w:val="2"/>
            <w:shd w:val="clear"/>
            <w:vAlign w:val="center"/>
          </w:tcPr>
          <w:p w14:paraId="467174B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983" w:type="dxa"/>
            <w:gridSpan w:val="2"/>
            <w:shd w:val="clear"/>
            <w:vAlign w:val="center"/>
          </w:tcPr>
          <w:p w14:paraId="550E4F9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vAlign w:val="center"/>
          </w:tcPr>
          <w:p w14:paraId="0BB04A1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2039" w:type="dxa"/>
            <w:gridSpan w:val="2"/>
            <w:shd w:val="clear"/>
            <w:vAlign w:val="center"/>
          </w:tcPr>
          <w:p w14:paraId="18AD180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15</w:t>
            </w:r>
          </w:p>
        </w:tc>
        <w:tc>
          <w:tcPr>
            <w:tcW w:w="1983" w:type="dxa"/>
            <w:gridSpan w:val="2"/>
            <w:shd w:val="clear"/>
            <w:vAlign w:val="center"/>
          </w:tcPr>
          <w:p w14:paraId="4363E71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4.123</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vAlign w:val="center"/>
          </w:tcPr>
          <w:p w14:paraId="56E7EB72">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103.53</w:t>
            </w:r>
          </w:p>
        </w:tc>
        <w:tc>
          <w:tcPr>
            <w:tcW w:w="2039" w:type="dxa"/>
            <w:gridSpan w:val="2"/>
            <w:shd w:val="clear"/>
            <w:vAlign w:val="center"/>
          </w:tcPr>
          <w:p w14:paraId="50A3B14E">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0</w:t>
            </w:r>
          </w:p>
        </w:tc>
        <w:tc>
          <w:tcPr>
            <w:tcW w:w="1983" w:type="dxa"/>
            <w:gridSpan w:val="2"/>
            <w:shd w:val="clear"/>
            <w:vAlign w:val="center"/>
          </w:tcPr>
          <w:p w14:paraId="5A7B6931">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w:t>
            </w:r>
            <w:r>
              <w:rPr>
                <w:rFonts w:hint="eastAsia" w:ascii="仿宋" w:hAnsi="仿宋" w:eastAsia="仿宋" w:cs="仿宋"/>
              </w:rPr>
              <w:t>96.39</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shd w:val="clear"/>
            <w:vAlign w:val="center"/>
          </w:tcPr>
          <w:p w14:paraId="6AAE10E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958" w:type="dxa"/>
            <w:shd w:val="clear"/>
            <w:vAlign w:val="center"/>
          </w:tcPr>
          <w:p w14:paraId="2016690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960" w:type="dxa"/>
            <w:shd w:val="clear"/>
            <w:vAlign w:val="center"/>
          </w:tcPr>
          <w:p w14:paraId="4D734BF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079" w:type="dxa"/>
            <w:shd w:val="clear"/>
            <w:vAlign w:val="center"/>
          </w:tcPr>
          <w:p w14:paraId="5567D62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039" w:type="dxa"/>
            <w:shd w:val="clear"/>
            <w:vAlign w:val="center"/>
          </w:tcPr>
          <w:p w14:paraId="31CE4E4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944" w:type="dxa"/>
            <w:shd w:val="clear"/>
            <w:vAlign w:val="center"/>
          </w:tcPr>
          <w:p w14:paraId="62FE64A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shd w:val="clear"/>
            <w:vAlign w:val="center"/>
          </w:tcPr>
          <w:p w14:paraId="60DD977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加强经费管理、严控办公经费支出、严格执行差旅费审批制度、严控水电费、劳务费支出。</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23B7890F">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rPr>
              <w:t>汨罗市体育学校</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shd w:val="clear"/>
            <w:vAlign w:val="center"/>
          </w:tcPr>
          <w:p w14:paraId="0459E6D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年度资金总额</w:t>
            </w:r>
          </w:p>
        </w:tc>
        <w:tc>
          <w:tcPr>
            <w:tcW w:w="1249" w:type="dxa"/>
            <w:shd w:val="clear"/>
            <w:vAlign w:val="center"/>
          </w:tcPr>
          <w:p w14:paraId="40867B6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311.15</w:t>
            </w:r>
          </w:p>
        </w:tc>
        <w:tc>
          <w:tcPr>
            <w:tcW w:w="1298" w:type="dxa"/>
            <w:shd w:val="clear"/>
            <w:vAlign w:val="center"/>
          </w:tcPr>
          <w:p w14:paraId="78350D2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700.58</w:t>
            </w:r>
          </w:p>
        </w:tc>
        <w:tc>
          <w:tcPr>
            <w:tcW w:w="1269" w:type="dxa"/>
            <w:shd w:val="clear"/>
            <w:vAlign w:val="center"/>
          </w:tcPr>
          <w:p w14:paraId="5FDA3D2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700.58</w:t>
            </w:r>
          </w:p>
        </w:tc>
        <w:tc>
          <w:tcPr>
            <w:tcW w:w="699" w:type="dxa"/>
            <w:shd w:val="clear"/>
            <w:vAlign w:val="center"/>
          </w:tcPr>
          <w:p w14:paraId="47D1671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vAlign w:val="center"/>
          </w:tcPr>
          <w:p w14:paraId="0424998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423" w:type="dxa"/>
            <w:shd w:val="clear"/>
            <w:vAlign w:val="center"/>
          </w:tcPr>
          <w:p w14:paraId="4BE68CE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shd w:val="clear"/>
            <w:vAlign w:val="center"/>
          </w:tcPr>
          <w:p w14:paraId="2DC94066">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按收入性质分：700.58</w:t>
            </w:r>
          </w:p>
        </w:tc>
        <w:tc>
          <w:tcPr>
            <w:tcW w:w="4260" w:type="dxa"/>
            <w:gridSpan w:val="4"/>
            <w:shd w:val="clear"/>
            <w:vAlign w:val="center"/>
          </w:tcPr>
          <w:p w14:paraId="02A43B2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按支出性质分：700.58</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shd w:val="clear"/>
            <w:vAlign w:val="center"/>
          </w:tcPr>
          <w:p w14:paraId="237E9998">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其中：一般公共预算：596.55</w:t>
            </w:r>
          </w:p>
        </w:tc>
        <w:tc>
          <w:tcPr>
            <w:tcW w:w="4260" w:type="dxa"/>
            <w:gridSpan w:val="4"/>
            <w:shd w:val="clear"/>
            <w:vAlign w:val="center"/>
          </w:tcPr>
          <w:p w14:paraId="459DAAE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其中：基本支出：700.58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shd w:val="clear"/>
            <w:vAlign w:val="center"/>
          </w:tcPr>
          <w:p w14:paraId="1BF65C8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政府性基金拨款：104.03</w:t>
            </w:r>
          </w:p>
        </w:tc>
        <w:tc>
          <w:tcPr>
            <w:tcW w:w="4260" w:type="dxa"/>
            <w:gridSpan w:val="4"/>
            <w:shd w:val="clear"/>
            <w:vAlign w:val="center"/>
          </w:tcPr>
          <w:p w14:paraId="55BECDEE">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shd w:val="clear"/>
            <w:vAlign w:val="center"/>
          </w:tcPr>
          <w:p w14:paraId="56E75749">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纳入专户管理的非税收入拨款：</w:t>
            </w:r>
          </w:p>
        </w:tc>
        <w:tc>
          <w:tcPr>
            <w:tcW w:w="4260" w:type="dxa"/>
            <w:gridSpan w:val="4"/>
            <w:shd w:val="clear"/>
            <w:vAlign w:val="center"/>
          </w:tcPr>
          <w:p w14:paraId="61AD26C7">
            <w:pPr>
              <w:jc w:val="center"/>
              <w:rPr>
                <w:rFonts w:hint="eastAsia" w:ascii="仿宋" w:hAnsi="仿宋" w:eastAsia="仿宋" w:cs="仿宋"/>
                <w:snapToGrid w:val="0"/>
                <w:color w:val="000000"/>
                <w:kern w:val="0"/>
                <w:sz w:val="21"/>
                <w:szCs w:val="21"/>
                <w:lang w:val="en-US" w:eastAsia="zh-CN" w:bidi="ar-SA"/>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shd w:val="clear"/>
            <w:vAlign w:val="center"/>
          </w:tcPr>
          <w:p w14:paraId="390B59E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其他资金：</w:t>
            </w:r>
          </w:p>
        </w:tc>
        <w:tc>
          <w:tcPr>
            <w:tcW w:w="4260" w:type="dxa"/>
            <w:gridSpan w:val="4"/>
            <w:shd w:val="clear"/>
            <w:vAlign w:val="center"/>
          </w:tcPr>
          <w:p w14:paraId="557F4DF2">
            <w:pPr>
              <w:jc w:val="center"/>
              <w:rPr>
                <w:rFonts w:hint="eastAsia" w:ascii="仿宋" w:hAnsi="仿宋" w:eastAsia="仿宋" w:cs="仿宋"/>
                <w:snapToGrid w:val="0"/>
                <w:color w:val="000000"/>
                <w:kern w:val="0"/>
                <w:sz w:val="21"/>
                <w:szCs w:val="21"/>
                <w:lang w:val="en-US" w:eastAsia="en-US" w:bidi="ar-SA"/>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shd w:val="clear"/>
            <w:vAlign w:val="center"/>
          </w:tcPr>
          <w:p w14:paraId="35AA107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预期目标</w:t>
            </w:r>
          </w:p>
        </w:tc>
        <w:tc>
          <w:tcPr>
            <w:tcW w:w="4260" w:type="dxa"/>
            <w:gridSpan w:val="4"/>
            <w:shd w:val="clear"/>
            <w:vAlign w:val="center"/>
          </w:tcPr>
          <w:p w14:paraId="6CC77AB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shd w:val="clear"/>
            <w:vAlign w:val="center"/>
          </w:tcPr>
          <w:p w14:paraId="5630C8F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按照“以人为本，人才优先”的基本思路，发挥本校的优势，搞好优质服务，努力提高工作效能，积极打造平安和谐校园任务2：真抓实干，竞技体育有特色任务3：因材施教，文化教学有成效4、把教学放在首位，一切为教学服务，提高师生整体素质。5、服务对象整体满意度达到95%。</w:t>
            </w:r>
          </w:p>
        </w:tc>
        <w:tc>
          <w:tcPr>
            <w:tcW w:w="4260" w:type="dxa"/>
            <w:gridSpan w:val="4"/>
            <w:shd w:val="clear"/>
            <w:vAlign w:val="center"/>
          </w:tcPr>
          <w:p w14:paraId="156E0DC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完成既定目标任务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1.小学五、六年级学生培训率100%  2.初中体育达标率100%</w:t>
            </w:r>
          </w:p>
        </w:tc>
        <w:tc>
          <w:tcPr>
            <w:tcW w:w="1298" w:type="dxa"/>
            <w:shd w:val="clear" w:color="auto" w:fill="auto"/>
            <w:vAlign w:val="center"/>
          </w:tcPr>
          <w:p w14:paraId="2A37482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708D788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567F5E5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2717B7C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shd w:val="clear"/>
            <w:vAlign w:val="center"/>
          </w:tcPr>
          <w:p w14:paraId="7CF9B186">
            <w:pPr>
              <w:jc w:val="center"/>
              <w:rPr>
                <w:rFonts w:hint="eastAsia" w:ascii="仿宋" w:hAnsi="仿宋" w:eastAsia="仿宋" w:cs="仿宋"/>
                <w:snapToGrid w:val="0"/>
                <w:color w:val="000000"/>
                <w:kern w:val="0"/>
                <w:sz w:val="21"/>
                <w:szCs w:val="21"/>
                <w:lang w:val="en-US" w:eastAsia="en-US" w:bidi="ar-SA"/>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1.小学升学率100%                2.初中升学率100%</w:t>
            </w:r>
          </w:p>
        </w:tc>
        <w:tc>
          <w:tcPr>
            <w:tcW w:w="1298" w:type="dxa"/>
            <w:shd w:val="clear" w:color="auto" w:fill="auto"/>
            <w:vAlign w:val="center"/>
          </w:tcPr>
          <w:p w14:paraId="1A5ADA3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54075F0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5580FC8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0982B11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shd w:val="clear"/>
            <w:vAlign w:val="center"/>
          </w:tcPr>
          <w:p w14:paraId="09E0DC5F">
            <w:pPr>
              <w:jc w:val="center"/>
              <w:rPr>
                <w:rFonts w:hint="eastAsia" w:ascii="仿宋" w:hAnsi="仿宋" w:eastAsia="仿宋" w:cs="仿宋"/>
                <w:snapToGrid w:val="0"/>
                <w:color w:val="000000"/>
                <w:kern w:val="0"/>
                <w:sz w:val="21"/>
                <w:szCs w:val="21"/>
                <w:lang w:val="en-US" w:eastAsia="en-US" w:bidi="ar-SA"/>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按时完成教育教学任务，年度内实现所有目标。</w:t>
            </w:r>
          </w:p>
        </w:tc>
        <w:tc>
          <w:tcPr>
            <w:tcW w:w="1298" w:type="dxa"/>
            <w:shd w:val="clear" w:color="auto" w:fill="auto"/>
            <w:vAlign w:val="center"/>
          </w:tcPr>
          <w:p w14:paraId="479FA5D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5C1B340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C56B99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5DA3483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shd w:val="clear"/>
            <w:vAlign w:val="center"/>
          </w:tcPr>
          <w:p w14:paraId="7BF8C6A4">
            <w:pPr>
              <w:jc w:val="center"/>
              <w:rPr>
                <w:rFonts w:hint="eastAsia" w:ascii="仿宋" w:hAnsi="仿宋" w:eastAsia="仿宋" w:cs="仿宋"/>
                <w:snapToGrid w:val="0"/>
                <w:color w:val="000000"/>
                <w:kern w:val="0"/>
                <w:sz w:val="21"/>
                <w:szCs w:val="21"/>
                <w:lang w:val="en-US" w:eastAsia="en-US" w:bidi="ar-SA"/>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完成基础教育，收支平衡</w:t>
            </w:r>
          </w:p>
        </w:tc>
        <w:tc>
          <w:tcPr>
            <w:tcW w:w="1298" w:type="dxa"/>
            <w:shd w:val="clear" w:color="auto" w:fill="auto"/>
            <w:vAlign w:val="center"/>
          </w:tcPr>
          <w:p w14:paraId="078289F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7A453B8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15A3F6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2AC58B9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9</w:t>
            </w:r>
          </w:p>
        </w:tc>
        <w:tc>
          <w:tcPr>
            <w:tcW w:w="1423" w:type="dxa"/>
            <w:shd w:val="clear"/>
            <w:vAlign w:val="center"/>
          </w:tcPr>
          <w:p w14:paraId="63D43995">
            <w:pPr>
              <w:jc w:val="center"/>
              <w:rPr>
                <w:rFonts w:hint="eastAsia" w:ascii="仿宋" w:hAnsi="仿宋" w:eastAsia="仿宋" w:cs="仿宋"/>
                <w:snapToGrid w:val="0"/>
                <w:color w:val="000000"/>
                <w:kern w:val="0"/>
                <w:sz w:val="21"/>
                <w:szCs w:val="21"/>
                <w:lang w:val="en-US" w:eastAsia="en-US" w:bidi="ar-SA"/>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1.全力为社会输送高质量、高素质体育人才</w:t>
            </w:r>
          </w:p>
        </w:tc>
        <w:tc>
          <w:tcPr>
            <w:tcW w:w="1298" w:type="dxa"/>
            <w:shd w:val="clear" w:color="auto" w:fill="auto"/>
            <w:vAlign w:val="center"/>
          </w:tcPr>
          <w:p w14:paraId="6E8C487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4886005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75FAE41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3309901E">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shd w:val="clear"/>
            <w:vAlign w:val="center"/>
          </w:tcPr>
          <w:p w14:paraId="4D65F265">
            <w:pPr>
              <w:jc w:val="center"/>
              <w:rPr>
                <w:rFonts w:hint="eastAsia" w:ascii="仿宋" w:hAnsi="仿宋" w:eastAsia="仿宋" w:cs="仿宋"/>
                <w:snapToGrid w:val="0"/>
                <w:color w:val="000000"/>
                <w:kern w:val="0"/>
                <w:sz w:val="21"/>
                <w:szCs w:val="21"/>
                <w:lang w:val="en-US" w:eastAsia="en-US" w:bidi="ar-SA"/>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优化校园生态环境，学校绿化覆盖率达标70%</w:t>
            </w:r>
          </w:p>
        </w:tc>
        <w:tc>
          <w:tcPr>
            <w:tcW w:w="1298" w:type="dxa"/>
            <w:shd w:val="clear" w:color="auto" w:fill="auto"/>
            <w:vAlign w:val="center"/>
          </w:tcPr>
          <w:p w14:paraId="45B96CB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5C3564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6A82224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73C931F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w:t>
            </w:r>
          </w:p>
        </w:tc>
        <w:tc>
          <w:tcPr>
            <w:tcW w:w="1423" w:type="dxa"/>
            <w:shd w:val="clear"/>
            <w:vAlign w:val="center"/>
          </w:tcPr>
          <w:p w14:paraId="0E6767B7">
            <w:pPr>
              <w:jc w:val="center"/>
              <w:rPr>
                <w:rFonts w:hint="eastAsia" w:ascii="仿宋" w:hAnsi="仿宋" w:eastAsia="仿宋" w:cs="仿宋"/>
                <w:snapToGrid w:val="0"/>
                <w:color w:val="000000"/>
                <w:kern w:val="0"/>
                <w:sz w:val="21"/>
                <w:szCs w:val="21"/>
                <w:lang w:val="en-US" w:eastAsia="en-US" w:bidi="ar-SA"/>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提高人才培养质量为核心，全力打造学校育人品牌，</w:t>
            </w:r>
          </w:p>
        </w:tc>
        <w:tc>
          <w:tcPr>
            <w:tcW w:w="1298" w:type="dxa"/>
            <w:shd w:val="clear" w:color="auto" w:fill="auto"/>
            <w:vAlign w:val="center"/>
          </w:tcPr>
          <w:p w14:paraId="055B34E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46B4146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47C4D9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71C7C72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1423" w:type="dxa"/>
            <w:shd w:val="clear"/>
            <w:vAlign w:val="center"/>
          </w:tcPr>
          <w:p w14:paraId="04D49FFC">
            <w:pPr>
              <w:jc w:val="center"/>
              <w:rPr>
                <w:rFonts w:hint="eastAsia" w:ascii="仿宋" w:hAnsi="仿宋" w:eastAsia="仿宋" w:cs="仿宋"/>
                <w:snapToGrid w:val="0"/>
                <w:color w:val="000000"/>
                <w:kern w:val="0"/>
                <w:sz w:val="21"/>
                <w:szCs w:val="21"/>
                <w:lang w:val="en-US" w:eastAsia="en-US" w:bidi="ar-SA"/>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保证全校师生的绝对安全，享受高质量的体育培训服务，增加学生和家长的满意度。</w:t>
            </w:r>
          </w:p>
        </w:tc>
        <w:tc>
          <w:tcPr>
            <w:tcW w:w="1298" w:type="dxa"/>
            <w:shd w:val="clear" w:color="auto" w:fill="auto"/>
            <w:vAlign w:val="center"/>
          </w:tcPr>
          <w:p w14:paraId="6ABEB3E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1B5B32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99%</w:t>
            </w:r>
          </w:p>
        </w:tc>
        <w:tc>
          <w:tcPr>
            <w:tcW w:w="699" w:type="dxa"/>
            <w:shd w:val="clear" w:color="auto" w:fill="auto"/>
            <w:vAlign w:val="center"/>
          </w:tcPr>
          <w:p w14:paraId="41D3F37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19FFC8C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4.95</w:t>
            </w:r>
          </w:p>
        </w:tc>
        <w:tc>
          <w:tcPr>
            <w:tcW w:w="1423" w:type="dxa"/>
            <w:shd w:val="clear"/>
            <w:vAlign w:val="center"/>
          </w:tcPr>
          <w:p w14:paraId="0412303D">
            <w:pPr>
              <w:jc w:val="center"/>
              <w:rPr>
                <w:rFonts w:hint="eastAsia" w:ascii="仿宋" w:hAnsi="仿宋" w:eastAsia="仿宋" w:cs="仿宋"/>
                <w:snapToGrid w:val="0"/>
                <w:color w:val="000000"/>
                <w:kern w:val="0"/>
                <w:sz w:val="21"/>
                <w:szCs w:val="21"/>
                <w:lang w:val="en-US" w:eastAsia="en-US" w:bidi="ar-SA"/>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社会满意度</w:t>
            </w:r>
          </w:p>
        </w:tc>
        <w:tc>
          <w:tcPr>
            <w:tcW w:w="1298" w:type="dxa"/>
            <w:shd w:val="clear" w:color="auto" w:fill="auto"/>
            <w:vAlign w:val="center"/>
          </w:tcPr>
          <w:p w14:paraId="5D1571F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14AA98D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97%</w:t>
            </w:r>
          </w:p>
        </w:tc>
        <w:tc>
          <w:tcPr>
            <w:tcW w:w="699" w:type="dxa"/>
            <w:shd w:val="clear" w:color="auto" w:fill="auto"/>
            <w:vAlign w:val="center"/>
          </w:tcPr>
          <w:p w14:paraId="45F3183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3D62FDE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4.85</w:t>
            </w:r>
          </w:p>
        </w:tc>
        <w:tc>
          <w:tcPr>
            <w:tcW w:w="1423" w:type="dxa"/>
            <w:shd w:val="clear"/>
            <w:vAlign w:val="center"/>
          </w:tcPr>
          <w:p w14:paraId="57DECFDE">
            <w:pPr>
              <w:jc w:val="center"/>
              <w:rPr>
                <w:rFonts w:hint="eastAsia" w:ascii="仿宋" w:hAnsi="仿宋" w:eastAsia="仿宋" w:cs="仿宋"/>
                <w:snapToGrid w:val="0"/>
                <w:color w:val="000000"/>
                <w:kern w:val="0"/>
                <w:sz w:val="21"/>
                <w:szCs w:val="21"/>
                <w:lang w:val="en-US" w:eastAsia="en-US" w:bidi="ar-SA"/>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按规定的预算执行</w:t>
            </w:r>
          </w:p>
        </w:tc>
        <w:tc>
          <w:tcPr>
            <w:tcW w:w="1298" w:type="dxa"/>
            <w:shd w:val="clear" w:color="auto" w:fill="auto"/>
            <w:vAlign w:val="center"/>
          </w:tcPr>
          <w:p w14:paraId="15ECA8D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C328246">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2BD2B9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786F430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8</w:t>
            </w:r>
          </w:p>
        </w:tc>
        <w:tc>
          <w:tcPr>
            <w:tcW w:w="1423" w:type="dxa"/>
            <w:shd w:val="clear"/>
            <w:vAlign w:val="center"/>
          </w:tcPr>
          <w:p w14:paraId="0F79A5E1">
            <w:pPr>
              <w:jc w:val="center"/>
              <w:rPr>
                <w:rFonts w:hint="eastAsia" w:ascii="仿宋" w:hAnsi="仿宋" w:eastAsia="仿宋" w:cs="仿宋"/>
                <w:snapToGrid w:val="0"/>
                <w:color w:val="000000"/>
                <w:kern w:val="0"/>
                <w:sz w:val="21"/>
                <w:szCs w:val="21"/>
                <w:lang w:val="en-US" w:eastAsia="en-US" w:bidi="ar-SA"/>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按规定的预算执行</w:t>
            </w:r>
          </w:p>
        </w:tc>
        <w:tc>
          <w:tcPr>
            <w:tcW w:w="1298" w:type="dxa"/>
            <w:shd w:val="clear" w:color="auto" w:fill="auto"/>
            <w:vAlign w:val="center"/>
          </w:tcPr>
          <w:p w14:paraId="09361E4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2DCD30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765229A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4012A71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shd w:val="clear"/>
            <w:vAlign w:val="center"/>
          </w:tcPr>
          <w:p w14:paraId="6A85C036">
            <w:pPr>
              <w:jc w:val="center"/>
              <w:rPr>
                <w:rFonts w:hint="eastAsia" w:ascii="仿宋" w:hAnsi="仿宋" w:eastAsia="仿宋" w:cs="仿宋"/>
                <w:snapToGrid w:val="0"/>
                <w:color w:val="000000"/>
                <w:kern w:val="0"/>
                <w:sz w:val="21"/>
                <w:szCs w:val="21"/>
                <w:lang w:val="en-US" w:eastAsia="en-US" w:bidi="ar-SA"/>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w:t>
            </w:r>
          </w:p>
        </w:tc>
        <w:tc>
          <w:tcPr>
            <w:tcW w:w="1298" w:type="dxa"/>
            <w:shd w:val="clear" w:color="auto" w:fill="auto"/>
            <w:vAlign w:val="center"/>
          </w:tcPr>
          <w:p w14:paraId="789CDCB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w:t>
            </w:r>
          </w:p>
        </w:tc>
        <w:tc>
          <w:tcPr>
            <w:tcW w:w="1269" w:type="dxa"/>
            <w:shd w:val="clear" w:color="auto" w:fill="auto"/>
            <w:vAlign w:val="center"/>
          </w:tcPr>
          <w:p w14:paraId="4E354EE6">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w:t>
            </w:r>
          </w:p>
        </w:tc>
        <w:tc>
          <w:tcPr>
            <w:tcW w:w="699" w:type="dxa"/>
            <w:shd w:val="clear" w:color="auto" w:fill="auto"/>
            <w:vAlign w:val="center"/>
          </w:tcPr>
          <w:p w14:paraId="6C36DE6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869" w:type="dxa"/>
            <w:shd w:val="clear" w:color="auto" w:fill="auto"/>
            <w:vAlign w:val="center"/>
          </w:tcPr>
          <w:p w14:paraId="6B31F2A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423" w:type="dxa"/>
            <w:shd w:val="clear"/>
            <w:vAlign w:val="center"/>
          </w:tcPr>
          <w:p w14:paraId="14ED7F29">
            <w:pPr>
              <w:jc w:val="center"/>
              <w:rPr>
                <w:rFonts w:hint="eastAsia" w:ascii="仿宋" w:hAnsi="仿宋" w:eastAsia="仿宋" w:cs="仿宋"/>
                <w:snapToGrid w:val="0"/>
                <w:color w:val="000000"/>
                <w:kern w:val="0"/>
                <w:sz w:val="21"/>
                <w:szCs w:val="21"/>
                <w:lang w:val="en-US" w:eastAsia="en-US" w:bidi="ar-SA"/>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95.2</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687DF049">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7A5701C6">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汨罗市体育学校</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Times New Roman" w:hAnsi="Times New Roman" w:eastAsia="宋体" w:cs="Times New Roman"/>
          <w:sz w:val="40"/>
          <w:szCs w:val="40"/>
          <w:lang w:val="en-US" w:eastAsia="zh-CN"/>
        </w:rPr>
        <w:t>汨罗市体育学校</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5CCFBC28">
      <w:pPr>
        <w:numPr>
          <w:numId w:val="0"/>
        </w:numPr>
        <w:kinsoku w:val="0"/>
        <w:autoSpaceDE w:val="0"/>
        <w:autoSpaceDN w:val="0"/>
        <w:adjustRightInd w:val="0"/>
        <w:snapToGrid w:val="0"/>
        <w:spacing w:before="211" w:line="360" w:lineRule="auto"/>
        <w:jc w:val="both"/>
        <w:textAlignment w:val="baseline"/>
        <w:rPr>
          <w:rFonts w:hint="eastAsia" w:ascii="仿宋" w:hAnsi="仿宋" w:eastAsia="仿宋" w:cs="仿宋"/>
          <w:kern w:val="0"/>
          <w:sz w:val="32"/>
          <w:szCs w:val="32"/>
          <w:lang w:val="en-US" w:eastAsia="zh-CN"/>
        </w:rPr>
      </w:pPr>
      <w:r>
        <w:rPr>
          <w:rFonts w:hint="eastAsia" w:ascii="方正黑体_GBK" w:hAnsi="仿宋" w:eastAsia="方正黑体_GBK" w:cs="仿宋"/>
          <w:snapToGrid w:val="0"/>
          <w:color w:val="00000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 xml:space="preserve">  </w:t>
      </w:r>
      <w:r>
        <w:rPr>
          <w:rFonts w:hint="eastAsia" w:ascii="仿宋" w:hAnsi="仿宋" w:eastAsia="仿宋" w:cs="仿宋"/>
          <w:kern w:val="0"/>
          <w:sz w:val="32"/>
          <w:szCs w:val="32"/>
          <w:lang w:val="en-US" w:eastAsia="zh-CN"/>
        </w:rPr>
        <w:t>汨罗市体育学校现有教职工19人，其中年初事业全额编20人，退2人。全校共有5个教学班级，小学五、六年级各一个班，初中部每个年级各一个班，共计150名体育学生，我单位财政全额拨款单位，执行事业会计制度。内设办公室、党建室、工会、教研室、财务室、医物室及炊事班。汨罗市体育学校创办于1972年，是湖南省唯一一所集“学习、训练、生活”三位一体的县域青少年体育特色学校。主要职责是贯彻国家的教育方针，为社会输送高素质的体育后人才，实施德、智、体、美等方面全面发展的教育，促进身心和谐发展。</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9"/>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b/>
          <w:bCs/>
          <w:snapToGrid w:val="0"/>
          <w:color w:val="000000"/>
          <w:kern w:val="0"/>
          <w:sz w:val="32"/>
          <w:szCs w:val="32"/>
          <w:lang w:val="en-US" w:eastAsia="zh-CN" w:bidi="ar-SA"/>
        </w:rPr>
        <w:t>（一）</w:t>
      </w:r>
      <w:r>
        <w:rPr>
          <w:rFonts w:hint="eastAsia" w:ascii="Arial" w:hAnsi="Arial" w:eastAsia="仿宋_GB2312" w:cs="Arial"/>
          <w:snapToGrid w:val="0"/>
          <w:color w:val="000000"/>
          <w:kern w:val="0"/>
          <w:sz w:val="32"/>
          <w:szCs w:val="32"/>
          <w:lang w:val="en-US" w:eastAsia="zh-CN" w:bidi="ar-SA"/>
        </w:rPr>
        <w:t>基本支出情况</w:t>
      </w:r>
    </w:p>
    <w:p w14:paraId="734ED5DF">
      <w:pPr>
        <w:pStyle w:val="9"/>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基本支出用于保障单位正常运转，完成日常工作任务而发生的支出，包括人员经费和公用经费，包</w:t>
      </w:r>
      <w:bookmarkStart w:id="0" w:name="_GoBack"/>
      <w:bookmarkEnd w:id="0"/>
      <w:r>
        <w:rPr>
          <w:rFonts w:hint="eastAsia" w:ascii="Arial" w:hAnsi="Arial" w:eastAsia="仿宋_GB2312" w:cs="Arial"/>
          <w:snapToGrid w:val="0"/>
          <w:color w:val="000000"/>
          <w:kern w:val="0"/>
          <w:sz w:val="32"/>
          <w:szCs w:val="32"/>
          <w:lang w:val="en-US" w:eastAsia="zh-CN" w:bidi="ar-SA"/>
        </w:rPr>
        <w:t>括基本工资、绩效工资等人员经费以及办公费、印刷费、水电费、环境创设布置、办公设备购置等日常公用经费支出。</w:t>
      </w:r>
    </w:p>
    <w:p w14:paraId="14A0231E">
      <w:pPr>
        <w:pStyle w:val="9"/>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1、2023年工资福利支出3346609元。其中基本工资1441500元，绩效工资579840元,社会保障缴费20213元,住房公积金支出242561元，其他福利工资支出400583元，对个人和家庭补助支出0元。</w:t>
      </w:r>
    </w:p>
    <w:p w14:paraId="1D512699">
      <w:pPr>
        <w:pStyle w:val="9"/>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2、商品和服务支出。其中办公费412031元，印刷费9755元,水电费45000元，仪电费6400元，物业管理费50000元,培训费20000元,临聘人员工资23400元，差旅费201588元，工会经费200000元，专用材料费1283510元，维修费用472573元。</w:t>
      </w:r>
    </w:p>
    <w:p w14:paraId="73F2192D">
      <w:pPr>
        <w:pStyle w:val="9"/>
        <w:spacing w:line="600" w:lineRule="exact"/>
        <w:ind w:firstLine="643"/>
        <w:jc w:val="both"/>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 xml:space="preserve">3、2023年“三公”经费预算控制数为0元， 2023年我校认真贯彻中央八项规定和六项禁令,厉行节约、严控“三公经费”和日常公用经费，先后出台了财务管理制度和内部控制制度、内部控制手册规范体系，并就公务接待、差旅费、办公费等制定了相关实施细则，实行“部门预算”、“三公经费”预算、“政府采购”预算公开制度，就大额资金实行园务集体决策制度，有效控制了一般公共性支出，实际支出没有超出预算规模、范围和标准。 </w:t>
      </w:r>
      <w:r>
        <w:rPr>
          <w:rFonts w:hint="eastAsia" w:eastAsia="仿宋_GB2312"/>
          <w:kern w:val="0"/>
          <w:sz w:val="32"/>
          <w:szCs w:val="32"/>
          <w:lang w:eastAsia="zh-CN"/>
        </w:rPr>
        <w:t xml:space="preserve"> </w:t>
      </w:r>
    </w:p>
    <w:p w14:paraId="00657FCB">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8CEB1D9">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w:t>
      </w:r>
      <w:r>
        <w:rPr>
          <w:rFonts w:hint="eastAsia" w:ascii="Arial" w:hAnsi="Arial" w:eastAsia="仿宋_GB2312" w:cs="Arial"/>
          <w:snapToGrid w:val="0"/>
          <w:color w:val="000000"/>
          <w:kern w:val="0"/>
          <w:sz w:val="32"/>
          <w:szCs w:val="32"/>
          <w:lang w:val="en-US" w:eastAsia="zh-CN" w:bidi="ar-SA"/>
        </w:rPr>
        <w:t>无项目支出。</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17B56C90">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4D19DD48">
      <w:pPr>
        <w:numPr>
          <w:numId w:val="0"/>
        </w:numPr>
        <w:spacing w:line="600" w:lineRule="exact"/>
        <w:ind w:left="640" w:leftChars="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407E5B6C">
      <w:pPr>
        <w:numPr>
          <w:numId w:val="0"/>
        </w:numPr>
        <w:spacing w:line="600" w:lineRule="exact"/>
        <w:ind w:left="640" w:leftChars="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DEE8FC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2023年的预算支出主要是体校职工人员工资性支出，训练器材的添置，教学经费，比赛费用等业务性支出。                         </w:t>
      </w:r>
    </w:p>
    <w:p w14:paraId="32155FD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1、绩效情况分析</w:t>
      </w:r>
    </w:p>
    <w:p w14:paraId="2C61317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（1）经济性分析。</w:t>
      </w:r>
    </w:p>
    <w:p w14:paraId="64CE35B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①成本（预算）控制情况。我校预算内支出资金使用按照量入为出，统筹安排的原则进行成本预算控制，做到每笔资金按照制定的标准和要求进行安排，落实财政制度相关文件要求。</w:t>
      </w:r>
    </w:p>
    <w:p w14:paraId="76D55EC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②成本（预算）节约情况。2023年度的预算内财政安排的所有款都严格按照相关资金的的管理办法使用。</w:t>
      </w:r>
    </w:p>
    <w:p w14:paraId="502DDDF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（2）效率性分析。2023年度高质高量的完成了各项工作任务。</w:t>
      </w:r>
    </w:p>
    <w:p w14:paraId="270DC98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（3）有效性分析。2023年度的都已严格按照支出目标与规划，各项任务内容均已按目标要求完成、落实到位。</w:t>
      </w:r>
    </w:p>
    <w:p w14:paraId="3C48AFC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（4）可持续性分析。1年度进一步加强科学管理，提高保教水平，办出更多特色，努力打造成为省示范特色体育学校。</w:t>
      </w:r>
    </w:p>
    <w:p w14:paraId="0FC4024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2、2023年我校工作总结如下：</w:t>
      </w:r>
    </w:p>
    <w:p w14:paraId="063F5A0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光阴荏苒，白驹过隙，一学年接近尾声。这一年，是我校发展史上不平凡的一年，也是求真务实改革创新的一年。2023年度，我校在各级领导的大力关怀下，每一位体校人不忘初心砥砺前行，各个方面都取得了丰硕的成果。</w:t>
      </w:r>
    </w:p>
    <w:p w14:paraId="7C91BEC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学校已被国家体育总局授予“国家跳远、三级跳远高水平后备人才基地”（全省唯二）、“全国青少年校园足球特色学校”，被中国足球发展基金会认定为“全国县域足球赛事推广资助机构”（全省唯一），被确定为“湖南省体育后备人才基地”、“岳阳市柔道训练基地”，今年获评“国家重点高水平体育后备人才基地”。目前正在参评省传统特色学校、省综合性运动会先进集体。</w:t>
      </w:r>
    </w:p>
    <w:p w14:paraId="6626DB0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学校先后接待了国家、省、市等各级专家领导来校考察，特别是平波书记、任娜市长、楚军局长等领导来校指导，更是给学校描绘了蓝图，给师生带来极大的鼓舞，增添了信心。领导们均对学校工作给予了高度评价，我校学生更是被平波书记赞誉为“汨罗青少年最好的形象”。学校工作也在2023年第四届全国“体校杯”足球比赛座谈会上作了典型推介，得到了与会者们充分好评。学校坚持学训并重，因材施教的原则，深化体教融合，做到了学习与训练两不误。今年5月份，全国政协副主席巴特尔率团专程来我校调研“体教融合”的办学模式，并予以高度评价。</w:t>
      </w:r>
    </w:p>
    <w:p w14:paraId="380F7CF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汨罗市体育学校坚持以学生为中心，以育人夺标为宗旨，以创建全省一流县级体校为目标，深入推进体教融合，取得了一定的办学成果。</w:t>
      </w:r>
    </w:p>
    <w:p w14:paraId="56837DB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教育教学方面：</w:t>
      </w:r>
    </w:p>
    <w:p w14:paraId="5C7AB52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我们不仅仅是在练体育，更是在做教育，”这是深入我们每一位老师骨髓里的教育理念。我校根据体校学生的特点，因材施教，分层教学。全体文化教师，狠抓课堂教学，加强课后辅导，实现了学训双优的目标。今年中考，20名学生被正式录取。10人录入一中，其中2人凭纯文化成绩考入，2人录入二中，7人录入三中，湛子豪同学直接招入四川体育学院。</w:t>
      </w:r>
    </w:p>
    <w:p w14:paraId="430E4A7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体育竞技方面：</w:t>
      </w:r>
    </w:p>
    <w:p w14:paraId="33A3618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足球：</w:t>
      </w:r>
    </w:p>
    <w:p w14:paraId="32D5364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7月，湖南省校园足球青少年联赛女子甲组三等奖；</w:t>
      </w:r>
    </w:p>
    <w:p w14:paraId="2FBD653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8月，中西部地区青少年足球邀请赛在贵州省黔西南布依族苗族自治州兴义市开赛。汨罗市体育学校足球队作为省内唯一一支女足参赛队伍，代表湖南省出战，并取得第二名的好成绩，荣获优秀奖。</w:t>
      </w:r>
    </w:p>
    <w:p w14:paraId="4EF5F82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9月，湖南省足球协会青少年锦标赛女子乙组第二名；</w:t>
      </w:r>
    </w:p>
    <w:p w14:paraId="0BB677F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10月，出征秦皇岛，荣获中国足球学校杯第五名；</w:t>
      </w:r>
    </w:p>
    <w:p w14:paraId="0C61BE7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11月，岳阳市青少年校园足球联赛初中女子组第一名；</w:t>
      </w:r>
    </w:p>
    <w:p w14:paraId="1B9B7C5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12月，全国“体校杯”，进入十强；</w:t>
      </w:r>
    </w:p>
    <w:p w14:paraId="497C3CA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近两年，先后有8名女足队员被省青训中心选中。</w:t>
      </w:r>
    </w:p>
    <w:p w14:paraId="04E67DD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柔道：</w:t>
      </w:r>
    </w:p>
    <w:p w14:paraId="1CBD262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在湖南省青少年柔道锦标赛中，何佳琴荣获女子乙组63公斤级冠军；何语萌荣获女子丙组48公斤级亚军；周依娜荣获女子丙组55公斤级亚军；伏思辰荣获女子乙组48公斤级季军；周萌萌荣获女子丙组55公斤级第五名。</w:t>
      </w:r>
    </w:p>
    <w:p w14:paraId="7C268DD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田径：</w:t>
      </w:r>
    </w:p>
    <w:p w14:paraId="5056332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在汨罗市中小学生田径运动会上，我校健儿斩获48枚金牌；荣获岳阳市中小学生运动会田径比赛初中组团体总分第一名、小学组团体总分第一名。在2023年全国田径后备人才跳远三级跳远项目训练营暨挑战赛中，窦静敏、曾远盛、翁争辉分别获得女子U18组、男子U16组、男子U18组三级跳远第二名、第三名、第五名的优异成绩。这是汨罗体育学校首次组织学生参加国家级田径比赛，派出4名运动员，3人获奖。</w:t>
      </w:r>
    </w:p>
    <w:p w14:paraId="33EA9D1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龙舟：</w:t>
      </w:r>
    </w:p>
    <w:p w14:paraId="647427E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在2023年全国青少年龙舟锦标赛暨U系列龙舟赛上，汨罗体校代表队克服年龄体力弱势，十三四岁少年对阵十八岁高中组，荣获 U18混合组100米、U18混合组200米直道竞赛两个三等奖。这也是迄今为止汨罗青少年龙舟队伍参加国家级赛事取得的最佳成绩。</w:t>
      </w:r>
    </w:p>
    <w:p w14:paraId="502FDB9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回首过去，问心无愧，面对今天，加倍珍惜，展望未来，信心百倍。我们必将在上级各部门的正确领导下，进一步做好学校各项工作，抢抓新机遇，实现新跨越，努力将我校打造成国家重点高水平后备人才基地，为国家体育事业的蓬勃发展贡献自己的力量！</w:t>
      </w:r>
    </w:p>
    <w:p w14:paraId="28291D2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道阻且长，行则将至，行而不辍，未来可期。汨罗体校将在各位局领导的带领下珍惜难得的发展机遇，科学谋划，全力以赴，书写新的历史篇章。恳请局领导进一步关心、支持体校的发展，为我校教育体育事业创造更优、更好的条件！  </w:t>
      </w:r>
    </w:p>
    <w:p w14:paraId="4D33A17F">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存在的问题及原因分析</w:t>
      </w:r>
    </w:p>
    <w:p w14:paraId="1907ED96">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1、预算编制工作不够细化。</w:t>
      </w:r>
    </w:p>
    <w:p w14:paraId="7A365BB9">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2、预算执行进度滞后。</w:t>
      </w:r>
    </w:p>
    <w:p w14:paraId="7A771D2F">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3、预算评价结果运用单一。</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68AE64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1、细化预算编制工作，认真做好预算的编制，加强内部预算编制的审核和预算控制指标的下达。</w:t>
      </w:r>
    </w:p>
    <w:p w14:paraId="4C3BD0E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2、加强财务管理，严格财务审核。</w:t>
      </w:r>
    </w:p>
    <w:p w14:paraId="34BC488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进一步贯彻落实中央“八项规定”建立本部门“三公经费”等公务支出管理制度及厉行节约制度，加强经费审批和控制，规范支出标准和范围，并严格执行。加强固定资产管理，及时登记、更新台帐，加强资产卡片管理，学年度对各类实物资产进行全面盘点，确保账账、账实相符。</w:t>
      </w:r>
    </w:p>
    <w:p w14:paraId="37ACA1CA">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10577750">
      <w:pPr>
        <w:numPr>
          <w:numId w:val="0"/>
        </w:numPr>
        <w:spacing w:line="600" w:lineRule="exact"/>
        <w:jc w:val="both"/>
        <w:rPr>
          <w:rFonts w:hint="default" w:ascii="方正黑体_GBK" w:eastAsia="方正黑体_GBK"/>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eastAsia="仿宋_GB2312"/>
          <w:kern w:val="0"/>
          <w:sz w:val="32"/>
          <w:szCs w:val="32"/>
          <w:lang w:val="en-US" w:eastAsia="zh-CN"/>
        </w:rPr>
        <w:t>绩效评价拟运用于次年绩效评价参照，拟在政务网上公开。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2E69AA55">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B21C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UD Digi Kyokasho N-B">
    <w:panose1 w:val="02020700000000000000"/>
    <w:charset w:val="80"/>
    <w:family w:val="auto"/>
    <w:pitch w:val="default"/>
    <w:sig w:usb0="800002A3" w:usb1="2AC7ECFA" w:usb2="00000010" w:usb3="00000000" w:csb0="00020000" w:csb1="00000000"/>
  </w:font>
  <w:font w:name="Agency FB">
    <w:panose1 w:val="020B0503020202020204"/>
    <w:charset w:val="00"/>
    <w:family w:val="auto"/>
    <w:pitch w:val="default"/>
    <w:sig w:usb0="00000003" w:usb1="00000000" w:usb2="00000000" w:usb3="00000000" w:csb0="20000001" w:csb1="00000000"/>
  </w:font>
  <w:font w:name="Yu Gothic UI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Mincho Demibold">
    <w:panose1 w:val="02020600000000000000"/>
    <w:charset w:val="80"/>
    <w:family w:val="auto"/>
    <w:pitch w:val="default"/>
    <w:sig w:usb0="800002E7" w:usb1="2AC7FCFF" w:usb2="00000012" w:usb3="00000000" w:csb0="2002009F" w:csb1="00000000"/>
  </w:font>
  <w:font w:name="UD Digi Kyokasho NP-B">
    <w:panose1 w:val="02020700000000000000"/>
    <w:charset w:val="80"/>
    <w:family w:val="auto"/>
    <w:pitch w:val="default"/>
    <w:sig w:usb0="800002A3" w:usb1="2AC7ECFA" w:usb2="00000010" w:usb3="00000000" w:csb0="00020000" w:csb1="0000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D4ADF"/>
    <w:multiLevelType w:val="singleLevel"/>
    <w:tmpl w:val="862D4ADF"/>
    <w:lvl w:ilvl="0" w:tentative="0">
      <w:start w:val="1"/>
      <w:numFmt w:val="chineseCounting"/>
      <w:suff w:val="nothing"/>
      <w:lvlText w:val="%1、"/>
      <w:lvlJc w:val="left"/>
      <w:rPr>
        <w:rFonts w:hint="eastAsia"/>
      </w:rPr>
    </w:lvl>
  </w:abstractNum>
  <w:abstractNum w:abstractNumId="1">
    <w:nsid w:val="CE3C940B"/>
    <w:multiLevelType w:val="singleLevel"/>
    <w:tmpl w:val="CE3C940B"/>
    <w:lvl w:ilvl="0" w:tentative="0">
      <w:start w:val="9"/>
      <w:numFmt w:val="chineseCounting"/>
      <w:suff w:val="nothing"/>
      <w:lvlText w:val="%1、"/>
      <w:lvlJc w:val="left"/>
      <w:rPr>
        <w:rFonts w:hint="eastAsia"/>
      </w:rPr>
    </w:lvl>
  </w:abstractNum>
  <w:abstractNum w:abstractNumId="2">
    <w:nsid w:val="5B8682AC"/>
    <w:multiLevelType w:val="singleLevel"/>
    <w:tmpl w:val="5B8682AC"/>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JhODFhN2I3NTM0MDk2NzMzMWQzMjVjYjMwZTkxMjcifQ=="/>
  </w:docVars>
  <w:rsids>
    <w:rsidRoot w:val="00000000"/>
    <w:rsid w:val="01AF3811"/>
    <w:rsid w:val="03795BF7"/>
    <w:rsid w:val="086E756B"/>
    <w:rsid w:val="0957086E"/>
    <w:rsid w:val="0ACF37E5"/>
    <w:rsid w:val="0B400BC6"/>
    <w:rsid w:val="0E68228D"/>
    <w:rsid w:val="0EA6787F"/>
    <w:rsid w:val="15276E52"/>
    <w:rsid w:val="19D32FBC"/>
    <w:rsid w:val="1E6A4395"/>
    <w:rsid w:val="203E43EC"/>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D6B0C4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1893</Words>
  <Characters>1955</Characters>
  <TotalTime>7</TotalTime>
  <ScaleCrop>false</ScaleCrop>
  <LinksUpToDate>false</LinksUpToDate>
  <CharactersWithSpaces>2119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张秋华</cp:lastModifiedBy>
  <cp:lastPrinted>2024-05-21T14:05:00Z</cp:lastPrinted>
  <dcterms:modified xsi:type="dcterms:W3CDTF">2024-10-17T06:34:35Z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