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7"/>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4FD06573">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hint="eastAsia" w:ascii="方正小标宋简体" w:hAnsi="宋体" w:eastAsia="方正小标宋简体" w:cs="宋体"/>
          <w:bCs/>
          <w:spacing w:val="8"/>
          <w:kern w:val="0"/>
          <w:sz w:val="44"/>
          <w:szCs w:val="44"/>
          <w:lang w:eastAsia="zh-CN"/>
        </w:rPr>
        <w:t>年度部门整体支出绩效评价基础</w:t>
      </w:r>
    </w:p>
    <w:p w14:paraId="5EFDC095">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0DEDA5D4">
      <w:pPr>
        <w:spacing w:line="177" w:lineRule="exact"/>
        <w:ind w:firstLine="420"/>
        <w:jc w:val="left"/>
        <w:rPr>
          <w:kern w:val="0"/>
          <w:lang w:eastAsia="zh-CN"/>
        </w:rPr>
      </w:pPr>
    </w:p>
    <w:tbl>
      <w:tblPr>
        <w:tblStyle w:val="12"/>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5997E73D">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65616536">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6A93D770">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年实际在职</w:t>
            </w:r>
          </w:p>
          <w:p w14:paraId="620B89A0">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14:paraId="256D162A">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65438EA8">
            <w:pPr>
              <w:spacing w:line="240" w:lineRule="auto"/>
              <w:ind w:firstLine="420"/>
              <w:jc w:val="center"/>
              <w:rPr>
                <w:rFonts w:ascii="仿宋_GB2312" w:eastAsia="仿宋_GB2312"/>
                <w:kern w:val="0"/>
              </w:rPr>
            </w:pPr>
          </w:p>
        </w:tc>
        <w:tc>
          <w:tcPr>
            <w:tcW w:w="2116" w:type="dxa"/>
            <w:gridSpan w:val="2"/>
            <w:shd w:val="clear" w:color="auto" w:fill="auto"/>
            <w:vAlign w:val="center"/>
          </w:tcPr>
          <w:p w14:paraId="4056B26D">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59</w:t>
            </w:r>
          </w:p>
        </w:tc>
        <w:tc>
          <w:tcPr>
            <w:tcW w:w="2039" w:type="dxa"/>
            <w:gridSpan w:val="2"/>
            <w:shd w:val="clear" w:color="auto" w:fill="auto"/>
            <w:vAlign w:val="center"/>
          </w:tcPr>
          <w:p w14:paraId="1D47B169">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59</w:t>
            </w:r>
          </w:p>
        </w:tc>
        <w:tc>
          <w:tcPr>
            <w:tcW w:w="1983" w:type="dxa"/>
            <w:gridSpan w:val="2"/>
            <w:shd w:val="clear" w:color="auto" w:fill="auto"/>
            <w:vAlign w:val="center"/>
          </w:tcPr>
          <w:p w14:paraId="06F2846E">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40954C9">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3559BBE2">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年决算数</w:t>
            </w:r>
          </w:p>
        </w:tc>
        <w:tc>
          <w:tcPr>
            <w:tcW w:w="2039" w:type="dxa"/>
            <w:gridSpan w:val="2"/>
            <w:vAlign w:val="center"/>
          </w:tcPr>
          <w:p w14:paraId="5DBAAEE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年预算数</w:t>
            </w:r>
          </w:p>
        </w:tc>
        <w:tc>
          <w:tcPr>
            <w:tcW w:w="1983" w:type="dxa"/>
            <w:gridSpan w:val="2"/>
            <w:vAlign w:val="center"/>
          </w:tcPr>
          <w:p w14:paraId="284567B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A428815">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shd w:val="clear" w:color="auto" w:fill="auto"/>
            <w:vAlign w:val="center"/>
          </w:tcPr>
          <w:p w14:paraId="1C1EF02E">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2039" w:type="dxa"/>
            <w:gridSpan w:val="2"/>
            <w:shd w:val="clear" w:color="auto" w:fill="auto"/>
            <w:vAlign w:val="center"/>
          </w:tcPr>
          <w:p w14:paraId="1D6514EA">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5.3</w:t>
            </w:r>
          </w:p>
        </w:tc>
        <w:tc>
          <w:tcPr>
            <w:tcW w:w="1983" w:type="dxa"/>
            <w:gridSpan w:val="2"/>
            <w:shd w:val="clear" w:color="auto" w:fill="auto"/>
            <w:vAlign w:val="center"/>
          </w:tcPr>
          <w:p w14:paraId="7DFA6482">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3.43</w:t>
            </w: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21D84B4">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shd w:val="clear" w:color="auto" w:fill="auto"/>
            <w:vAlign w:val="center"/>
          </w:tcPr>
          <w:p w14:paraId="2BB3E60E">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w:t>
            </w:r>
          </w:p>
        </w:tc>
        <w:tc>
          <w:tcPr>
            <w:tcW w:w="2039" w:type="dxa"/>
            <w:gridSpan w:val="2"/>
            <w:shd w:val="clear" w:color="auto" w:fill="auto"/>
            <w:vAlign w:val="center"/>
          </w:tcPr>
          <w:p w14:paraId="7474BB6E">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w:t>
            </w:r>
          </w:p>
        </w:tc>
        <w:tc>
          <w:tcPr>
            <w:tcW w:w="1983" w:type="dxa"/>
            <w:gridSpan w:val="2"/>
            <w:shd w:val="clear" w:color="auto" w:fill="auto"/>
            <w:vAlign w:val="center"/>
          </w:tcPr>
          <w:p w14:paraId="71BD7494">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0.57</w:t>
            </w: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71C1E1F6">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14:paraId="31BDC46A">
            <w:pPr>
              <w:spacing w:line="240" w:lineRule="auto"/>
              <w:ind w:firstLine="420"/>
              <w:jc w:val="center"/>
              <w:rPr>
                <w:rFonts w:ascii="仿宋_GB2312" w:eastAsia="仿宋_GB2312"/>
                <w:kern w:val="0"/>
              </w:rPr>
            </w:pPr>
          </w:p>
        </w:tc>
        <w:tc>
          <w:tcPr>
            <w:tcW w:w="2039" w:type="dxa"/>
            <w:gridSpan w:val="2"/>
            <w:vAlign w:val="center"/>
          </w:tcPr>
          <w:p w14:paraId="79420B7F">
            <w:pPr>
              <w:spacing w:line="240" w:lineRule="auto"/>
              <w:ind w:firstLine="420"/>
              <w:jc w:val="center"/>
              <w:rPr>
                <w:rFonts w:ascii="仿宋_GB2312" w:eastAsia="仿宋_GB2312"/>
                <w:kern w:val="0"/>
              </w:rPr>
            </w:pPr>
          </w:p>
        </w:tc>
        <w:tc>
          <w:tcPr>
            <w:tcW w:w="1983" w:type="dxa"/>
            <w:gridSpan w:val="2"/>
            <w:vAlign w:val="center"/>
          </w:tcPr>
          <w:p w14:paraId="0A161583">
            <w:pPr>
              <w:spacing w:line="240" w:lineRule="auto"/>
              <w:ind w:firstLine="420"/>
              <w:jc w:val="center"/>
              <w:rPr>
                <w:rFonts w:ascii="仿宋_GB2312" w:eastAsia="仿宋_GB2312"/>
                <w:kern w:val="0"/>
              </w:rPr>
            </w:pP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FE99123">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shd w:val="clear" w:color="auto" w:fill="auto"/>
            <w:vAlign w:val="center"/>
          </w:tcPr>
          <w:p w14:paraId="6581D34A">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w:t>
            </w:r>
          </w:p>
        </w:tc>
        <w:tc>
          <w:tcPr>
            <w:tcW w:w="2039" w:type="dxa"/>
            <w:gridSpan w:val="2"/>
            <w:shd w:val="clear" w:color="auto" w:fill="auto"/>
            <w:vAlign w:val="center"/>
          </w:tcPr>
          <w:p w14:paraId="4D0A1ED9">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w:t>
            </w:r>
          </w:p>
        </w:tc>
        <w:tc>
          <w:tcPr>
            <w:tcW w:w="1983" w:type="dxa"/>
            <w:gridSpan w:val="2"/>
            <w:shd w:val="clear" w:color="auto" w:fill="auto"/>
            <w:vAlign w:val="center"/>
          </w:tcPr>
          <w:p w14:paraId="5A740743">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0.57</w:t>
            </w: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F0FEFE6">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14:paraId="6F82C849">
            <w:pPr>
              <w:spacing w:line="240" w:lineRule="auto"/>
              <w:ind w:firstLine="420"/>
              <w:jc w:val="center"/>
              <w:rPr>
                <w:rFonts w:ascii="仿宋_GB2312" w:eastAsia="仿宋_GB2312"/>
                <w:kern w:val="0"/>
              </w:rPr>
            </w:pPr>
          </w:p>
        </w:tc>
        <w:tc>
          <w:tcPr>
            <w:tcW w:w="2039" w:type="dxa"/>
            <w:gridSpan w:val="2"/>
            <w:vAlign w:val="center"/>
          </w:tcPr>
          <w:p w14:paraId="402D38BC">
            <w:pPr>
              <w:spacing w:line="240" w:lineRule="auto"/>
              <w:ind w:firstLine="420"/>
              <w:jc w:val="center"/>
              <w:rPr>
                <w:rFonts w:ascii="仿宋_GB2312" w:eastAsia="仿宋_GB2312"/>
                <w:kern w:val="0"/>
              </w:rPr>
            </w:pPr>
          </w:p>
        </w:tc>
        <w:tc>
          <w:tcPr>
            <w:tcW w:w="1983" w:type="dxa"/>
            <w:gridSpan w:val="2"/>
            <w:vAlign w:val="center"/>
          </w:tcPr>
          <w:p w14:paraId="0229920A">
            <w:pPr>
              <w:spacing w:line="240" w:lineRule="auto"/>
              <w:ind w:firstLine="420"/>
              <w:jc w:val="center"/>
              <w:rPr>
                <w:rFonts w:ascii="仿宋_GB2312" w:eastAsia="仿宋_GB2312"/>
                <w:kern w:val="0"/>
              </w:rPr>
            </w:pP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6A57BD35">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shd w:val="clear" w:color="auto" w:fill="auto"/>
            <w:vAlign w:val="center"/>
          </w:tcPr>
          <w:p w14:paraId="23AA2EC5">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2039" w:type="dxa"/>
            <w:gridSpan w:val="2"/>
            <w:shd w:val="clear" w:color="auto" w:fill="auto"/>
            <w:vAlign w:val="center"/>
          </w:tcPr>
          <w:p w14:paraId="672289AD">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5.3</w:t>
            </w:r>
          </w:p>
        </w:tc>
        <w:tc>
          <w:tcPr>
            <w:tcW w:w="1983" w:type="dxa"/>
            <w:gridSpan w:val="2"/>
            <w:shd w:val="clear" w:color="auto" w:fill="auto"/>
            <w:vAlign w:val="center"/>
          </w:tcPr>
          <w:p w14:paraId="7985B411">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2.86</w:t>
            </w: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C282A34">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shd w:val="clear" w:color="auto" w:fill="auto"/>
            <w:vAlign w:val="center"/>
          </w:tcPr>
          <w:p w14:paraId="6B7C6FFA">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6</w:t>
            </w:r>
          </w:p>
        </w:tc>
        <w:tc>
          <w:tcPr>
            <w:tcW w:w="2039" w:type="dxa"/>
            <w:gridSpan w:val="2"/>
            <w:shd w:val="clear" w:color="auto" w:fill="auto"/>
            <w:vAlign w:val="center"/>
          </w:tcPr>
          <w:p w14:paraId="56A401C1">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1983" w:type="dxa"/>
            <w:gridSpan w:val="2"/>
            <w:shd w:val="clear" w:color="auto" w:fill="auto"/>
            <w:vAlign w:val="center"/>
          </w:tcPr>
          <w:p w14:paraId="7E496EB6">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229F187">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14:paraId="5C6C607C">
            <w:pPr>
              <w:spacing w:line="240" w:lineRule="auto"/>
              <w:ind w:firstLine="420"/>
              <w:jc w:val="center"/>
              <w:rPr>
                <w:rFonts w:ascii="仿宋_GB2312" w:eastAsia="仿宋_GB2312"/>
                <w:kern w:val="0"/>
              </w:rPr>
            </w:pPr>
          </w:p>
        </w:tc>
        <w:tc>
          <w:tcPr>
            <w:tcW w:w="2039" w:type="dxa"/>
            <w:gridSpan w:val="2"/>
            <w:vAlign w:val="center"/>
          </w:tcPr>
          <w:p w14:paraId="142DDA3A">
            <w:pPr>
              <w:spacing w:line="240" w:lineRule="auto"/>
              <w:ind w:firstLine="420"/>
              <w:jc w:val="center"/>
              <w:rPr>
                <w:rFonts w:ascii="仿宋_GB2312" w:eastAsia="仿宋_GB2312"/>
                <w:kern w:val="0"/>
              </w:rPr>
            </w:pPr>
          </w:p>
        </w:tc>
        <w:tc>
          <w:tcPr>
            <w:tcW w:w="1983" w:type="dxa"/>
            <w:gridSpan w:val="2"/>
            <w:vAlign w:val="center"/>
          </w:tcPr>
          <w:p w14:paraId="2E8DC00D">
            <w:pPr>
              <w:spacing w:line="240" w:lineRule="auto"/>
              <w:ind w:firstLine="420"/>
              <w:jc w:val="center"/>
              <w:rPr>
                <w:rFonts w:ascii="仿宋_GB2312" w:eastAsia="仿宋_GB2312"/>
                <w:kern w:val="0"/>
              </w:rPr>
            </w:pP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985BAE9">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14:paraId="7757DF50">
            <w:pPr>
              <w:spacing w:line="240" w:lineRule="auto"/>
              <w:ind w:firstLine="420"/>
              <w:jc w:val="center"/>
              <w:rPr>
                <w:rFonts w:ascii="仿宋_GB2312" w:eastAsia="仿宋_GB2312"/>
                <w:kern w:val="0"/>
              </w:rPr>
            </w:pPr>
          </w:p>
        </w:tc>
        <w:tc>
          <w:tcPr>
            <w:tcW w:w="2039" w:type="dxa"/>
            <w:gridSpan w:val="2"/>
            <w:vAlign w:val="center"/>
          </w:tcPr>
          <w:p w14:paraId="31C696EB">
            <w:pPr>
              <w:spacing w:line="240" w:lineRule="auto"/>
              <w:ind w:firstLine="420"/>
              <w:jc w:val="center"/>
              <w:rPr>
                <w:rFonts w:ascii="仿宋_GB2312" w:eastAsia="仿宋_GB2312"/>
                <w:kern w:val="0"/>
              </w:rPr>
            </w:pPr>
          </w:p>
        </w:tc>
        <w:tc>
          <w:tcPr>
            <w:tcW w:w="1983" w:type="dxa"/>
            <w:gridSpan w:val="2"/>
            <w:vAlign w:val="center"/>
          </w:tcPr>
          <w:p w14:paraId="1F7D72B8">
            <w:pPr>
              <w:spacing w:line="240" w:lineRule="auto"/>
              <w:ind w:firstLine="420"/>
              <w:jc w:val="center"/>
              <w:rPr>
                <w:rFonts w:ascii="仿宋_GB2312" w:eastAsia="仿宋_GB2312"/>
                <w:kern w:val="0"/>
              </w:rPr>
            </w:pP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CFA585F">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07481D13">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shd w:val="clear" w:color="auto" w:fill="auto"/>
            <w:vAlign w:val="center"/>
          </w:tcPr>
          <w:p w14:paraId="482AEA10">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6</w:t>
            </w:r>
          </w:p>
        </w:tc>
        <w:tc>
          <w:tcPr>
            <w:tcW w:w="2039" w:type="dxa"/>
            <w:gridSpan w:val="2"/>
            <w:shd w:val="clear" w:color="auto" w:fill="auto"/>
            <w:vAlign w:val="center"/>
          </w:tcPr>
          <w:p w14:paraId="18F75CDE">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1983" w:type="dxa"/>
            <w:gridSpan w:val="2"/>
            <w:shd w:val="clear" w:color="auto" w:fill="auto"/>
            <w:vAlign w:val="center"/>
          </w:tcPr>
          <w:p w14:paraId="4D19413F">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r>
      <w:tr w14:paraId="741E4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shd w:val="clear" w:color="auto" w:fill="auto"/>
            <w:vAlign w:val="center"/>
          </w:tcPr>
          <w:p w14:paraId="4D600D53">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重点项目建设失误中心专项</w:t>
            </w:r>
          </w:p>
        </w:tc>
        <w:tc>
          <w:tcPr>
            <w:tcW w:w="2116" w:type="dxa"/>
            <w:gridSpan w:val="2"/>
            <w:shd w:val="clear" w:color="auto" w:fill="auto"/>
            <w:vAlign w:val="center"/>
          </w:tcPr>
          <w:p w14:paraId="41A04EDA">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6</w:t>
            </w:r>
          </w:p>
        </w:tc>
        <w:tc>
          <w:tcPr>
            <w:tcW w:w="2039" w:type="dxa"/>
            <w:gridSpan w:val="2"/>
            <w:shd w:val="clear" w:color="auto" w:fill="auto"/>
            <w:vAlign w:val="center"/>
          </w:tcPr>
          <w:p w14:paraId="6A877B79">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6</w:t>
            </w:r>
          </w:p>
        </w:tc>
        <w:tc>
          <w:tcPr>
            <w:tcW w:w="1983" w:type="dxa"/>
            <w:gridSpan w:val="2"/>
            <w:shd w:val="clear" w:color="auto" w:fill="auto"/>
            <w:vAlign w:val="center"/>
          </w:tcPr>
          <w:p w14:paraId="133C5904">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6</w:t>
            </w:r>
          </w:p>
        </w:tc>
      </w:tr>
      <w:tr w14:paraId="78A8A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shd w:val="clear" w:color="auto" w:fill="auto"/>
            <w:vAlign w:val="center"/>
          </w:tcPr>
          <w:p w14:paraId="7CB1AC3E">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电力执法大队项目经费</w:t>
            </w:r>
          </w:p>
        </w:tc>
        <w:tc>
          <w:tcPr>
            <w:tcW w:w="2116" w:type="dxa"/>
            <w:gridSpan w:val="2"/>
            <w:shd w:val="clear" w:color="auto" w:fill="auto"/>
            <w:vAlign w:val="center"/>
          </w:tcPr>
          <w:p w14:paraId="5FACC776">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w:t>
            </w:r>
          </w:p>
        </w:tc>
        <w:tc>
          <w:tcPr>
            <w:tcW w:w="2039" w:type="dxa"/>
            <w:gridSpan w:val="2"/>
            <w:shd w:val="clear" w:color="auto" w:fill="auto"/>
            <w:vAlign w:val="center"/>
          </w:tcPr>
          <w:p w14:paraId="64D7F147">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9</w:t>
            </w:r>
          </w:p>
        </w:tc>
        <w:tc>
          <w:tcPr>
            <w:tcW w:w="1983" w:type="dxa"/>
            <w:gridSpan w:val="2"/>
            <w:shd w:val="clear" w:color="auto" w:fill="auto"/>
            <w:vAlign w:val="center"/>
          </w:tcPr>
          <w:p w14:paraId="688FCF38">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9</w:t>
            </w: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86270B2">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14:paraId="4A5B86CE">
            <w:pPr>
              <w:spacing w:line="240" w:lineRule="auto"/>
              <w:ind w:firstLine="420"/>
              <w:jc w:val="center"/>
              <w:rPr>
                <w:rFonts w:ascii="仿宋_GB2312" w:eastAsia="仿宋_GB2312"/>
                <w:kern w:val="0"/>
              </w:rPr>
            </w:pPr>
          </w:p>
        </w:tc>
        <w:tc>
          <w:tcPr>
            <w:tcW w:w="2039" w:type="dxa"/>
            <w:gridSpan w:val="2"/>
            <w:vAlign w:val="center"/>
          </w:tcPr>
          <w:p w14:paraId="050E075D">
            <w:pPr>
              <w:spacing w:line="240" w:lineRule="auto"/>
              <w:ind w:firstLine="420"/>
              <w:jc w:val="center"/>
              <w:rPr>
                <w:rFonts w:ascii="仿宋_GB2312" w:eastAsia="仿宋_GB2312"/>
                <w:kern w:val="0"/>
              </w:rPr>
            </w:pPr>
          </w:p>
        </w:tc>
        <w:tc>
          <w:tcPr>
            <w:tcW w:w="1983" w:type="dxa"/>
            <w:gridSpan w:val="2"/>
            <w:vAlign w:val="center"/>
          </w:tcPr>
          <w:p w14:paraId="7357305D">
            <w:pPr>
              <w:spacing w:line="240" w:lineRule="auto"/>
              <w:ind w:firstLine="420"/>
              <w:jc w:val="center"/>
              <w:rPr>
                <w:rFonts w:ascii="仿宋_GB2312" w:eastAsia="仿宋_GB2312"/>
                <w:kern w:val="0"/>
              </w:rPr>
            </w:pP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EDB8F85">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shd w:val="clear" w:color="auto" w:fill="auto"/>
            <w:vAlign w:val="center"/>
          </w:tcPr>
          <w:p w14:paraId="2C631A9B">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6.5</w:t>
            </w:r>
          </w:p>
        </w:tc>
        <w:tc>
          <w:tcPr>
            <w:tcW w:w="2039" w:type="dxa"/>
            <w:gridSpan w:val="2"/>
            <w:shd w:val="clear" w:color="auto" w:fill="auto"/>
            <w:vAlign w:val="center"/>
          </w:tcPr>
          <w:p w14:paraId="7BB02F1D">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6.5</w:t>
            </w:r>
          </w:p>
        </w:tc>
        <w:tc>
          <w:tcPr>
            <w:tcW w:w="1983" w:type="dxa"/>
            <w:gridSpan w:val="2"/>
            <w:shd w:val="clear" w:color="auto" w:fill="auto"/>
            <w:vAlign w:val="center"/>
          </w:tcPr>
          <w:p w14:paraId="087A3549">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18.89</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3BD75D12">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shd w:val="clear" w:color="auto" w:fill="auto"/>
            <w:vAlign w:val="center"/>
          </w:tcPr>
          <w:p w14:paraId="7BF1871E">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13.57</w:t>
            </w:r>
          </w:p>
        </w:tc>
        <w:tc>
          <w:tcPr>
            <w:tcW w:w="2039" w:type="dxa"/>
            <w:gridSpan w:val="2"/>
            <w:shd w:val="clear" w:color="auto" w:fill="auto"/>
            <w:vAlign w:val="center"/>
          </w:tcPr>
          <w:p w14:paraId="31E21FE8">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14.84</w:t>
            </w:r>
          </w:p>
        </w:tc>
        <w:tc>
          <w:tcPr>
            <w:tcW w:w="1983" w:type="dxa"/>
            <w:gridSpan w:val="2"/>
            <w:shd w:val="clear" w:color="auto" w:fill="auto"/>
            <w:vAlign w:val="center"/>
          </w:tcPr>
          <w:p w14:paraId="4FD74531">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41.08</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18DD348">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shd w:val="clear" w:color="auto" w:fill="auto"/>
            <w:vAlign w:val="center"/>
          </w:tcPr>
          <w:p w14:paraId="228A6C55">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2039" w:type="dxa"/>
            <w:gridSpan w:val="2"/>
            <w:shd w:val="clear" w:color="auto" w:fill="auto"/>
            <w:vAlign w:val="center"/>
          </w:tcPr>
          <w:p w14:paraId="467174B3">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5.3</w:t>
            </w:r>
          </w:p>
        </w:tc>
        <w:tc>
          <w:tcPr>
            <w:tcW w:w="1983" w:type="dxa"/>
            <w:gridSpan w:val="2"/>
            <w:shd w:val="clear" w:color="auto" w:fill="auto"/>
            <w:vAlign w:val="center"/>
          </w:tcPr>
          <w:p w14:paraId="550E4F9D">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2.43</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E69535A">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shd w:val="clear" w:color="auto" w:fill="auto"/>
            <w:vAlign w:val="center"/>
          </w:tcPr>
          <w:p w14:paraId="0BB04A1B">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473</w:t>
            </w:r>
          </w:p>
        </w:tc>
        <w:tc>
          <w:tcPr>
            <w:tcW w:w="2039" w:type="dxa"/>
            <w:gridSpan w:val="2"/>
            <w:shd w:val="clear" w:color="auto" w:fill="auto"/>
            <w:vAlign w:val="center"/>
          </w:tcPr>
          <w:p w14:paraId="18AD1802">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13.6</w:t>
            </w:r>
          </w:p>
        </w:tc>
        <w:tc>
          <w:tcPr>
            <w:tcW w:w="1983" w:type="dxa"/>
            <w:gridSpan w:val="2"/>
            <w:shd w:val="clear" w:color="auto" w:fill="auto"/>
            <w:vAlign w:val="center"/>
          </w:tcPr>
          <w:p w14:paraId="4363E711">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13.6</w:t>
            </w: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62329EF">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56E7EB72">
            <w:pPr>
              <w:spacing w:line="240" w:lineRule="auto"/>
              <w:ind w:firstLine="420"/>
              <w:jc w:val="center"/>
              <w:rPr>
                <w:rFonts w:ascii="仿宋_GB2312" w:eastAsia="仿宋_GB2312"/>
                <w:kern w:val="0"/>
                <w:lang w:eastAsia="zh-CN"/>
              </w:rPr>
            </w:pPr>
          </w:p>
        </w:tc>
        <w:tc>
          <w:tcPr>
            <w:tcW w:w="2039" w:type="dxa"/>
            <w:gridSpan w:val="2"/>
            <w:vAlign w:val="center"/>
          </w:tcPr>
          <w:p w14:paraId="50A3B14E">
            <w:pPr>
              <w:spacing w:line="240" w:lineRule="auto"/>
              <w:ind w:firstLine="420"/>
              <w:jc w:val="center"/>
              <w:rPr>
                <w:rFonts w:ascii="仿宋_GB2312" w:eastAsia="仿宋_GB2312"/>
                <w:kern w:val="0"/>
                <w:lang w:eastAsia="zh-CN"/>
              </w:rPr>
            </w:pPr>
          </w:p>
        </w:tc>
        <w:tc>
          <w:tcPr>
            <w:tcW w:w="1983" w:type="dxa"/>
            <w:gridSpan w:val="2"/>
            <w:vAlign w:val="center"/>
          </w:tcPr>
          <w:p w14:paraId="5A7B6931">
            <w:pPr>
              <w:spacing w:line="240" w:lineRule="auto"/>
              <w:ind w:firstLine="420"/>
              <w:jc w:val="center"/>
              <w:rPr>
                <w:rFonts w:ascii="仿宋_GB2312" w:eastAsia="仿宋_GB2312"/>
                <w:kern w:val="0"/>
                <w:lang w:eastAsia="zh-CN"/>
              </w:rPr>
            </w:pP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0FEC3B79">
            <w:pPr>
              <w:spacing w:line="240" w:lineRule="auto"/>
              <w:ind w:firstLine="420"/>
              <w:jc w:val="center"/>
              <w:rPr>
                <w:rFonts w:ascii="仿宋_GB2312" w:eastAsia="仿宋_GB2312"/>
                <w:kern w:val="0"/>
                <w:lang w:eastAsia="zh-CN"/>
              </w:rPr>
            </w:pPr>
          </w:p>
          <w:p w14:paraId="26217CFA">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155FA6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3B0EE47A">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3EA7B1E8">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47DFB300">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1EF27F8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9CF22D4">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525C93D2">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4C1A087C">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6AAE10E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14:paraId="2016690B">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14:paraId="4D734BF4">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14:paraId="5567D620">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14:paraId="31CE4E4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14:paraId="62FE64A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1134AD1B">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11DB9E81">
            <w:pPr>
              <w:kinsoku w:val="0"/>
              <w:autoSpaceDE w:val="0"/>
              <w:autoSpaceDN w:val="0"/>
              <w:adjustRightInd w:val="0"/>
              <w:snapToGrid w:val="0"/>
              <w:ind w:firstLine="420"/>
              <w:jc w:val="left"/>
              <w:textAlignment w:val="baseline"/>
              <w:rPr>
                <w:rFonts w:hint="eastAsia" w:ascii="Arial" w:hAnsi="Arial" w:eastAsia="Arial" w:cs="Arial"/>
                <w:snapToGrid w:val="0"/>
                <w:color w:val="000000"/>
                <w:sz w:val="21"/>
                <w:szCs w:val="21"/>
                <w:lang w:val="en-US" w:eastAsia="en-US" w:bidi="ar-SA"/>
              </w:rPr>
            </w:pPr>
            <w:r>
              <w:rPr>
                <w:rFonts w:hint="eastAsia" w:ascii="Arial" w:hAnsi="Arial" w:eastAsia="Arial" w:cs="Arial"/>
                <w:snapToGrid w:val="0"/>
                <w:color w:val="000000"/>
                <w:sz w:val="21"/>
                <w:szCs w:val="21"/>
                <w:lang w:val="en-US" w:eastAsia="en-US" w:bidi="ar-SA"/>
              </w:rPr>
              <w:t>1.加强宣传教育。宣传节约光荣、浪费可耻的消费理念，引导干部职工争做勤俭节约的践行者。</w:t>
            </w:r>
          </w:p>
          <w:p w14:paraId="104C8C58">
            <w:pPr>
              <w:kinsoku w:val="0"/>
              <w:autoSpaceDE w:val="0"/>
              <w:autoSpaceDN w:val="0"/>
              <w:adjustRightInd w:val="0"/>
              <w:snapToGrid w:val="0"/>
              <w:ind w:firstLine="420"/>
              <w:jc w:val="left"/>
              <w:textAlignment w:val="baseline"/>
              <w:rPr>
                <w:rFonts w:hint="eastAsia" w:ascii="Arial" w:hAnsi="Arial" w:eastAsia="Arial" w:cs="Arial"/>
                <w:snapToGrid w:val="0"/>
                <w:color w:val="000000"/>
                <w:sz w:val="21"/>
                <w:szCs w:val="21"/>
                <w:lang w:val="en-US" w:eastAsia="en-US" w:bidi="ar-SA"/>
              </w:rPr>
            </w:pPr>
            <w:r>
              <w:rPr>
                <w:rFonts w:hint="eastAsia" w:ascii="Arial" w:hAnsi="Arial" w:eastAsia="Arial" w:cs="Arial"/>
                <w:snapToGrid w:val="0"/>
                <w:color w:val="000000"/>
                <w:sz w:val="21"/>
                <w:szCs w:val="21"/>
                <w:lang w:val="en-US" w:eastAsia="en-US" w:bidi="ar-SA"/>
              </w:rPr>
              <w:t>2.加强食堂管理。在机关食堂实现精准化备餐，减少食材浪费;加强公务接待管理。</w:t>
            </w:r>
          </w:p>
          <w:p w14:paraId="4EFC6719">
            <w:pPr>
              <w:kinsoku w:val="0"/>
              <w:autoSpaceDE w:val="0"/>
              <w:autoSpaceDN w:val="0"/>
              <w:adjustRightInd w:val="0"/>
              <w:snapToGrid w:val="0"/>
              <w:ind w:firstLine="420"/>
              <w:jc w:val="left"/>
              <w:textAlignment w:val="baseline"/>
              <w:rPr>
                <w:rFonts w:hint="eastAsia" w:ascii="Arial" w:hAnsi="Arial" w:eastAsia="Arial" w:cs="Arial"/>
                <w:snapToGrid w:val="0"/>
                <w:color w:val="000000"/>
                <w:sz w:val="21"/>
                <w:szCs w:val="21"/>
                <w:lang w:val="en-US" w:eastAsia="en-US" w:bidi="ar-SA"/>
              </w:rPr>
            </w:pPr>
            <w:r>
              <w:rPr>
                <w:rFonts w:hint="eastAsia" w:ascii="Arial" w:hAnsi="Arial" w:eastAsia="Arial" w:cs="Arial"/>
                <w:snapToGrid w:val="0"/>
                <w:color w:val="000000"/>
                <w:sz w:val="21"/>
                <w:szCs w:val="21"/>
                <w:lang w:val="en-US" w:eastAsia="en-US" w:bidi="ar-SA"/>
              </w:rPr>
              <w:t>3.压实主体责任。各部门需将厉行节约、反对浪费作为重要政治任务。</w:t>
            </w:r>
          </w:p>
          <w:p w14:paraId="59F542FB">
            <w:pPr>
              <w:kinsoku w:val="0"/>
              <w:autoSpaceDE w:val="0"/>
              <w:autoSpaceDN w:val="0"/>
              <w:adjustRightInd w:val="0"/>
              <w:snapToGrid w:val="0"/>
              <w:ind w:firstLine="420"/>
              <w:jc w:val="left"/>
              <w:textAlignment w:val="baseline"/>
              <w:rPr>
                <w:rFonts w:hint="eastAsia" w:ascii="Arial" w:hAnsi="Arial" w:eastAsia="Arial" w:cs="Arial"/>
                <w:snapToGrid w:val="0"/>
                <w:color w:val="000000"/>
                <w:sz w:val="21"/>
                <w:szCs w:val="21"/>
                <w:lang w:val="en-US" w:eastAsia="en-US" w:bidi="ar-SA"/>
              </w:rPr>
            </w:pPr>
            <w:r>
              <w:rPr>
                <w:rFonts w:hint="eastAsia" w:ascii="Arial" w:hAnsi="Arial" w:eastAsia="Arial" w:cs="Arial"/>
                <w:snapToGrid w:val="0"/>
                <w:color w:val="000000"/>
                <w:sz w:val="21"/>
                <w:szCs w:val="21"/>
                <w:lang w:val="en-US" w:eastAsia="en-US" w:bidi="ar-SA"/>
              </w:rPr>
              <w:t>4.强化追责问责。加大监督执纪力度，查处违规违纪违法使用财政资金的行为。</w:t>
            </w:r>
          </w:p>
          <w:p w14:paraId="03781D0F">
            <w:pPr>
              <w:kinsoku w:val="0"/>
              <w:autoSpaceDE w:val="0"/>
              <w:autoSpaceDN w:val="0"/>
              <w:adjustRightInd w:val="0"/>
              <w:snapToGrid w:val="0"/>
              <w:ind w:firstLine="420"/>
              <w:jc w:val="left"/>
              <w:textAlignment w:val="baseline"/>
              <w:rPr>
                <w:rFonts w:hint="eastAsia" w:ascii="Arial" w:hAnsi="Arial" w:eastAsia="Arial" w:cs="Arial"/>
                <w:snapToGrid w:val="0"/>
                <w:color w:val="000000"/>
                <w:sz w:val="21"/>
                <w:szCs w:val="21"/>
                <w:lang w:val="en-US" w:eastAsia="en-US" w:bidi="ar-SA"/>
              </w:rPr>
            </w:pPr>
            <w:r>
              <w:rPr>
                <w:rFonts w:hint="eastAsia" w:ascii="Arial" w:hAnsi="Arial" w:eastAsia="Arial" w:cs="Arial"/>
                <w:snapToGrid w:val="0"/>
                <w:color w:val="000000"/>
                <w:sz w:val="21"/>
                <w:szCs w:val="21"/>
                <w:lang w:val="en-US" w:eastAsia="en-US" w:bidi="ar-SA"/>
              </w:rPr>
              <w:t>5.改进设施和设备。推进电子政务、节能改造，如节水节电改造、垃圾分类、节能宣传等;加强办公耗材、用水用电、车辆管理。</w:t>
            </w:r>
          </w:p>
          <w:p w14:paraId="24D04F3D">
            <w:pPr>
              <w:kinsoku w:val="0"/>
              <w:autoSpaceDE w:val="0"/>
              <w:autoSpaceDN w:val="0"/>
              <w:adjustRightInd w:val="0"/>
              <w:snapToGrid w:val="0"/>
              <w:ind w:firstLine="420"/>
              <w:jc w:val="left"/>
              <w:textAlignment w:val="baseline"/>
              <w:rPr>
                <w:rFonts w:hint="eastAsia" w:ascii="Arial" w:hAnsi="Arial" w:eastAsia="Arial" w:cs="Arial"/>
                <w:snapToGrid w:val="0"/>
                <w:color w:val="000000"/>
                <w:sz w:val="21"/>
                <w:szCs w:val="21"/>
                <w:lang w:val="en-US" w:eastAsia="en-US" w:bidi="ar-SA"/>
              </w:rPr>
            </w:pPr>
            <w:r>
              <w:rPr>
                <w:rFonts w:hint="eastAsia" w:ascii="Arial" w:hAnsi="Arial" w:eastAsia="Arial" w:cs="Arial"/>
                <w:snapToGrid w:val="0"/>
                <w:color w:val="000000"/>
                <w:sz w:val="21"/>
                <w:szCs w:val="21"/>
                <w:lang w:val="en-US" w:eastAsia="en-US" w:bidi="ar-SA"/>
              </w:rPr>
              <w:t>5.加强节能管理。定期检查电器、灯具、冷(暖)气关闭情况，杜绝长明灯、长流水。</w:t>
            </w:r>
          </w:p>
          <w:p w14:paraId="34D6C327">
            <w:pPr>
              <w:kinsoku w:val="0"/>
              <w:autoSpaceDE w:val="0"/>
              <w:autoSpaceDN w:val="0"/>
              <w:adjustRightInd w:val="0"/>
              <w:snapToGrid w:val="0"/>
              <w:ind w:firstLine="420"/>
              <w:jc w:val="left"/>
              <w:textAlignment w:val="baseline"/>
              <w:rPr>
                <w:rFonts w:hint="eastAsia" w:ascii="Arial" w:hAnsi="Arial" w:eastAsia="Arial" w:cs="Arial"/>
                <w:snapToGrid w:val="0"/>
                <w:color w:val="000000"/>
                <w:sz w:val="21"/>
                <w:szCs w:val="21"/>
                <w:lang w:val="en-US" w:eastAsia="en-US" w:bidi="ar-SA"/>
              </w:rPr>
            </w:pPr>
            <w:r>
              <w:rPr>
                <w:rFonts w:hint="eastAsia" w:ascii="Arial" w:hAnsi="Arial" w:eastAsia="Arial" w:cs="Arial"/>
                <w:snapToGrid w:val="0"/>
                <w:color w:val="000000"/>
                <w:sz w:val="21"/>
                <w:szCs w:val="21"/>
                <w:lang w:val="en-US" w:eastAsia="en-US" w:bidi="ar-SA"/>
              </w:rPr>
              <w:t>6.加强资产管理。严格资产配置处置、提升资产保障能力、强化计划预算控制。</w:t>
            </w:r>
          </w:p>
          <w:p w14:paraId="42E1F2E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bl>
    <w:p w14:paraId="6E22F6CC">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681A8081">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冯卫</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15073003026</w:t>
      </w:r>
      <w:r>
        <w:rPr>
          <w:rFonts w:ascii="仿宋_GB2312" w:hAnsi="宋体" w:eastAsia="仿宋_GB2312" w:cs="宋体"/>
          <w:snapToGrid w:val="0"/>
          <w:color w:val="000000"/>
          <w:sz w:val="21"/>
          <w:szCs w:val="21"/>
          <w:lang w:val="en-US" w:eastAsia="zh-CN" w:bidi="ar-SA"/>
        </w:rPr>
        <w:t xml:space="preserve">           单位负</w:t>
      </w:r>
      <w:bookmarkStart w:id="0" w:name="_GoBack"/>
      <w:bookmarkEnd w:id="0"/>
      <w:r>
        <w:rPr>
          <w:rFonts w:ascii="仿宋_GB2312" w:hAnsi="宋体" w:eastAsia="仿宋_GB2312" w:cs="宋体"/>
          <w:snapToGrid w:val="0"/>
          <w:color w:val="000000"/>
          <w:sz w:val="21"/>
          <w:szCs w:val="21"/>
          <w:lang w:val="en-US" w:eastAsia="zh-CN" w:bidi="ar-SA"/>
        </w:rPr>
        <w:t>责人签字：</w:t>
      </w:r>
    </w:p>
    <w:p w14:paraId="1B173A16">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14:paraId="431355F9">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1202C0FC">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年度部门整体支出绩效自评表</w:t>
      </w:r>
    </w:p>
    <w:p w14:paraId="1FD6A596">
      <w:pPr>
        <w:spacing w:line="237" w:lineRule="exact"/>
        <w:ind w:firstLine="420"/>
        <w:jc w:val="left"/>
        <w:rPr>
          <w:kern w:val="0"/>
          <w:lang w:eastAsia="zh-CN"/>
        </w:rPr>
      </w:pPr>
    </w:p>
    <w:tbl>
      <w:tblPr>
        <w:tblStyle w:val="12"/>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14:paraId="1A8E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6FD2D1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3DEA5CE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2318A96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汨罗市发展和改革局</w:t>
            </w:r>
          </w:p>
        </w:tc>
      </w:tr>
      <w:tr w14:paraId="2464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39F08D05">
            <w:pPr>
              <w:spacing w:line="240" w:lineRule="auto"/>
              <w:ind w:firstLine="420"/>
              <w:jc w:val="center"/>
              <w:rPr>
                <w:rFonts w:ascii="仿宋_GB2312" w:eastAsia="仿宋_GB2312"/>
                <w:kern w:val="0"/>
              </w:rPr>
            </w:pPr>
          </w:p>
          <w:p w14:paraId="02CC01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7293EDF7">
            <w:pPr>
              <w:spacing w:line="240" w:lineRule="auto"/>
              <w:ind w:firstLine="420"/>
              <w:jc w:val="center"/>
              <w:rPr>
                <w:rFonts w:ascii="仿宋_GB2312" w:eastAsia="仿宋_GB2312"/>
                <w:kern w:val="0"/>
              </w:rPr>
            </w:pPr>
          </w:p>
        </w:tc>
        <w:tc>
          <w:tcPr>
            <w:tcW w:w="1249" w:type="dxa"/>
            <w:vAlign w:val="center"/>
          </w:tcPr>
          <w:p w14:paraId="61B9D6C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50FFE090">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14:paraId="667FCA1F">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1A154AB2">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14:paraId="5EE1142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5230B5E4">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14:paraId="26B9A002">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09218C1B">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14:paraId="73CABA4F">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75AB8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730885E9">
            <w:pPr>
              <w:spacing w:line="240" w:lineRule="auto"/>
              <w:ind w:firstLine="420"/>
              <w:jc w:val="center"/>
              <w:rPr>
                <w:rFonts w:ascii="仿宋_GB2312" w:eastAsia="仿宋_GB2312"/>
                <w:kern w:val="0"/>
              </w:rPr>
            </w:pPr>
          </w:p>
        </w:tc>
        <w:tc>
          <w:tcPr>
            <w:tcW w:w="2098" w:type="dxa"/>
            <w:gridSpan w:val="2"/>
            <w:vAlign w:val="center"/>
          </w:tcPr>
          <w:p w14:paraId="0459E6DD">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shd w:val="clear" w:color="auto" w:fill="auto"/>
            <w:vAlign w:val="center"/>
          </w:tcPr>
          <w:p w14:paraId="40867B6B">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682.16</w:t>
            </w:r>
          </w:p>
        </w:tc>
        <w:tc>
          <w:tcPr>
            <w:tcW w:w="1298" w:type="dxa"/>
            <w:shd w:val="clear" w:color="auto" w:fill="auto"/>
            <w:vAlign w:val="center"/>
          </w:tcPr>
          <w:p w14:paraId="78350D28">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7613.83</w:t>
            </w:r>
          </w:p>
        </w:tc>
        <w:tc>
          <w:tcPr>
            <w:tcW w:w="1269" w:type="dxa"/>
            <w:shd w:val="clear" w:color="auto" w:fill="auto"/>
            <w:vAlign w:val="center"/>
          </w:tcPr>
          <w:p w14:paraId="5FDA3D24">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7613.83</w:t>
            </w:r>
          </w:p>
        </w:tc>
        <w:tc>
          <w:tcPr>
            <w:tcW w:w="699" w:type="dxa"/>
            <w:shd w:val="clear" w:color="auto" w:fill="auto"/>
            <w:vAlign w:val="center"/>
          </w:tcPr>
          <w:p w14:paraId="47D16717">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w:t>
            </w:r>
          </w:p>
        </w:tc>
        <w:tc>
          <w:tcPr>
            <w:tcW w:w="869" w:type="dxa"/>
            <w:shd w:val="clear" w:color="auto" w:fill="auto"/>
            <w:vAlign w:val="center"/>
          </w:tcPr>
          <w:p w14:paraId="0424998F">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c>
          <w:tcPr>
            <w:tcW w:w="1423" w:type="dxa"/>
            <w:shd w:val="clear" w:color="auto" w:fill="auto"/>
            <w:vAlign w:val="center"/>
          </w:tcPr>
          <w:p w14:paraId="4BE68CE2">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r>
      <w:tr w14:paraId="5735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282C8CA6">
            <w:pPr>
              <w:spacing w:line="240" w:lineRule="auto"/>
              <w:ind w:firstLine="420"/>
              <w:jc w:val="center"/>
              <w:rPr>
                <w:rFonts w:ascii="仿宋_GB2312" w:eastAsia="仿宋_GB2312"/>
                <w:kern w:val="0"/>
              </w:rPr>
            </w:pPr>
          </w:p>
        </w:tc>
        <w:tc>
          <w:tcPr>
            <w:tcW w:w="4645" w:type="dxa"/>
            <w:gridSpan w:val="4"/>
            <w:vAlign w:val="center"/>
          </w:tcPr>
          <w:p w14:paraId="2DC94066">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14:paraId="02A43B29">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14:paraId="52A73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65FF622F">
            <w:pPr>
              <w:spacing w:line="240" w:lineRule="auto"/>
              <w:ind w:firstLine="420"/>
              <w:jc w:val="center"/>
              <w:rPr>
                <w:rFonts w:ascii="仿宋_GB2312" w:eastAsia="仿宋_GB2312"/>
                <w:kern w:val="0"/>
              </w:rPr>
            </w:pPr>
          </w:p>
        </w:tc>
        <w:tc>
          <w:tcPr>
            <w:tcW w:w="4645" w:type="dxa"/>
            <w:gridSpan w:val="4"/>
            <w:vAlign w:val="center"/>
          </w:tcPr>
          <w:p w14:paraId="237E9998">
            <w:pPr>
              <w:spacing w:line="240" w:lineRule="auto"/>
              <w:ind w:firstLine="420"/>
              <w:jc w:val="left"/>
              <w:rPr>
                <w:rFonts w:ascii="仿宋_GB2312" w:eastAsia="仿宋_GB2312"/>
                <w:kern w:val="0"/>
                <w:lang w:eastAsia="zh-CN"/>
              </w:rPr>
            </w:pPr>
            <w:r>
              <w:rPr>
                <w:rFonts w:hint="eastAsia" w:ascii="仿宋_GB2312" w:hAnsi="宋体" w:eastAsia="仿宋_GB2312" w:cs="宋体"/>
                <w:kern w:val="0"/>
                <w:lang w:eastAsia="zh-CN"/>
              </w:rPr>
              <w:t>其中：一般公共预算：7613.83</w:t>
            </w:r>
          </w:p>
        </w:tc>
        <w:tc>
          <w:tcPr>
            <w:tcW w:w="4260" w:type="dxa"/>
            <w:gridSpan w:val="4"/>
            <w:vAlign w:val="center"/>
          </w:tcPr>
          <w:p w14:paraId="459DAAEC">
            <w:pPr>
              <w:spacing w:line="240" w:lineRule="auto"/>
              <w:ind w:firstLine="420"/>
              <w:jc w:val="left"/>
              <w:rPr>
                <w:rFonts w:ascii="仿宋_GB2312" w:eastAsia="仿宋_GB2312"/>
                <w:kern w:val="0"/>
              </w:rPr>
            </w:pPr>
            <w:r>
              <w:rPr>
                <w:rFonts w:hint="eastAsia" w:ascii="仿宋_GB2312" w:hAnsi="宋体" w:eastAsia="仿宋_GB2312" w:cs="宋体"/>
                <w:kern w:val="0"/>
              </w:rPr>
              <w:t>其中：基本支出：1040.24</w:t>
            </w:r>
          </w:p>
        </w:tc>
      </w:tr>
      <w:tr w14:paraId="555B2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12C9CA8E">
            <w:pPr>
              <w:spacing w:line="240" w:lineRule="auto"/>
              <w:ind w:firstLine="420"/>
              <w:jc w:val="center"/>
              <w:rPr>
                <w:rFonts w:ascii="仿宋_GB2312" w:eastAsia="仿宋_GB2312"/>
                <w:kern w:val="0"/>
              </w:rPr>
            </w:pPr>
          </w:p>
        </w:tc>
        <w:tc>
          <w:tcPr>
            <w:tcW w:w="4645" w:type="dxa"/>
            <w:gridSpan w:val="4"/>
            <w:vAlign w:val="center"/>
          </w:tcPr>
          <w:p w14:paraId="1BF65C8A">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w:t>
            </w:r>
          </w:p>
        </w:tc>
        <w:tc>
          <w:tcPr>
            <w:tcW w:w="4260" w:type="dxa"/>
            <w:gridSpan w:val="4"/>
            <w:vAlign w:val="center"/>
          </w:tcPr>
          <w:p w14:paraId="55BECDEE">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项目支出：6573.59</w:t>
            </w:r>
          </w:p>
        </w:tc>
      </w:tr>
      <w:tr w14:paraId="40338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2E08E053">
            <w:pPr>
              <w:spacing w:line="240" w:lineRule="auto"/>
              <w:ind w:firstLine="420"/>
              <w:jc w:val="center"/>
              <w:rPr>
                <w:rFonts w:ascii="仿宋_GB2312" w:eastAsia="仿宋_GB2312"/>
                <w:kern w:val="0"/>
              </w:rPr>
            </w:pPr>
          </w:p>
        </w:tc>
        <w:tc>
          <w:tcPr>
            <w:tcW w:w="4645" w:type="dxa"/>
            <w:gridSpan w:val="4"/>
            <w:vAlign w:val="center"/>
          </w:tcPr>
          <w:p w14:paraId="56E75749">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14:paraId="61AD26C7">
            <w:pPr>
              <w:spacing w:line="240" w:lineRule="auto"/>
              <w:ind w:firstLine="420"/>
              <w:jc w:val="left"/>
              <w:rPr>
                <w:rFonts w:ascii="仿宋_GB2312" w:eastAsia="仿宋_GB2312"/>
                <w:kern w:val="0"/>
                <w:lang w:eastAsia="zh-CN"/>
              </w:rPr>
            </w:pPr>
          </w:p>
        </w:tc>
      </w:tr>
      <w:tr w14:paraId="3C5D0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74E29580">
            <w:pPr>
              <w:spacing w:line="240" w:lineRule="auto"/>
              <w:ind w:firstLine="420"/>
              <w:jc w:val="center"/>
              <w:rPr>
                <w:rFonts w:ascii="仿宋_GB2312" w:eastAsia="仿宋_GB2312"/>
                <w:kern w:val="0"/>
                <w:lang w:eastAsia="zh-CN"/>
              </w:rPr>
            </w:pPr>
          </w:p>
        </w:tc>
        <w:tc>
          <w:tcPr>
            <w:tcW w:w="4645" w:type="dxa"/>
            <w:gridSpan w:val="4"/>
            <w:vAlign w:val="center"/>
          </w:tcPr>
          <w:p w14:paraId="390B59E8">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w:t>
            </w:r>
          </w:p>
        </w:tc>
        <w:tc>
          <w:tcPr>
            <w:tcW w:w="4260" w:type="dxa"/>
            <w:gridSpan w:val="4"/>
            <w:vAlign w:val="center"/>
          </w:tcPr>
          <w:p w14:paraId="557F4DF2">
            <w:pPr>
              <w:spacing w:line="240" w:lineRule="auto"/>
              <w:ind w:firstLine="420"/>
              <w:jc w:val="center"/>
              <w:rPr>
                <w:rFonts w:ascii="仿宋_GB2312" w:eastAsia="仿宋_GB2312"/>
                <w:kern w:val="0"/>
              </w:rPr>
            </w:pPr>
          </w:p>
        </w:tc>
      </w:tr>
      <w:tr w14:paraId="6C1AC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05C0D10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14:paraId="35AA1074">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14:paraId="6CC77ABD">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1A590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75837B3A">
            <w:pPr>
              <w:spacing w:line="240" w:lineRule="auto"/>
              <w:ind w:firstLine="420"/>
              <w:jc w:val="center"/>
              <w:rPr>
                <w:rFonts w:ascii="仿宋_GB2312" w:eastAsia="仿宋_GB2312"/>
                <w:kern w:val="0"/>
              </w:rPr>
            </w:pPr>
          </w:p>
        </w:tc>
        <w:tc>
          <w:tcPr>
            <w:tcW w:w="4645" w:type="dxa"/>
            <w:gridSpan w:val="4"/>
            <w:vAlign w:val="center"/>
          </w:tcPr>
          <w:p w14:paraId="70F84F0A">
            <w:pPr>
              <w:spacing w:line="240" w:lineRule="auto"/>
              <w:ind w:firstLine="420"/>
              <w:jc w:val="left"/>
              <w:rPr>
                <w:rFonts w:hint="eastAsia" w:ascii="仿宋_GB2312" w:eastAsia="仿宋_GB2312"/>
                <w:kern w:val="0"/>
              </w:rPr>
            </w:pPr>
            <w:r>
              <w:rPr>
                <w:rFonts w:hint="eastAsia" w:ascii="仿宋_GB2312" w:eastAsia="仿宋_GB2312"/>
                <w:kern w:val="0"/>
              </w:rPr>
              <w:t>1、进一步加强经济运行预警分析，参与我市重大政策的研究和制定；编制年度国民经济和社会发展计划曹参、编制汨罗市城区城镇化实施方案（2022-2025）等等。</w:t>
            </w:r>
          </w:p>
          <w:p w14:paraId="725199AC">
            <w:pPr>
              <w:spacing w:line="240" w:lineRule="auto"/>
              <w:ind w:firstLine="420"/>
              <w:jc w:val="left"/>
              <w:rPr>
                <w:rFonts w:hint="eastAsia" w:ascii="仿宋_GB2312" w:eastAsia="仿宋_GB2312"/>
                <w:kern w:val="0"/>
              </w:rPr>
            </w:pPr>
            <w:r>
              <w:rPr>
                <w:rFonts w:hint="eastAsia" w:ascii="仿宋_GB2312" w:eastAsia="仿宋_GB2312"/>
                <w:kern w:val="0"/>
              </w:rPr>
              <w:t>2、积极推进经济社会事业体制改革，鼓励民间投资公共领域，扎实推进重大项目建设，跟踪服务实施项目，加强项目成果对接；加强窗口建设，开展项目审批工作、协调好我市基础设施、公共事业等工程建设领域项目的招投标工作。</w:t>
            </w:r>
          </w:p>
          <w:p w14:paraId="759512C0">
            <w:pPr>
              <w:spacing w:line="240" w:lineRule="auto"/>
              <w:ind w:firstLine="420"/>
              <w:jc w:val="center"/>
              <w:rPr>
                <w:rFonts w:ascii="仿宋_GB2312" w:eastAsia="仿宋_GB2312"/>
                <w:kern w:val="0"/>
              </w:rPr>
            </w:pPr>
            <w:r>
              <w:rPr>
                <w:rFonts w:hint="eastAsia" w:ascii="仿宋_GB2312" w:eastAsia="仿宋_GB2312"/>
                <w:kern w:val="0"/>
              </w:rPr>
              <w:t>3、重点项目建设（含产业项目建设年）项目评估督导，服务业“四上”单位申报和信用体系建设等工作，价格管理和调控目标其他中心工作任务。</w:t>
            </w:r>
          </w:p>
        </w:tc>
        <w:tc>
          <w:tcPr>
            <w:tcW w:w="4260" w:type="dxa"/>
            <w:gridSpan w:val="4"/>
            <w:vAlign w:val="center"/>
          </w:tcPr>
          <w:p w14:paraId="156E0DC0">
            <w:pPr>
              <w:spacing w:line="240" w:lineRule="auto"/>
              <w:ind w:firstLine="420"/>
              <w:jc w:val="center"/>
              <w:rPr>
                <w:rFonts w:ascii="仿宋_GB2312" w:eastAsia="仿宋_GB2312"/>
                <w:kern w:val="0"/>
              </w:rPr>
            </w:pPr>
            <w:r>
              <w:rPr>
                <w:rFonts w:hint="eastAsia" w:ascii="仿宋_GB2312" w:eastAsia="仿宋_GB2312"/>
                <w:kern w:val="0"/>
              </w:rPr>
              <w:t>圆满完成了汨罗市城区城镇化实施方案（2022年-2025年）、农业综合水价改革方案的编制。争资争项达到了年初的预期目标，多个项目成功立项，重大项目顺利推进，信用体系建设积极推进，价格调控在合理范围内</w:t>
            </w:r>
          </w:p>
        </w:tc>
      </w:tr>
      <w:tr w14:paraId="46C5C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39FD8A89">
            <w:pPr>
              <w:spacing w:line="240" w:lineRule="auto"/>
              <w:ind w:firstLine="420"/>
              <w:jc w:val="center"/>
              <w:rPr>
                <w:rFonts w:ascii="仿宋_GB2312" w:eastAsia="仿宋_GB2312"/>
                <w:kern w:val="0"/>
              </w:rPr>
            </w:pPr>
          </w:p>
          <w:p w14:paraId="50767195">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07454C35">
            <w:pPr>
              <w:spacing w:line="240" w:lineRule="auto"/>
              <w:ind w:firstLine="420"/>
              <w:jc w:val="center"/>
              <w:rPr>
                <w:rFonts w:ascii="仿宋_GB2312" w:eastAsia="仿宋_GB2312"/>
                <w:kern w:val="0"/>
              </w:rPr>
            </w:pPr>
          </w:p>
          <w:p w14:paraId="58206D1C">
            <w:pPr>
              <w:spacing w:line="240" w:lineRule="auto"/>
              <w:ind w:firstLine="420"/>
              <w:jc w:val="center"/>
              <w:rPr>
                <w:rFonts w:ascii="仿宋_GB2312" w:eastAsia="仿宋_GB2312"/>
                <w:kern w:val="0"/>
              </w:rPr>
            </w:pPr>
          </w:p>
        </w:tc>
        <w:tc>
          <w:tcPr>
            <w:tcW w:w="1069" w:type="dxa"/>
            <w:vAlign w:val="center"/>
          </w:tcPr>
          <w:p w14:paraId="6608A1AE">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14:paraId="6EE7F8D6">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14:paraId="1866ACC2">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14:paraId="30FBB1D7">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14:paraId="42F791DC">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14:paraId="50332CA5">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772EAC6F">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14:paraId="00A1F1A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0B522B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6D424521">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0C58A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43201F45">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14:paraId="2A5EB4F6">
            <w:pPr>
              <w:spacing w:line="240" w:lineRule="auto"/>
              <w:jc w:val="center"/>
              <w:rPr>
                <w:rFonts w:ascii="仿宋_GB2312" w:eastAsia="仿宋_GB2312"/>
                <w:kern w:val="0"/>
              </w:rPr>
            </w:pPr>
            <w:r>
              <w:rPr>
                <w:rFonts w:hint="eastAsia" w:ascii="仿宋_GB2312" w:hAnsi="宋体" w:eastAsia="仿宋_GB2312" w:cs="宋体"/>
                <w:kern w:val="0"/>
              </w:rPr>
              <w:t>产出指标</w:t>
            </w:r>
          </w:p>
          <w:p w14:paraId="72CA71E8">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12CA2EB0">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shd w:val="clear" w:color="auto" w:fill="auto"/>
            <w:vAlign w:val="center"/>
          </w:tcPr>
          <w:p w14:paraId="785EE4BB">
            <w:pPr>
              <w:spacing w:line="240" w:lineRule="auto"/>
              <w:jc w:val="left"/>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编制专项方案和报告数量</w:t>
            </w:r>
          </w:p>
        </w:tc>
        <w:tc>
          <w:tcPr>
            <w:tcW w:w="1298" w:type="dxa"/>
            <w:shd w:val="clear" w:color="auto" w:fill="auto"/>
            <w:vAlign w:val="center"/>
          </w:tcPr>
          <w:p w14:paraId="2A374824">
            <w:pPr>
              <w:spacing w:line="240" w:lineRule="auto"/>
              <w:ind w:firstLine="420" w:firstLineChars="0"/>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≧2份</w:t>
            </w:r>
          </w:p>
        </w:tc>
        <w:tc>
          <w:tcPr>
            <w:tcW w:w="1269" w:type="dxa"/>
            <w:shd w:val="clear" w:color="auto" w:fill="auto"/>
            <w:vAlign w:val="center"/>
          </w:tcPr>
          <w:p w14:paraId="708D788A">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4</w:t>
            </w:r>
          </w:p>
        </w:tc>
        <w:tc>
          <w:tcPr>
            <w:tcW w:w="699" w:type="dxa"/>
            <w:shd w:val="clear" w:color="auto" w:fill="auto"/>
            <w:vAlign w:val="center"/>
          </w:tcPr>
          <w:p w14:paraId="567F5E54">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69" w:type="dxa"/>
            <w:shd w:val="clear" w:color="auto" w:fill="auto"/>
            <w:vAlign w:val="center"/>
          </w:tcPr>
          <w:p w14:paraId="2717B7C4">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423" w:type="dxa"/>
            <w:shd w:val="clear" w:color="auto" w:fill="auto"/>
            <w:vAlign w:val="center"/>
          </w:tcPr>
          <w:p w14:paraId="7CF9B186">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r>
      <w:tr w14:paraId="5A3CD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263102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5DCA989">
            <w:pPr>
              <w:spacing w:line="240" w:lineRule="auto"/>
              <w:ind w:firstLine="420"/>
              <w:jc w:val="center"/>
              <w:rPr>
                <w:rFonts w:ascii="仿宋_GB2312" w:eastAsia="仿宋_GB2312"/>
                <w:kern w:val="0"/>
              </w:rPr>
            </w:pPr>
          </w:p>
        </w:tc>
        <w:tc>
          <w:tcPr>
            <w:tcW w:w="1029" w:type="dxa"/>
            <w:tcBorders>
              <w:bottom w:val="nil"/>
            </w:tcBorders>
            <w:vAlign w:val="center"/>
          </w:tcPr>
          <w:p w14:paraId="17EF051C">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shd w:val="clear" w:color="auto" w:fill="auto"/>
            <w:vAlign w:val="center"/>
          </w:tcPr>
          <w:p w14:paraId="10423A41">
            <w:pPr>
              <w:spacing w:line="240" w:lineRule="auto"/>
              <w:jc w:val="left"/>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各类规划编制科学，结合实际紧密、可操作性强</w:t>
            </w:r>
          </w:p>
        </w:tc>
        <w:tc>
          <w:tcPr>
            <w:tcW w:w="1298" w:type="dxa"/>
            <w:shd w:val="clear" w:color="auto" w:fill="auto"/>
            <w:vAlign w:val="center"/>
          </w:tcPr>
          <w:p w14:paraId="1A5ADA3A">
            <w:pPr>
              <w:spacing w:line="240" w:lineRule="auto"/>
              <w:ind w:firstLine="420" w:firstLineChars="0"/>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达标</w:t>
            </w:r>
          </w:p>
        </w:tc>
        <w:tc>
          <w:tcPr>
            <w:tcW w:w="1269" w:type="dxa"/>
            <w:shd w:val="clear" w:color="auto" w:fill="auto"/>
            <w:vAlign w:val="center"/>
          </w:tcPr>
          <w:p w14:paraId="54075F02">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基本达标</w:t>
            </w:r>
          </w:p>
        </w:tc>
        <w:tc>
          <w:tcPr>
            <w:tcW w:w="699" w:type="dxa"/>
            <w:shd w:val="clear" w:color="auto" w:fill="auto"/>
            <w:vAlign w:val="center"/>
          </w:tcPr>
          <w:p w14:paraId="5580FC82">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69" w:type="dxa"/>
            <w:shd w:val="clear" w:color="auto" w:fill="auto"/>
            <w:vAlign w:val="center"/>
          </w:tcPr>
          <w:p w14:paraId="0982B111">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423" w:type="dxa"/>
            <w:shd w:val="clear" w:color="auto" w:fill="auto"/>
            <w:vAlign w:val="center"/>
          </w:tcPr>
          <w:p w14:paraId="09E0DC5F">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r>
      <w:tr w14:paraId="707C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3AF4DA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1F2382D">
            <w:pPr>
              <w:spacing w:line="240" w:lineRule="auto"/>
              <w:ind w:firstLine="420"/>
              <w:jc w:val="center"/>
              <w:rPr>
                <w:rFonts w:ascii="仿宋_GB2312" w:eastAsia="仿宋_GB2312"/>
                <w:kern w:val="0"/>
              </w:rPr>
            </w:pPr>
          </w:p>
        </w:tc>
        <w:tc>
          <w:tcPr>
            <w:tcW w:w="1029" w:type="dxa"/>
            <w:tcBorders>
              <w:bottom w:val="nil"/>
            </w:tcBorders>
            <w:vAlign w:val="center"/>
          </w:tcPr>
          <w:p w14:paraId="1FAC5017">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shd w:val="clear" w:color="auto" w:fill="auto"/>
            <w:vAlign w:val="center"/>
          </w:tcPr>
          <w:p w14:paraId="5323318C">
            <w:pPr>
              <w:spacing w:line="240" w:lineRule="auto"/>
              <w:jc w:val="left"/>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资金在规定的时间内下达率</w:t>
            </w:r>
          </w:p>
        </w:tc>
        <w:tc>
          <w:tcPr>
            <w:tcW w:w="1298" w:type="dxa"/>
            <w:shd w:val="clear" w:color="auto" w:fill="auto"/>
            <w:vAlign w:val="center"/>
          </w:tcPr>
          <w:p w14:paraId="479FA5D5">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100%</w:t>
            </w:r>
          </w:p>
        </w:tc>
        <w:tc>
          <w:tcPr>
            <w:tcW w:w="1269" w:type="dxa"/>
            <w:shd w:val="clear" w:color="auto" w:fill="auto"/>
            <w:vAlign w:val="center"/>
          </w:tcPr>
          <w:p w14:paraId="5C1B3402">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90</w:t>
            </w:r>
            <w:r>
              <w:rPr>
                <w:rFonts w:hint="eastAsia" w:ascii="仿宋_GB2312" w:eastAsia="仿宋_GB2312"/>
                <w:kern w:val="0"/>
              </w:rPr>
              <w:t>%</w:t>
            </w:r>
          </w:p>
        </w:tc>
        <w:tc>
          <w:tcPr>
            <w:tcW w:w="699" w:type="dxa"/>
            <w:shd w:val="clear" w:color="auto" w:fill="auto"/>
            <w:vAlign w:val="center"/>
          </w:tcPr>
          <w:p w14:paraId="4C56B99F">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69" w:type="dxa"/>
            <w:shd w:val="clear" w:color="auto" w:fill="auto"/>
            <w:vAlign w:val="center"/>
          </w:tcPr>
          <w:p w14:paraId="5DA34835">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9</w:t>
            </w:r>
          </w:p>
        </w:tc>
        <w:tc>
          <w:tcPr>
            <w:tcW w:w="1423" w:type="dxa"/>
            <w:shd w:val="clear" w:color="auto" w:fill="auto"/>
            <w:vAlign w:val="center"/>
          </w:tcPr>
          <w:p w14:paraId="7BF8C6A4">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按项目进度拨付</w:t>
            </w:r>
          </w:p>
        </w:tc>
      </w:tr>
      <w:tr w14:paraId="12396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75BB657">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7804D09C">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7B7499A1">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shd w:val="clear" w:color="auto" w:fill="auto"/>
            <w:vAlign w:val="center"/>
          </w:tcPr>
          <w:p w14:paraId="32611957">
            <w:pPr>
              <w:spacing w:line="240" w:lineRule="auto"/>
              <w:jc w:val="left"/>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经济运行总体平稳</w:t>
            </w:r>
          </w:p>
        </w:tc>
        <w:tc>
          <w:tcPr>
            <w:tcW w:w="1298" w:type="dxa"/>
            <w:shd w:val="clear" w:color="auto" w:fill="auto"/>
            <w:vAlign w:val="center"/>
          </w:tcPr>
          <w:p w14:paraId="078289F3">
            <w:pPr>
              <w:spacing w:line="240" w:lineRule="auto"/>
              <w:ind w:firstLine="210" w:firstLineChars="100"/>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有所提升</w:t>
            </w:r>
          </w:p>
        </w:tc>
        <w:tc>
          <w:tcPr>
            <w:tcW w:w="1269" w:type="dxa"/>
            <w:shd w:val="clear" w:color="auto" w:fill="auto"/>
            <w:vAlign w:val="center"/>
          </w:tcPr>
          <w:p w14:paraId="7A453B87">
            <w:pPr>
              <w:spacing w:line="240" w:lineRule="auto"/>
              <w:ind w:firstLine="210" w:firstLineChars="100"/>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有所提升</w:t>
            </w:r>
          </w:p>
        </w:tc>
        <w:tc>
          <w:tcPr>
            <w:tcW w:w="699" w:type="dxa"/>
            <w:shd w:val="clear" w:color="auto" w:fill="auto"/>
            <w:vAlign w:val="center"/>
          </w:tcPr>
          <w:p w14:paraId="415A3F60">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69" w:type="dxa"/>
            <w:shd w:val="clear" w:color="auto" w:fill="auto"/>
            <w:vAlign w:val="center"/>
          </w:tcPr>
          <w:p w14:paraId="2AC58B95">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423" w:type="dxa"/>
            <w:shd w:val="clear" w:color="auto" w:fill="auto"/>
            <w:vAlign w:val="center"/>
          </w:tcPr>
          <w:p w14:paraId="63D43995">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r>
      <w:tr w14:paraId="17DE4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77C097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E46C1EB">
            <w:pPr>
              <w:spacing w:line="240" w:lineRule="auto"/>
              <w:ind w:firstLine="420"/>
              <w:jc w:val="center"/>
              <w:rPr>
                <w:rFonts w:ascii="仿宋_GB2312" w:eastAsia="仿宋_GB2312"/>
                <w:kern w:val="0"/>
              </w:rPr>
            </w:pPr>
          </w:p>
        </w:tc>
        <w:tc>
          <w:tcPr>
            <w:tcW w:w="1029" w:type="dxa"/>
            <w:tcBorders>
              <w:bottom w:val="nil"/>
            </w:tcBorders>
            <w:vAlign w:val="center"/>
          </w:tcPr>
          <w:p w14:paraId="135D6A21">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shd w:val="clear" w:color="auto" w:fill="auto"/>
            <w:vAlign w:val="center"/>
          </w:tcPr>
          <w:p w14:paraId="5D9BC272">
            <w:pPr>
              <w:spacing w:line="240" w:lineRule="auto"/>
              <w:jc w:val="left"/>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信息服务业促进服务型政府及智慧城市建设</w:t>
            </w:r>
          </w:p>
        </w:tc>
        <w:tc>
          <w:tcPr>
            <w:tcW w:w="1298" w:type="dxa"/>
            <w:shd w:val="clear" w:color="auto" w:fill="auto"/>
            <w:vAlign w:val="center"/>
          </w:tcPr>
          <w:p w14:paraId="6E8C4873">
            <w:pPr>
              <w:spacing w:line="240" w:lineRule="auto"/>
              <w:ind w:firstLine="210" w:firstLineChars="100"/>
              <w:jc w:val="left"/>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效益显著</w:t>
            </w:r>
          </w:p>
        </w:tc>
        <w:tc>
          <w:tcPr>
            <w:tcW w:w="1269" w:type="dxa"/>
            <w:shd w:val="clear" w:color="auto" w:fill="auto"/>
            <w:vAlign w:val="center"/>
          </w:tcPr>
          <w:p w14:paraId="4886005B">
            <w:pPr>
              <w:spacing w:line="240" w:lineRule="auto"/>
              <w:ind w:firstLine="210" w:firstLineChars="100"/>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效益显著</w:t>
            </w:r>
          </w:p>
        </w:tc>
        <w:tc>
          <w:tcPr>
            <w:tcW w:w="699" w:type="dxa"/>
            <w:shd w:val="clear" w:color="auto" w:fill="auto"/>
            <w:vAlign w:val="center"/>
          </w:tcPr>
          <w:p w14:paraId="75FAE414">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10</w:t>
            </w:r>
          </w:p>
        </w:tc>
        <w:tc>
          <w:tcPr>
            <w:tcW w:w="869" w:type="dxa"/>
            <w:shd w:val="clear" w:color="auto" w:fill="auto"/>
            <w:vAlign w:val="center"/>
          </w:tcPr>
          <w:p w14:paraId="3309901E">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10</w:t>
            </w:r>
          </w:p>
        </w:tc>
        <w:tc>
          <w:tcPr>
            <w:tcW w:w="1423" w:type="dxa"/>
            <w:shd w:val="clear" w:color="auto" w:fill="auto"/>
            <w:vAlign w:val="center"/>
          </w:tcPr>
          <w:p w14:paraId="4D65F265">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r>
      <w:tr w14:paraId="7EF96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58F613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290ED9">
            <w:pPr>
              <w:spacing w:line="240" w:lineRule="auto"/>
              <w:ind w:firstLine="420"/>
              <w:jc w:val="center"/>
              <w:rPr>
                <w:rFonts w:ascii="仿宋_GB2312" w:eastAsia="仿宋_GB2312"/>
                <w:kern w:val="0"/>
              </w:rPr>
            </w:pPr>
          </w:p>
        </w:tc>
        <w:tc>
          <w:tcPr>
            <w:tcW w:w="1029" w:type="dxa"/>
            <w:tcBorders>
              <w:bottom w:val="nil"/>
            </w:tcBorders>
            <w:vAlign w:val="center"/>
          </w:tcPr>
          <w:p w14:paraId="69CFA31B">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shd w:val="clear" w:color="auto" w:fill="auto"/>
            <w:vAlign w:val="center"/>
          </w:tcPr>
          <w:p w14:paraId="4DC60689">
            <w:pPr>
              <w:spacing w:line="240" w:lineRule="auto"/>
              <w:jc w:val="left"/>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长江经济带生态优先绿色发展、洞庭湖生态环境整治工作推动有力</w:t>
            </w:r>
          </w:p>
        </w:tc>
        <w:tc>
          <w:tcPr>
            <w:tcW w:w="1298" w:type="dxa"/>
            <w:shd w:val="clear" w:color="auto" w:fill="auto"/>
            <w:vAlign w:val="center"/>
          </w:tcPr>
          <w:p w14:paraId="45B96CBB">
            <w:pPr>
              <w:spacing w:line="240" w:lineRule="auto"/>
              <w:ind w:firstLine="210" w:firstLineChars="100"/>
              <w:jc w:val="left"/>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效益显著</w:t>
            </w:r>
          </w:p>
        </w:tc>
        <w:tc>
          <w:tcPr>
            <w:tcW w:w="1269" w:type="dxa"/>
            <w:shd w:val="clear" w:color="auto" w:fill="auto"/>
            <w:vAlign w:val="center"/>
          </w:tcPr>
          <w:p w14:paraId="35C3564D">
            <w:pPr>
              <w:spacing w:line="240" w:lineRule="auto"/>
              <w:ind w:firstLine="210" w:firstLineChars="100"/>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有待改善</w:t>
            </w:r>
          </w:p>
        </w:tc>
        <w:tc>
          <w:tcPr>
            <w:tcW w:w="699" w:type="dxa"/>
            <w:shd w:val="clear" w:color="auto" w:fill="auto"/>
            <w:vAlign w:val="center"/>
          </w:tcPr>
          <w:p w14:paraId="6A822248">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869" w:type="dxa"/>
            <w:shd w:val="clear" w:color="auto" w:fill="auto"/>
            <w:vAlign w:val="center"/>
          </w:tcPr>
          <w:p w14:paraId="73C931F8">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4</w:t>
            </w:r>
          </w:p>
        </w:tc>
        <w:tc>
          <w:tcPr>
            <w:tcW w:w="1423" w:type="dxa"/>
            <w:shd w:val="clear" w:color="auto" w:fill="auto"/>
            <w:vAlign w:val="center"/>
          </w:tcPr>
          <w:p w14:paraId="0E6767B7">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生态环境保护还需进一步加强</w:t>
            </w:r>
          </w:p>
        </w:tc>
      </w:tr>
      <w:tr w14:paraId="3E588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14:paraId="19698F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3791089">
            <w:pPr>
              <w:spacing w:line="240" w:lineRule="auto"/>
              <w:ind w:firstLine="420"/>
              <w:jc w:val="center"/>
              <w:rPr>
                <w:rFonts w:ascii="仿宋_GB2312" w:eastAsia="仿宋_GB2312"/>
                <w:kern w:val="0"/>
              </w:rPr>
            </w:pPr>
          </w:p>
        </w:tc>
        <w:tc>
          <w:tcPr>
            <w:tcW w:w="1029" w:type="dxa"/>
            <w:tcBorders>
              <w:bottom w:val="nil"/>
            </w:tcBorders>
            <w:vAlign w:val="center"/>
          </w:tcPr>
          <w:p w14:paraId="3200E344">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shd w:val="clear" w:color="auto" w:fill="auto"/>
            <w:vAlign w:val="center"/>
          </w:tcPr>
          <w:p w14:paraId="1B548B4C">
            <w:pPr>
              <w:spacing w:line="240" w:lineRule="auto"/>
              <w:jc w:val="left"/>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进一步增强交通网络运输能力、带动人民群众实现产业结构优化升级，为地区资源外运和劳动力转移提供便捷服务、为加快群众脱贫步伐提供坚实的基础设施保障</w:t>
            </w:r>
          </w:p>
        </w:tc>
        <w:tc>
          <w:tcPr>
            <w:tcW w:w="1298" w:type="dxa"/>
            <w:shd w:val="clear" w:color="auto" w:fill="auto"/>
            <w:vAlign w:val="center"/>
          </w:tcPr>
          <w:p w14:paraId="055B34ED">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实现可持续发展</w:t>
            </w:r>
          </w:p>
        </w:tc>
        <w:tc>
          <w:tcPr>
            <w:tcW w:w="1269" w:type="dxa"/>
            <w:shd w:val="clear" w:color="auto" w:fill="auto"/>
            <w:vAlign w:val="center"/>
          </w:tcPr>
          <w:p w14:paraId="46B41467">
            <w:pPr>
              <w:spacing w:line="240" w:lineRule="auto"/>
              <w:ind w:firstLine="210" w:firstLineChars="100"/>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有所改善</w:t>
            </w:r>
          </w:p>
        </w:tc>
        <w:tc>
          <w:tcPr>
            <w:tcW w:w="699" w:type="dxa"/>
            <w:shd w:val="clear" w:color="auto" w:fill="auto"/>
            <w:vAlign w:val="center"/>
          </w:tcPr>
          <w:p w14:paraId="447C4D99">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869" w:type="dxa"/>
            <w:shd w:val="clear" w:color="auto" w:fill="auto"/>
            <w:vAlign w:val="center"/>
          </w:tcPr>
          <w:p w14:paraId="71C7C72F">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1423" w:type="dxa"/>
            <w:shd w:val="clear" w:color="auto" w:fill="auto"/>
            <w:vAlign w:val="center"/>
          </w:tcPr>
          <w:p w14:paraId="04D49FFC">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r>
      <w:tr w14:paraId="4145C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extDirection w:val="tbRlV"/>
            <w:vAlign w:val="center"/>
          </w:tcPr>
          <w:p w14:paraId="42AFB0D6">
            <w:pPr>
              <w:spacing w:line="240" w:lineRule="auto"/>
              <w:ind w:firstLine="420"/>
              <w:jc w:val="center"/>
              <w:rPr>
                <w:rFonts w:ascii="仿宋_GB2312" w:eastAsia="仿宋_GB2312"/>
                <w:kern w:val="0"/>
              </w:rPr>
            </w:pPr>
          </w:p>
        </w:tc>
        <w:tc>
          <w:tcPr>
            <w:tcW w:w="1069" w:type="dxa"/>
            <w:tcBorders>
              <w:bottom w:val="nil"/>
            </w:tcBorders>
            <w:vAlign w:val="center"/>
          </w:tcPr>
          <w:p w14:paraId="3EBC70EF">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6A5B01A2">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78FBBFDE">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shd w:val="clear" w:color="auto" w:fill="auto"/>
            <w:vAlign w:val="center"/>
          </w:tcPr>
          <w:p w14:paraId="4F2AFDD1">
            <w:pPr>
              <w:spacing w:line="240" w:lineRule="auto"/>
              <w:jc w:val="left"/>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服务对象满意度</w:t>
            </w:r>
          </w:p>
        </w:tc>
        <w:tc>
          <w:tcPr>
            <w:tcW w:w="1298" w:type="dxa"/>
            <w:shd w:val="clear" w:color="auto" w:fill="auto"/>
            <w:vAlign w:val="center"/>
          </w:tcPr>
          <w:p w14:paraId="6ABEB3E2">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≧90%</w:t>
            </w:r>
          </w:p>
        </w:tc>
        <w:tc>
          <w:tcPr>
            <w:tcW w:w="1269" w:type="dxa"/>
            <w:shd w:val="clear" w:color="auto" w:fill="auto"/>
            <w:vAlign w:val="center"/>
          </w:tcPr>
          <w:p w14:paraId="31B5B329">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95%</w:t>
            </w:r>
          </w:p>
        </w:tc>
        <w:tc>
          <w:tcPr>
            <w:tcW w:w="699" w:type="dxa"/>
            <w:shd w:val="clear" w:color="auto" w:fill="auto"/>
            <w:vAlign w:val="center"/>
          </w:tcPr>
          <w:p w14:paraId="41D3F37B">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69" w:type="dxa"/>
            <w:shd w:val="clear" w:color="auto" w:fill="auto"/>
            <w:vAlign w:val="center"/>
          </w:tcPr>
          <w:p w14:paraId="19FFC8CC">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423" w:type="dxa"/>
            <w:shd w:val="clear" w:color="auto" w:fill="auto"/>
            <w:vAlign w:val="center"/>
          </w:tcPr>
          <w:p w14:paraId="0412303D">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r>
      <w:tr w14:paraId="759E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1B343DAD">
            <w:pPr>
              <w:spacing w:line="240" w:lineRule="auto"/>
              <w:ind w:firstLine="420"/>
              <w:jc w:val="center"/>
              <w:rPr>
                <w:rFonts w:ascii="仿宋_GB2312" w:eastAsia="仿宋_GB2312"/>
                <w:kern w:val="0"/>
              </w:rPr>
            </w:pPr>
          </w:p>
        </w:tc>
        <w:tc>
          <w:tcPr>
            <w:tcW w:w="1069" w:type="dxa"/>
            <w:vMerge w:val="restart"/>
            <w:tcBorders>
              <w:top w:val="nil"/>
            </w:tcBorders>
            <w:vAlign w:val="center"/>
          </w:tcPr>
          <w:p w14:paraId="5D03BB8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681458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nil"/>
            </w:tcBorders>
            <w:vAlign w:val="center"/>
          </w:tcPr>
          <w:p w14:paraId="539B6E6D">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shd w:val="clear" w:color="auto" w:fill="auto"/>
            <w:vAlign w:val="center"/>
          </w:tcPr>
          <w:p w14:paraId="63B7EC90">
            <w:pPr>
              <w:spacing w:line="240" w:lineRule="auto"/>
              <w:jc w:val="left"/>
              <w:rPr>
                <w:rFonts w:hint="eastAsia" w:ascii="仿宋_GB2312" w:hAnsi="Arial" w:eastAsia="仿宋_GB2312" w:cs="Arial"/>
                <w:snapToGrid w:val="0"/>
                <w:color w:val="000000"/>
                <w:kern w:val="0"/>
                <w:sz w:val="21"/>
                <w:szCs w:val="21"/>
                <w:lang w:val="en-US" w:eastAsia="en-US" w:bidi="ar-SA"/>
              </w:rPr>
            </w:pPr>
            <w:r>
              <w:rPr>
                <w:rFonts w:hint="eastAsia" w:ascii="仿宋_GB2312" w:eastAsia="仿宋_GB2312"/>
                <w:kern w:val="0"/>
              </w:rPr>
              <w:t>预算批复金额</w:t>
            </w:r>
          </w:p>
        </w:tc>
        <w:tc>
          <w:tcPr>
            <w:tcW w:w="1298" w:type="dxa"/>
            <w:shd w:val="clear" w:color="auto" w:fill="auto"/>
            <w:vAlign w:val="center"/>
          </w:tcPr>
          <w:p w14:paraId="15ECA8D3">
            <w:pPr>
              <w:spacing w:line="240" w:lineRule="auto"/>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682.16万元</w:t>
            </w:r>
          </w:p>
        </w:tc>
        <w:tc>
          <w:tcPr>
            <w:tcW w:w="1269" w:type="dxa"/>
            <w:shd w:val="clear" w:color="auto" w:fill="auto"/>
            <w:vAlign w:val="center"/>
          </w:tcPr>
          <w:p w14:paraId="3C328246">
            <w:pPr>
              <w:spacing w:line="240" w:lineRule="auto"/>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682.16万元</w:t>
            </w:r>
          </w:p>
        </w:tc>
        <w:tc>
          <w:tcPr>
            <w:tcW w:w="699" w:type="dxa"/>
            <w:shd w:val="clear" w:color="auto" w:fill="auto"/>
            <w:vAlign w:val="center"/>
          </w:tcPr>
          <w:p w14:paraId="42BD2B94">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69" w:type="dxa"/>
            <w:shd w:val="clear" w:color="auto" w:fill="auto"/>
            <w:vAlign w:val="center"/>
          </w:tcPr>
          <w:p w14:paraId="786F4305">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423" w:type="dxa"/>
            <w:shd w:val="clear" w:color="auto" w:fill="auto"/>
            <w:vAlign w:val="center"/>
          </w:tcPr>
          <w:p w14:paraId="0F79A5E1">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r>
      <w:tr w14:paraId="5C9D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03521D9F">
            <w:pPr>
              <w:spacing w:line="240" w:lineRule="auto"/>
              <w:ind w:firstLine="420"/>
              <w:jc w:val="center"/>
              <w:rPr>
                <w:rFonts w:ascii="仿宋_GB2312" w:eastAsia="仿宋_GB2312"/>
                <w:kern w:val="0"/>
              </w:rPr>
            </w:pPr>
          </w:p>
        </w:tc>
        <w:tc>
          <w:tcPr>
            <w:tcW w:w="1069" w:type="dxa"/>
            <w:vMerge w:val="continue"/>
            <w:vAlign w:val="center"/>
          </w:tcPr>
          <w:p w14:paraId="1471CA84">
            <w:pPr>
              <w:spacing w:line="240" w:lineRule="auto"/>
              <w:ind w:firstLine="420"/>
              <w:jc w:val="center"/>
              <w:rPr>
                <w:rFonts w:ascii="仿宋_GB2312" w:eastAsia="仿宋_GB2312"/>
                <w:kern w:val="0"/>
              </w:rPr>
            </w:pPr>
          </w:p>
        </w:tc>
        <w:tc>
          <w:tcPr>
            <w:tcW w:w="1029" w:type="dxa"/>
            <w:tcBorders>
              <w:top w:val="nil"/>
            </w:tcBorders>
            <w:vAlign w:val="center"/>
          </w:tcPr>
          <w:p w14:paraId="632D9A37">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shd w:val="clear" w:color="auto" w:fill="auto"/>
            <w:vAlign w:val="center"/>
          </w:tcPr>
          <w:p w14:paraId="4C2510AC">
            <w:pPr>
              <w:spacing w:line="240" w:lineRule="auto"/>
              <w:jc w:val="left"/>
              <w:rPr>
                <w:rFonts w:hint="eastAsia" w:ascii="仿宋_GB2312" w:hAnsi="Arial" w:eastAsia="仿宋_GB2312" w:cs="Arial"/>
                <w:snapToGrid w:val="0"/>
                <w:color w:val="000000"/>
                <w:kern w:val="0"/>
                <w:sz w:val="21"/>
                <w:szCs w:val="21"/>
                <w:lang w:val="en-US" w:eastAsia="en-US" w:bidi="ar-SA"/>
              </w:rPr>
            </w:pPr>
            <w:r>
              <w:rPr>
                <w:rFonts w:hint="eastAsia" w:ascii="仿宋_GB2312" w:eastAsia="仿宋_GB2312"/>
                <w:kern w:val="0"/>
              </w:rPr>
              <w:t>对社会发展可能造成的负面影响</w:t>
            </w:r>
          </w:p>
        </w:tc>
        <w:tc>
          <w:tcPr>
            <w:tcW w:w="1298" w:type="dxa"/>
            <w:shd w:val="clear" w:color="auto" w:fill="auto"/>
            <w:vAlign w:val="center"/>
          </w:tcPr>
          <w:p w14:paraId="09361E43">
            <w:pPr>
              <w:spacing w:line="240" w:lineRule="auto"/>
              <w:ind w:firstLine="420" w:firstLineChars="0"/>
              <w:jc w:val="both"/>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无</w:t>
            </w:r>
          </w:p>
        </w:tc>
        <w:tc>
          <w:tcPr>
            <w:tcW w:w="1269" w:type="dxa"/>
            <w:shd w:val="clear" w:color="auto" w:fill="auto"/>
            <w:vAlign w:val="center"/>
          </w:tcPr>
          <w:p w14:paraId="32DCD303">
            <w:pPr>
              <w:spacing w:line="240" w:lineRule="auto"/>
              <w:ind w:firstLine="420" w:firstLineChars="0"/>
              <w:jc w:val="both"/>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无</w:t>
            </w:r>
          </w:p>
        </w:tc>
        <w:tc>
          <w:tcPr>
            <w:tcW w:w="699" w:type="dxa"/>
            <w:shd w:val="clear" w:color="auto" w:fill="auto"/>
            <w:vAlign w:val="center"/>
          </w:tcPr>
          <w:p w14:paraId="765229A3">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869" w:type="dxa"/>
            <w:shd w:val="clear" w:color="auto" w:fill="auto"/>
            <w:vAlign w:val="center"/>
          </w:tcPr>
          <w:p w14:paraId="4012A71B">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1423" w:type="dxa"/>
            <w:shd w:val="clear" w:color="auto" w:fill="auto"/>
            <w:vAlign w:val="center"/>
          </w:tcPr>
          <w:p w14:paraId="6A85C036">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r>
      <w:tr w14:paraId="64DB8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2F970E6A">
            <w:pPr>
              <w:spacing w:line="240" w:lineRule="auto"/>
              <w:ind w:firstLine="420"/>
              <w:jc w:val="center"/>
              <w:rPr>
                <w:rFonts w:ascii="仿宋_GB2312" w:eastAsia="仿宋_GB2312"/>
                <w:kern w:val="0"/>
              </w:rPr>
            </w:pPr>
          </w:p>
        </w:tc>
        <w:tc>
          <w:tcPr>
            <w:tcW w:w="1069" w:type="dxa"/>
            <w:vMerge w:val="continue"/>
            <w:vAlign w:val="center"/>
          </w:tcPr>
          <w:p w14:paraId="2827F181">
            <w:pPr>
              <w:spacing w:line="240" w:lineRule="auto"/>
              <w:ind w:firstLine="420"/>
              <w:jc w:val="center"/>
              <w:rPr>
                <w:rFonts w:ascii="仿宋_GB2312" w:eastAsia="仿宋_GB2312"/>
                <w:kern w:val="0"/>
              </w:rPr>
            </w:pPr>
          </w:p>
        </w:tc>
        <w:tc>
          <w:tcPr>
            <w:tcW w:w="1029" w:type="dxa"/>
            <w:tcBorders>
              <w:top w:val="nil"/>
            </w:tcBorders>
            <w:vAlign w:val="center"/>
          </w:tcPr>
          <w:p w14:paraId="5CA58488">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shd w:val="clear" w:color="auto" w:fill="auto"/>
            <w:vAlign w:val="center"/>
          </w:tcPr>
          <w:p w14:paraId="304051C0">
            <w:pPr>
              <w:spacing w:line="240" w:lineRule="auto"/>
              <w:jc w:val="left"/>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对自然生态环境造成的负面影响</w:t>
            </w:r>
          </w:p>
        </w:tc>
        <w:tc>
          <w:tcPr>
            <w:tcW w:w="1298" w:type="dxa"/>
            <w:shd w:val="clear" w:color="auto" w:fill="auto"/>
            <w:vAlign w:val="center"/>
          </w:tcPr>
          <w:p w14:paraId="789CDCB9">
            <w:pPr>
              <w:spacing w:line="240" w:lineRule="auto"/>
              <w:ind w:firstLine="420" w:firstLineChars="0"/>
              <w:jc w:val="both"/>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无</w:t>
            </w:r>
          </w:p>
        </w:tc>
        <w:tc>
          <w:tcPr>
            <w:tcW w:w="1269" w:type="dxa"/>
            <w:shd w:val="clear" w:color="auto" w:fill="auto"/>
            <w:vAlign w:val="center"/>
          </w:tcPr>
          <w:p w14:paraId="4E354EE6">
            <w:pPr>
              <w:spacing w:line="240" w:lineRule="auto"/>
              <w:ind w:firstLine="420" w:firstLineChars="0"/>
              <w:jc w:val="both"/>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无</w:t>
            </w:r>
          </w:p>
        </w:tc>
        <w:tc>
          <w:tcPr>
            <w:tcW w:w="699" w:type="dxa"/>
            <w:shd w:val="clear" w:color="auto" w:fill="auto"/>
            <w:vAlign w:val="center"/>
          </w:tcPr>
          <w:p w14:paraId="6C36DE67">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869" w:type="dxa"/>
            <w:shd w:val="clear" w:color="auto" w:fill="auto"/>
            <w:vAlign w:val="center"/>
          </w:tcPr>
          <w:p w14:paraId="6B31F2AB">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1423" w:type="dxa"/>
            <w:shd w:val="clear" w:color="auto" w:fill="auto"/>
            <w:vAlign w:val="center"/>
          </w:tcPr>
          <w:p w14:paraId="14ED7F29">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r>
      <w:tr w14:paraId="7C19B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14:paraId="54CDD55D">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14:paraId="0F7926F1">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14:paraId="6F45C2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98</w:t>
            </w:r>
          </w:p>
        </w:tc>
        <w:tc>
          <w:tcPr>
            <w:tcW w:w="1423" w:type="dxa"/>
            <w:vAlign w:val="center"/>
          </w:tcPr>
          <w:p w14:paraId="74074F36">
            <w:pPr>
              <w:spacing w:line="240" w:lineRule="auto"/>
              <w:ind w:firstLine="420"/>
              <w:jc w:val="center"/>
              <w:rPr>
                <w:rFonts w:ascii="仿宋_GB2312" w:eastAsia="仿宋_GB2312"/>
                <w:kern w:val="0"/>
              </w:rPr>
            </w:pPr>
          </w:p>
        </w:tc>
      </w:tr>
    </w:tbl>
    <w:p w14:paraId="1494D30D">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r>
        <w:rPr>
          <w:rFonts w:ascii="仿宋_GB2312" w:hAnsi="宋体" w:eastAsia="仿宋_GB2312" w:cs="宋体"/>
          <w:snapToGrid w:val="0"/>
          <w:color w:val="000000"/>
          <w:sz w:val="35"/>
          <w:szCs w:val="35"/>
          <w:lang w:val="en-US" w:eastAsia="zh-CN" w:bidi="ar-SA"/>
        </w:rPr>
        <w:t xml:space="preserve"> </w:t>
      </w:r>
    </w:p>
    <w:p w14:paraId="51012CB8">
      <w:pPr>
        <w:spacing w:line="267" w:lineRule="auto"/>
        <w:ind w:firstLine="552"/>
        <w:jc w:val="both"/>
        <w:rPr>
          <w:rFonts w:hint="eastAsia" w:ascii="宋体" w:hAnsi="宋体" w:eastAsia="宋体" w:cs="宋体"/>
          <w:bCs/>
          <w:spacing w:val="-4"/>
          <w:kern w:val="0"/>
          <w:sz w:val="28"/>
          <w:szCs w:val="28"/>
          <w:lang w:eastAsia="zh-CN"/>
        </w:rPr>
      </w:pPr>
    </w:p>
    <w:p w14:paraId="5E7B075D">
      <w:pPr>
        <w:spacing w:line="267" w:lineRule="auto"/>
        <w:ind w:firstLine="552"/>
        <w:jc w:val="both"/>
        <w:rPr>
          <w:rFonts w:hint="eastAsia" w:ascii="宋体" w:hAnsi="宋体" w:eastAsia="宋体" w:cs="宋体"/>
          <w:bCs/>
          <w:spacing w:val="-4"/>
          <w:kern w:val="0"/>
          <w:sz w:val="28"/>
          <w:szCs w:val="28"/>
          <w:lang w:eastAsia="zh-CN"/>
        </w:rPr>
      </w:pPr>
    </w:p>
    <w:p w14:paraId="73F24655">
      <w:pPr>
        <w:spacing w:line="267" w:lineRule="auto"/>
        <w:ind w:firstLine="552"/>
        <w:jc w:val="both"/>
        <w:rPr>
          <w:rFonts w:hint="eastAsia" w:ascii="宋体" w:hAnsi="宋体" w:eastAsia="宋体" w:cs="宋体"/>
          <w:bCs/>
          <w:spacing w:val="-4"/>
          <w:kern w:val="0"/>
          <w:sz w:val="28"/>
          <w:szCs w:val="28"/>
          <w:lang w:eastAsia="zh-CN"/>
        </w:rPr>
      </w:pPr>
    </w:p>
    <w:p w14:paraId="01B45AB8">
      <w:pPr>
        <w:spacing w:line="267" w:lineRule="auto"/>
        <w:ind w:firstLine="552"/>
        <w:jc w:val="both"/>
        <w:rPr>
          <w:rFonts w:hint="eastAsia" w:ascii="宋体" w:hAnsi="宋体" w:eastAsia="宋体" w:cs="宋体"/>
          <w:bCs/>
          <w:spacing w:val="-4"/>
          <w:kern w:val="0"/>
          <w:sz w:val="28"/>
          <w:szCs w:val="28"/>
          <w:lang w:eastAsia="zh-CN"/>
        </w:rPr>
      </w:pPr>
    </w:p>
    <w:p w14:paraId="6C4B7D70">
      <w:pPr>
        <w:spacing w:line="267" w:lineRule="auto"/>
        <w:ind w:firstLine="552"/>
        <w:jc w:val="both"/>
        <w:rPr>
          <w:rFonts w:hint="eastAsia" w:ascii="宋体" w:hAnsi="宋体" w:eastAsia="宋体" w:cs="宋体"/>
          <w:bCs/>
          <w:spacing w:val="-4"/>
          <w:kern w:val="0"/>
          <w:sz w:val="28"/>
          <w:szCs w:val="28"/>
          <w:lang w:eastAsia="zh-CN"/>
        </w:rPr>
      </w:pPr>
    </w:p>
    <w:p w14:paraId="5D67E4C8">
      <w:pPr>
        <w:spacing w:line="267" w:lineRule="auto"/>
        <w:ind w:firstLine="552"/>
        <w:jc w:val="both"/>
        <w:rPr>
          <w:rFonts w:hint="eastAsia" w:ascii="宋体" w:hAnsi="宋体" w:eastAsia="宋体" w:cs="宋体"/>
          <w:bCs/>
          <w:spacing w:val="-4"/>
          <w:kern w:val="0"/>
          <w:sz w:val="28"/>
          <w:szCs w:val="28"/>
          <w:lang w:eastAsia="zh-CN"/>
        </w:rPr>
      </w:pPr>
    </w:p>
    <w:p w14:paraId="44A5B62E">
      <w:pPr>
        <w:spacing w:line="267" w:lineRule="auto"/>
        <w:ind w:firstLine="552"/>
        <w:jc w:val="both"/>
        <w:rPr>
          <w:rFonts w:hint="eastAsia" w:ascii="宋体" w:hAnsi="宋体" w:eastAsia="宋体" w:cs="宋体"/>
          <w:bCs/>
          <w:spacing w:val="-4"/>
          <w:kern w:val="0"/>
          <w:sz w:val="28"/>
          <w:szCs w:val="28"/>
          <w:lang w:eastAsia="zh-CN"/>
        </w:rPr>
      </w:pPr>
    </w:p>
    <w:p w14:paraId="73E8D23E">
      <w:pPr>
        <w:spacing w:line="267" w:lineRule="auto"/>
        <w:ind w:firstLine="552"/>
        <w:jc w:val="both"/>
        <w:rPr>
          <w:rFonts w:hint="eastAsia" w:ascii="宋体" w:hAnsi="宋体" w:eastAsia="宋体" w:cs="宋体"/>
          <w:bCs/>
          <w:spacing w:val="-4"/>
          <w:kern w:val="0"/>
          <w:sz w:val="28"/>
          <w:szCs w:val="28"/>
          <w:lang w:eastAsia="zh-CN"/>
        </w:rPr>
      </w:pPr>
    </w:p>
    <w:p w14:paraId="5AD2FD91">
      <w:pPr>
        <w:spacing w:line="267" w:lineRule="auto"/>
        <w:ind w:firstLine="552"/>
        <w:jc w:val="both"/>
        <w:rPr>
          <w:rFonts w:hint="eastAsia" w:ascii="宋体" w:hAnsi="宋体" w:eastAsia="宋体" w:cs="宋体"/>
          <w:bCs/>
          <w:spacing w:val="-4"/>
          <w:kern w:val="0"/>
          <w:sz w:val="28"/>
          <w:szCs w:val="28"/>
          <w:lang w:eastAsia="zh-CN"/>
        </w:rPr>
      </w:pPr>
    </w:p>
    <w:p w14:paraId="374B6076">
      <w:pPr>
        <w:spacing w:line="267" w:lineRule="auto"/>
        <w:ind w:firstLine="552"/>
        <w:jc w:val="both"/>
        <w:rPr>
          <w:rFonts w:hint="eastAsia" w:ascii="宋体" w:hAnsi="宋体" w:eastAsia="宋体" w:cs="宋体"/>
          <w:bCs/>
          <w:spacing w:val="-4"/>
          <w:kern w:val="0"/>
          <w:sz w:val="28"/>
          <w:szCs w:val="28"/>
          <w:lang w:eastAsia="zh-CN"/>
        </w:rPr>
      </w:pPr>
    </w:p>
    <w:p w14:paraId="2C5094E1">
      <w:pPr>
        <w:spacing w:line="267" w:lineRule="auto"/>
        <w:ind w:firstLine="552"/>
        <w:jc w:val="both"/>
        <w:rPr>
          <w:rFonts w:hint="eastAsia" w:ascii="宋体" w:hAnsi="宋体" w:eastAsia="宋体" w:cs="宋体"/>
          <w:bCs/>
          <w:spacing w:val="-4"/>
          <w:kern w:val="0"/>
          <w:sz w:val="28"/>
          <w:szCs w:val="28"/>
          <w:lang w:eastAsia="zh-CN"/>
        </w:rPr>
      </w:pPr>
    </w:p>
    <w:p w14:paraId="25F68653">
      <w:pPr>
        <w:spacing w:line="267" w:lineRule="auto"/>
        <w:ind w:firstLine="552"/>
        <w:jc w:val="both"/>
        <w:rPr>
          <w:rFonts w:hint="eastAsia" w:ascii="宋体" w:hAnsi="宋体" w:eastAsia="宋体" w:cs="宋体"/>
          <w:bCs/>
          <w:spacing w:val="-4"/>
          <w:kern w:val="0"/>
          <w:sz w:val="28"/>
          <w:szCs w:val="28"/>
          <w:lang w:eastAsia="zh-CN"/>
        </w:rPr>
      </w:pPr>
    </w:p>
    <w:p w14:paraId="55C30A03">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68C70125">
      <w:pPr>
        <w:spacing w:line="240" w:lineRule="auto"/>
        <w:ind w:firstLine="880"/>
        <w:jc w:val="center"/>
        <w:rPr>
          <w:rFonts w:hint="eastAsia" w:ascii="方正小标宋简体" w:eastAsia="方正小标宋简体"/>
          <w:kern w:val="0"/>
          <w:sz w:val="44"/>
          <w:szCs w:val="44"/>
          <w:lang w:eastAsia="zh-CN"/>
        </w:rPr>
      </w:pPr>
    </w:p>
    <w:p w14:paraId="651F7153">
      <w:pPr>
        <w:spacing w:line="240" w:lineRule="auto"/>
        <w:ind w:firstLine="880"/>
        <w:jc w:val="center"/>
        <w:rPr>
          <w:rFonts w:hint="eastAsia" w:ascii="方正小标宋简体" w:eastAsia="方正小标宋简体"/>
          <w:kern w:val="0"/>
          <w:sz w:val="44"/>
          <w:szCs w:val="44"/>
          <w:lang w:eastAsia="zh-CN"/>
        </w:rPr>
      </w:pPr>
    </w:p>
    <w:p w14:paraId="21C92E1A">
      <w:pPr>
        <w:spacing w:line="240" w:lineRule="auto"/>
        <w:ind w:firstLine="880"/>
        <w:jc w:val="center"/>
        <w:rPr>
          <w:rFonts w:hint="eastAsia" w:ascii="方正小标宋简体" w:hAnsi="宋体" w:eastAsia="方正小标宋简体" w:cs="宋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3</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val="en-US" w:eastAsia="zh-CN"/>
        </w:rPr>
        <w:t>汨罗市发展和改革局</w:t>
      </w:r>
      <w:r>
        <w:rPr>
          <w:rFonts w:hint="eastAsia" w:ascii="方正小标宋简体" w:hAnsi="宋体" w:eastAsia="方正小标宋简体" w:cs="宋体"/>
          <w:kern w:val="0"/>
          <w:sz w:val="44"/>
          <w:szCs w:val="44"/>
          <w:lang w:eastAsia="zh-CN"/>
        </w:rPr>
        <w:t>部门</w:t>
      </w:r>
    </w:p>
    <w:p w14:paraId="4E3D087B">
      <w:pPr>
        <w:spacing w:line="240" w:lineRule="auto"/>
        <w:ind w:firstLine="880"/>
        <w:jc w:val="center"/>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lang w:eastAsia="zh-CN"/>
        </w:rPr>
        <w:t>整体支出绩效自评报告</w:t>
      </w:r>
    </w:p>
    <w:p w14:paraId="32A103B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DAE694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69785C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32C108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6A148A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978729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481D73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AB441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2ABB18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80D2E8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B9B190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7A0CD2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E78EDC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06B3E9A">
      <w:pPr>
        <w:kinsoku w:val="0"/>
        <w:autoSpaceDE w:val="0"/>
        <w:autoSpaceDN w:val="0"/>
        <w:adjustRightInd w:val="0"/>
        <w:snapToGrid w:val="0"/>
        <w:spacing w:before="78" w:line="221" w:lineRule="auto"/>
        <w:ind w:firstLine="587"/>
        <w:jc w:val="center"/>
        <w:textAlignment w:val="baseline"/>
        <w:rPr>
          <w:rFonts w:hint="default" w:ascii="楷体_GB2312" w:hAnsi="仿宋" w:eastAsia="楷体_GB2312" w:cs="仿宋"/>
          <w:snapToGrid w:val="0"/>
          <w:color w:val="000000"/>
          <w:sz w:val="32"/>
          <w:szCs w:val="32"/>
          <w:lang w:val="en-US" w:eastAsia="zh-CN" w:bidi="ar-SA"/>
        </w:rPr>
      </w:pPr>
      <w:r>
        <w:rPr>
          <w:rFonts w:hint="eastAsia" w:ascii="楷体_GB2312" w:hAnsi="仿宋" w:eastAsia="楷体_GB2312" w:cs="仿宋"/>
          <w:b/>
          <w:bCs/>
          <w:snapToGrid w:val="0"/>
          <w:color w:val="000000"/>
          <w:spacing w:val="-28"/>
          <w:sz w:val="32"/>
          <w:szCs w:val="32"/>
          <w:lang w:val="en-US" w:eastAsia="zh-CN" w:bidi="ar-SA"/>
        </w:rPr>
        <w:t>部门(单位)名称：</w:t>
      </w:r>
      <w:r>
        <w:rPr>
          <w:rFonts w:hint="eastAsia" w:ascii="楷体_GB2312" w:hAnsi="仿宋" w:eastAsia="楷体_GB2312" w:cs="仿宋"/>
          <w:b/>
          <w:bCs/>
          <w:snapToGrid w:val="0"/>
          <w:color w:val="000000"/>
          <w:spacing w:val="-28"/>
          <w:sz w:val="32"/>
          <w:szCs w:val="32"/>
          <w:u w:val="single"/>
          <w:lang w:val="en-US" w:eastAsia="zh-CN" w:bidi="ar-SA"/>
        </w:rPr>
        <w:t>汨罗市发展和改革局</w:t>
      </w:r>
    </w:p>
    <w:p w14:paraId="2CE85E71">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val="en-US" w:eastAsia="zh-CN"/>
        </w:rPr>
        <w:t>2024</w:t>
      </w: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b/>
          <w:bCs/>
          <w:spacing w:val="-13"/>
          <w:kern w:val="0"/>
          <w:sz w:val="32"/>
          <w:szCs w:val="32"/>
          <w:lang w:val="en-US" w:eastAsia="zh-CN"/>
        </w:rPr>
        <w:t>10</w:t>
      </w:r>
      <w:r>
        <w:rPr>
          <w:rFonts w:hint="eastAsia" w:ascii="楷体_GB2312" w:hAnsi="楷体" w:eastAsia="楷体_GB2312" w:cs="楷体"/>
          <w:b/>
          <w:bCs/>
          <w:spacing w:val="-13"/>
          <w:kern w:val="0"/>
          <w:sz w:val="32"/>
          <w:szCs w:val="32"/>
          <w:lang w:eastAsia="zh-CN"/>
        </w:rPr>
        <w:t xml:space="preserve">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spacing w:val="-13"/>
          <w:kern w:val="0"/>
          <w:sz w:val="32"/>
          <w:szCs w:val="32"/>
          <w:lang w:val="en-US" w:eastAsia="zh-CN"/>
        </w:rPr>
        <w:t>15</w:t>
      </w:r>
      <w:r>
        <w:rPr>
          <w:rFonts w:hint="eastAsia" w:ascii="楷体_GB2312" w:hAnsi="楷体" w:eastAsia="楷体_GB2312" w:cs="楷体"/>
          <w:spacing w:val="-13"/>
          <w:kern w:val="0"/>
          <w:sz w:val="32"/>
          <w:szCs w:val="32"/>
          <w:lang w:eastAsia="zh-CN"/>
        </w:rPr>
        <w:t xml:space="preserve">   </w:t>
      </w:r>
      <w:r>
        <w:rPr>
          <w:rFonts w:hint="eastAsia" w:ascii="楷体_GB2312" w:hAnsi="楷体" w:eastAsia="楷体_GB2312" w:cs="楷体"/>
          <w:b/>
          <w:bCs/>
          <w:spacing w:val="-13"/>
          <w:kern w:val="0"/>
          <w:sz w:val="32"/>
          <w:szCs w:val="32"/>
          <w:lang w:eastAsia="zh-CN"/>
        </w:rPr>
        <w:t>日</w:t>
      </w:r>
    </w:p>
    <w:p w14:paraId="4303E6AE">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58CFEB6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6E502FB4">
      <w:pPr>
        <w:kinsoku w:val="0"/>
        <w:autoSpaceDE w:val="0"/>
        <w:autoSpaceDN w:val="0"/>
        <w:adjustRightInd w:val="0"/>
        <w:snapToGrid w:val="0"/>
        <w:spacing w:before="211" w:line="224" w:lineRule="auto"/>
        <w:jc w:val="both"/>
        <w:textAlignment w:val="baseline"/>
        <w:rPr>
          <w:rFonts w:ascii="仿宋" w:hAnsi="仿宋" w:eastAsia="仿宋" w:cs="仿宋"/>
          <w:b/>
          <w:bCs/>
          <w:snapToGrid w:val="0"/>
          <w:color w:val="000000"/>
          <w:spacing w:val="18"/>
          <w:sz w:val="30"/>
          <w:szCs w:val="30"/>
          <w:lang w:val="en-US" w:eastAsia="zh-CN" w:bidi="ar-SA"/>
        </w:rPr>
      </w:pPr>
    </w:p>
    <w:p w14:paraId="0405FD6B">
      <w:pPr>
        <w:pStyle w:val="7"/>
        <w:jc w:val="left"/>
        <w:rPr>
          <w:rFonts w:asciiTheme="minorEastAsia" w:hAnsiTheme="minorEastAsia" w:eastAsiaTheme="minorEastAsia"/>
          <w:kern w:val="0"/>
          <w:lang w:eastAsia="zh-CN"/>
        </w:rPr>
      </w:pPr>
    </w:p>
    <w:p w14:paraId="2B8F3F06">
      <w:pPr>
        <w:spacing w:before="130" w:line="360" w:lineRule="auto"/>
        <w:jc w:val="center"/>
        <w:rPr>
          <w:rFonts w:ascii="黑体" w:hAnsi="黑体" w:eastAsia="黑体" w:cs="黑体"/>
          <w:spacing w:val="16"/>
          <w:sz w:val="40"/>
          <w:szCs w:val="40"/>
          <w:lang w:eastAsia="zh-CN"/>
        </w:rPr>
      </w:pPr>
      <w:r>
        <w:rPr>
          <w:rFonts w:ascii="黑体" w:hAnsi="黑体" w:eastAsia="黑体" w:cs="黑体"/>
          <w:spacing w:val="16"/>
          <w:sz w:val="40"/>
          <w:szCs w:val="40"/>
          <w:lang w:eastAsia="zh-CN"/>
        </w:rPr>
        <w:t>2023年度</w:t>
      </w:r>
      <w:r>
        <w:rPr>
          <w:rFonts w:hint="eastAsia" w:ascii="黑体" w:hAnsi="黑体" w:eastAsia="黑体" w:cs="黑体"/>
          <w:spacing w:val="16"/>
          <w:sz w:val="40"/>
          <w:szCs w:val="40"/>
          <w:lang w:eastAsia="zh-CN"/>
        </w:rPr>
        <w:t>汨罗市发展和改革局</w:t>
      </w:r>
      <w:r>
        <w:rPr>
          <w:rFonts w:ascii="黑体" w:hAnsi="黑体" w:eastAsia="黑体" w:cs="黑体"/>
          <w:spacing w:val="16"/>
          <w:sz w:val="40"/>
          <w:szCs w:val="40"/>
          <w:lang w:eastAsia="zh-CN"/>
        </w:rPr>
        <w:t>部门</w:t>
      </w:r>
    </w:p>
    <w:p w14:paraId="4CEB440A">
      <w:pPr>
        <w:spacing w:before="130" w:line="360" w:lineRule="auto"/>
        <w:jc w:val="center"/>
        <w:rPr>
          <w:rFonts w:ascii="仿宋" w:hAnsi="仿宋" w:eastAsia="仿宋" w:cs="仿宋"/>
          <w:b/>
          <w:bCs/>
          <w:spacing w:val="18"/>
          <w:sz w:val="30"/>
          <w:szCs w:val="30"/>
          <w:lang w:eastAsia="zh-CN"/>
        </w:rPr>
      </w:pPr>
      <w:r>
        <w:rPr>
          <w:rFonts w:ascii="黑体" w:hAnsi="黑体" w:eastAsia="黑体" w:cs="黑体"/>
          <w:spacing w:val="16"/>
          <w:sz w:val="40"/>
          <w:szCs w:val="40"/>
          <w:lang w:eastAsia="zh-CN"/>
        </w:rPr>
        <w:t>整体支出绩效</w:t>
      </w:r>
      <w:r>
        <w:rPr>
          <w:rFonts w:hint="eastAsia" w:ascii="黑体" w:hAnsi="黑体" w:eastAsia="黑体" w:cs="黑体"/>
          <w:spacing w:val="16"/>
          <w:sz w:val="40"/>
          <w:szCs w:val="40"/>
          <w:lang w:eastAsia="zh-CN"/>
        </w:rPr>
        <w:t>自评报告</w:t>
      </w:r>
    </w:p>
    <w:p w14:paraId="59B86A18">
      <w:pPr>
        <w:numPr>
          <w:ilvl w:val="0"/>
          <w:numId w:val="1"/>
        </w:numPr>
        <w:spacing w:before="211" w:line="360" w:lineRule="auto"/>
        <w:ind w:firstLine="640"/>
        <w:jc w:val="both"/>
        <w:rPr>
          <w:rFonts w:ascii="方正黑体_GBK" w:hAnsi="仿宋" w:eastAsia="方正黑体_GBK" w:cs="仿宋"/>
          <w:sz w:val="32"/>
          <w:szCs w:val="32"/>
          <w:lang w:eastAsia="zh-CN"/>
        </w:rPr>
      </w:pPr>
      <w:r>
        <w:rPr>
          <w:rFonts w:hint="eastAsia" w:ascii="方正黑体_GBK" w:hAnsi="仿宋" w:eastAsia="方正黑体_GBK" w:cs="仿宋"/>
          <w:sz w:val="32"/>
          <w:szCs w:val="32"/>
          <w:lang w:eastAsia="zh-CN"/>
        </w:rPr>
        <w:t>部门</w:t>
      </w:r>
      <w:r>
        <w:rPr>
          <w:rFonts w:ascii="方正黑体_GBK" w:hAnsi="仿宋" w:eastAsia="方正黑体_GBK" w:cs="仿宋"/>
          <w:sz w:val="32"/>
          <w:szCs w:val="32"/>
          <w:lang w:eastAsia="zh-CN"/>
        </w:rPr>
        <w:t>(</w:t>
      </w:r>
      <w:r>
        <w:rPr>
          <w:rFonts w:hint="eastAsia" w:ascii="方正黑体_GBK" w:hAnsi="仿宋" w:eastAsia="方正黑体_GBK" w:cs="仿宋"/>
          <w:sz w:val="32"/>
          <w:szCs w:val="32"/>
          <w:lang w:eastAsia="zh-CN"/>
        </w:rPr>
        <w:t>单位</w:t>
      </w:r>
      <w:r>
        <w:rPr>
          <w:rFonts w:ascii="方正黑体_GBK" w:hAnsi="仿宋" w:eastAsia="方正黑体_GBK" w:cs="仿宋"/>
          <w:sz w:val="32"/>
          <w:szCs w:val="32"/>
          <w:lang w:eastAsia="zh-CN"/>
        </w:rPr>
        <w:t>)</w:t>
      </w:r>
      <w:r>
        <w:rPr>
          <w:rFonts w:hint="eastAsia" w:ascii="方正黑体_GBK" w:hAnsi="仿宋" w:eastAsia="方正黑体_GBK" w:cs="仿宋"/>
          <w:sz w:val="32"/>
          <w:szCs w:val="32"/>
          <w:lang w:eastAsia="zh-CN"/>
        </w:rPr>
        <w:t>基本情况</w:t>
      </w:r>
    </w:p>
    <w:p w14:paraId="61F1A591">
      <w:pPr>
        <w:widowControl w:val="0"/>
        <w:kinsoku/>
        <w:autoSpaceDE/>
        <w:autoSpaceDN/>
        <w:adjustRightInd/>
        <w:snapToGrid/>
        <w:spacing w:line="360" w:lineRule="auto"/>
        <w:ind w:firstLine="640" w:firstLineChars="200"/>
        <w:textAlignment w:val="auto"/>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汨罗市发展和改革局在职在编人数59人，内设机构包括：办公室（财务室、人事股），综合规划改革股，固定资产投资股（评估督导股），农村经济股（汨罗市对口支援办公室，以工代赈办公室），工交资环两型股（长江经济带和洞庭湖发展办公室)，社会发展股（财贸服务和信用建设股，汨罗市社会信息体系建设工作领导小组办公室），价格管理股（汨罗市价格成本调查队），行政审批股（汨罗市招投标管理办公室，法规股），能源股</w:t>
      </w:r>
      <w:r>
        <w:rPr>
          <w:rFonts w:hint="eastAsia" w:ascii="仿宋" w:hAnsi="仿宋" w:eastAsia="仿宋" w:cs="仿宋"/>
          <w:spacing w:val="9"/>
          <w:sz w:val="29"/>
          <w:szCs w:val="29"/>
          <w:lang w:eastAsia="zh-CN"/>
        </w:rPr>
        <w:t>。</w:t>
      </w:r>
    </w:p>
    <w:p w14:paraId="5D07093D">
      <w:pPr>
        <w:widowControl w:val="0"/>
        <w:kinsoku/>
        <w:autoSpaceDE/>
        <w:autoSpaceDN/>
        <w:adjustRightInd/>
        <w:snapToGrid/>
        <w:spacing w:line="360" w:lineRule="auto"/>
        <w:ind w:firstLine="640" w:firstLineChars="200"/>
        <w:textAlignment w:val="auto"/>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汨罗市发展和改革局2023年单位构成包括：汨罗市发展和改革局本级以及汨罗市节能信息中心、汨罗市价格认证鉴定中心、汨罗市建设项目事务中心、汨罗市政府投资概算评审中心和汨罗市发展和改革事务中心五个非独立核算二级机构</w:t>
      </w:r>
      <w:r>
        <w:rPr>
          <w:rFonts w:hint="eastAsia" w:ascii="仿宋" w:hAnsi="仿宋" w:eastAsia="仿宋" w:cs="仿宋"/>
          <w:spacing w:val="9"/>
          <w:sz w:val="29"/>
          <w:szCs w:val="29"/>
          <w:lang w:eastAsia="zh-CN"/>
        </w:rPr>
        <w:t>。</w:t>
      </w:r>
    </w:p>
    <w:p w14:paraId="65241338">
      <w:pPr>
        <w:widowControl w:val="0"/>
        <w:kinsoku/>
        <w:autoSpaceDE/>
        <w:autoSpaceDN/>
        <w:adjustRightInd/>
        <w:snapToGrid/>
        <w:spacing w:line="360" w:lineRule="auto"/>
        <w:ind w:firstLine="640" w:firstLineChars="200"/>
        <w:textAlignment w:val="auto"/>
        <w:rPr>
          <w:rFonts w:ascii="方正黑体_GBK" w:eastAsia="方正黑体_GBK"/>
          <w:sz w:val="32"/>
          <w:szCs w:val="32"/>
          <w:lang w:eastAsia="zh-CN"/>
        </w:rPr>
      </w:pPr>
      <w:r>
        <w:rPr>
          <w:rFonts w:hint="eastAsia" w:ascii="方正黑体_GBK" w:eastAsia="方正黑体_GBK"/>
          <w:sz w:val="32"/>
          <w:szCs w:val="32"/>
          <w:lang w:eastAsia="zh-CN"/>
        </w:rPr>
        <w:t>二、一般公共预算支出情况</w:t>
      </w:r>
    </w:p>
    <w:p w14:paraId="669FBCF7">
      <w:pPr>
        <w:pStyle w:val="14"/>
        <w:spacing w:line="360" w:lineRule="auto"/>
        <w:ind w:firstLine="643"/>
        <w:jc w:val="both"/>
        <w:rPr>
          <w:rFonts w:ascii="Times New Roman" w:hAnsi="Times New Roman" w:eastAsia="仿宋_GB2312"/>
          <w:sz w:val="32"/>
          <w:szCs w:val="32"/>
          <w:lang w:eastAsia="zh-CN"/>
        </w:rPr>
      </w:pPr>
      <w:r>
        <w:rPr>
          <w:rFonts w:hint="eastAsia" w:ascii="Times New Roman" w:hAnsi="Times New Roman" w:eastAsia="楷体_GB2312"/>
          <w:b/>
          <w:sz w:val="32"/>
          <w:szCs w:val="32"/>
          <w:lang w:eastAsia="zh-CN"/>
        </w:rPr>
        <w:t>（一）</w:t>
      </w:r>
      <w:r>
        <w:rPr>
          <w:rFonts w:hint="eastAsia" w:ascii="Times New Roman" w:hAnsi="Times New Roman" w:eastAsia="仿宋_GB2312"/>
          <w:sz w:val="32"/>
          <w:szCs w:val="32"/>
          <w:lang w:eastAsia="zh-CN"/>
        </w:rPr>
        <w:t>基本支出情况</w:t>
      </w:r>
    </w:p>
    <w:p w14:paraId="601CBA59">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年度财政拨款基本支出</w:t>
      </w:r>
      <w:r>
        <w:rPr>
          <w:rFonts w:hint="eastAsia" w:ascii="仿宋" w:hAnsi="仿宋" w:eastAsia="仿宋" w:cs="仿宋"/>
          <w:sz w:val="32"/>
          <w:szCs w:val="32"/>
          <w:highlight w:val="none"/>
          <w:lang w:val="en-US" w:eastAsia="zh-CN"/>
        </w:rPr>
        <w:t>1040.24</w:t>
      </w:r>
      <w:r>
        <w:rPr>
          <w:rFonts w:hint="eastAsia" w:ascii="仿宋" w:hAnsi="仿宋" w:eastAsia="仿宋" w:cs="仿宋"/>
          <w:sz w:val="32"/>
          <w:szCs w:val="32"/>
          <w:highlight w:val="none"/>
        </w:rPr>
        <w:t>万元，其中：</w:t>
      </w:r>
    </w:p>
    <w:p w14:paraId="5B52ED4C">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rPr>
        <w:t>人员经费</w:t>
      </w:r>
      <w:r>
        <w:rPr>
          <w:rFonts w:hint="eastAsia" w:ascii="仿宋" w:hAnsi="仿宋" w:eastAsia="仿宋" w:cs="仿宋"/>
          <w:sz w:val="32"/>
          <w:szCs w:val="32"/>
          <w:highlight w:val="none"/>
          <w:lang w:val="en-US" w:eastAsia="zh-CN"/>
        </w:rPr>
        <w:t>780.03</w:t>
      </w:r>
      <w:r>
        <w:rPr>
          <w:rFonts w:hint="eastAsia" w:ascii="仿宋" w:hAnsi="仿宋" w:eastAsia="仿宋" w:cs="仿宋"/>
          <w:sz w:val="32"/>
          <w:szCs w:val="32"/>
          <w:highlight w:val="none"/>
        </w:rPr>
        <w:t>万元，占基本支出的</w:t>
      </w:r>
      <w:r>
        <w:rPr>
          <w:rFonts w:hint="eastAsia" w:ascii="仿宋" w:hAnsi="仿宋" w:eastAsia="仿宋" w:cs="仿宋"/>
          <w:sz w:val="32"/>
          <w:szCs w:val="32"/>
          <w:highlight w:val="none"/>
          <w:lang w:val="en-US" w:eastAsia="zh-CN"/>
        </w:rPr>
        <w:t>74.99</w:t>
      </w:r>
      <w:r>
        <w:rPr>
          <w:rFonts w:hint="eastAsia" w:ascii="仿宋" w:hAnsi="仿宋" w:eastAsia="仿宋" w:cs="仿宋"/>
          <w:sz w:val="32"/>
          <w:szCs w:val="32"/>
          <w:highlight w:val="none"/>
        </w:rPr>
        <w:t>%,主要包括基本工资、津贴补贴、奖金、伙食补助费</w:t>
      </w:r>
      <w:r>
        <w:rPr>
          <w:rFonts w:hint="eastAsia" w:ascii="仿宋" w:hAnsi="仿宋" w:eastAsia="仿宋" w:cs="仿宋"/>
          <w:sz w:val="32"/>
          <w:szCs w:val="32"/>
          <w:highlight w:val="none"/>
          <w:lang w:eastAsia="zh-CN"/>
        </w:rPr>
        <w:t>、</w:t>
      </w:r>
      <w:r>
        <w:rPr>
          <w:rFonts w:hint="eastAsia" w:ascii="仿宋" w:hAnsi="仿宋" w:eastAsia="仿宋" w:cs="仿宋"/>
          <w:b w:val="0"/>
          <w:bCs w:val="0"/>
          <w:sz w:val="32"/>
          <w:szCs w:val="32"/>
          <w:highlight w:val="none"/>
        </w:rPr>
        <w:t>机关事业单位基本养老保险缴费、职工基本医疗保险缴费、公务员医疗补助缴费、其他社会保障缴费、住房公积金、其他工资福利支出等</w:t>
      </w:r>
      <w:r>
        <w:rPr>
          <w:rFonts w:hint="eastAsia" w:ascii="仿宋" w:hAnsi="仿宋" w:eastAsia="仿宋" w:cs="仿宋"/>
          <w:b w:val="0"/>
          <w:bCs w:val="0"/>
          <w:sz w:val="32"/>
          <w:szCs w:val="32"/>
          <w:highlight w:val="none"/>
          <w:lang w:eastAsia="zh-CN"/>
        </w:rPr>
        <w:t>。</w:t>
      </w:r>
    </w:p>
    <w:p w14:paraId="2587BFC1">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公用经费</w:t>
      </w:r>
      <w:r>
        <w:rPr>
          <w:rFonts w:hint="eastAsia" w:ascii="仿宋" w:hAnsi="仿宋" w:eastAsia="仿宋" w:cs="仿宋"/>
          <w:b w:val="0"/>
          <w:bCs w:val="0"/>
          <w:sz w:val="32"/>
          <w:szCs w:val="32"/>
          <w:highlight w:val="none"/>
          <w:lang w:val="en-US" w:eastAsia="zh-CN"/>
        </w:rPr>
        <w:t>260.21</w:t>
      </w:r>
      <w:r>
        <w:rPr>
          <w:rFonts w:hint="eastAsia" w:ascii="仿宋" w:hAnsi="仿宋" w:eastAsia="仿宋" w:cs="仿宋"/>
          <w:b w:val="0"/>
          <w:bCs w:val="0"/>
          <w:sz w:val="32"/>
          <w:szCs w:val="32"/>
          <w:highlight w:val="none"/>
        </w:rPr>
        <w:t>万元，占基本支出的</w:t>
      </w:r>
      <w:r>
        <w:rPr>
          <w:rFonts w:hint="eastAsia" w:ascii="仿宋" w:hAnsi="仿宋" w:eastAsia="仿宋" w:cs="仿宋"/>
          <w:b w:val="0"/>
          <w:bCs w:val="0"/>
          <w:sz w:val="32"/>
          <w:szCs w:val="32"/>
          <w:highlight w:val="none"/>
          <w:lang w:val="en-US" w:eastAsia="zh-CN"/>
        </w:rPr>
        <w:t>25.01</w:t>
      </w:r>
      <w:r>
        <w:rPr>
          <w:rFonts w:hint="eastAsia" w:ascii="仿宋" w:hAnsi="仿宋" w:eastAsia="仿宋" w:cs="仿宋"/>
          <w:b w:val="0"/>
          <w:bCs w:val="0"/>
          <w:sz w:val="32"/>
          <w:szCs w:val="32"/>
          <w:highlight w:val="none"/>
        </w:rPr>
        <w:t>%，主要包括办公费、印刷费、水电费、邮电费、物业管理费、差旅费、维修（护）费、租赁费、会议费、培训费、公务接待费、专用材料费、工会经费、和其他交通费。</w:t>
      </w:r>
    </w:p>
    <w:p w14:paraId="4640ECE5">
      <w:pPr>
        <w:pStyle w:val="14"/>
        <w:numPr>
          <w:ilvl w:val="0"/>
          <w:numId w:val="2"/>
        </w:numPr>
        <w:spacing w:line="360" w:lineRule="auto"/>
        <w:ind w:firstLine="640"/>
        <w:jc w:val="both"/>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项目支出情况</w:t>
      </w:r>
    </w:p>
    <w:p w14:paraId="16490C3C">
      <w:pPr>
        <w:pStyle w:val="14"/>
        <w:numPr>
          <w:ilvl w:val="0"/>
          <w:numId w:val="3"/>
        </w:numPr>
        <w:spacing w:line="360" w:lineRule="auto"/>
        <w:ind w:firstLine="640"/>
        <w:jc w:val="both"/>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专项资金实际使用情况分析：根据实际工作情况，汨罗市发展和改革局2023年度财政拨款项目支出总计6573.59万元，其中本级专项两个，重点项目建设事务中心专项6万，电力执法大队项目经费9万。</w:t>
      </w:r>
    </w:p>
    <w:p w14:paraId="0ECC5782">
      <w:pPr>
        <w:pStyle w:val="14"/>
        <w:spacing w:line="360" w:lineRule="auto"/>
        <w:ind w:firstLine="640"/>
        <w:jc w:val="both"/>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2、专项资金管理情况分析：专项资金本着专款专用原则，严格执行项目资金批准的使用计划和项目批复内容，不擅自调项、扩项、缩项、不拆借、挪用、挤占，对每笔专项资金的支付，严格执行财务制度，落实专项资金审核程序</w:t>
      </w:r>
    </w:p>
    <w:p w14:paraId="5C7A3EC6">
      <w:pPr>
        <w:spacing w:line="360" w:lineRule="auto"/>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三、部门整体支出绩效情况</w:t>
      </w:r>
    </w:p>
    <w:p w14:paraId="0C5ABD9F">
      <w:pPr>
        <w:pStyle w:val="14"/>
        <w:widowControl w:val="0"/>
        <w:kinsoku/>
        <w:autoSpaceDE/>
        <w:autoSpaceDN/>
        <w:adjustRightInd/>
        <w:snapToGrid/>
        <w:spacing w:line="360" w:lineRule="auto"/>
        <w:ind w:firstLine="643"/>
        <w:jc w:val="both"/>
        <w:textAlignment w:val="auto"/>
        <w:rPr>
          <w:rFonts w:ascii="Times New Roman" w:hAnsi="Times New Roman" w:eastAsia="黑体" w:cs="Times New Roman"/>
          <w:sz w:val="32"/>
          <w:szCs w:val="32"/>
          <w:lang w:eastAsia="zh-CN"/>
        </w:rPr>
      </w:pPr>
      <w:r>
        <w:rPr>
          <w:rFonts w:ascii="Times New Roman" w:hAnsi="Times New Roman" w:eastAsia="楷体" w:cs="Times New Roman"/>
          <w:b/>
          <w:bCs/>
          <w:kern w:val="2"/>
          <w:sz w:val="32"/>
          <w:szCs w:val="32"/>
          <w:lang w:eastAsia="zh-CN"/>
        </w:rPr>
        <w:t>（一）强化法治能力建设。</w:t>
      </w:r>
      <w:r>
        <w:rPr>
          <w:rFonts w:ascii="Times New Roman" w:hAnsi="Times New Roman" w:eastAsia="仿宋_GB2312" w:cs="Times New Roman"/>
          <w:kern w:val="2"/>
          <w:sz w:val="32"/>
          <w:szCs w:val="32"/>
          <w:lang w:eastAsia="zh-CN"/>
        </w:rPr>
        <w:t>编印下发并组织学习《发改系统法律法规汇编》，积极参加省发改委组织的发改讲堂学习，认真贯彻落实《政府投资条例》《招投标法》《价格法》等，干部职工如法网学法考法的达标率、通过率均达到100%。深化“放管服”改革，深化部门协助，加强信息共享，实现一网通办，今年共办结行政审批事项440余件，审批地下人防工程建设项目2个、审结2个，按时办结率、群众满意率均达到100%，进一步提高了便民利民服务水平，优化了营商发展环境。</w:t>
      </w:r>
    </w:p>
    <w:p w14:paraId="4285FB21">
      <w:pPr>
        <w:widowControl w:val="0"/>
        <w:kinsoku/>
        <w:autoSpaceDE/>
        <w:autoSpaceDN/>
        <w:adjustRightInd/>
        <w:snapToGrid/>
        <w:spacing w:line="360" w:lineRule="auto"/>
        <w:ind w:firstLine="643" w:firstLineChars="200"/>
        <w:textAlignment w:val="auto"/>
        <w:rPr>
          <w:rFonts w:ascii="Times New Roman" w:hAnsi="Times New Roman" w:eastAsia="仿宋_GB2312" w:cs="Times New Roman"/>
          <w:sz w:val="32"/>
          <w:szCs w:val="32"/>
          <w:lang w:eastAsia="zh-CN"/>
        </w:rPr>
      </w:pPr>
      <w:r>
        <w:rPr>
          <w:rFonts w:ascii="Times New Roman" w:hAnsi="Times New Roman" w:eastAsia="楷体" w:cs="Times New Roman"/>
          <w:b/>
          <w:bCs/>
          <w:kern w:val="2"/>
          <w:sz w:val="32"/>
          <w:szCs w:val="32"/>
          <w:lang w:eastAsia="zh-CN"/>
        </w:rPr>
        <w:t>（二）积极抓好争项争资。</w:t>
      </w:r>
      <w:r>
        <w:rPr>
          <w:rFonts w:ascii="Times New Roman" w:hAnsi="Times New Roman" w:eastAsia="仿宋_GB2312" w:cs="Times New Roman"/>
          <w:sz w:val="32"/>
          <w:szCs w:val="32"/>
          <w:lang w:eastAsia="zh-CN"/>
        </w:rPr>
        <w:t>储备2023年中央、省预算内项目97个，项目总投资37.98亿元，拟争取中央预算内资金15.11亿元，目前已到位中央、省预算内资金2.46亿元。包装专项债券项目35个，其中28个通过国家发改委的审核，18个项目通过两部委的共同审核，9个债券项目成功发行资金12.25亿元。协同财政部门积极抓好全市争项争资工作，1-10月，全市到位财政性资金33.79亿元，完成年度任务的99.38%。谋划并上报特别国债项目126个（其中54个单体项目已由省发改委报送至国家发改委，72个小型水利项目由省级统一打包申报），总投资27.53亿元，增发国债资金需求17.69亿元。储备2024年</w:t>
      </w:r>
      <w:r>
        <w:rPr>
          <w:rFonts w:ascii="Times New Roman" w:hAnsi="Times New Roman" w:eastAsia="仿宋_GB2312" w:cs="Times New Roman"/>
          <w:sz w:val="32"/>
          <w:szCs w:val="32"/>
          <w:shd w:val="clear" w:color="auto" w:fill="FFFFFF"/>
          <w:lang w:eastAsia="zh-CN"/>
        </w:rPr>
        <w:t>中央预算内项目69个，</w:t>
      </w:r>
      <w:r>
        <w:rPr>
          <w:rFonts w:ascii="Times New Roman" w:hAnsi="Times New Roman" w:eastAsia="仿宋_GB2312" w:cs="Times New Roman"/>
          <w:sz w:val="32"/>
          <w:szCs w:val="32"/>
          <w:lang w:eastAsia="zh-CN"/>
        </w:rPr>
        <w:t>项目总投资28.39亿元，拟争取中央预算内资金14.55亿元；储备2024年专项债项目30个，总投资92.86亿元，债券资金需求43.52亿元。</w:t>
      </w:r>
    </w:p>
    <w:p w14:paraId="5946BFB9">
      <w:pPr>
        <w:pStyle w:val="9"/>
        <w:widowControl w:val="0"/>
        <w:kinsoku/>
        <w:autoSpaceDE/>
        <w:autoSpaceDN/>
        <w:adjustRightInd/>
        <w:snapToGrid/>
        <w:spacing w:after="0" w:line="360" w:lineRule="auto"/>
        <w:ind w:left="0" w:leftChars="0" w:firstLine="643" w:firstLineChars="200"/>
        <w:textAlignment w:val="auto"/>
        <w:rPr>
          <w:rFonts w:ascii="Times New Roman" w:hAnsi="Times New Roman" w:eastAsia="仿宋_GB2312"/>
          <w:sz w:val="32"/>
          <w:szCs w:val="32"/>
          <w:lang w:eastAsia="zh-CN"/>
        </w:rPr>
      </w:pPr>
      <w:r>
        <w:rPr>
          <w:rFonts w:ascii="Times New Roman" w:hAnsi="Times New Roman" w:eastAsia="楷体"/>
          <w:b/>
          <w:bCs/>
          <w:kern w:val="2"/>
          <w:sz w:val="32"/>
          <w:szCs w:val="32"/>
          <w:lang w:eastAsia="zh-CN"/>
        </w:rPr>
        <w:t>（三）加强经济运行调度。</w:t>
      </w:r>
      <w:r>
        <w:rPr>
          <w:rFonts w:ascii="Times New Roman" w:hAnsi="Times New Roman" w:eastAsia="仿宋_GB2312"/>
          <w:sz w:val="32"/>
          <w:szCs w:val="32"/>
          <w:lang w:eastAsia="zh-CN"/>
        </w:rPr>
        <w:t>坚持依法治统，树立正确的政绩观，主动迎接国、省统计执法</w:t>
      </w:r>
      <w:r>
        <w:rPr>
          <w:rFonts w:ascii="Times New Roman" w:hAnsi="Times New Roman" w:eastAsia="仿宋_GB2312"/>
          <w:sz w:val="32"/>
          <w:szCs w:val="32"/>
          <w:lang w:val="zh-CN" w:eastAsia="zh-CN"/>
        </w:rPr>
        <w:t>督查（检查），</w:t>
      </w:r>
      <w:r>
        <w:rPr>
          <w:rFonts w:ascii="Times New Roman" w:hAnsi="Times New Roman" w:eastAsia="仿宋_GB2312"/>
          <w:sz w:val="32"/>
          <w:szCs w:val="32"/>
          <w:lang w:eastAsia="zh-CN"/>
        </w:rPr>
        <w:t>认真做好固投统计数据自查整改，积极协调上级部门做好修数工作，国家统计局修正我市2022年固投数据为46.2亿元（核减基数287.3亿元）。1-10月，全市完成固定资产投资40.41亿元，同比增长9.1%，排名六县市第一。</w:t>
      </w:r>
      <w:r>
        <w:rPr>
          <w:rFonts w:hint="eastAsia" w:ascii="Times New Roman" w:hAnsi="Times New Roman" w:eastAsia="仿宋_GB2312"/>
          <w:sz w:val="32"/>
          <w:szCs w:val="32"/>
          <w:lang w:eastAsia="zh-CN"/>
        </w:rPr>
        <w:t>城、乡居民人均可支配收入分别达到43662元、26492元，分别增长5.5%、7.1%。</w:t>
      </w:r>
      <w:r>
        <w:rPr>
          <w:rFonts w:ascii="Times New Roman" w:hAnsi="Times New Roman" w:eastAsia="仿宋_GB2312"/>
          <w:sz w:val="32"/>
          <w:szCs w:val="32"/>
          <w:lang w:eastAsia="zh-CN"/>
        </w:rPr>
        <w:t>在库规模以上服务业企业137家，2023年新增在库规模以上服务业企业32家，1-11月，规模规上服务业企业营收11亿元，同比-30.18%；环比19.53%。</w:t>
      </w:r>
    </w:p>
    <w:p w14:paraId="503EE510">
      <w:pPr>
        <w:widowControl w:val="0"/>
        <w:kinsoku/>
        <w:autoSpaceDE/>
        <w:autoSpaceDN/>
        <w:adjustRightInd/>
        <w:snapToGrid/>
        <w:spacing w:line="360" w:lineRule="auto"/>
        <w:ind w:firstLine="643" w:firstLineChars="200"/>
        <w:textAlignment w:val="auto"/>
        <w:rPr>
          <w:rFonts w:ascii="Times New Roman" w:hAnsi="Times New Roman" w:eastAsia="黑体" w:cs="Times New Roman"/>
          <w:sz w:val="32"/>
          <w:szCs w:val="32"/>
          <w:lang w:eastAsia="zh-CN"/>
        </w:rPr>
      </w:pPr>
      <w:r>
        <w:rPr>
          <w:rFonts w:ascii="Times New Roman" w:hAnsi="Times New Roman" w:eastAsia="楷体" w:cs="Times New Roman"/>
          <w:b/>
          <w:bCs/>
          <w:kern w:val="2"/>
          <w:sz w:val="32"/>
          <w:szCs w:val="32"/>
          <w:lang w:eastAsia="zh-CN"/>
        </w:rPr>
        <w:t>（四）</w:t>
      </w:r>
      <w:r>
        <w:rPr>
          <w:rFonts w:ascii="Times New Roman" w:hAnsi="Times New Roman" w:eastAsia="仿宋_GB2312" w:cs="Times New Roman"/>
          <w:kern w:val="2"/>
          <w:sz w:val="32"/>
          <w:szCs w:val="32"/>
          <w:lang w:eastAsia="zh-CN"/>
        </w:rPr>
        <w:t>大力推进项目建设。1-11月，全市重大建设项目5000万元以上重大项目32个，总投资204.8亿元，年度计划投资77.2亿元，已完成投资92.75亿元。通过积极争取，汨罗玉池抽水蓄能电站、湖南天鑫教育科技公司教育建设等2个项目纳入省重点建设项目，年度计划投资16亿元，1-11月份共完成投资25.19亿元，完成年度计划的157%。强力推进抽水蓄能、火电、风电、光伏等重大能源项目建设并取得了阶段性成果，岳阳南部能源基地初见雏形。投资81.04亿元的玉池抽水蓄能项目于1月</w:t>
      </w:r>
      <w:r>
        <w:rPr>
          <w:rFonts w:hint="eastAsia" w:ascii="Times New Roman" w:hAnsi="Times New Roman" w:eastAsia="仿宋_GB2312" w:cs="Times New Roman"/>
          <w:kern w:val="2"/>
          <w:sz w:val="32"/>
          <w:szCs w:val="32"/>
          <w:lang w:eastAsia="zh-CN"/>
        </w:rPr>
        <w:t>19日</w:t>
      </w:r>
      <w:r>
        <w:rPr>
          <w:rFonts w:ascii="Times New Roman" w:hAnsi="Times New Roman" w:eastAsia="仿宋_GB2312" w:cs="Times New Roman"/>
          <w:kern w:val="2"/>
          <w:sz w:val="32"/>
          <w:szCs w:val="32"/>
          <w:lang w:eastAsia="zh-CN"/>
        </w:rPr>
        <w:t>核准并在6月11开工建设。</w:t>
      </w:r>
      <w:r>
        <w:rPr>
          <w:rFonts w:ascii="Times New Roman" w:hAnsi="Times New Roman" w:eastAsia="仿宋_GB2312" w:cs="Times New Roman"/>
          <w:sz w:val="32"/>
          <w:szCs w:val="32"/>
          <w:lang w:eastAsia="zh-CN"/>
        </w:rPr>
        <w:t>2023年9月协调各方签署抽水蓄能电站项目《移民安置三方协议》，启动安置居民点、复建水库、道路工程、下穿京广铁路涵洞及项目和移民安置工程EPC模式等前期工作。</w:t>
      </w:r>
      <w:r>
        <w:rPr>
          <w:rFonts w:ascii="Times New Roman" w:hAnsi="Times New Roman" w:eastAsia="仿宋_GB2312" w:cs="Times New Roman"/>
          <w:kern w:val="2"/>
          <w:sz w:val="32"/>
          <w:szCs w:val="32"/>
          <w:lang w:eastAsia="zh-CN"/>
        </w:rPr>
        <w:t>投资85.36亿元陕煤汨罗2x100万千瓦燃煤发电工程于8月9日通过可研报告评审，11月15日获省发改委核准批复，</w:t>
      </w:r>
      <w:r>
        <w:rPr>
          <w:rFonts w:hint="eastAsia" w:ascii="Times New Roman" w:hAnsi="Times New Roman" w:eastAsia="仿宋_GB2312" w:cs="Times New Roman"/>
          <w:kern w:val="2"/>
          <w:sz w:val="32"/>
          <w:szCs w:val="32"/>
          <w:lang w:eastAsia="zh-CN"/>
        </w:rPr>
        <w:t>12月26日召开</w:t>
      </w:r>
      <w:r>
        <w:rPr>
          <w:rFonts w:ascii="Times New Roman" w:hAnsi="Times New Roman" w:eastAsia="仿宋_GB2312" w:cs="Times New Roman"/>
          <w:sz w:val="32"/>
          <w:szCs w:val="32"/>
          <w:lang w:eastAsia="zh-CN"/>
        </w:rPr>
        <w:t>开工</w:t>
      </w:r>
      <w:r>
        <w:rPr>
          <w:rFonts w:hint="eastAsia" w:ascii="Times New Roman" w:hAnsi="Times New Roman" w:eastAsia="仿宋_GB2312" w:cs="Times New Roman"/>
          <w:sz w:val="32"/>
          <w:szCs w:val="32"/>
          <w:lang w:eastAsia="zh-CN"/>
        </w:rPr>
        <w:t>动员大会</w:t>
      </w:r>
      <w:r>
        <w:rPr>
          <w:rFonts w:ascii="Times New Roman" w:hAnsi="Times New Roman" w:eastAsia="仿宋_GB2312" w:cs="Times New Roman"/>
          <w:sz w:val="32"/>
          <w:szCs w:val="32"/>
          <w:lang w:eastAsia="zh-CN"/>
        </w:rPr>
        <w:t>。汨罗市光伏开发项目规划装机容量约100万千瓦，其中屋顶分布式装机33.08万千瓦，地面集中式和地面分布式66.92万千瓦。先后引进国电投、中核、中石化、华能等央企参与投资建设，屋顶分布式光伏发电项目已装机并网18.5万千瓦（其中试点工作推进前约0.5万千瓦），地面集中式和分布式光伏发电项目装机并网有6.26万千瓦。</w:t>
      </w:r>
    </w:p>
    <w:p w14:paraId="2DCF478A">
      <w:pPr>
        <w:pStyle w:val="14"/>
        <w:widowControl w:val="0"/>
        <w:kinsoku/>
        <w:autoSpaceDE/>
        <w:autoSpaceDN/>
        <w:adjustRightInd/>
        <w:snapToGrid/>
        <w:spacing w:line="360" w:lineRule="auto"/>
        <w:ind w:firstLine="643"/>
        <w:jc w:val="both"/>
        <w:textAlignment w:val="auto"/>
        <w:rPr>
          <w:rFonts w:ascii="Times New Roman" w:hAnsi="Times New Roman" w:eastAsia="黑体" w:cs="Times New Roman"/>
          <w:sz w:val="32"/>
          <w:szCs w:val="32"/>
          <w:lang w:eastAsia="zh-CN"/>
        </w:rPr>
      </w:pPr>
      <w:r>
        <w:rPr>
          <w:rFonts w:ascii="Times New Roman" w:hAnsi="Times New Roman" w:eastAsia="楷体" w:cs="Times New Roman"/>
          <w:b/>
          <w:bCs/>
          <w:kern w:val="2"/>
          <w:sz w:val="32"/>
          <w:szCs w:val="32"/>
          <w:lang w:eastAsia="zh-CN"/>
        </w:rPr>
        <w:t>（五）</w:t>
      </w:r>
      <w:r>
        <w:rPr>
          <w:rFonts w:ascii="Times New Roman" w:hAnsi="Times New Roman" w:eastAsia="楷体_GB2312" w:cs="Times New Roman"/>
          <w:b/>
          <w:bCs/>
          <w:sz w:val="32"/>
          <w:szCs w:val="32"/>
          <w:lang w:eastAsia="zh-CN"/>
        </w:rPr>
        <w:t>切实保障和稳定民生</w:t>
      </w:r>
      <w:r>
        <w:rPr>
          <w:rFonts w:ascii="Times New Roman" w:hAnsi="Times New Roman" w:eastAsia="楷体" w:cs="Times New Roman"/>
          <w:b/>
          <w:bCs/>
          <w:kern w:val="2"/>
          <w:sz w:val="32"/>
          <w:szCs w:val="32"/>
          <w:lang w:eastAsia="zh-CN"/>
        </w:rPr>
        <w:t>。</w:t>
      </w:r>
      <w:r>
        <w:rPr>
          <w:rFonts w:ascii="Times New Roman" w:hAnsi="Times New Roman" w:eastAsia="仿宋_GB2312" w:cs="Times New Roman"/>
          <w:kern w:val="2"/>
          <w:sz w:val="32"/>
          <w:szCs w:val="32"/>
          <w:lang w:eastAsia="zh-CN"/>
        </w:rPr>
        <w:t>一是加强价费监管，物价保持基本稳定。印发《汨罗市物业收费管理实施细则》等文件2份，依法批复收费文件12个，办理涉案物价格认定233起。强化价格监测预警，密切关注重要商品和服务价格变化，及时向上级报送相关信息。二是认真做好易地搬迁后扶工作。开展</w:t>
      </w:r>
      <w:r>
        <w:rPr>
          <w:rFonts w:ascii="Times New Roman" w:hAnsi="Times New Roman" w:eastAsia="仿宋_GB2312" w:cs="Times New Roman"/>
          <w:sz w:val="32"/>
          <w:szCs w:val="32"/>
          <w:lang w:eastAsia="zh-CN"/>
        </w:rPr>
        <w:t>易地扶贫搬迁安置区问题大起底大排查大整改专项行动，对易地扶贫搬迁工作进行“回头看”。制定出台了《汨罗市易地扶贫搬迁安置区管理办法》（汨办发〔2023〕28号），对安置区管理机构的设置，安置区管理办公室、办公室主任和成员、管理员的职责以及安置户的权利和义务进行了明确，对户籍管理、治安管理、土地山林权益管理、产权管理、质量管理、物业管理、保洁管理、消防管理、消防管理、维护维修管理等方面进行了规范</w:t>
      </w:r>
      <w:r>
        <w:rPr>
          <w:rFonts w:ascii="Times New Roman" w:hAnsi="Times New Roman" w:eastAsia="仿宋_GB2312" w:cs="Times New Roman"/>
          <w:kern w:val="2"/>
          <w:sz w:val="32"/>
          <w:szCs w:val="32"/>
          <w:lang w:eastAsia="zh-CN"/>
        </w:rPr>
        <w:t>。三是守住能源安全生产底线。开展非煤矿山和市内的电力重点用户用电安全检查；配合水利部门和国资中心，对下属的小型发电站和集贸市场、老旧小区、中心市场进行用电安全检查，对全市油气管道进行安全隐患排查。今年以来，共发现安全隐患8处，均已整改到位，确保无安全事故发生。</w:t>
      </w:r>
    </w:p>
    <w:p w14:paraId="6764F0E2">
      <w:pPr>
        <w:spacing w:line="360" w:lineRule="auto"/>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四、存在的问题及原因分析</w:t>
      </w:r>
    </w:p>
    <w:p w14:paraId="55AD7B71">
      <w:pPr>
        <w:widowControl w:val="0"/>
        <w:kinsoku/>
        <w:snapToGrid/>
        <w:spacing w:line="360" w:lineRule="auto"/>
        <w:ind w:firstLine="600"/>
        <w:textAlignment w:val="auto"/>
        <w:rPr>
          <w:rFonts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1）公用经费定额标准体系不健全。部门单位的公用经费由财政部门按照定额编制预算，定额标准体系的不健全从根源上导致了公用经费支出的不规范和项目化。主要表现在这样二个方面：一是定额没有考虑部门差异。各个部门单位由于职能性质的不同，开展工作的方式不同，对公用经费的需求也不尽相同，而定额标准在各部门之间并没有差异，导致贫富失衡。二是定额没有考虑不可预见因素。部门在实际运转过程中，会有一些突发事情等不可预见因素，需要扩大公用经费的开支，而定额之外并没有相关的预备经费。为保证部门职能的持续运转，有些部门不得不在定额之外，从项目中列支公用经费。</w:t>
      </w:r>
    </w:p>
    <w:p w14:paraId="7B55848A">
      <w:pPr>
        <w:widowControl w:val="0"/>
        <w:kinsoku/>
        <w:snapToGrid/>
        <w:spacing w:line="360" w:lineRule="auto"/>
        <w:ind w:firstLine="600"/>
        <w:textAlignment w:val="auto"/>
        <w:rPr>
          <w:rFonts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2）争资争项难度加大。中央预算内资金总盘子虽保持基本持平，但其主要投向转移到“三重一大”、核心技术研发、重大科技创新等，能够支持县一级的专项和资金越来越少。加上国家政策收紧，项目资金申报通道越来越窄，如教育、医疗和民政等项目中央预算内资金只支持地级市以上地区及国家级贫困县的项目。</w:t>
      </w:r>
    </w:p>
    <w:p w14:paraId="15FA9357">
      <w:pPr>
        <w:widowControl w:val="0"/>
        <w:kinsoku/>
        <w:autoSpaceDE/>
        <w:autoSpaceDN/>
        <w:adjustRightInd/>
        <w:snapToGrid/>
        <w:spacing w:line="360" w:lineRule="auto"/>
        <w:ind w:firstLine="640" w:firstLineChars="200"/>
        <w:textAlignment w:val="auto"/>
        <w:rPr>
          <w:rFonts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（3）项目进度不均衡。尽管我市通过招商引资签约了不少新的项目，但多数仍处于项目的前期推进阶段，真正开工建设、投产达效的项目还比较少。</w:t>
      </w:r>
    </w:p>
    <w:p w14:paraId="1A965631">
      <w:pPr>
        <w:widowControl w:val="0"/>
        <w:kinsoku/>
        <w:autoSpaceDE/>
        <w:autoSpaceDN/>
        <w:adjustRightInd/>
        <w:snapToGrid/>
        <w:spacing w:line="360" w:lineRule="auto"/>
        <w:ind w:firstLine="640" w:firstLineChars="200"/>
        <w:textAlignment w:val="auto"/>
        <w:rPr>
          <w:lang w:eastAsia="zh-CN"/>
        </w:rPr>
      </w:pPr>
      <w:r>
        <w:rPr>
          <w:rFonts w:hint="eastAsia" w:ascii="Times New Roman" w:hAnsi="Times New Roman" w:eastAsia="仿宋_GB2312" w:cs="Times New Roman"/>
          <w:kern w:val="2"/>
          <w:sz w:val="32"/>
          <w:szCs w:val="32"/>
          <w:lang w:eastAsia="zh-CN"/>
        </w:rPr>
        <w:t>（4）要素保障不够充分。个别项目在办理用地调规、能耗指标、环保、专项评价等行政审批手续周期较长，项目建设中遇到卡脖子问题，影响项目推进力度。</w:t>
      </w:r>
    </w:p>
    <w:p w14:paraId="3CD5F155">
      <w:pPr>
        <w:spacing w:line="360" w:lineRule="auto"/>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五、下一步改进措施</w:t>
      </w:r>
    </w:p>
    <w:p w14:paraId="4E4E4B57">
      <w:pPr>
        <w:widowControl w:val="0"/>
        <w:kinsoku/>
        <w:snapToGrid/>
        <w:spacing w:line="360" w:lineRule="auto"/>
        <w:ind w:firstLine="600"/>
        <w:textAlignment w:val="auto"/>
        <w:rPr>
          <w:rFonts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一是按照预算规定的项目和用途严格财务审核，经费支出严格按照预算规定项目的财务支出内容进行财务核算，在预算金额内严格控制费用的支出。</w:t>
      </w:r>
    </w:p>
    <w:p w14:paraId="14772C40">
      <w:pPr>
        <w:widowControl w:val="0"/>
        <w:kinsoku/>
        <w:snapToGrid/>
        <w:spacing w:line="360" w:lineRule="auto"/>
        <w:ind w:firstLine="600"/>
        <w:textAlignment w:val="auto"/>
        <w:rPr>
          <w:rFonts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二是严格控制“三公经费”支出，进一步细化三公经费管理，压缩三公经费支出。</w:t>
      </w:r>
    </w:p>
    <w:p w14:paraId="474F9E59">
      <w:pPr>
        <w:widowControl w:val="0"/>
        <w:kinsoku/>
        <w:snapToGrid/>
        <w:spacing w:line="360" w:lineRule="auto"/>
        <w:ind w:firstLine="600"/>
        <w:textAlignment w:val="auto"/>
        <w:rPr>
          <w:rFonts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三是预算财务分析常态化，定期做好预算支出财务分析，做好部门整体支出预算评价工作。</w:t>
      </w:r>
    </w:p>
    <w:p w14:paraId="77BAB771">
      <w:pPr>
        <w:widowControl w:val="0"/>
        <w:kinsoku/>
        <w:snapToGrid/>
        <w:spacing w:line="360" w:lineRule="auto"/>
        <w:ind w:firstLine="600"/>
        <w:textAlignment w:val="auto"/>
        <w:rPr>
          <w:rFonts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四是加强内部控制，加强与各科室之间的工作联系，保证业务科室正常开展工作，充分利用资金，提高资金使用效率提高服务工作水平。</w:t>
      </w:r>
    </w:p>
    <w:p w14:paraId="35C79EEE">
      <w:pPr>
        <w:widowControl w:val="0"/>
        <w:kinsoku/>
        <w:snapToGrid/>
        <w:spacing w:line="360" w:lineRule="auto"/>
        <w:ind w:firstLine="600"/>
        <w:textAlignment w:val="auto"/>
        <w:rPr>
          <w:rFonts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五是严格按照相关资金及项目管理办法和制度，做到专款专用，专项资金单独核算，对专项资金支出加大审核力度，严格按制度执行。</w:t>
      </w:r>
    </w:p>
    <w:p w14:paraId="5A53EC14">
      <w:pPr>
        <w:spacing w:line="600" w:lineRule="exact"/>
        <w:ind w:firstLine="640" w:firstLineChars="200"/>
        <w:jc w:val="both"/>
        <w:rPr>
          <w:rFonts w:hint="eastAsia" w:eastAsia="仿宋_GB2312"/>
          <w:kern w:val="0"/>
          <w:sz w:val="32"/>
          <w:szCs w:val="32"/>
          <w:lang w:eastAsia="zh-CN"/>
        </w:rPr>
      </w:pPr>
    </w:p>
    <w:p w14:paraId="496A870F">
      <w:pPr>
        <w:spacing w:line="600" w:lineRule="exact"/>
        <w:ind w:firstLine="640" w:firstLineChars="200"/>
        <w:jc w:val="both"/>
        <w:rPr>
          <w:rFonts w:hint="eastAsia" w:eastAsia="仿宋_GB2312"/>
          <w:kern w:val="0"/>
          <w:sz w:val="32"/>
          <w:szCs w:val="32"/>
          <w:lang w:eastAsia="zh-CN"/>
        </w:rPr>
      </w:pPr>
    </w:p>
    <w:p w14:paraId="3BBE3685">
      <w:pPr>
        <w:spacing w:line="600" w:lineRule="exact"/>
        <w:ind w:firstLine="640" w:firstLineChars="200"/>
        <w:jc w:val="both"/>
        <w:rPr>
          <w:rFonts w:hint="eastAsia" w:eastAsia="仿宋_GB2312"/>
          <w:kern w:val="0"/>
          <w:sz w:val="32"/>
          <w:szCs w:val="32"/>
          <w:lang w:eastAsia="zh-CN"/>
        </w:rPr>
      </w:pPr>
    </w:p>
    <w:p w14:paraId="5B053217">
      <w:pPr>
        <w:spacing w:line="600" w:lineRule="exact"/>
        <w:ind w:firstLine="640" w:firstLineChars="200"/>
        <w:jc w:val="both"/>
        <w:rPr>
          <w:rFonts w:hint="eastAsia" w:eastAsia="仿宋_GB2312"/>
          <w:kern w:val="0"/>
          <w:sz w:val="32"/>
          <w:szCs w:val="32"/>
          <w:lang w:eastAsia="zh-CN"/>
        </w:rPr>
      </w:pPr>
    </w:p>
    <w:p w14:paraId="21B7A98B">
      <w:pPr>
        <w:spacing w:line="600" w:lineRule="exact"/>
        <w:ind w:firstLine="640" w:firstLineChars="200"/>
        <w:jc w:val="both"/>
        <w:rPr>
          <w:rFonts w:hint="eastAsia" w:eastAsia="仿宋_GB2312"/>
          <w:kern w:val="0"/>
          <w:sz w:val="32"/>
          <w:szCs w:val="32"/>
          <w:lang w:eastAsia="zh-CN"/>
        </w:rPr>
      </w:pPr>
    </w:p>
    <w:p w14:paraId="26E04F8C">
      <w:pPr>
        <w:spacing w:line="600" w:lineRule="exact"/>
        <w:ind w:firstLine="640" w:firstLineChars="200"/>
        <w:jc w:val="both"/>
        <w:rPr>
          <w:rFonts w:hint="eastAsia" w:eastAsia="仿宋_GB2312"/>
          <w:kern w:val="0"/>
          <w:sz w:val="32"/>
          <w:szCs w:val="32"/>
          <w:lang w:eastAsia="zh-CN"/>
        </w:rPr>
      </w:pPr>
    </w:p>
    <w:p w14:paraId="7877AEB2">
      <w:pPr>
        <w:spacing w:line="600" w:lineRule="exact"/>
        <w:ind w:firstLine="640" w:firstLineChars="200"/>
        <w:jc w:val="both"/>
        <w:rPr>
          <w:rFonts w:hint="eastAsia" w:eastAsia="仿宋_GB2312"/>
          <w:kern w:val="0"/>
          <w:sz w:val="32"/>
          <w:szCs w:val="32"/>
          <w:lang w:eastAsia="zh-CN"/>
        </w:rPr>
      </w:pPr>
    </w:p>
    <w:p w14:paraId="48DD6B8C">
      <w:pPr>
        <w:spacing w:line="600" w:lineRule="exact"/>
        <w:ind w:firstLine="640" w:firstLineChars="200"/>
        <w:jc w:val="both"/>
        <w:rPr>
          <w:rFonts w:hint="eastAsia" w:eastAsia="仿宋_GB2312"/>
          <w:kern w:val="0"/>
          <w:sz w:val="32"/>
          <w:szCs w:val="32"/>
          <w:lang w:eastAsia="zh-CN"/>
        </w:rPr>
      </w:pPr>
    </w:p>
    <w:p w14:paraId="112EF2DF">
      <w:pPr>
        <w:spacing w:line="600" w:lineRule="exact"/>
        <w:ind w:firstLine="640" w:firstLineChars="200"/>
        <w:jc w:val="both"/>
        <w:rPr>
          <w:rFonts w:hint="eastAsia" w:eastAsia="仿宋_GB2312"/>
          <w:kern w:val="0"/>
          <w:sz w:val="32"/>
          <w:szCs w:val="32"/>
          <w:lang w:eastAsia="zh-CN"/>
        </w:rPr>
      </w:pPr>
    </w:p>
    <w:p w14:paraId="340038BC">
      <w:pPr>
        <w:spacing w:line="600" w:lineRule="exact"/>
        <w:ind w:firstLine="640" w:firstLineChars="200"/>
        <w:jc w:val="both"/>
        <w:rPr>
          <w:rFonts w:hint="eastAsia" w:eastAsia="仿宋_GB2312"/>
          <w:kern w:val="0"/>
          <w:sz w:val="32"/>
          <w:szCs w:val="32"/>
          <w:lang w:eastAsia="zh-CN"/>
        </w:rPr>
      </w:pPr>
    </w:p>
    <w:p w14:paraId="1486EDCB">
      <w:pPr>
        <w:spacing w:line="600" w:lineRule="exact"/>
        <w:ind w:firstLine="640" w:firstLineChars="200"/>
        <w:jc w:val="both"/>
        <w:rPr>
          <w:rFonts w:hint="eastAsia" w:eastAsia="仿宋_GB2312"/>
          <w:kern w:val="0"/>
          <w:sz w:val="32"/>
          <w:szCs w:val="32"/>
          <w:lang w:eastAsia="zh-CN"/>
        </w:rPr>
      </w:pPr>
    </w:p>
    <w:p w14:paraId="4396B61B">
      <w:pPr>
        <w:spacing w:line="267" w:lineRule="auto"/>
        <w:ind w:firstLine="552"/>
        <w:jc w:val="both"/>
        <w:rPr>
          <w:rFonts w:hint="eastAsia" w:ascii="宋体" w:hAnsi="宋体" w:eastAsia="宋体" w:cs="宋体"/>
          <w:bCs/>
          <w:spacing w:val="-4"/>
          <w:kern w:val="0"/>
          <w:sz w:val="28"/>
          <w:szCs w:val="28"/>
          <w:lang w:eastAsia="zh-CN"/>
        </w:rPr>
      </w:pPr>
    </w:p>
    <w:p w14:paraId="4EC8C4B6">
      <w:pPr>
        <w:spacing w:line="267" w:lineRule="auto"/>
        <w:ind w:firstLine="552"/>
        <w:jc w:val="both"/>
        <w:rPr>
          <w:rFonts w:hint="eastAsia" w:ascii="宋体" w:hAnsi="宋体" w:eastAsia="宋体" w:cs="宋体"/>
          <w:bCs/>
          <w:spacing w:val="-4"/>
          <w:kern w:val="0"/>
          <w:sz w:val="28"/>
          <w:szCs w:val="28"/>
          <w:lang w:eastAsia="zh-CN"/>
        </w:rPr>
      </w:pPr>
    </w:p>
    <w:p w14:paraId="586B8A08">
      <w:pPr>
        <w:spacing w:line="267" w:lineRule="auto"/>
        <w:ind w:firstLine="552"/>
        <w:jc w:val="both"/>
        <w:rPr>
          <w:rFonts w:hint="eastAsia" w:ascii="宋体" w:hAnsi="宋体" w:eastAsia="宋体" w:cs="宋体"/>
          <w:bCs/>
          <w:spacing w:val="-4"/>
          <w:kern w:val="0"/>
          <w:sz w:val="28"/>
          <w:szCs w:val="28"/>
          <w:lang w:eastAsia="zh-CN"/>
        </w:rPr>
      </w:pPr>
    </w:p>
    <w:p w14:paraId="57D9EF1E">
      <w:pPr>
        <w:spacing w:line="267" w:lineRule="auto"/>
        <w:ind w:firstLine="552"/>
        <w:jc w:val="both"/>
        <w:rPr>
          <w:rFonts w:hint="eastAsia" w:ascii="宋体" w:hAnsi="宋体" w:eastAsia="宋体" w:cs="宋体"/>
          <w:bCs/>
          <w:spacing w:val="-4"/>
          <w:kern w:val="0"/>
          <w:sz w:val="28"/>
          <w:szCs w:val="28"/>
          <w:lang w:eastAsia="zh-CN"/>
        </w:rPr>
      </w:pPr>
    </w:p>
    <w:p w14:paraId="6BBCD63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sectPr>
      <w:footerReference r:id="rId7"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7"/>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7"/>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7"/>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6B420C"/>
    <w:multiLevelType w:val="singleLevel"/>
    <w:tmpl w:val="026B420C"/>
    <w:lvl w:ilvl="0" w:tentative="0">
      <w:start w:val="1"/>
      <w:numFmt w:val="decimal"/>
      <w:suff w:val="nothing"/>
      <w:lvlText w:val="%1、"/>
      <w:lvlJc w:val="left"/>
    </w:lvl>
  </w:abstractNum>
  <w:abstractNum w:abstractNumId="1">
    <w:nsid w:val="4E85DFA1"/>
    <w:multiLevelType w:val="singleLevel"/>
    <w:tmpl w:val="4E85DFA1"/>
    <w:lvl w:ilvl="0" w:tentative="0">
      <w:start w:val="2"/>
      <w:numFmt w:val="chineseCounting"/>
      <w:suff w:val="nothing"/>
      <w:lvlText w:val="（%1）"/>
      <w:lvlJc w:val="left"/>
      <w:rPr>
        <w:rFonts w:hint="eastAsia"/>
      </w:rPr>
    </w:lvl>
  </w:abstractNum>
  <w:abstractNum w:abstractNumId="2">
    <w:nsid w:val="60A33B2F"/>
    <w:multiLevelType w:val="singleLevel"/>
    <w:tmpl w:val="60A33B2F"/>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ThlZDUzZGYxNzYyMDEzOWQ1YTI4MjdmZmM4OTIzOWYifQ=="/>
  </w:docVars>
  <w:rsids>
    <w:rsidRoot w:val="00000000"/>
    <w:rsid w:val="01AF3811"/>
    <w:rsid w:val="03795BF7"/>
    <w:rsid w:val="086E756B"/>
    <w:rsid w:val="0ACF37E5"/>
    <w:rsid w:val="0B400BC6"/>
    <w:rsid w:val="0E68228D"/>
    <w:rsid w:val="0EA6787F"/>
    <w:rsid w:val="15276E52"/>
    <w:rsid w:val="19D32FBC"/>
    <w:rsid w:val="1E6A4395"/>
    <w:rsid w:val="25557A3D"/>
    <w:rsid w:val="26EA5ED7"/>
    <w:rsid w:val="27A93B82"/>
    <w:rsid w:val="2AE00186"/>
    <w:rsid w:val="308216BE"/>
    <w:rsid w:val="34FE1149"/>
    <w:rsid w:val="3A550786"/>
    <w:rsid w:val="3B7A130F"/>
    <w:rsid w:val="41C31D03"/>
    <w:rsid w:val="453A72D1"/>
    <w:rsid w:val="494A1329"/>
    <w:rsid w:val="4F8B6063"/>
    <w:rsid w:val="52FA3F96"/>
    <w:rsid w:val="55850F17"/>
    <w:rsid w:val="57AE6D93"/>
    <w:rsid w:val="5FB623A7"/>
    <w:rsid w:val="6BB1387F"/>
    <w:rsid w:val="6E3851B0"/>
    <w:rsid w:val="745D680F"/>
    <w:rsid w:val="784167CA"/>
    <w:rsid w:val="7A472C25"/>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Normal Indent"/>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styleId="3">
    <w:name w:val="Body Text"/>
    <w:basedOn w:val="1"/>
    <w:autoRedefine/>
    <w:semiHidden/>
    <w:qFormat/>
    <w:uiPriority w:val="0"/>
    <w:rPr>
      <w:rFonts w:ascii="仿宋" w:hAnsi="仿宋" w:eastAsia="仿宋" w:cs="仿宋"/>
      <w:sz w:val="34"/>
      <w:szCs w:val="34"/>
      <w:lang w:val="en-US" w:eastAsia="en-US" w:bidi="ar-SA"/>
    </w:rPr>
  </w:style>
  <w:style w:type="paragraph" w:styleId="4">
    <w:name w:val="Body Text Indent"/>
    <w:basedOn w:val="1"/>
    <w:next w:val="5"/>
    <w:qFormat/>
    <w:uiPriority w:val="0"/>
    <w:pPr>
      <w:spacing w:after="120"/>
      <w:ind w:left="420" w:leftChars="200"/>
    </w:pPr>
    <w:rPr>
      <w:rFonts w:ascii="Calibri" w:hAnsi="Calibri" w:eastAsia="宋体" w:cs="Times New Roman"/>
    </w:rPr>
  </w:style>
  <w:style w:type="paragraph" w:styleId="5">
    <w:name w:val="annotation subject"/>
    <w:next w:val="1"/>
    <w:qFormat/>
    <w:uiPriority w:val="0"/>
    <w:pPr>
      <w:widowControl w:val="0"/>
    </w:pPr>
    <w:rPr>
      <w:rFonts w:ascii="Calibri" w:hAnsi="Calibri" w:eastAsia="宋体" w:cs="Times New Roman"/>
      <w:b/>
      <w:kern w:val="2"/>
      <w:sz w:val="21"/>
      <w:szCs w:val="24"/>
      <w:lang w:val="en-US" w:eastAsia="zh-CN" w:bidi="ar-SA"/>
    </w:rPr>
  </w:style>
  <w:style w:type="paragraph" w:styleId="6">
    <w:name w:val="toc 5"/>
    <w:basedOn w:val="1"/>
    <w:next w:val="1"/>
    <w:qFormat/>
    <w:uiPriority w:val="0"/>
    <w:pPr>
      <w:widowControl w:val="0"/>
      <w:ind w:left="1680" w:leftChars="800"/>
      <w:jc w:val="both"/>
    </w:pPr>
    <w:rPr>
      <w:rFonts w:ascii="Times New Roman" w:hAnsi="Times New Roman" w:eastAsia="宋体" w:cs="Times New Roman"/>
      <w:kern w:val="2"/>
      <w:szCs w:val="22"/>
      <w:lang w:eastAsia="zh-CN"/>
    </w:rPr>
  </w:style>
  <w:style w:type="paragraph" w:styleId="7">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First Indent 2"/>
    <w:basedOn w:val="4"/>
    <w:next w:val="2"/>
    <w:qFormat/>
    <w:uiPriority w:val="0"/>
    <w:pPr>
      <w:ind w:firstLine="420"/>
    </w:pPr>
  </w:style>
  <w:style w:type="table" w:customStyle="1" w:styleId="12">
    <w:name w:val="Table Normal"/>
    <w:autoRedefine/>
    <w:semiHidden/>
    <w:unhideWhenUsed/>
    <w:qFormat/>
    <w:uiPriority w:val="0"/>
    <w:tblPr>
      <w:tblCellMar>
        <w:top w:w="0" w:type="dxa"/>
        <w:left w:w="0" w:type="dxa"/>
        <w:bottom w:w="0" w:type="dxa"/>
        <w:right w:w="0" w:type="dxa"/>
      </w:tblCellMar>
    </w:tblPr>
  </w:style>
  <w:style w:type="paragraph" w:customStyle="1" w:styleId="13">
    <w:name w:val="Table Text"/>
    <w:basedOn w:val="1"/>
    <w:autoRedefine/>
    <w:semiHidden/>
    <w:qFormat/>
    <w:uiPriority w:val="0"/>
    <w:rPr>
      <w:rFonts w:ascii="Arial" w:hAnsi="Arial" w:eastAsia="Arial" w:cs="Arial"/>
      <w:sz w:val="21"/>
      <w:szCs w:val="21"/>
      <w:lang w:val="en-US" w:eastAsia="en-US" w:bidi="ar-SA"/>
    </w:rPr>
  </w:style>
  <w:style w:type="paragraph" w:styleId="14">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12</Pages>
  <Words>4962</Words>
  <Characters>5418</Characters>
  <TotalTime>1</TotalTime>
  <ScaleCrop>false</ScaleCrop>
  <LinksUpToDate>false</LinksUpToDate>
  <CharactersWithSpaces>5508</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冯卫</cp:lastModifiedBy>
  <cp:lastPrinted>2024-05-21T14:05:00Z</cp:lastPrinted>
  <dcterms:modified xsi:type="dcterms:W3CDTF">2025-05-28T03:36:37Z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2052-12.1.0.20784</vt:lpwstr>
  </property>
  <property fmtid="{D5CDD505-2E9C-101B-9397-08002B2CF9AE}" pid="6" name="ICV">
    <vt:lpwstr>A1E9AC54BF58440288AD196632C2A254_12</vt:lpwstr>
  </property>
  <property fmtid="{D5CDD505-2E9C-101B-9397-08002B2CF9AE}" pid="7" name="KSOTemplateDocerSaveRecord">
    <vt:lpwstr>eyJoZGlkIjoiZGE1OGI5OGViZDE1NTY5YTQ1MmE5M2EyMjQ3OWMzNDQiLCJ1c2VySWQiOiIxNjkyOTQ1NzEyIn0=</vt:lpwstr>
  </property>
</Properties>
</file>