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36.78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26.02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工伤保险监督认定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36.78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26.02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4.38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13.70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1.86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5.55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6.29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6.32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严格遵守各项费用支出标准，在年度预算内开支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谢林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2025.7.14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    联系电话：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15873015859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彭波</w:t>
      </w:r>
    </w:p>
    <w:p>
      <w:pPr>
        <w:spacing w:line="228" w:lineRule="auto"/>
        <w:ind w:firstLine="400"/>
        <w:rPr>
          <w:rFonts w:eastAsiaTheme="minorEastAsia"/>
          <w:color w:val="auto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747"/>
        <w:gridCol w:w="2040"/>
        <w:gridCol w:w="789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汨罗市工伤保险服务中心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7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111.34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138.45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138.45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137.04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  <w:t>112.43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  <w:t>26.02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lang w:eastAsia="zh-CN"/>
              </w:rPr>
              <w:t>事业收入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lang w:val="en-US" w:eastAsia="zh-CN"/>
              </w:rPr>
              <w:t>1.41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加强宣传力度，扩大参保覆盖面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；加强工伤预防工作力度，采用培训等多种方式；确保待遇按时足额拨付到位，保障受伤职工权益；加强医疗监管和事故调查力度，保障基金安全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基金整体运行良好。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204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78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747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参保人数完成度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52000人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54300人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新开工工程建设项目工伤保险参保率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全部参加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待遇按时足额发放到位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2023年12月31日前完成各项任务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747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降低用人单位工伤负担，改善营商环境，助推社会经济进一步发展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稳步落实各项工伤政策，切实维护广大参保群众的合法权益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可持续发展状况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747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受众对象满意度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≧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747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138.45万元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138.45万元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47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auto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谢林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2025.7.14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15873015859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彭波</w:t>
      </w:r>
      <w:r>
        <w:rPr>
          <w:rFonts w:ascii="仿宋_GB2312" w:hAnsi="宋体" w:eastAsia="仿宋_GB2312" w:cs="宋体"/>
          <w:snapToGrid w:val="0"/>
          <w:color w:val="auto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color w:val="auto"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color w:val="auto"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color w:val="auto"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color w:val="auto"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color w:val="FF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color w:val="auto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color w:val="auto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color w:val="auto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color w:val="auto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color w:val="auto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工伤保险服务中心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部门名称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：汨罗市工伤保险服务中心(盖章)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val="en-US" w:eastAsia="zh-CN"/>
        </w:rPr>
        <w:t>07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楷体_GB2312" w:hAnsi="楷体" w:eastAsia="楷体_GB2312" w:cs="楷体"/>
          <w:color w:val="auto"/>
          <w:spacing w:val="-13"/>
          <w:kern w:val="0"/>
          <w:sz w:val="32"/>
          <w:szCs w:val="32"/>
          <w:highlight w:val="none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color w:val="auto"/>
          <w:spacing w:val="-13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楷体_GB2312" w:hAnsi="楷体" w:eastAsia="楷体_GB2312" w:cs="楷体"/>
          <w:color w:val="auto"/>
          <w:spacing w:val="-13"/>
          <w:kern w:val="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pStyle w:val="3"/>
        <w:jc w:val="left"/>
        <w:rPr>
          <w:rFonts w:asciiTheme="minorEastAsia" w:hAnsiTheme="minorEastAsia" w:eastAsiaTheme="minorEastAsia"/>
          <w:kern w:val="0"/>
          <w:lang w:eastAsia="zh-CN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工伤保险服务中心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一、部门基本情况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汨罗市工伤保险服务中心主要职能：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1、负责全市工伤保险基金的管理使用；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2、承办全市用人单位工伤保险参保申报、审核、确定用人单位缴费费率档次和工伤保险基金的管理、兑付工作;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3、承办对工伤定点医疗机构、职业康复机构的协议签订及管理；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4、负责核实用人单位的工资总额，对用人单位参保情况进行检查并负责工伤调查、统计和信息管理；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5、负责参保职工因工负伤医疗期间的医疗跟踪管理工作，办理转诊、转院住院审批的有关手续；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6、承办工伤职工待遇审核、支付和工亡职工供养遗属的待遇项目审核、支付，为用人单位、工伤职工或其直系亲属提供咨询服务；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7、负责编制工伤保险基金的预决算，各类财务、统计报表及基础数据库管理，按时向上级经办机构上解工伤保险储备金；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8、负责开展工伤预防、安全生产宣传和业务培训工作；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9、协调工伤保险各部门关系，调解处理工伤保险纠纷；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10、承办上级主管部门交办的其他事项。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基本支出111.80万元，其中：人员经费96.77万元，主要用于人员工资及社保公积金缴纳等；日常公用经费15.03万元，主要用于日常办公开支。2023年市工伤保险服务中心一般公共预算财政拨款“三公”经费支出年初预算为0.8万元，决算支出为0.08万元。其中：公务接待费0.08万元，无因公出国费，无公务用车购置费，无公务用车运行维护费。公务用车保有量0辆。</w:t>
      </w:r>
    </w:p>
    <w:p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color w:val="FF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1、专项资金安排落实、总投入等情况分析。2023年专项资金投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入25.24万元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，其中年初预算安排12万元，都已按时下拨到位。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2、专项资金实际使用情况分析。2023年专项资金支出为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25.24万元，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其中预算项目支出为12万元，专项资金是根据我市实际情况，严格按照审批程序在2023年12月31号前拨付到服务对象，主要用于工伤保险监督认定。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、专项资金管理情况分析。本着专款专用的原则，严格执行项目资金批准的使用计划和项目批复内容，不擅自调项、扩项、缩项，不拆借、挪用、挤占。资金拨付动向按专项资金的要求执行。同时对专项资金的支付，严格执行财务制度，落实专项资金审核程序。我单位严格执行预算管理制度，依据“谁用钱，谁负责”的原则，专款专用，实时监控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各项资金其主要用途是确保单位的正常运转，促进各项工作任务顺利完成。在人员经费支出、公共支出严格执行市委市政府的各项制度；在项目经费的使用上，在保证各项任务顺利完成的同时，严格落实厉行节约的原则；三公经费的使用严格控制在预算申报的范围内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预算编制有待更严格执行。预算编制与实际支出项目有的存在差异。固定资产管理水平有待进一步提高，固定资产管理有待进一步加强。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一是按照预算规定的项目和用途严格财务审核，经费支出严格按照预算规定项目的财务支出内容进行财务核算，在预算金额内严格控制费用的支出。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二是严格控制“三公经费”支出，杜绝挪用和挤占其他预算资金，进一步细化三公经费管理，压缩三公经费支出。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三是预算财务分析常态化，定期做好预算支出财务分析，做好部门整体支出预算评价工作。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四是财政资金按进度支付，以提高资金的使用效率。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五是严格按照相关资金及项目管理办法和制度，做到专款专用，专项资金单独核算，对专项资金支出加大审核力度，严格按制度执行。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  <w:t>我部门组织对“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eastAsia="zh-CN"/>
        </w:rPr>
        <w:t>工伤保险服务中心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  <w:t>”等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  <w:t>个单位开展整体支出绩效评价，涉及一般公共预算支出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137.04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  <w:t>万元，政府性基金预算支出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  <w:t>万元。从评价情况来看，</w:t>
      </w:r>
      <w:r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  <w:lang w:val="en-US" w:eastAsia="zh-CN"/>
        </w:rPr>
        <w:t>我单位严格落实市委、市政府关于机关事业单位厉行节约的有关要求，既有效保障单位运转，又坚决制止铺张浪费，切实规范公务消费行为，努力降低费用成本，压减一般性支出，保障重点支出，不断优化支出结构，圆满完成了全年任务，得到了市委、市政府的充分肯定以及社会各界的普遍好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预算财政拨款支出情况表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</w:t>
      </w:r>
      <w:r>
        <w:rPr>
          <w:rFonts w:hint="eastAsia" w:eastAsia="仿宋_GB2312"/>
          <w:kern w:val="0"/>
          <w:sz w:val="32"/>
          <w:szCs w:val="32"/>
          <w:lang w:eastAsia="zh-CN"/>
        </w:rPr>
        <w:t>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left="2169"/>
        <w:rPr>
          <w:rFonts w:ascii="黑体" w:hAnsi="黑体" w:eastAsia="黑体" w:cs="黑体"/>
          <w:color w:val="auto"/>
          <w:sz w:val="42"/>
          <w:szCs w:val="42"/>
        </w:rPr>
      </w:pPr>
      <w:r>
        <w:rPr>
          <w:rFonts w:ascii="Times New Roman" w:hAnsi="Times New Roman" w:eastAsia="Times New Roman" w:cs="Times New Roman"/>
          <w:color w:val="auto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color w:val="auto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color w:val="auto"/>
          <w:position w:val="10"/>
          <w:sz w:val="42"/>
          <w:szCs w:val="42"/>
          <w:lang w:eastAsia="zh-CN"/>
        </w:rPr>
        <w:t>无</w:t>
      </w:r>
      <w:r>
        <w:rPr>
          <w:rFonts w:ascii="Times New Roman" w:hAnsi="Times New Roman" w:eastAsia="Times New Roman" w:cs="Times New Roman"/>
          <w:color w:val="auto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color w:val="auto"/>
          <w:spacing w:val="15"/>
          <w:position w:val="10"/>
          <w:sz w:val="42"/>
          <w:szCs w:val="42"/>
        </w:rPr>
        <w:t>项目支出</w:t>
      </w:r>
    </w:p>
    <w:p>
      <w:pPr>
        <w:spacing w:before="1" w:line="220" w:lineRule="auto"/>
        <w:ind w:left="3069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ascii="黑体" w:hAnsi="黑体" w:eastAsia="黑体" w:cs="黑体"/>
          <w:color w:val="auto"/>
          <w:spacing w:val="10"/>
          <w:sz w:val="42"/>
          <w:szCs w:val="42"/>
        </w:rPr>
        <w:t>绩效自评报告</w:t>
      </w:r>
    </w:p>
    <w:p>
      <w:pPr>
        <w:spacing w:line="246" w:lineRule="auto"/>
        <w:rPr>
          <w:rFonts w:ascii="Arial"/>
          <w:color w:val="auto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  <w:highlight w:val="none"/>
        </w:rPr>
        <w:t xml:space="preserve">部 门 </w:t>
      </w:r>
      <w:r>
        <w:rPr>
          <w:spacing w:val="-36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名</w:t>
      </w:r>
      <w:r>
        <w:rPr>
          <w:spacing w:val="-37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936DB"/>
    <w:multiLevelType w:val="singleLevel"/>
    <w:tmpl w:val="799936D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2405F8A"/>
    <w:rsid w:val="027C16B8"/>
    <w:rsid w:val="02C170CB"/>
    <w:rsid w:val="03743457"/>
    <w:rsid w:val="03795BF7"/>
    <w:rsid w:val="04874344"/>
    <w:rsid w:val="05283431"/>
    <w:rsid w:val="059565ED"/>
    <w:rsid w:val="068F128E"/>
    <w:rsid w:val="07083195"/>
    <w:rsid w:val="070D0B30"/>
    <w:rsid w:val="07162ACF"/>
    <w:rsid w:val="07F910B5"/>
    <w:rsid w:val="086E756B"/>
    <w:rsid w:val="08E753B1"/>
    <w:rsid w:val="09000221"/>
    <w:rsid w:val="0A8235E3"/>
    <w:rsid w:val="0ACF37E5"/>
    <w:rsid w:val="0B400BC6"/>
    <w:rsid w:val="0B9C6927"/>
    <w:rsid w:val="0D077E85"/>
    <w:rsid w:val="0D4032E2"/>
    <w:rsid w:val="0E68228D"/>
    <w:rsid w:val="0EA6787F"/>
    <w:rsid w:val="118C11EC"/>
    <w:rsid w:val="122D02D9"/>
    <w:rsid w:val="15276E52"/>
    <w:rsid w:val="15AA1C40"/>
    <w:rsid w:val="178B0954"/>
    <w:rsid w:val="18913A29"/>
    <w:rsid w:val="19D32FBC"/>
    <w:rsid w:val="1B5468D6"/>
    <w:rsid w:val="1E6A4395"/>
    <w:rsid w:val="21937A2C"/>
    <w:rsid w:val="227B0BEC"/>
    <w:rsid w:val="22934188"/>
    <w:rsid w:val="23492A98"/>
    <w:rsid w:val="252235A1"/>
    <w:rsid w:val="255319AC"/>
    <w:rsid w:val="25557A3D"/>
    <w:rsid w:val="26590CA5"/>
    <w:rsid w:val="2685203A"/>
    <w:rsid w:val="26EA5ED7"/>
    <w:rsid w:val="27A401A2"/>
    <w:rsid w:val="27A93B82"/>
    <w:rsid w:val="29373393"/>
    <w:rsid w:val="2AE00186"/>
    <w:rsid w:val="2C2555DD"/>
    <w:rsid w:val="2E782484"/>
    <w:rsid w:val="308216BE"/>
    <w:rsid w:val="32FA3DAF"/>
    <w:rsid w:val="34FE1149"/>
    <w:rsid w:val="36607CD1"/>
    <w:rsid w:val="3A550786"/>
    <w:rsid w:val="3B7A130F"/>
    <w:rsid w:val="3C524E69"/>
    <w:rsid w:val="41061B71"/>
    <w:rsid w:val="463B050F"/>
    <w:rsid w:val="474927B8"/>
    <w:rsid w:val="494A1329"/>
    <w:rsid w:val="49BA174B"/>
    <w:rsid w:val="4AEF3676"/>
    <w:rsid w:val="4CAC7A71"/>
    <w:rsid w:val="4CD3006C"/>
    <w:rsid w:val="4DAE15C6"/>
    <w:rsid w:val="4F8B6063"/>
    <w:rsid w:val="512C1180"/>
    <w:rsid w:val="513242BC"/>
    <w:rsid w:val="52A42F98"/>
    <w:rsid w:val="52FA3F96"/>
    <w:rsid w:val="55850F17"/>
    <w:rsid w:val="575E5E0B"/>
    <w:rsid w:val="57AE6D93"/>
    <w:rsid w:val="57B13CBC"/>
    <w:rsid w:val="586C0A35"/>
    <w:rsid w:val="5AF26F96"/>
    <w:rsid w:val="5AFE3B8D"/>
    <w:rsid w:val="5DB91FED"/>
    <w:rsid w:val="5E3C4FFE"/>
    <w:rsid w:val="5ECC3FA2"/>
    <w:rsid w:val="5FB623A7"/>
    <w:rsid w:val="61E82934"/>
    <w:rsid w:val="62092E18"/>
    <w:rsid w:val="6260512D"/>
    <w:rsid w:val="62F51D1A"/>
    <w:rsid w:val="62F85366"/>
    <w:rsid w:val="63F217D5"/>
    <w:rsid w:val="64E77440"/>
    <w:rsid w:val="657131AE"/>
    <w:rsid w:val="672E75A8"/>
    <w:rsid w:val="67851192"/>
    <w:rsid w:val="68DA4BFA"/>
    <w:rsid w:val="6BB1387F"/>
    <w:rsid w:val="6BE75F78"/>
    <w:rsid w:val="6D075A1F"/>
    <w:rsid w:val="6E3851B0"/>
    <w:rsid w:val="6EEE3B5A"/>
    <w:rsid w:val="70877D29"/>
    <w:rsid w:val="70991D6E"/>
    <w:rsid w:val="72DB610A"/>
    <w:rsid w:val="75377F70"/>
    <w:rsid w:val="764B2C0D"/>
    <w:rsid w:val="76E539FB"/>
    <w:rsid w:val="781400F4"/>
    <w:rsid w:val="784167CA"/>
    <w:rsid w:val="7AF64429"/>
    <w:rsid w:val="7D124E1E"/>
    <w:rsid w:val="7DE6E764"/>
    <w:rsid w:val="7ED67756"/>
    <w:rsid w:val="FD379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3471</Words>
  <Characters>3785</Characters>
  <TotalTime>1</TotalTime>
  <ScaleCrop>false</ScaleCrop>
  <LinksUpToDate>false</LinksUpToDate>
  <CharactersWithSpaces>3905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2024-04-20T13:25:00Z</dcterms:created>
  <dc:creator>Administrator</dc:creator>
  <cp:lastModifiedBy>kylin</cp:lastModifiedBy>
  <cp:lastPrinted>2024-05-22T06:05:00Z</cp:lastPrinted>
  <dcterms:modified xsi:type="dcterms:W3CDTF">2025-07-16T16:06:12Z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eyJoZGlkIjoiOGMyYzcyNTVhMGQxYmU2MTUxYzkxMmFiYjZhZWRhMWEiLCJ1c2VySWQiOiI2NTQxMjYwMTIifQ==</vt:lpwstr>
  </property>
</Properties>
</file>