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49</w:t>
            </w:r>
          </w:p>
        </w:tc>
        <w:tc>
          <w:tcPr>
            <w:tcW w:w="2039"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49</w:t>
            </w:r>
          </w:p>
        </w:tc>
        <w:tc>
          <w:tcPr>
            <w:tcW w:w="1983"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1.42</w:t>
            </w:r>
          </w:p>
        </w:tc>
        <w:tc>
          <w:tcPr>
            <w:tcW w:w="2039"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4.8</w:t>
            </w:r>
          </w:p>
        </w:tc>
        <w:tc>
          <w:tcPr>
            <w:tcW w:w="1983"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1.423103</w:t>
            </w:r>
          </w:p>
        </w:tc>
        <w:tc>
          <w:tcPr>
            <w:tcW w:w="2039"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4.8</w:t>
            </w:r>
          </w:p>
        </w:tc>
        <w:tc>
          <w:tcPr>
            <w:tcW w:w="1983"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eastAsia" w:ascii="仿宋_GB2312" w:eastAsia="仿宋_GB2312"/>
                <w:kern w:val="0"/>
                <w:lang w:val="en" w:eastAsia="zh-CN"/>
              </w:rPr>
            </w:pPr>
            <w:r>
              <w:rPr>
                <w:rFonts w:hint="default" w:ascii="仿宋_GB2312" w:eastAsia="仿宋_GB2312"/>
                <w:kern w:val="0"/>
                <w:lang w:val="en"/>
              </w:rPr>
              <w:t>3287.9</w:t>
            </w:r>
            <w:r>
              <w:rPr>
                <w:rFonts w:hint="eastAsia" w:ascii="仿宋_GB2312" w:eastAsia="仿宋_GB2312"/>
                <w:kern w:val="0"/>
                <w:lang w:val="en-US" w:eastAsia="zh-CN"/>
              </w:rPr>
              <w:t>2</w:t>
            </w:r>
          </w:p>
        </w:tc>
        <w:tc>
          <w:tcPr>
            <w:tcW w:w="2039" w:type="dxa"/>
            <w:gridSpan w:val="2"/>
            <w:vAlign w:val="center"/>
          </w:tcPr>
          <w:p>
            <w:pPr>
              <w:spacing w:line="240" w:lineRule="auto"/>
              <w:ind w:firstLine="420"/>
              <w:jc w:val="center"/>
              <w:rPr>
                <w:rFonts w:hint="default" w:ascii="仿宋_GB2312" w:eastAsia="仿宋_GB2312"/>
                <w:kern w:val="0"/>
                <w:lang w:val="en"/>
              </w:rPr>
            </w:pPr>
            <w:r>
              <w:rPr>
                <w:rFonts w:hint="default" w:ascii="仿宋_GB2312" w:eastAsia="仿宋_GB2312"/>
                <w:kern w:val="0"/>
                <w:lang w:val="en"/>
              </w:rPr>
              <w:t>114</w:t>
            </w:r>
          </w:p>
        </w:tc>
        <w:tc>
          <w:tcPr>
            <w:tcW w:w="1983" w:type="dxa"/>
            <w:gridSpan w:val="2"/>
            <w:vAlign w:val="center"/>
          </w:tcPr>
          <w:p>
            <w:pPr>
              <w:spacing w:line="240" w:lineRule="auto"/>
              <w:ind w:firstLine="420"/>
              <w:jc w:val="center"/>
              <w:rPr>
                <w:rFonts w:hint="eastAsia" w:ascii="仿宋_GB2312" w:eastAsia="仿宋_GB2312"/>
                <w:kern w:val="0"/>
                <w:lang w:val="en" w:eastAsia="zh-CN"/>
              </w:rPr>
            </w:pPr>
            <w:r>
              <w:rPr>
                <w:rFonts w:hint="default" w:ascii="仿宋_GB2312" w:eastAsia="仿宋_GB2312"/>
                <w:kern w:val="0"/>
                <w:lang w:val="en"/>
              </w:rPr>
              <w:t>1189.2</w:t>
            </w: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 w:eastAsia="zh-CN"/>
              </w:rPr>
            </w:pPr>
            <w:r>
              <w:rPr>
                <w:rFonts w:hint="default" w:ascii="仿宋_GB2312" w:eastAsia="仿宋_GB2312"/>
                <w:kern w:val="0"/>
                <w:lang w:val="en" w:eastAsia="zh-CN"/>
              </w:rPr>
              <w:t>3287.9</w:t>
            </w:r>
            <w:r>
              <w:rPr>
                <w:rFonts w:hint="eastAsia" w:ascii="仿宋_GB2312" w:eastAsia="仿宋_GB2312"/>
                <w:kern w:val="0"/>
                <w:lang w:val="en-US" w:eastAsia="zh-CN"/>
              </w:rPr>
              <w:t>2</w:t>
            </w:r>
          </w:p>
        </w:tc>
        <w:tc>
          <w:tcPr>
            <w:tcW w:w="2039" w:type="dxa"/>
            <w:gridSpan w:val="2"/>
            <w:vAlign w:val="center"/>
          </w:tcPr>
          <w:p>
            <w:pPr>
              <w:spacing w:line="240" w:lineRule="auto"/>
              <w:ind w:firstLine="420"/>
              <w:jc w:val="center"/>
              <w:rPr>
                <w:rFonts w:hint="default" w:ascii="仿宋_GB2312" w:eastAsia="仿宋_GB2312"/>
                <w:kern w:val="0"/>
                <w:lang w:val="en" w:eastAsia="zh-CN"/>
              </w:rPr>
            </w:pPr>
            <w:r>
              <w:rPr>
                <w:rFonts w:hint="default" w:ascii="仿宋_GB2312" w:eastAsia="仿宋_GB2312"/>
                <w:kern w:val="0"/>
                <w:lang w:val="en" w:eastAsia="zh-CN"/>
              </w:rPr>
              <w:t>114</w:t>
            </w:r>
          </w:p>
        </w:tc>
        <w:tc>
          <w:tcPr>
            <w:tcW w:w="1983" w:type="dxa"/>
            <w:gridSpan w:val="2"/>
            <w:vAlign w:val="center"/>
          </w:tcPr>
          <w:p>
            <w:pPr>
              <w:spacing w:line="240" w:lineRule="auto"/>
              <w:ind w:firstLine="420"/>
              <w:jc w:val="center"/>
              <w:rPr>
                <w:rFonts w:hint="default" w:ascii="仿宋_GB2312" w:eastAsia="仿宋_GB2312"/>
                <w:kern w:val="0"/>
                <w:lang w:val="en" w:eastAsia="zh-CN"/>
              </w:rPr>
            </w:pPr>
            <w:r>
              <w:rPr>
                <w:rFonts w:hint="default" w:ascii="仿宋_GB2312" w:eastAsia="仿宋_GB2312"/>
                <w:kern w:val="0"/>
                <w:lang w:val="en" w:eastAsia="zh-CN"/>
              </w:rPr>
              <w:t>1189.2</w:t>
            </w: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 w:eastAsia="zh-CN"/>
              </w:rPr>
            </w:pPr>
            <w:r>
              <w:rPr>
                <w:rFonts w:hint="eastAsia" w:ascii="仿宋_GB2312" w:eastAsia="仿宋_GB2312"/>
                <w:kern w:val="0"/>
                <w:lang w:val="en" w:eastAsia="zh-CN"/>
              </w:rPr>
              <w:t>死亡补助及抚恤金专项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787.26</w:t>
            </w: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社保监督执法专项</w:t>
            </w:r>
          </w:p>
        </w:tc>
        <w:tc>
          <w:tcPr>
            <w:tcW w:w="2116" w:type="dxa"/>
            <w:gridSpan w:val="2"/>
            <w:vAlign w:val="center"/>
          </w:tcPr>
          <w:p>
            <w:pPr>
              <w:spacing w:line="240" w:lineRule="auto"/>
              <w:ind w:firstLine="420"/>
              <w:jc w:val="center"/>
              <w:rPr>
                <w:rFonts w:hint="default" w:ascii="仿宋_GB2312" w:eastAsia="仿宋_GB2312"/>
                <w:kern w:val="0"/>
                <w:lang w:val="en" w:eastAsia="zh-CN"/>
              </w:rPr>
            </w:pP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城乡居民养老保险征收及死亡认证奖励经费</w:t>
            </w:r>
          </w:p>
        </w:tc>
        <w:tc>
          <w:tcPr>
            <w:tcW w:w="2116" w:type="dxa"/>
            <w:gridSpan w:val="2"/>
            <w:vAlign w:val="center"/>
          </w:tcPr>
          <w:p>
            <w:pPr>
              <w:spacing w:line="240" w:lineRule="auto"/>
              <w:ind w:firstLine="420"/>
              <w:jc w:val="center"/>
              <w:rPr>
                <w:rFonts w:hint="default" w:ascii="仿宋_GB2312" w:eastAsia="仿宋_GB2312"/>
                <w:kern w:val="0"/>
                <w:lang w:val="en"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983" w:type="dxa"/>
            <w:gridSpan w:val="2"/>
            <w:vAlign w:val="center"/>
          </w:tcPr>
          <w:p>
            <w:pPr>
              <w:spacing w:line="240" w:lineRule="auto"/>
              <w:ind w:firstLine="420"/>
              <w:jc w:val="center"/>
              <w:rPr>
                <w:rFonts w:hint="default" w:ascii="仿宋_GB2312" w:eastAsia="仿宋_GB2312"/>
                <w:kern w:val="0"/>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社保监督执法</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工会事务等专项</w:t>
            </w:r>
          </w:p>
        </w:tc>
        <w:tc>
          <w:tcPr>
            <w:tcW w:w="2116" w:type="dxa"/>
            <w:gridSpan w:val="2"/>
            <w:vAlign w:val="center"/>
          </w:tcPr>
          <w:p>
            <w:pPr>
              <w:spacing w:line="240" w:lineRule="auto"/>
              <w:ind w:firstLine="420"/>
              <w:jc w:val="center"/>
              <w:rPr>
                <w:rFonts w:hint="default" w:ascii="仿宋_GB2312" w:eastAsia="仿宋_GB2312"/>
                <w:kern w:val="0"/>
                <w:lang w:val="en" w:eastAsia="zh-CN"/>
              </w:rPr>
            </w:pP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非财政专项资金</w:t>
            </w:r>
          </w:p>
        </w:tc>
        <w:tc>
          <w:tcPr>
            <w:tcW w:w="2116" w:type="dxa"/>
            <w:gridSpan w:val="2"/>
            <w:vAlign w:val="center"/>
          </w:tcPr>
          <w:p>
            <w:pPr>
              <w:spacing w:line="240" w:lineRule="auto"/>
              <w:ind w:firstLine="420"/>
              <w:jc w:val="center"/>
              <w:rPr>
                <w:rFonts w:hint="default" w:ascii="仿宋_GB2312" w:eastAsia="仿宋_GB2312"/>
                <w:kern w:val="0"/>
                <w:lang w:val="en" w:eastAsia="zh-CN"/>
              </w:rPr>
            </w:pP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机关事业单位退休人员职业年金补偿</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2385.66</w:t>
            </w: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eastAsia"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社保征收经费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pPr>
              <w:spacing w:line="240" w:lineRule="auto"/>
              <w:ind w:firstLine="420"/>
              <w:jc w:val="center"/>
              <w:rPr>
                <w:rFonts w:hint="default" w:ascii="仿宋_GB2312" w:eastAsia="仿宋_GB2312"/>
                <w:kern w:val="0"/>
                <w:lang w:val="en" w:eastAsia="zh-CN"/>
              </w:rPr>
            </w:pPr>
          </w:p>
        </w:tc>
        <w:tc>
          <w:tcPr>
            <w:tcW w:w="1983" w:type="dxa"/>
            <w:gridSpan w:val="2"/>
            <w:vAlign w:val="center"/>
          </w:tcPr>
          <w:p>
            <w:pPr>
              <w:spacing w:line="240" w:lineRule="auto"/>
              <w:ind w:firstLine="420"/>
              <w:jc w:val="center"/>
              <w:rPr>
                <w:rFonts w:hint="eastAsia"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1、压实部门责任，严格控制行政性支出；2、严格通用办公资产配置管理；3、加强监督管理，构建厉行节约长效机制</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632.32</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1680.8</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1680.8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1669.3</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491.56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1189.25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11.5</w:t>
            </w:r>
            <w:r>
              <w:rPr>
                <w:rFonts w:hint="default" w:ascii="仿宋_GB2312" w:hAnsi="宋体" w:eastAsia="仿宋_GB2312" w:cs="宋体"/>
                <w:kern w:val="0"/>
                <w:lang w:val="en" w:eastAsia="zh-CN"/>
              </w:rPr>
              <w:t>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任务一：完成本单位日常工作，全年支出不超过预算收入；任务二：部门业务进行优化和简化；任务三：做好各项养老金发放工作，防范风险；任务四：落实机关事保职业年金虚账记实工作</w:t>
            </w:r>
          </w:p>
        </w:tc>
        <w:tc>
          <w:tcPr>
            <w:tcW w:w="4260"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完成年度任务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退休费社发率</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参保率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符合人社部和省人社局颁布的各项规范和标准</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在时限内完成</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jc w:val="both"/>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发放养老金</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保证参保缴费人员补助到位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生态环境改善情况</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有所改善</w:t>
            </w:r>
          </w:p>
        </w:tc>
        <w:tc>
          <w:tcPr>
            <w:tcW w:w="126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有所改善</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促进我市构建和谐稳定的劳动关系</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服务对象满意服务</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厉行节约，计划开支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pStyle w:val="2"/>
        <w:rPr>
          <w:rFonts w:hint="eastAsia" w:ascii="宋体" w:hAnsi="宋体" w:eastAsia="宋体" w:cs="宋体"/>
          <w:bCs/>
          <w:snapToGrid w:val="0"/>
          <w:color w:val="000000"/>
          <w:spacing w:val="-4"/>
          <w:sz w:val="28"/>
          <w:szCs w:val="28"/>
          <w:lang w:val="en-US" w:eastAsia="zh-CN" w:bidi="ar-SA"/>
        </w:rPr>
      </w:pPr>
    </w:p>
    <w:p>
      <w:pPr>
        <w:pStyle w:val="2"/>
        <w:rPr>
          <w:rFonts w:hint="eastAsia" w:ascii="宋体" w:hAnsi="宋体" w:eastAsia="宋体" w:cs="宋体"/>
          <w:bCs/>
          <w:snapToGrid w:val="0"/>
          <w:color w:val="000000"/>
          <w:spacing w:val="-4"/>
          <w:sz w:val="28"/>
          <w:szCs w:val="28"/>
          <w:lang w:val="en-US" w:eastAsia="zh-CN" w:bidi="ar-SA"/>
        </w:rPr>
      </w:pPr>
    </w:p>
    <w:p>
      <w:pPr>
        <w:pStyle w:val="2"/>
        <w:ind w:left="0" w:leftChars="0" w:firstLine="0" w:firstLineChars="0"/>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社保监督执法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落实社保监督执法，保障社会保险基金</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社保监督执法项目资金使用情况良好，分阶段分期使用完毕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全市养老保险参保人员数量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42.79万</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社保工作是否平稳运行</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平稳运行</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资金是否节约使用</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良好</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良好</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是否使社保基金安全合理运营</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安全</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安全</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生态环境改善状况</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促进我市构建和谐稳定的劳动关系</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群众是否满意</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15万</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bookmarkStart w:id="1" w:name="_GoBack"/>
      <w:r>
        <w:rPr>
          <w:rFonts w:hint="eastAsia" w:ascii="宋体" w:hAnsi="宋体" w:eastAsia="宋体" w:cs="宋体"/>
          <w:bCs/>
          <w:snapToGrid w:val="0"/>
          <w:color w:val="000000"/>
          <w:spacing w:val="-4"/>
          <w:sz w:val="28"/>
          <w:szCs w:val="28"/>
          <w:lang w:val="en-US" w:eastAsia="zh-CN" w:bidi="ar-SA"/>
        </w:rPr>
        <w:t>附件3-2</w:t>
      </w:r>
    </w:p>
    <w:bookmarkEnd w:id="1"/>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城乡居民养老保险征收及死亡认证奖励经费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完成社保征缴目标，扩大社保征缴覆盖面</w:t>
            </w:r>
          </w:p>
        </w:tc>
        <w:tc>
          <w:tcPr>
            <w:tcW w:w="4140"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本项目资金使用情况良好，分阶段分期使用完毕，做到了合理有效使用资金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全市养老保险参保人员数量</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36.17万</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社保征缴参保人员是否合规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合规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合规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2023年12月31日前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资金是否节约使用</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良好</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良好</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群众参保意识</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生态环境改善情况</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促进我市构建和谐稳定的劳动关系</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群众是否满意</w:t>
            </w:r>
          </w:p>
        </w:tc>
        <w:tc>
          <w:tcPr>
            <w:tcW w:w="1099" w:type="dxa"/>
            <w:vAlign w:val="center"/>
          </w:tcPr>
          <w:p>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99万</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对生态环境造成的负面影响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4</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年度汨罗市社会保险服务中心部门整体支出</w:t>
      </w:r>
    </w:p>
    <w:p>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汨罗市社会保险服务中心</w:t>
      </w:r>
    </w:p>
    <w:p>
      <w:pPr>
        <w:spacing w:before="274" w:line="225" w:lineRule="auto"/>
        <w:ind w:firstLine="617"/>
        <w:jc w:val="center"/>
        <w:rPr>
          <w:rFonts w:hint="eastAsia" w:ascii="楷体_GB2312" w:hAnsi="楷体" w:eastAsia="楷体_GB2312" w:cs="楷体"/>
          <w:b/>
          <w:bCs/>
          <w:spacing w:val="-13"/>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月</w:t>
      </w:r>
      <w:r>
        <w:rPr>
          <w:rFonts w:hint="eastAsia" w:ascii="楷体_GB2312" w:hAnsi="楷体" w:eastAsia="楷体_GB2312" w:cs="楷体"/>
          <w:b/>
          <w:bCs/>
          <w:spacing w:val="-13"/>
          <w:kern w:val="0"/>
          <w:sz w:val="32"/>
          <w:szCs w:val="32"/>
          <w:lang w:val="en-US" w:eastAsia="zh-CN"/>
        </w:rPr>
        <w:t>11</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_GB2312" w:hAnsi="仿宋_GB2312" w:eastAsia="黑体"/>
          <w:color w:val="auto"/>
          <w:sz w:val="32"/>
          <w:szCs w:val="32"/>
          <w:highlight w:val="none"/>
        </w:rPr>
      </w:pPr>
      <w:r>
        <w:rPr>
          <w:rFonts w:hint="eastAsia" w:ascii="仿宋" w:hAnsi="仿宋" w:eastAsia="仿宋" w:cs="仿宋"/>
          <w:b/>
          <w:bCs/>
          <w:snapToGrid w:val="0"/>
          <w:color w:val="000000"/>
          <w:spacing w:val="18"/>
          <w:sz w:val="30"/>
          <w:szCs w:val="30"/>
          <w:lang w:val="en-US" w:eastAsia="zh-CN" w:bidi="ar-SA"/>
        </w:rPr>
        <w:t>（此页为封面）</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bookmarkStart w:id="0" w:name="_Hlk124528175"/>
    </w:p>
    <w:bookmarkEnd w:id="0"/>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w:t>
      </w:r>
      <w:r>
        <w:rPr>
          <w:rFonts w:hint="eastAsia" w:ascii="黑体" w:hAnsi="黑体" w:eastAsia="黑体" w:cs="黑体"/>
          <w:spacing w:val="16"/>
          <w:sz w:val="40"/>
          <w:szCs w:val="40"/>
          <w:lang w:eastAsia="zh-CN"/>
        </w:rPr>
        <w:t>市社会保险服务中心</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仿宋_GB2312" w:eastAsia="黑体"/>
          <w:color w:val="auto"/>
          <w:sz w:val="32"/>
          <w:szCs w:val="32"/>
          <w:highlight w:val="none"/>
        </w:rPr>
      </w:pPr>
      <w:r>
        <w:rPr>
          <w:rFonts w:hint="eastAsia" w:ascii="仿宋_GB2312" w:hAnsi="仿宋_GB2312" w:eastAsia="黑体" w:cs="Times New Roman"/>
          <w:color w:val="auto"/>
          <w:kern w:val="2"/>
          <w:sz w:val="32"/>
          <w:szCs w:val="32"/>
          <w:lang w:val="en-US" w:eastAsia="zh-CN" w:bidi="ar-SA"/>
        </w:rPr>
        <w:t>一、</w:t>
      </w:r>
      <w:r>
        <w:rPr>
          <w:rFonts w:ascii="仿宋_GB2312" w:hAnsi="仿宋_GB2312" w:eastAsia="黑体"/>
          <w:color w:val="auto"/>
          <w:sz w:val="32"/>
          <w:szCs w:val="32"/>
          <w:highlight w:val="none"/>
        </w:rPr>
        <w:t>部门基本情况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sz w:val="32"/>
          <w:szCs w:val="32"/>
        </w:rPr>
      </w:pPr>
      <w:r>
        <w:rPr>
          <w:rFonts w:hint="eastAsia" w:ascii="仿宋_GB2312" w:hAnsi="仿宋_GB2312" w:eastAsia="仿宋_GB2312" w:cs="Times New Roman"/>
          <w:spacing w:val="0"/>
          <w:sz w:val="32"/>
          <w:szCs w:val="32"/>
        </w:rPr>
        <w:t>汨罗市社会保险服务中心主要职能为统筹建立社会保障体系，组织实施社会保险及补充保险政策和标准。落实基本养老保险和社会保障基金投资政策。会同有关部门拟订社会保险及其补充保险基金管理和监督办法并实施监督，会同有关部门编制全市社会保险基金预决算草案。负责全市社会保险基金预测预警和信息引导，拟订应对预案，实施预防、调节和控制，保持社会保险基金总体收支平衡。</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二、一般公共预算</w:t>
      </w:r>
      <w:r>
        <w:rPr>
          <w:rFonts w:hint="eastAsia" w:ascii="仿宋_GB2312" w:hAnsi="仿宋_GB2312" w:eastAsia="黑体"/>
          <w:color w:val="auto"/>
          <w:sz w:val="32"/>
          <w:szCs w:val="32"/>
          <w:highlight w:val="none"/>
          <w:lang w:eastAsia="zh-CN"/>
        </w:rPr>
        <w:t>财政拨款</w:t>
      </w:r>
      <w:r>
        <w:rPr>
          <w:rFonts w:ascii="仿宋_GB2312" w:hAnsi="仿宋_GB2312" w:eastAsia="黑体"/>
          <w:color w:val="auto"/>
          <w:sz w:val="32"/>
          <w:szCs w:val="32"/>
          <w:highlight w:val="none"/>
        </w:rPr>
        <w:t>支出情况</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社会保险服务中心2023年一般公共预算财政拨款支出1699.30万元，其中：基本支出491.56万元，其中人员经费436.89万元（工资福利支出436.22万元，对个人和家庭的补助0.67万元）、日常公用经费54.67万元（商品和服务支出54.67万元），项目支出1189.25万元。</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我单位严格执行预算管理制度，依据“谁用钱，谁负责”的原则，专款专用，实时监控。</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1、专项资金安排落实、总投入等情况分析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汨罗市社会保险服务中心专项资金均已落实到位，按时按质合理使用完毕。</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2、专项资金实际使用情况分析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项目资金严格按指定用途专款专用，实行专项报告制度，并接受财政部门或上级部门的检查、验收。2021年项目支出基本能够严格按照相关制度规定等进行。</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3、专项资金管理情况分析</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（1）建章立制，积极推进专项资金管理制度化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我单位从专项资金设立、预算编制、分配方式、执行管理、监督评价等方面，对区级财政专项资金使用管理进行全面规范。</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（2）建立体系，积极推进专项资金督查有序化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（3）公开信息，积极推进专项资金监督透明化</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按照建立规范透明预算管理制度的要求，积极稳妥推进专项资金信息公开。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三、</w:t>
      </w:r>
      <w:r>
        <w:rPr>
          <w:rFonts w:ascii="仿宋_GB2312" w:hAnsi="仿宋_GB2312" w:eastAsia="黑体"/>
          <w:color w:val="auto"/>
          <w:sz w:val="32"/>
          <w:szCs w:val="32"/>
          <w:highlight w:val="none"/>
        </w:rPr>
        <w:t>政府性基金预算</w:t>
      </w:r>
      <w:r>
        <w:rPr>
          <w:rFonts w:hint="eastAsia" w:ascii="仿宋_GB2312" w:hAnsi="仿宋_GB2312" w:eastAsia="黑体"/>
          <w:color w:val="auto"/>
          <w:sz w:val="32"/>
          <w:szCs w:val="32"/>
          <w:highlight w:val="none"/>
          <w:lang w:eastAsia="zh-CN"/>
        </w:rPr>
        <w:t>财政拨款</w:t>
      </w:r>
      <w:r>
        <w:rPr>
          <w:rFonts w:ascii="仿宋_GB2312" w:hAnsi="仿宋_GB2312" w:eastAsia="黑体"/>
          <w:color w:val="auto"/>
          <w:sz w:val="32"/>
          <w:szCs w:val="32"/>
          <w:highlight w:val="none"/>
        </w:rPr>
        <w:t>支出情况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四、</w:t>
      </w:r>
      <w:r>
        <w:rPr>
          <w:rFonts w:ascii="仿宋_GB2312" w:hAnsi="仿宋_GB2312" w:eastAsia="黑体"/>
          <w:color w:val="auto"/>
          <w:sz w:val="32"/>
          <w:szCs w:val="32"/>
          <w:highlight w:val="none"/>
        </w:rPr>
        <w:t>国有资本经营预算</w:t>
      </w:r>
      <w:r>
        <w:rPr>
          <w:rFonts w:hint="eastAsia" w:ascii="仿宋_GB2312" w:hAnsi="仿宋_GB2312" w:eastAsia="黑体"/>
          <w:color w:val="auto"/>
          <w:sz w:val="32"/>
          <w:szCs w:val="32"/>
          <w:highlight w:val="none"/>
          <w:lang w:eastAsia="zh-CN"/>
        </w:rPr>
        <w:t>财政拨款</w:t>
      </w:r>
      <w:r>
        <w:rPr>
          <w:rFonts w:ascii="仿宋_GB2312" w:hAnsi="仿宋_GB2312" w:eastAsia="黑体"/>
          <w:color w:val="auto"/>
          <w:sz w:val="32"/>
          <w:szCs w:val="32"/>
          <w:highlight w:val="none"/>
        </w:rPr>
        <w:t>支出情况</w:t>
      </w:r>
    </w:p>
    <w:p>
      <w:pPr>
        <w:pStyle w:val="2"/>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五、</w:t>
      </w:r>
      <w:r>
        <w:rPr>
          <w:rFonts w:ascii="仿宋_GB2312" w:hAnsi="仿宋_GB2312" w:eastAsia="黑体"/>
          <w:color w:val="auto"/>
          <w:sz w:val="32"/>
          <w:szCs w:val="32"/>
          <w:highlight w:val="none"/>
        </w:rPr>
        <w:t>社会保险基金预算支出情况</w:t>
      </w:r>
    </w:p>
    <w:p>
      <w:pPr>
        <w:pStyle w:val="2"/>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六、</w:t>
      </w:r>
      <w:r>
        <w:rPr>
          <w:rFonts w:ascii="仿宋_GB2312" w:hAnsi="仿宋_GB2312" w:eastAsia="黑体"/>
          <w:color w:val="auto"/>
          <w:sz w:val="32"/>
          <w:szCs w:val="32"/>
          <w:highlight w:val="none"/>
        </w:rPr>
        <w:t>部门整体支出绩效情况</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为加强项目资金管理，规范项目资金管理行为，提高项目管理水平及项目资金使用效益，汨罗市社会保险服务中心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项目支出基本能够严格按照相关制度规定等进行。</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七、存在的问题及原因分析</w:t>
      </w:r>
    </w:p>
    <w:p>
      <w:pPr>
        <w:pStyle w:val="10"/>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（一）存在的问题</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（1）项目推进力度有待进一步加强。</w:t>
      </w:r>
    </w:p>
    <w:p>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（2）政府采购年初预算与实际执行偏差大，政府采购预算编制准确性有待提高。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八、下一步改进措施</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（2）科学合理编制政府采购预算，强化政府采购预算执行，确保政府采购预算切合单位实际。</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（3）根据年初的绩效考核指标及预算绩效目标，扎实推进相关工作，确保考核指标及预算绩效目标按时、优质完成。</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九、部门整体支出绩效自评结果拟应用和公开情况</w:t>
      </w:r>
    </w:p>
    <w:p>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000000"/>
          <w:spacing w:val="0"/>
          <w:kern w:val="0"/>
          <w:position w:val="0"/>
          <w:sz w:val="32"/>
          <w:szCs w:val="32"/>
          <w:shd w:val="clear" w:fill="auto"/>
          <w:lang w:val="en-US" w:eastAsia="zh-CN"/>
        </w:rPr>
      </w:pPr>
      <w:r>
        <w:rPr>
          <w:rFonts w:hint="eastAsia" w:ascii="仿宋" w:hAnsi="仿宋" w:eastAsia="仿宋" w:cs="仿宋"/>
          <w:color w:val="000000"/>
          <w:spacing w:val="0"/>
          <w:kern w:val="0"/>
          <w:position w:val="0"/>
          <w:sz w:val="32"/>
          <w:szCs w:val="32"/>
          <w:shd w:val="clear" w:fill="auto"/>
        </w:rPr>
        <w:t>根据《项目支出绩效评价办法》（财预〔2020〕10号）中《项目支出绩效评价报告（参考提纲）》、《湖南省预算支出绩效评价管理办法》（湘财绩〔2020〕7号），</w:t>
      </w:r>
      <w:r>
        <w:rPr>
          <w:rFonts w:hint="eastAsia" w:ascii="仿宋" w:hAnsi="仿宋" w:eastAsia="仿宋" w:cs="仿宋"/>
          <w:color w:val="000000"/>
          <w:spacing w:val="0"/>
          <w:kern w:val="0"/>
          <w:position w:val="0"/>
          <w:sz w:val="32"/>
          <w:szCs w:val="32"/>
          <w:shd w:val="clear" w:fill="auto"/>
          <w:lang w:eastAsia="zh-CN"/>
        </w:rPr>
        <w:t>“社保监督执法</w:t>
      </w:r>
      <w:r>
        <w:rPr>
          <w:rFonts w:hint="eastAsia" w:ascii="仿宋" w:hAnsi="仿宋" w:eastAsia="仿宋" w:cs="仿宋"/>
          <w:color w:val="000000"/>
          <w:spacing w:val="0"/>
          <w:kern w:val="0"/>
          <w:position w:val="0"/>
          <w:sz w:val="32"/>
          <w:szCs w:val="32"/>
          <w:shd w:val="clear" w:fill="auto"/>
          <w:lang w:val="en-US" w:eastAsia="zh-CN"/>
        </w:rPr>
        <w:t>项目</w:t>
      </w:r>
      <w:r>
        <w:rPr>
          <w:rFonts w:hint="eastAsia" w:ascii="仿宋" w:hAnsi="仿宋" w:eastAsia="仿宋" w:cs="仿宋"/>
          <w:color w:val="000000"/>
          <w:spacing w:val="0"/>
          <w:kern w:val="0"/>
          <w:position w:val="0"/>
          <w:sz w:val="32"/>
          <w:szCs w:val="32"/>
          <w:shd w:val="clear" w:fill="auto"/>
          <w:lang w:eastAsia="zh-CN"/>
        </w:rPr>
        <w:t>”，</w:t>
      </w:r>
      <w:r>
        <w:rPr>
          <w:rFonts w:hint="eastAsia" w:ascii="仿宋" w:hAnsi="仿宋" w:eastAsia="仿宋" w:cs="仿宋"/>
          <w:color w:val="000000"/>
          <w:spacing w:val="0"/>
          <w:kern w:val="0"/>
          <w:position w:val="0"/>
          <w:sz w:val="32"/>
          <w:szCs w:val="32"/>
          <w:shd w:val="clear" w:fill="auto"/>
          <w:lang w:val="en-US" w:eastAsia="zh-CN"/>
        </w:rPr>
        <w:t>该项目绩效评价综合得分99分，绩效评价结果为“优”，绩效评价报告详见附件。</w:t>
      </w:r>
    </w:p>
    <w:p>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000000"/>
          <w:spacing w:val="0"/>
          <w:kern w:val="0"/>
          <w:position w:val="0"/>
          <w:sz w:val="32"/>
          <w:szCs w:val="32"/>
          <w:shd w:val="clear" w:fill="auto"/>
          <w:lang w:val="en-US" w:eastAsia="zh-CN"/>
        </w:rPr>
      </w:pPr>
      <w:r>
        <w:rPr>
          <w:rFonts w:hint="eastAsia" w:ascii="仿宋" w:hAnsi="仿宋" w:eastAsia="仿宋" w:cs="仿宋"/>
          <w:color w:val="000000"/>
          <w:spacing w:val="0"/>
          <w:kern w:val="0"/>
          <w:position w:val="0"/>
          <w:sz w:val="32"/>
          <w:szCs w:val="32"/>
          <w:shd w:val="clear" w:fill="auto"/>
          <w:lang w:val="en-US" w:eastAsia="zh-CN"/>
        </w:rPr>
        <w:t>组织对“社保监督执法”“城乡居民养老保险征收及死亡认证奖励经费”等2个项目开展了部门评价，涉及一般公共预算支出114万元，政府性基金预算支出</w:t>
      </w:r>
      <w:r>
        <w:rPr>
          <w:rFonts w:hint="eastAsia" w:ascii="仿宋" w:hAnsi="仿宋" w:eastAsia="仿宋" w:cs="仿宋"/>
          <w:color w:val="000000"/>
          <w:spacing w:val="0"/>
          <w:kern w:val="0"/>
          <w:position w:val="0"/>
          <w:sz w:val="32"/>
          <w:szCs w:val="32"/>
          <w:shd w:val="clear" w:fill="auto"/>
          <w:lang w:val="en-US" w:eastAsia="zh-CN"/>
        </w:rPr>
        <w:t>0万元，国有资本经营预算支出</w:t>
      </w:r>
      <w:r>
        <w:rPr>
          <w:rFonts w:hint="eastAsia" w:ascii="仿宋" w:hAnsi="仿宋" w:eastAsia="仿宋" w:cs="仿宋"/>
          <w:color w:val="000000"/>
          <w:spacing w:val="0"/>
          <w:kern w:val="0"/>
          <w:position w:val="0"/>
          <w:sz w:val="32"/>
          <w:szCs w:val="32"/>
          <w:shd w:val="clear" w:fill="auto"/>
          <w:lang w:val="en-US" w:eastAsia="zh-CN"/>
        </w:rPr>
        <w:t>0万元。从评价情况来看，项目资金落实情况比较好，充分利用使得社保工作平稳有序开展。项目立项程序完整、规范，绩效目标明确合理，预算执行及时有效，为有关部门决策提供了较为有力的支撑，绩效目标得到较好实现。</w:t>
      </w:r>
    </w:p>
    <w:p>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其他需要说明的情况</w:t>
      </w:r>
    </w:p>
    <w:p>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color w:val="000000"/>
          <w:spacing w:val="0"/>
          <w:kern w:val="0"/>
          <w:position w:val="0"/>
          <w:sz w:val="32"/>
          <w:szCs w:val="32"/>
          <w:shd w:val="clear" w:fill="auto"/>
          <w:lang w:val="en-US" w:eastAsia="zh-CN"/>
        </w:rPr>
      </w:pPr>
      <w:r>
        <w:rPr>
          <w:rFonts w:hint="eastAsia" w:ascii="仿宋" w:hAnsi="仿宋" w:eastAsia="仿宋" w:cs="仿宋"/>
          <w:color w:val="000000"/>
          <w:spacing w:val="0"/>
          <w:kern w:val="0"/>
          <w:position w:val="0"/>
          <w:sz w:val="32"/>
          <w:szCs w:val="32"/>
          <w:shd w:val="clear" w:fill="auto"/>
          <w:lang w:val="en-US" w:eastAsia="zh-CN"/>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附件：1</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政府性基金预算</w:t>
      </w:r>
      <w:r>
        <w:rPr>
          <w:rFonts w:hint="eastAsia" w:ascii="仿宋_GB2312" w:hAnsi="仿宋_GB2312" w:eastAsia="仿宋_GB2312"/>
          <w:color w:val="auto"/>
          <w:sz w:val="32"/>
          <w:szCs w:val="32"/>
          <w:highlight w:val="none"/>
          <w:lang w:eastAsia="zh-CN"/>
        </w:rPr>
        <w:t>财政拨款</w:t>
      </w:r>
      <w:r>
        <w:rPr>
          <w:rFonts w:ascii="仿宋_GB2312" w:hAnsi="仿宋_GB2312" w:eastAsia="仿宋_GB2312"/>
          <w:color w:val="auto"/>
          <w:sz w:val="32"/>
          <w:szCs w:val="32"/>
          <w:highlight w:val="none"/>
        </w:rPr>
        <w:t>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5</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国有资本经营预算</w:t>
      </w:r>
      <w:r>
        <w:rPr>
          <w:rFonts w:hint="eastAsia" w:ascii="仿宋_GB2312" w:hAnsi="仿宋_GB2312" w:eastAsia="仿宋_GB2312"/>
          <w:color w:val="auto"/>
          <w:sz w:val="32"/>
          <w:szCs w:val="32"/>
          <w:highlight w:val="none"/>
          <w:lang w:eastAsia="zh-CN"/>
        </w:rPr>
        <w:t>财政拨款</w:t>
      </w:r>
      <w:r>
        <w:rPr>
          <w:rFonts w:ascii="仿宋_GB2312" w:hAnsi="仿宋_GB2312" w:eastAsia="仿宋_GB2312"/>
          <w:color w:val="auto"/>
          <w:sz w:val="32"/>
          <w:szCs w:val="32"/>
          <w:highlight w:val="none"/>
        </w:rPr>
        <w:t>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Theme="minorEastAsia"/>
          <w:lang w:eastAsia="zh-CN"/>
        </w:rPr>
      </w:pPr>
      <w:r>
        <w:rPr>
          <w:rFonts w:ascii="仿宋_GB2312" w:hAnsi="仿宋_GB2312" w:eastAsia="仿宋_GB2312"/>
          <w:color w:val="auto"/>
          <w:sz w:val="32"/>
          <w:szCs w:val="32"/>
          <w:highlight w:val="none"/>
        </w:rPr>
        <w:t>6</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社会保险基金预算支出</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社保监督执法项目</w:t>
      </w:r>
      <w:r>
        <w:rPr>
          <w:rFonts w:ascii="黑体" w:hAnsi="黑体" w:eastAsia="黑体" w:cs="黑体"/>
          <w:spacing w:val="15"/>
          <w:position w:val="10"/>
          <w:sz w:val="42"/>
          <w:szCs w:val="42"/>
        </w:rPr>
        <w:t>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 w:hAnsi="仿宋" w:eastAsia="仿宋" w:cs="仿宋"/>
          <w:snapToGrid w:val="0"/>
          <w:color w:val="000000"/>
          <w:spacing w:val="-22"/>
          <w:kern w:val="0"/>
          <w:sz w:val="27"/>
          <w:szCs w:val="27"/>
          <w:highlight w:val="none"/>
          <w:lang w:val="en-US" w:eastAsia="zh-CN" w:bidi="ar-SA"/>
        </w:rPr>
        <w:t xml:space="preserve">部 门 </w:t>
      </w:r>
      <w:r>
        <w:rPr>
          <w:rFonts w:ascii="仿宋" w:hAnsi="仿宋" w:eastAsia="仿宋" w:cs="仿宋"/>
          <w:snapToGrid w:val="0"/>
          <w:color w:val="000000"/>
          <w:spacing w:val="-22"/>
          <w:kern w:val="0"/>
          <w:sz w:val="27"/>
          <w:szCs w:val="27"/>
          <w:highlight w:val="none"/>
          <w:lang w:val="en-US" w:eastAsia="en-US" w:bidi="ar-SA"/>
        </w:rPr>
        <w:t>名</w:t>
      </w:r>
      <w:r>
        <w:rPr>
          <w:rFonts w:hint="eastAsia" w:ascii="仿宋" w:hAnsi="仿宋" w:eastAsia="仿宋" w:cs="仿宋"/>
          <w:snapToGrid w:val="0"/>
          <w:color w:val="000000"/>
          <w:spacing w:val="-22"/>
          <w:kern w:val="0"/>
          <w:sz w:val="27"/>
          <w:szCs w:val="27"/>
          <w:highlight w:val="none"/>
          <w:lang w:val="en-US" w:eastAsia="zh-CN" w:bidi="ar-SA"/>
        </w:rPr>
        <w:t xml:space="preserve"> </w:t>
      </w:r>
      <w:r>
        <w:rPr>
          <w:rFonts w:ascii="仿宋" w:hAnsi="仿宋" w:eastAsia="仿宋" w:cs="仿宋"/>
          <w:snapToGrid w:val="0"/>
          <w:color w:val="000000"/>
          <w:spacing w:val="-22"/>
          <w:kern w:val="0"/>
          <w:sz w:val="27"/>
          <w:szCs w:val="27"/>
          <w:highlight w:val="none"/>
          <w:lang w:val="en-US" w:eastAsia="en-US" w:bidi="ar-SA"/>
        </w:rPr>
        <w:t>称</w:t>
      </w:r>
      <w:r>
        <w:rPr>
          <w:rFonts w:ascii="仿宋" w:hAnsi="仿宋" w:eastAsia="仿宋" w:cs="仿宋"/>
          <w:snapToGrid w:val="0"/>
          <w:color w:val="000000"/>
          <w:spacing w:val="64"/>
          <w:kern w:val="0"/>
          <w:sz w:val="27"/>
          <w:szCs w:val="27"/>
          <w:u w:val="none" w:color="auto"/>
          <w:lang w:val="en-US" w:eastAsia="en-US" w:bidi="ar-SA"/>
        </w:rPr>
        <w:t>：</w:t>
      </w:r>
      <w:r>
        <w:rPr>
          <w:rFonts w:hint="eastAsia" w:ascii="仿宋" w:hAnsi="仿宋" w:eastAsia="仿宋" w:cs="仿宋"/>
          <w:snapToGrid w:val="0"/>
          <w:color w:val="000000"/>
          <w:spacing w:val="64"/>
          <w:kern w:val="0"/>
          <w:sz w:val="27"/>
          <w:szCs w:val="27"/>
          <w:u w:val="single" w:color="auto"/>
          <w:lang w:val="en-US" w:eastAsia="zh-CN" w:bidi="ar-SA"/>
        </w:rPr>
        <w:t>汨罗市社会保险服务中心</w:t>
      </w:r>
    </w:p>
    <w:p>
      <w:pPr>
        <w:pStyle w:val="3"/>
        <w:spacing w:before="289" w:line="610" w:lineRule="exact"/>
        <w:ind w:left="3490"/>
        <w:rPr>
          <w:spacing w:val="-13"/>
          <w:position w:val="26"/>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pPr>
        <w:pStyle w:val="3"/>
        <w:spacing w:before="1" w:line="223" w:lineRule="auto"/>
        <w:ind w:left="3560"/>
        <w:rPr>
          <w:spacing w:val="7"/>
          <w:sz w:val="24"/>
          <w:szCs w:val="24"/>
        </w:rPr>
      </w:pPr>
      <w:r>
        <w:rPr>
          <w:rFonts w:hint="eastAsia"/>
          <w:spacing w:val="7"/>
          <w:sz w:val="24"/>
          <w:szCs w:val="24"/>
          <w:lang w:eastAsia="zh-CN"/>
        </w:rPr>
        <w:t>（</w:t>
      </w:r>
      <w:r>
        <w:rPr>
          <w:rFonts w:hint="eastAsia"/>
          <w:spacing w:val="7"/>
          <w:sz w:val="24"/>
          <w:szCs w:val="24"/>
          <w:lang w:val="en-US" w:eastAsia="zh-CN"/>
        </w:rPr>
        <w:t>此页为封面</w:t>
      </w:r>
      <w:r>
        <w:rPr>
          <w:rFonts w:hint="eastAsia"/>
          <w:spacing w:val="7"/>
          <w:sz w:val="24"/>
          <w:szCs w:val="24"/>
          <w:lang w:eastAsia="zh-CN"/>
        </w:rPr>
        <w:t>）</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pStyle w:val="2"/>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eastAsia="zh-CN"/>
        </w:rPr>
        <w:t>项目支出</w:t>
      </w:r>
      <w:r>
        <w:rPr>
          <w:rFonts w:ascii="黑体" w:hAnsi="黑体" w:eastAsia="黑体" w:cs="黑体"/>
          <w:b/>
          <w:bCs/>
          <w:spacing w:val="-15"/>
          <w:sz w:val="31"/>
          <w:szCs w:val="31"/>
        </w:rPr>
        <w:t>基本情况</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本项目资金用于社保监督执法,保障社会保险基金的安全，规范和加强社会保险基金运营。</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社保监督执法项目，一是对社保法纪责任进行多渠道多方面宣传，比如发放传单，设立横幅，采用流动宣传车对社保工作进行宣传等。二是用于社保工作非现场检查。持续开展社保基金网络监督工作，每月分发预警信息组织核查。三是加大现场检查力度。定期或不定期对基金收支情况、信息系统建设、岗位设置、档案管理、内控管理等情况进行检查。四是用于发挥部门联动效应，建立查处和防范社会保险欺诈工作联席会议制度，联合多部门强力追缴违规领取的社保待遇。</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社保监督执法项目资金使用情况良好，分阶段分期使用完毕。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二、绩效工作评价情况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汨罗市财政局关于开展2023年度部门整体支出和项目支出绩效自评工作的通知》（汨财绩【2024】1号）等相关文件要求，我单位制定了绩效自评方案，成立了工作领导小组，严格按照方案要求，及时发现问题，解决问题，形成了本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本年度落实了基本养老保险和社会保障基金政策，社保工作平稳有序开展。</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黑体"/>
          <w:color w:val="auto"/>
          <w:sz w:val="32"/>
          <w:szCs w:val="32"/>
          <w:highlight w:val="none"/>
          <w:lang w:eastAsia="zh-CN"/>
        </w:rPr>
      </w:pPr>
      <w:r>
        <w:rPr>
          <w:rFonts w:hint="eastAsia" w:ascii="仿宋_GB2312" w:hAnsi="仿宋_GB2312" w:eastAsia="黑体"/>
          <w:color w:val="auto"/>
          <w:sz w:val="32"/>
          <w:szCs w:val="32"/>
          <w:highlight w:val="none"/>
          <w:lang w:eastAsia="zh-CN"/>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 w:eastAsia="zh-CN" w:bidi="ar-SA"/>
        </w:rPr>
      </w:pPr>
      <w:r>
        <w:rPr>
          <w:rFonts w:hint="eastAsia" w:ascii="Arial" w:hAnsi="Arial" w:eastAsia="仿宋_GB2312" w:cs="Arial"/>
          <w:snapToGrid w:val="0"/>
          <w:color w:val="000000"/>
          <w:kern w:val="0"/>
          <w:sz w:val="32"/>
          <w:szCs w:val="32"/>
          <w:lang w:val="en" w:eastAsia="zh-CN" w:bidi="ar-SA"/>
        </w:rPr>
        <w:t>本单位项目决策根据实际情况制定了实施规划</w:t>
      </w:r>
      <w:r>
        <w:rPr>
          <w:rFonts w:hint="default" w:ascii="Arial" w:hAnsi="Arial" w:eastAsia="仿宋_GB2312" w:cs="Arial"/>
          <w:snapToGrid w:val="0"/>
          <w:color w:val="000000"/>
          <w:kern w:val="0"/>
          <w:sz w:val="32"/>
          <w:szCs w:val="32"/>
          <w:lang w:val="en" w:eastAsia="zh-CN" w:bidi="ar-SA"/>
        </w:rPr>
        <w:t>,</w:t>
      </w:r>
      <w:r>
        <w:rPr>
          <w:rFonts w:hint="eastAsia" w:ascii="Arial" w:hAnsi="Arial" w:eastAsia="仿宋_GB2312" w:cs="Arial"/>
          <w:snapToGrid w:val="0"/>
          <w:color w:val="000000"/>
          <w:kern w:val="0"/>
          <w:sz w:val="32"/>
          <w:szCs w:val="32"/>
          <w:lang w:val="en" w:eastAsia="zh-CN" w:bidi="ar-SA"/>
        </w:rPr>
        <w:t>秉持“保民生、保工资、保运转”的理念，合理安排项目资金。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 w:eastAsia="zh-CN" w:bidi="ar-SA"/>
        </w:rPr>
      </w:pPr>
      <w:r>
        <w:rPr>
          <w:rFonts w:hint="eastAsia" w:ascii="Arial" w:hAnsi="Arial" w:eastAsia="仿宋_GB2312" w:cs="Arial"/>
          <w:snapToGrid w:val="0"/>
          <w:color w:val="000000"/>
          <w:kern w:val="0"/>
          <w:sz w:val="32"/>
          <w:szCs w:val="32"/>
          <w:lang w:val="en" w:eastAsia="zh-CN" w:bidi="ar-SA"/>
        </w:rPr>
        <w:t>本单位项目在开展过程中严格按照相关制度规定等进行，按照实际情况支出，严禁挤占、挪用、虚列支出等情况发生。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 w:eastAsia="zh-CN" w:bidi="ar-SA"/>
        </w:rPr>
        <w:t>本单位项目产出按照数量、质量、时效、成本等四个方面，根据各自情况，设置相关指标内容，用于跟踪项目工作的开展。全市养老保险参保人员数量已完成；社保工作平稳运行；时效在</w:t>
      </w:r>
      <w:r>
        <w:rPr>
          <w:rFonts w:hint="eastAsia" w:ascii="Arial" w:hAnsi="Arial" w:eastAsia="仿宋_GB2312" w:cs="Arial"/>
          <w:snapToGrid w:val="0"/>
          <w:color w:val="000000"/>
          <w:kern w:val="0"/>
          <w:sz w:val="32"/>
          <w:szCs w:val="32"/>
          <w:lang w:val="en-US" w:eastAsia="zh-CN" w:bidi="ar-SA"/>
        </w:rPr>
        <w:t>2023年12月31日前完成；成本指标15万元已完成。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sz w:val="32"/>
          <w:szCs w:val="32"/>
          <w:lang w:eastAsia="zh-CN"/>
        </w:rPr>
      </w:pPr>
      <w:r>
        <w:rPr>
          <w:rFonts w:hint="eastAsia" w:ascii="Arial" w:hAnsi="Arial" w:eastAsia="仿宋_GB2312" w:cs="Arial"/>
          <w:snapToGrid w:val="0"/>
          <w:color w:val="000000"/>
          <w:kern w:val="0"/>
          <w:sz w:val="32"/>
          <w:szCs w:val="32"/>
          <w:lang w:val="en" w:eastAsia="zh-CN" w:bidi="ar-SA"/>
        </w:rPr>
        <w:t>本单位项目效益按照经济效益、社会效益、生态效益、服务对象满意度等四个方面，设置符合实际情况的指标内容，用于跟踪项目工作的开展。经济效益、社会效益完成情况良好；服务对象满意。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五、主要经验及做法、存在的问题及原因分析</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pacing w:val="7"/>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在项目资金实施过程中我单位按照分时分段以及提前做好规划，合理制定工作方案等方式合规有序使用资金。但是在工作过程中，社保参保范围广，人员多，工作量大，社保工作任务重，执法监督人手不足，社保工作压力较大。  </w:t>
      </w:r>
      <w:r>
        <w:rPr>
          <w:rFonts w:hint="eastAsia" w:ascii="仿宋_GB2312" w:hAnsi="仿宋_GB2312" w:eastAsia="仿宋_GB2312" w:cs="仿宋_GB2312"/>
          <w:color w:val="auto"/>
          <w:spacing w:val="7"/>
          <w:kern w:val="2"/>
          <w:sz w:val="32"/>
          <w:szCs w:val="32"/>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pacing w:val="7"/>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将继续深入贯彻落实省厅关于进一步加强社会保险基金管理风险防控工作的实施意见，努力构建政策、经办、信息、监督四位一体的风险防控工作机制，切实维护基金安全完整。同时，采取多种方式，突出抓好经常性警示教育，进一步增强人员的风险防控意识，树立底线思维，努力推动汨罗市社保事业健康快速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七、其他需要说明的问题</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pStyle w:val="2"/>
        <w:rPr>
          <w:rFonts w:hint="eastAsia" w:eastAsia="仿宋_GB2312"/>
          <w:kern w:val="0"/>
          <w:sz w:val="32"/>
          <w:szCs w:val="32"/>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城乡居民养老保险征收及死亡认证奖励经费项目</w:t>
      </w:r>
      <w:r>
        <w:rPr>
          <w:rFonts w:ascii="黑体" w:hAnsi="黑体" w:eastAsia="黑体" w:cs="黑体"/>
          <w:spacing w:val="15"/>
          <w:position w:val="10"/>
          <w:sz w:val="42"/>
          <w:szCs w:val="42"/>
        </w:rPr>
        <w:t>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both"/>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highlight w:val="none"/>
        </w:rPr>
        <w:t>：</w:t>
      </w:r>
      <w:r>
        <w:rPr>
          <w:rFonts w:hint="eastAsia" w:ascii="仿宋" w:hAnsi="仿宋" w:eastAsia="仿宋" w:cs="仿宋"/>
          <w:snapToGrid w:val="0"/>
          <w:color w:val="000000"/>
          <w:kern w:val="0"/>
          <w:sz w:val="27"/>
          <w:szCs w:val="27"/>
          <w:u w:val="single" w:color="auto"/>
          <w:lang w:val="en-US" w:eastAsia="zh-CN" w:bidi="ar-SA"/>
        </w:rPr>
        <w:t>汨罗市社会保险服务中心</w:t>
      </w:r>
    </w:p>
    <w:p>
      <w:pPr>
        <w:pStyle w:val="3"/>
        <w:spacing w:before="289" w:line="610" w:lineRule="exact"/>
        <w:ind w:left="3490"/>
        <w:rPr>
          <w:spacing w:val="-13"/>
          <w:position w:val="26"/>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5</w:t>
      </w:r>
      <w:r>
        <w:rPr>
          <w:spacing w:val="-13"/>
          <w:position w:val="26"/>
          <w:sz w:val="27"/>
          <w:szCs w:val="27"/>
        </w:rPr>
        <w:t>月</w:t>
      </w:r>
      <w:r>
        <w:rPr>
          <w:rFonts w:hint="eastAsia"/>
          <w:spacing w:val="-13"/>
          <w:position w:val="26"/>
          <w:sz w:val="27"/>
          <w:szCs w:val="27"/>
          <w:lang w:val="en-US" w:eastAsia="zh-CN"/>
        </w:rPr>
        <w:t>11</w:t>
      </w:r>
      <w:r>
        <w:rPr>
          <w:spacing w:val="-13"/>
          <w:position w:val="26"/>
          <w:sz w:val="27"/>
          <w:szCs w:val="27"/>
        </w:rPr>
        <w:t>日</w:t>
      </w:r>
    </w:p>
    <w:p>
      <w:pPr>
        <w:pStyle w:val="3"/>
        <w:spacing w:before="1" w:line="223" w:lineRule="auto"/>
        <w:ind w:left="3560"/>
        <w:rPr>
          <w:rFonts w:hint="eastAsia"/>
          <w:spacing w:val="7"/>
          <w:sz w:val="24"/>
          <w:szCs w:val="24"/>
          <w:lang w:eastAsia="zh-CN"/>
        </w:rPr>
      </w:pPr>
      <w:r>
        <w:rPr>
          <w:rFonts w:hint="eastAsia"/>
          <w:spacing w:val="7"/>
          <w:sz w:val="24"/>
          <w:szCs w:val="24"/>
          <w:lang w:eastAsia="zh-CN"/>
        </w:rPr>
        <w:t>（</w:t>
      </w:r>
      <w:r>
        <w:rPr>
          <w:rFonts w:hint="eastAsia"/>
          <w:spacing w:val="7"/>
          <w:sz w:val="24"/>
          <w:szCs w:val="24"/>
          <w:lang w:val="en-US" w:eastAsia="zh-CN"/>
        </w:rPr>
        <w:t>此页为封面</w:t>
      </w:r>
      <w:r>
        <w:rPr>
          <w:rFonts w:hint="eastAsia"/>
          <w:spacing w:val="7"/>
          <w:sz w:val="24"/>
          <w:szCs w:val="24"/>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黑体" w:cs="Times New Roman"/>
          <w:color w:val="auto"/>
          <w:kern w:val="2"/>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eastAsia="zh-CN"/>
        </w:rPr>
        <w:t>项目支出</w:t>
      </w:r>
      <w:r>
        <w:rPr>
          <w:rFonts w:ascii="黑体" w:hAnsi="黑体" w:eastAsia="黑体" w:cs="黑体"/>
          <w:b/>
          <w:bCs/>
          <w:spacing w:val="-15"/>
          <w:sz w:val="31"/>
          <w:szCs w:val="31"/>
        </w:rPr>
        <w:t>基本情况</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汨罗市社会保险服务中心工作职责为统筹建立社会保障体系，组织实施社会保险及补充保险政策和标准。落实基本养老保险和社会保障基金投资政策。根据汨府阅[2012]6号《关于城乡居民社会养老保险试点工作的会议纪要》文件精神，社保征缴经费按服务的参保对象每人每年3元的标准安排预算，经费分配比例为：市级1.4元/人、乡镇0.6元/人、村级1元/人。为深入扩大社会保险覆盖面，提升社会保险费征缴率，增强社会保险基金抗风险能力，推荐我市社会保险事业的完善和发展，结合当前全市参保情况，本单位至少需要</w:t>
      </w:r>
      <w:r>
        <w:rPr>
          <w:rFonts w:hint="eastAsia" w:eastAsia="仿宋_GB2312"/>
          <w:kern w:val="0"/>
          <w:sz w:val="32"/>
          <w:szCs w:val="32"/>
          <w:lang w:val="en-US" w:eastAsia="zh-CN"/>
        </w:rPr>
        <w:t>99</w:t>
      </w:r>
      <w:r>
        <w:rPr>
          <w:rFonts w:hint="eastAsia" w:eastAsia="仿宋_GB2312"/>
          <w:kern w:val="0"/>
          <w:sz w:val="32"/>
          <w:szCs w:val="32"/>
          <w:lang w:val="en-US" w:eastAsia="en-US"/>
        </w:rPr>
        <w:t>万征收经费开展社保征收工作。</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城乡居民养老保险征收及死亡认证奖励经费由财政拨付99万元，做到项目资金专款专用，在该年度已全部支出完毕，主要用于支付社保征缴工作中的办公开支、工作培训经费、根据各乡镇参保情况审核后再拨付到乡镇用于社保工作等。</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用于扩面征缴的宣传工作，营造参保良好氛围。通过挂横幅、写标语、办宣传栏、流动宣传车等形式对我市社保扩面征缴工作全方位地宣传。动员各乡镇群众积极参与，使群众明白社会保险的意义和重要性。经过一段时间的努力，群众对于社保的认识有了很大的提高。为全年的社保扩面征缴工作顺利完成提供了坚实的保证。二是扩大社保覆盖面。社保工作人员不时深入企业调查，积极鼓励企业为职工进行企业养老保险参保，维护了职工的合法权益。对拒不参保、瞒报基数拒不整改、恶意欠费的用人单位依法督促其整改。联合各乡镇劳动保障站对居民参保进行动员，提高群众对参保的自觉性，对城乡居民养老保险和灵活就业人员参保政策进行宣传，扩大缴费面。三是对各乡镇劳动保障站社保工作人员加强指导、规范业务，提升服务。按照城乡居保征缴工作流程，严格人员信息管理，建立征缴台账，确保基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二、绩效工作评价情况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本项目资金使用情况良好，分阶段分期使用完毕。做到了合理有效使用资金，并且发挥了应有的效果。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社保征缴工作成效显著。在我单位社保工作人员和乡镇劳保站的共同努力和配合下，扩面征缴工作进展非常顺利，已超额完成市政府下达的扩面征缴任务。积极征缴、合理调度，确保了本年度社会保险基金圆满达标征缴目标，足额入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 w:eastAsia="zh-CN"/>
        </w:rPr>
      </w:pPr>
      <w:r>
        <w:rPr>
          <w:rFonts w:hint="eastAsia" w:eastAsia="仿宋_GB2312"/>
          <w:kern w:val="0"/>
          <w:sz w:val="32"/>
          <w:szCs w:val="32"/>
          <w:lang w:val="en" w:eastAsia="zh-CN"/>
        </w:rPr>
        <w:t>本单位项目决策根据实际情况制定了实施规划</w:t>
      </w:r>
      <w:r>
        <w:rPr>
          <w:rFonts w:hint="default" w:eastAsia="仿宋_GB2312"/>
          <w:kern w:val="0"/>
          <w:sz w:val="32"/>
          <w:szCs w:val="32"/>
          <w:lang w:val="en" w:eastAsia="zh-CN"/>
        </w:rPr>
        <w:t>,</w:t>
      </w:r>
      <w:r>
        <w:rPr>
          <w:rFonts w:hint="eastAsia" w:eastAsia="仿宋_GB2312"/>
          <w:kern w:val="0"/>
          <w:sz w:val="32"/>
          <w:szCs w:val="32"/>
          <w:lang w:val="en" w:eastAsia="zh-CN"/>
        </w:rPr>
        <w:t>秉持“保民生、保工资、保运转”的理念，合理安排项目资金。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 w:eastAsia="zh-CN"/>
        </w:rPr>
      </w:pPr>
      <w:r>
        <w:rPr>
          <w:rFonts w:hint="eastAsia" w:eastAsia="仿宋_GB2312"/>
          <w:kern w:val="0"/>
          <w:sz w:val="32"/>
          <w:szCs w:val="32"/>
          <w:lang w:val="en" w:eastAsia="zh-CN"/>
        </w:rPr>
        <w:t>本单位项目在开展过程中严格按照相关制度规定等进行，按照实际情况支出，严禁挤占、挪用、虚列支出等情况发生。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 w:eastAsia="zh-CN"/>
        </w:rPr>
        <w:t>本单位项目产出按照数量、质量、时效、成本等四个方面，根据各自情况，设置相关指标内容，用于跟踪项目工作的开展。全市养老保险参保人员数量已完成；社保征缴参保人员合规；时效在</w:t>
      </w:r>
      <w:r>
        <w:rPr>
          <w:rFonts w:hint="eastAsia" w:eastAsia="仿宋_GB2312"/>
          <w:kern w:val="0"/>
          <w:sz w:val="32"/>
          <w:szCs w:val="32"/>
          <w:lang w:val="en-US" w:eastAsia="zh-CN"/>
        </w:rPr>
        <w:t>2023年12月31日前已完成；成本指标99万已完成。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 w:eastAsia="zh-CN"/>
        </w:rPr>
      </w:pPr>
      <w:r>
        <w:rPr>
          <w:rFonts w:hint="eastAsia" w:eastAsia="仿宋_GB2312"/>
          <w:kern w:val="0"/>
          <w:sz w:val="32"/>
          <w:szCs w:val="32"/>
          <w:lang w:val="en" w:eastAsia="zh-CN"/>
        </w:rPr>
        <w:t>本单位项目效益按照经济效益、社会效益、生态效益、服务对象满意度等四个方面，设置符合实际情况的指标内容，用于跟踪项目工作的开展。经济效益、社会效益完成情况良好；服务对象满意。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在项目资金实施过程中我单位按照分时分段以及提前做好规划，合理制定工作方案等方式合规有序使用资金。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但是在征缴工作中依然存在以下问题：1.部分人员存在观望情绪。大部分农村居民经济条件并不宽裕，历史形成的“养儿防老，积谷防饥”传统的家庭养老观念根深蒂固，加之多数老年人文化水平不高，政策理解有限。参保对象中的中青年人员又存在等待观望情绪，认为自己还年轻，离领取养老待遇还有很长一段时间，存在等待观望思想。2.乡镇年轻劳动力常住人口少，扩面征缴难。近年外出务工经商人员多，对社保政策不知晓，没有防老的意识，还有些已在务工所在地参加了养老保险，这些都为社保扩面工作增加了难度。3.乡镇社保工作人员人手不足，参保信息工作量大，错误信息多。参保人的身份信息存在录入错误，参保重复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1、强化宣传，巩固提高成绩。继续发扬攻坚克难的优良作风，加大宣传力度，确保老百姓对社会养老保险政策的理解更加透彻，达到自愿参保和续保。</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2、加强培训，提升业务能力。进一步加强经办人员业务能力的提升，每年组织乡镇社保中心人员业务培训，使他们及时掌握城乡居保新政策，熟练操作系统软件，通过培训，做到经办工作人员懂业务，熟政策。</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认真学习，创新工作思路。社保政策随时在更新，政策性强，需要我们在工作中不断加强学习和总结。在干中学、学中干，我们要以工作任务为牵引，依托工作岗位来学习提高。观察、摸索、查阅资料，问书本、问同事，不断丰富知识，掌握工作技巧，不断掌握方法，积累经验。摸清工作中的难点，找准切入点，使征缴工作健康有序推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七、其他需要说明的问题</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pStyle w:val="2"/>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D774"/>
    <w:multiLevelType w:val="singleLevel"/>
    <w:tmpl w:val="E7FFD77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0F6F48D0"/>
    <w:rsid w:val="131F8BBF"/>
    <w:rsid w:val="15276E52"/>
    <w:rsid w:val="178B0954"/>
    <w:rsid w:val="19D32FBC"/>
    <w:rsid w:val="1E6A4395"/>
    <w:rsid w:val="24BB8601"/>
    <w:rsid w:val="25557A3D"/>
    <w:rsid w:val="26EA5ED7"/>
    <w:rsid w:val="27A93B82"/>
    <w:rsid w:val="2AE00186"/>
    <w:rsid w:val="2BFAFA37"/>
    <w:rsid w:val="2EF54588"/>
    <w:rsid w:val="308216BE"/>
    <w:rsid w:val="34FE1149"/>
    <w:rsid w:val="3A550786"/>
    <w:rsid w:val="3B7A130F"/>
    <w:rsid w:val="3BB78C44"/>
    <w:rsid w:val="3BFFFF6C"/>
    <w:rsid w:val="3F3F1458"/>
    <w:rsid w:val="3FFF1A5B"/>
    <w:rsid w:val="476BE9A7"/>
    <w:rsid w:val="494A1329"/>
    <w:rsid w:val="4F8B6063"/>
    <w:rsid w:val="52FA3F96"/>
    <w:rsid w:val="55850F17"/>
    <w:rsid w:val="55B75147"/>
    <w:rsid w:val="55CF598C"/>
    <w:rsid w:val="57AE6D93"/>
    <w:rsid w:val="5E3C4FFE"/>
    <w:rsid w:val="5FB623A7"/>
    <w:rsid w:val="5FEF6977"/>
    <w:rsid w:val="6BB1387F"/>
    <w:rsid w:val="6D075A1F"/>
    <w:rsid w:val="6E3851B0"/>
    <w:rsid w:val="6FEF0AAF"/>
    <w:rsid w:val="72BFC624"/>
    <w:rsid w:val="74976F4B"/>
    <w:rsid w:val="76E539FB"/>
    <w:rsid w:val="784167CA"/>
    <w:rsid w:val="79EF671A"/>
    <w:rsid w:val="7BDFE17B"/>
    <w:rsid w:val="7E6154F1"/>
    <w:rsid w:val="7ED67756"/>
    <w:rsid w:val="7FBE7205"/>
    <w:rsid w:val="7FEC10E5"/>
    <w:rsid w:val="7FFD07D6"/>
    <w:rsid w:val="8DEE5528"/>
    <w:rsid w:val="9FFDCA88"/>
    <w:rsid w:val="A9FA49AD"/>
    <w:rsid w:val="BF7D01CA"/>
    <w:rsid w:val="C2FF82FB"/>
    <w:rsid w:val="D3F5B925"/>
    <w:rsid w:val="DA4F5AB5"/>
    <w:rsid w:val="DCDF91F8"/>
    <w:rsid w:val="DDEE0588"/>
    <w:rsid w:val="DFBF5E42"/>
    <w:rsid w:val="DFF2164F"/>
    <w:rsid w:val="EBBD3DFE"/>
    <w:rsid w:val="EBBFEF0A"/>
    <w:rsid w:val="EF7EDCCF"/>
    <w:rsid w:val="F27F2A3E"/>
    <w:rsid w:val="F6D38A87"/>
    <w:rsid w:val="F8AFBA60"/>
    <w:rsid w:val="F96209B8"/>
    <w:rsid w:val="F9EEA62F"/>
    <w:rsid w:val="FAFFBE9C"/>
    <w:rsid w:val="FD7B7C8E"/>
    <w:rsid w:val="FEAFB7F2"/>
    <w:rsid w:val="FFFAC280"/>
    <w:rsid w:val="FFFD4C0A"/>
    <w:rsid w:val="FFFDC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1877</Words>
  <Characters>1939</Characters>
  <TotalTime>1</TotalTime>
  <ScaleCrop>false</ScaleCrop>
  <LinksUpToDate>false</LinksUpToDate>
  <CharactersWithSpaces>2098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2024-04-21T05:25:00Z</dcterms:created>
  <dc:creator>Administrator</dc:creator>
  <cp:lastModifiedBy>kylin</cp:lastModifiedBy>
  <cp:lastPrinted>2025-07-15T09:17:00Z</cp:lastPrinted>
  <dcterms:modified xsi:type="dcterms:W3CDTF">2025-07-16T16:58:45Z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