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371D8">
      <w:pPr>
        <w:pStyle w:val="3"/>
        <w:jc w:val="left"/>
        <w:rPr>
          <w:rFonts w:ascii="仿宋_GB2312" w:hAnsi="宋体" w:eastAsia="仿宋_GB2312" w:cs="宋体"/>
          <w:bCs/>
          <w:spacing w:val="8"/>
          <w:kern w:val="0"/>
          <w:sz w:val="30"/>
          <w:szCs w:val="30"/>
          <w:lang w:eastAsia="zh-CN"/>
        </w:rPr>
      </w:pPr>
      <w:bookmarkStart w:id="0" w:name="_GoBack"/>
      <w:bookmarkEnd w:id="0"/>
      <w:r>
        <w:rPr>
          <w:rFonts w:hint="eastAsia" w:ascii="仿宋_GB2312" w:hAnsi="宋体" w:eastAsia="仿宋_GB2312" w:cs="宋体"/>
          <w:bCs/>
          <w:spacing w:val="8"/>
          <w:kern w:val="0"/>
          <w:sz w:val="30"/>
          <w:szCs w:val="30"/>
          <w:lang w:eastAsia="zh-CN"/>
        </w:rPr>
        <w:t>附件1</w:t>
      </w:r>
    </w:p>
    <w:p w14:paraId="5FF9C695">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hint="eastAsia" w:ascii="方正小标宋简体" w:hAnsi="宋体" w:eastAsia="方正小标宋简体" w:cs="宋体"/>
          <w:bCs/>
          <w:spacing w:val="8"/>
          <w:kern w:val="0"/>
          <w:sz w:val="44"/>
          <w:szCs w:val="44"/>
          <w:lang w:eastAsia="zh-CN"/>
        </w:rPr>
        <w:t>年度部门整体支出绩效评价基础</w:t>
      </w:r>
    </w:p>
    <w:p w14:paraId="2E0ECB59">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6177BCDC">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52C94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246EC720">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79BD51CB">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3CC392F8">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年实际在职</w:t>
            </w:r>
          </w:p>
          <w:p w14:paraId="522CC192">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1501673">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6864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1CF8BB8C">
            <w:pPr>
              <w:spacing w:line="240" w:lineRule="auto"/>
              <w:ind w:firstLine="420"/>
              <w:jc w:val="center"/>
              <w:rPr>
                <w:rFonts w:ascii="仿宋_GB2312" w:eastAsia="仿宋_GB2312"/>
                <w:kern w:val="0"/>
              </w:rPr>
            </w:pPr>
          </w:p>
        </w:tc>
        <w:tc>
          <w:tcPr>
            <w:tcW w:w="2116" w:type="dxa"/>
            <w:gridSpan w:val="2"/>
            <w:vAlign w:val="center"/>
          </w:tcPr>
          <w:p w14:paraId="41AE6F4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14</w:t>
            </w:r>
          </w:p>
        </w:tc>
        <w:tc>
          <w:tcPr>
            <w:tcW w:w="2039" w:type="dxa"/>
            <w:gridSpan w:val="2"/>
            <w:vAlign w:val="center"/>
          </w:tcPr>
          <w:p w14:paraId="38837D67">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14</w:t>
            </w:r>
          </w:p>
        </w:tc>
        <w:tc>
          <w:tcPr>
            <w:tcW w:w="1983" w:type="dxa"/>
            <w:gridSpan w:val="2"/>
            <w:vAlign w:val="center"/>
          </w:tcPr>
          <w:p w14:paraId="063BA823">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100.00%</w:t>
            </w:r>
          </w:p>
        </w:tc>
      </w:tr>
      <w:tr w14:paraId="2F531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B8EE0E1">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0036D398">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2</w:t>
            </w:r>
            <w:r>
              <w:rPr>
                <w:rFonts w:hint="eastAsia" w:ascii="仿宋_GB2312" w:hAnsi="宋体" w:eastAsia="仿宋_GB2312" w:cs="宋体"/>
                <w:kern w:val="0"/>
              </w:rPr>
              <w:t>年决算数</w:t>
            </w:r>
          </w:p>
        </w:tc>
        <w:tc>
          <w:tcPr>
            <w:tcW w:w="2039" w:type="dxa"/>
            <w:gridSpan w:val="2"/>
            <w:vAlign w:val="center"/>
          </w:tcPr>
          <w:p w14:paraId="33EF2B0E">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年预算数</w:t>
            </w:r>
          </w:p>
        </w:tc>
        <w:tc>
          <w:tcPr>
            <w:tcW w:w="1983" w:type="dxa"/>
            <w:gridSpan w:val="2"/>
            <w:vAlign w:val="center"/>
          </w:tcPr>
          <w:p w14:paraId="49C24181">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r>
      <w:tr w14:paraId="5B4D8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5224E2E">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3EA318E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2.8</w:t>
            </w:r>
          </w:p>
        </w:tc>
        <w:tc>
          <w:tcPr>
            <w:tcW w:w="2039" w:type="dxa"/>
            <w:gridSpan w:val="2"/>
            <w:vAlign w:val="center"/>
          </w:tcPr>
          <w:p w14:paraId="49634316">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1.4</w:t>
            </w:r>
          </w:p>
        </w:tc>
        <w:tc>
          <w:tcPr>
            <w:tcW w:w="1983" w:type="dxa"/>
            <w:gridSpan w:val="2"/>
            <w:vAlign w:val="center"/>
          </w:tcPr>
          <w:p w14:paraId="614DBF13">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0</w:t>
            </w:r>
          </w:p>
        </w:tc>
      </w:tr>
      <w:tr w14:paraId="60EB3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6A41C79">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1C4CFEA6">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2039" w:type="dxa"/>
            <w:gridSpan w:val="2"/>
            <w:vAlign w:val="center"/>
          </w:tcPr>
          <w:p w14:paraId="7709B94A">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0</w:t>
            </w:r>
          </w:p>
        </w:tc>
        <w:tc>
          <w:tcPr>
            <w:tcW w:w="1983" w:type="dxa"/>
            <w:gridSpan w:val="2"/>
            <w:vAlign w:val="center"/>
          </w:tcPr>
          <w:p w14:paraId="7EAF4266">
            <w:pPr>
              <w:keepNext w:val="0"/>
              <w:keepLines w:val="0"/>
              <w:widowControl/>
              <w:suppressLineNumbers w:val="0"/>
              <w:jc w:val="center"/>
              <w:textAlignment w:val="center"/>
              <w:rPr>
                <w:rFonts w:ascii="仿宋_GB2312" w:eastAsia="仿宋_GB2312"/>
                <w:kern w:val="0"/>
                <w:lang w:eastAsia="zh-CN"/>
              </w:rPr>
            </w:pPr>
            <w:r>
              <w:rPr>
                <w:rFonts w:hint="eastAsia" w:ascii="宋体" w:hAnsi="宋体" w:eastAsia="宋体" w:cs="宋体"/>
                <w:i w:val="0"/>
                <w:iCs w:val="0"/>
                <w:snapToGrid w:val="0"/>
                <w:color w:val="000000"/>
                <w:kern w:val="0"/>
                <w:sz w:val="22"/>
                <w:szCs w:val="22"/>
                <w:u w:val="none"/>
                <w:lang w:val="en-US" w:eastAsia="zh-CN" w:bidi="ar"/>
              </w:rPr>
              <w:t>0</w:t>
            </w:r>
          </w:p>
        </w:tc>
      </w:tr>
      <w:tr w14:paraId="2E5CCC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549CB74A">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1F2F4618">
            <w:pPr>
              <w:jc w:val="center"/>
              <w:rPr>
                <w:rFonts w:ascii="仿宋_GB2312" w:eastAsia="仿宋_GB2312"/>
                <w:kern w:val="0"/>
              </w:rPr>
            </w:pPr>
          </w:p>
        </w:tc>
        <w:tc>
          <w:tcPr>
            <w:tcW w:w="2039" w:type="dxa"/>
            <w:gridSpan w:val="2"/>
            <w:vAlign w:val="center"/>
          </w:tcPr>
          <w:p w14:paraId="010FB12D">
            <w:pPr>
              <w:jc w:val="center"/>
              <w:rPr>
                <w:rFonts w:ascii="仿宋_GB2312" w:eastAsia="仿宋_GB2312"/>
                <w:kern w:val="0"/>
              </w:rPr>
            </w:pPr>
          </w:p>
        </w:tc>
        <w:tc>
          <w:tcPr>
            <w:tcW w:w="1983" w:type="dxa"/>
            <w:gridSpan w:val="2"/>
            <w:vAlign w:val="center"/>
          </w:tcPr>
          <w:p w14:paraId="2A57EB64">
            <w:pPr>
              <w:jc w:val="center"/>
              <w:rPr>
                <w:rFonts w:ascii="仿宋_GB2312" w:eastAsia="仿宋_GB2312"/>
                <w:kern w:val="0"/>
              </w:rPr>
            </w:pPr>
          </w:p>
        </w:tc>
      </w:tr>
      <w:tr w14:paraId="53808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7170BDC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37D8E916">
            <w:pPr>
              <w:jc w:val="center"/>
              <w:rPr>
                <w:rFonts w:ascii="仿宋_GB2312" w:eastAsia="仿宋_GB2312"/>
                <w:kern w:val="0"/>
              </w:rPr>
            </w:pPr>
          </w:p>
        </w:tc>
        <w:tc>
          <w:tcPr>
            <w:tcW w:w="2039" w:type="dxa"/>
            <w:gridSpan w:val="2"/>
            <w:vAlign w:val="center"/>
          </w:tcPr>
          <w:p w14:paraId="54DDF2F8">
            <w:pPr>
              <w:jc w:val="center"/>
              <w:rPr>
                <w:rFonts w:ascii="仿宋_GB2312" w:eastAsia="仿宋_GB2312"/>
                <w:kern w:val="0"/>
              </w:rPr>
            </w:pPr>
          </w:p>
        </w:tc>
        <w:tc>
          <w:tcPr>
            <w:tcW w:w="1983" w:type="dxa"/>
            <w:gridSpan w:val="2"/>
            <w:vAlign w:val="center"/>
          </w:tcPr>
          <w:p w14:paraId="7924DED6">
            <w:pPr>
              <w:jc w:val="center"/>
              <w:rPr>
                <w:rFonts w:ascii="仿宋_GB2312" w:eastAsia="仿宋_GB2312"/>
                <w:kern w:val="0"/>
              </w:rPr>
            </w:pPr>
          </w:p>
        </w:tc>
      </w:tr>
      <w:tr w14:paraId="1A338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638723ED">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45852290">
            <w:pPr>
              <w:jc w:val="center"/>
              <w:rPr>
                <w:rFonts w:ascii="仿宋_GB2312" w:eastAsia="仿宋_GB2312"/>
                <w:kern w:val="0"/>
              </w:rPr>
            </w:pPr>
          </w:p>
        </w:tc>
        <w:tc>
          <w:tcPr>
            <w:tcW w:w="2039" w:type="dxa"/>
            <w:gridSpan w:val="2"/>
            <w:vAlign w:val="center"/>
          </w:tcPr>
          <w:p w14:paraId="1FA67468">
            <w:pPr>
              <w:jc w:val="center"/>
              <w:rPr>
                <w:rFonts w:ascii="仿宋_GB2312" w:eastAsia="仿宋_GB2312"/>
                <w:kern w:val="0"/>
              </w:rPr>
            </w:pPr>
          </w:p>
        </w:tc>
        <w:tc>
          <w:tcPr>
            <w:tcW w:w="1983" w:type="dxa"/>
            <w:gridSpan w:val="2"/>
            <w:vAlign w:val="center"/>
          </w:tcPr>
          <w:p w14:paraId="1C0DF9CE">
            <w:pPr>
              <w:jc w:val="center"/>
              <w:rPr>
                <w:rFonts w:ascii="仿宋_GB2312" w:eastAsia="仿宋_GB2312"/>
                <w:kern w:val="0"/>
              </w:rPr>
            </w:pPr>
          </w:p>
        </w:tc>
      </w:tr>
      <w:tr w14:paraId="35CC01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41280C5C">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6175263">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2.8</w:t>
            </w:r>
          </w:p>
        </w:tc>
        <w:tc>
          <w:tcPr>
            <w:tcW w:w="2039" w:type="dxa"/>
            <w:gridSpan w:val="2"/>
            <w:vAlign w:val="center"/>
          </w:tcPr>
          <w:p w14:paraId="7DFC3F66">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1.4</w:t>
            </w:r>
          </w:p>
        </w:tc>
        <w:tc>
          <w:tcPr>
            <w:tcW w:w="1983" w:type="dxa"/>
            <w:gridSpan w:val="2"/>
            <w:vAlign w:val="center"/>
          </w:tcPr>
          <w:p w14:paraId="3BD35C8D">
            <w:pPr>
              <w:jc w:val="center"/>
              <w:rPr>
                <w:rFonts w:ascii="仿宋_GB2312" w:eastAsia="仿宋_GB2312"/>
                <w:kern w:val="0"/>
              </w:rPr>
            </w:pPr>
          </w:p>
        </w:tc>
      </w:tr>
      <w:tr w14:paraId="2724E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62C7255">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330CD9B8">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470.88</w:t>
            </w:r>
          </w:p>
        </w:tc>
        <w:tc>
          <w:tcPr>
            <w:tcW w:w="2039" w:type="dxa"/>
            <w:gridSpan w:val="2"/>
            <w:vAlign w:val="center"/>
          </w:tcPr>
          <w:p w14:paraId="132BC3B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457</w:t>
            </w:r>
          </w:p>
        </w:tc>
        <w:tc>
          <w:tcPr>
            <w:tcW w:w="1983" w:type="dxa"/>
            <w:gridSpan w:val="2"/>
            <w:vAlign w:val="center"/>
          </w:tcPr>
          <w:p w14:paraId="451BFE85">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536.52</w:t>
            </w:r>
          </w:p>
        </w:tc>
      </w:tr>
      <w:tr w14:paraId="70BB5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96D8421">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0263B558">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399.88</w:t>
            </w:r>
          </w:p>
        </w:tc>
        <w:tc>
          <w:tcPr>
            <w:tcW w:w="2039" w:type="dxa"/>
            <w:gridSpan w:val="2"/>
            <w:vAlign w:val="center"/>
          </w:tcPr>
          <w:p w14:paraId="0486124E">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400</w:t>
            </w:r>
          </w:p>
        </w:tc>
        <w:tc>
          <w:tcPr>
            <w:tcW w:w="1983" w:type="dxa"/>
            <w:gridSpan w:val="2"/>
            <w:vAlign w:val="center"/>
          </w:tcPr>
          <w:p w14:paraId="0633C8B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479.52</w:t>
            </w:r>
          </w:p>
        </w:tc>
      </w:tr>
      <w:tr w14:paraId="4C9DF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6CA0751">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1072823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71</w:t>
            </w:r>
          </w:p>
        </w:tc>
        <w:tc>
          <w:tcPr>
            <w:tcW w:w="2039" w:type="dxa"/>
            <w:gridSpan w:val="2"/>
            <w:vAlign w:val="center"/>
          </w:tcPr>
          <w:p w14:paraId="2587C515">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57</w:t>
            </w:r>
          </w:p>
        </w:tc>
        <w:tc>
          <w:tcPr>
            <w:tcW w:w="1983" w:type="dxa"/>
            <w:gridSpan w:val="2"/>
            <w:vAlign w:val="center"/>
          </w:tcPr>
          <w:p w14:paraId="49DB2F5F">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57</w:t>
            </w:r>
          </w:p>
        </w:tc>
      </w:tr>
      <w:tr w14:paraId="0E02D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A08B68B">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1B2B8779">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1D887FF5">
            <w:pPr>
              <w:jc w:val="center"/>
              <w:rPr>
                <w:rFonts w:ascii="仿宋_GB2312" w:eastAsia="仿宋_GB2312"/>
                <w:kern w:val="0"/>
                <w:lang w:eastAsia="zh-CN"/>
              </w:rPr>
            </w:pPr>
          </w:p>
        </w:tc>
        <w:tc>
          <w:tcPr>
            <w:tcW w:w="2039" w:type="dxa"/>
            <w:gridSpan w:val="2"/>
            <w:vAlign w:val="center"/>
          </w:tcPr>
          <w:p w14:paraId="1142E8FE">
            <w:pPr>
              <w:jc w:val="center"/>
              <w:rPr>
                <w:rFonts w:ascii="仿宋_GB2312" w:eastAsia="仿宋_GB2312"/>
                <w:kern w:val="0"/>
                <w:lang w:eastAsia="zh-CN"/>
              </w:rPr>
            </w:pPr>
          </w:p>
        </w:tc>
        <w:tc>
          <w:tcPr>
            <w:tcW w:w="1983" w:type="dxa"/>
            <w:gridSpan w:val="2"/>
            <w:vAlign w:val="center"/>
          </w:tcPr>
          <w:p w14:paraId="273DD070">
            <w:pPr>
              <w:jc w:val="center"/>
              <w:rPr>
                <w:rFonts w:ascii="仿宋_GB2312" w:eastAsia="仿宋_GB2312"/>
                <w:kern w:val="0"/>
                <w:lang w:eastAsia="zh-CN"/>
              </w:rPr>
            </w:pPr>
          </w:p>
        </w:tc>
      </w:tr>
      <w:tr w14:paraId="0BE48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476D4AE">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3B4FE71D">
            <w:pPr>
              <w:jc w:val="center"/>
              <w:rPr>
                <w:rFonts w:ascii="仿宋_GB2312" w:eastAsia="仿宋_GB2312"/>
                <w:kern w:val="0"/>
              </w:rPr>
            </w:pPr>
          </w:p>
        </w:tc>
        <w:tc>
          <w:tcPr>
            <w:tcW w:w="2039" w:type="dxa"/>
            <w:gridSpan w:val="2"/>
            <w:vAlign w:val="center"/>
          </w:tcPr>
          <w:p w14:paraId="0E4089F2">
            <w:pPr>
              <w:jc w:val="center"/>
              <w:rPr>
                <w:rFonts w:ascii="仿宋_GB2312" w:eastAsia="仿宋_GB2312"/>
                <w:kern w:val="0"/>
              </w:rPr>
            </w:pPr>
          </w:p>
        </w:tc>
        <w:tc>
          <w:tcPr>
            <w:tcW w:w="1983" w:type="dxa"/>
            <w:gridSpan w:val="2"/>
            <w:vAlign w:val="center"/>
          </w:tcPr>
          <w:p w14:paraId="00D79C85">
            <w:pPr>
              <w:jc w:val="center"/>
              <w:rPr>
                <w:rFonts w:ascii="仿宋_GB2312" w:eastAsia="仿宋_GB2312"/>
                <w:kern w:val="0"/>
              </w:rPr>
            </w:pPr>
          </w:p>
        </w:tc>
      </w:tr>
      <w:tr w14:paraId="69584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2EDD6FC">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3567FE8A">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1.01</w:t>
            </w:r>
          </w:p>
        </w:tc>
        <w:tc>
          <w:tcPr>
            <w:tcW w:w="2039" w:type="dxa"/>
            <w:gridSpan w:val="2"/>
            <w:vAlign w:val="center"/>
          </w:tcPr>
          <w:p w14:paraId="3CBA397C">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1.68</w:t>
            </w:r>
          </w:p>
        </w:tc>
        <w:tc>
          <w:tcPr>
            <w:tcW w:w="1983" w:type="dxa"/>
            <w:gridSpan w:val="2"/>
            <w:vAlign w:val="center"/>
          </w:tcPr>
          <w:p w14:paraId="70C37DF7">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1.27</w:t>
            </w:r>
          </w:p>
        </w:tc>
      </w:tr>
      <w:tr w14:paraId="22E84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7B94AF35">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43D39892">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0.43</w:t>
            </w:r>
          </w:p>
        </w:tc>
        <w:tc>
          <w:tcPr>
            <w:tcW w:w="2039" w:type="dxa"/>
            <w:gridSpan w:val="2"/>
            <w:vAlign w:val="center"/>
          </w:tcPr>
          <w:p w14:paraId="4D2BBFB6">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3.5</w:t>
            </w:r>
          </w:p>
        </w:tc>
        <w:tc>
          <w:tcPr>
            <w:tcW w:w="1983" w:type="dxa"/>
            <w:gridSpan w:val="2"/>
            <w:vAlign w:val="center"/>
          </w:tcPr>
          <w:p w14:paraId="69033072">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1.22</w:t>
            </w:r>
          </w:p>
        </w:tc>
      </w:tr>
      <w:tr w14:paraId="2D9C1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9C1CBB3">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1EA18B2C">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2.5</w:t>
            </w:r>
          </w:p>
        </w:tc>
        <w:tc>
          <w:tcPr>
            <w:tcW w:w="2039" w:type="dxa"/>
            <w:gridSpan w:val="2"/>
            <w:vAlign w:val="center"/>
          </w:tcPr>
          <w:p w14:paraId="5902EFCD">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1.4</w:t>
            </w:r>
          </w:p>
        </w:tc>
        <w:tc>
          <w:tcPr>
            <w:tcW w:w="1983" w:type="dxa"/>
            <w:gridSpan w:val="2"/>
            <w:vAlign w:val="center"/>
          </w:tcPr>
          <w:p w14:paraId="41C32160">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0.54</w:t>
            </w:r>
          </w:p>
        </w:tc>
      </w:tr>
      <w:tr w14:paraId="261F43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29806FE">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20CC81A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54.34</w:t>
            </w:r>
          </w:p>
        </w:tc>
        <w:tc>
          <w:tcPr>
            <w:tcW w:w="2039" w:type="dxa"/>
            <w:gridSpan w:val="2"/>
            <w:vAlign w:val="center"/>
          </w:tcPr>
          <w:p w14:paraId="7FCE6509">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69.5</w:t>
            </w:r>
          </w:p>
        </w:tc>
        <w:tc>
          <w:tcPr>
            <w:tcW w:w="1983" w:type="dxa"/>
            <w:gridSpan w:val="2"/>
            <w:vAlign w:val="center"/>
          </w:tcPr>
          <w:p w14:paraId="3CFD10F0">
            <w:pPr>
              <w:keepNext w:val="0"/>
              <w:keepLines w:val="0"/>
              <w:widowControl/>
              <w:suppressLineNumbers w:val="0"/>
              <w:jc w:val="center"/>
              <w:textAlignment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57.28</w:t>
            </w:r>
          </w:p>
        </w:tc>
      </w:tr>
      <w:tr w14:paraId="13637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53C0DB3">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1B9718F8">
            <w:pPr>
              <w:jc w:val="center"/>
              <w:rPr>
                <w:rFonts w:ascii="仿宋_GB2312" w:eastAsia="仿宋_GB2312"/>
                <w:kern w:val="0"/>
                <w:lang w:eastAsia="zh-CN"/>
              </w:rPr>
            </w:pPr>
          </w:p>
        </w:tc>
        <w:tc>
          <w:tcPr>
            <w:tcW w:w="2039" w:type="dxa"/>
            <w:gridSpan w:val="2"/>
            <w:vAlign w:val="center"/>
          </w:tcPr>
          <w:p w14:paraId="3486123F">
            <w:pPr>
              <w:jc w:val="center"/>
              <w:rPr>
                <w:rFonts w:ascii="仿宋_GB2312" w:eastAsia="仿宋_GB2312"/>
                <w:kern w:val="0"/>
                <w:lang w:eastAsia="zh-CN"/>
              </w:rPr>
            </w:pPr>
          </w:p>
        </w:tc>
        <w:tc>
          <w:tcPr>
            <w:tcW w:w="1983" w:type="dxa"/>
            <w:gridSpan w:val="2"/>
            <w:vAlign w:val="center"/>
          </w:tcPr>
          <w:p w14:paraId="4D653870">
            <w:pPr>
              <w:jc w:val="center"/>
              <w:rPr>
                <w:rFonts w:ascii="仿宋_GB2312" w:eastAsia="仿宋_GB2312"/>
                <w:kern w:val="0"/>
                <w:lang w:eastAsia="zh-CN"/>
              </w:rPr>
            </w:pPr>
          </w:p>
        </w:tc>
      </w:tr>
      <w:tr w14:paraId="1A0FC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3ED4B71D">
            <w:pPr>
              <w:spacing w:line="240" w:lineRule="auto"/>
              <w:ind w:firstLine="420"/>
              <w:jc w:val="center"/>
              <w:rPr>
                <w:rFonts w:ascii="仿宋_GB2312" w:eastAsia="仿宋_GB2312"/>
                <w:kern w:val="0"/>
                <w:lang w:eastAsia="zh-CN"/>
              </w:rPr>
            </w:pPr>
          </w:p>
          <w:p w14:paraId="3480CC14">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53C39E88">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5AA6D39B">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4F1A407C">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D5CCBA3">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73307D1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2DF1DFAF">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03ACDE38">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60AA2AAE">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75D50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8A629A">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DCED1D0">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58" w:type="dxa"/>
            <w:vAlign w:val="center"/>
          </w:tcPr>
          <w:p w14:paraId="19F2764A">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60" w:type="dxa"/>
            <w:vAlign w:val="center"/>
          </w:tcPr>
          <w:p w14:paraId="427E36CD">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79" w:type="dxa"/>
            <w:vAlign w:val="center"/>
          </w:tcPr>
          <w:p w14:paraId="236AF30E">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39" w:type="dxa"/>
            <w:vAlign w:val="center"/>
          </w:tcPr>
          <w:p w14:paraId="747855EE">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44" w:type="dxa"/>
            <w:vAlign w:val="center"/>
          </w:tcPr>
          <w:p w14:paraId="0A47B986">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1B81C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6958F46C">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50F2F13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rFonts w:hint="eastAsia" w:ascii="Arial" w:hAnsi="Arial" w:eastAsia="Arial" w:cs="Arial"/>
                <w:snapToGrid w:val="0"/>
                <w:color w:val="000000"/>
                <w:sz w:val="21"/>
                <w:szCs w:val="21"/>
                <w:lang w:val="en-US" w:eastAsia="en-US" w:bidi="ar-SA"/>
              </w:rPr>
              <w:t>遵守中央八项规定，严格履行厉行节约政策</w:t>
            </w:r>
          </w:p>
        </w:tc>
      </w:tr>
    </w:tbl>
    <w:p w14:paraId="6A875E19">
      <w:pPr>
        <w:spacing w:line="240" w:lineRule="auto"/>
        <w:jc w:val="left"/>
        <w:rPr>
          <w:rFonts w:hint="eastAsia" w:ascii="仿宋_GB2312" w:hAnsi="宋体" w:eastAsia="仿宋_GB2312" w:cs="宋体"/>
          <w:kern w:val="0"/>
          <w:sz w:val="24"/>
          <w:szCs w:val="24"/>
          <w:lang w:eastAsia="zh-CN"/>
        </w:rPr>
      </w:pPr>
    </w:p>
    <w:p w14:paraId="63EA27EE">
      <w:pPr>
        <w:spacing w:line="240" w:lineRule="auto"/>
        <w:jc w:val="left"/>
        <w:rPr>
          <w:rFonts w:hint="eastAsia" w:ascii="仿宋_GB2312" w:hAnsi="宋体" w:eastAsia="仿宋_GB2312" w:cs="宋体"/>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B514D90">
      <w:pPr>
        <w:spacing w:line="240" w:lineRule="auto"/>
        <w:jc w:val="left"/>
        <w:rPr>
          <w:rFonts w:hint="eastAsia" w:ascii="仿宋_GB2312" w:hAnsi="宋体" w:eastAsia="仿宋_GB2312" w:cs="宋体"/>
          <w:kern w:val="0"/>
          <w:sz w:val="24"/>
          <w:szCs w:val="24"/>
          <w:lang w:eastAsia="zh-CN"/>
        </w:rPr>
      </w:pPr>
    </w:p>
    <w:p w14:paraId="3C216BF7">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陈规</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2024.10.15</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13575047755</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杨权</w:t>
      </w:r>
    </w:p>
    <w:p w14:paraId="764BCEE2">
      <w:pPr>
        <w:spacing w:before="117" w:line="219" w:lineRule="auto"/>
        <w:ind w:firstLine="616"/>
        <w:jc w:val="left"/>
        <w:rPr>
          <w:rFonts w:hint="eastAsia" w:ascii="仿宋_GB2312" w:hAnsi="宋体" w:eastAsia="仿宋_GB2312" w:cs="宋体"/>
          <w:bCs/>
          <w:spacing w:val="8"/>
          <w:kern w:val="0"/>
          <w:sz w:val="30"/>
          <w:szCs w:val="30"/>
          <w:lang w:eastAsia="zh-CN"/>
        </w:rPr>
      </w:pPr>
    </w:p>
    <w:p w14:paraId="7E026EA3">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7A6E79CF">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年度部门整体支出绩效自评表</w:t>
      </w:r>
    </w:p>
    <w:p w14:paraId="2FD55F45">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466"/>
        <w:gridCol w:w="1081"/>
        <w:gridCol w:w="1269"/>
        <w:gridCol w:w="699"/>
        <w:gridCol w:w="869"/>
        <w:gridCol w:w="1423"/>
      </w:tblGrid>
      <w:tr w14:paraId="232CA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5A849E9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6A06A1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709DD367">
            <w:pPr>
              <w:spacing w:line="240" w:lineRule="auto"/>
              <w:ind w:firstLine="420"/>
              <w:jc w:val="center"/>
              <w:rPr>
                <w:rFonts w:ascii="仿宋_GB2312" w:eastAsia="仿宋_GB2312"/>
                <w:kern w:val="0"/>
              </w:rPr>
            </w:pPr>
            <w:r>
              <w:rPr>
                <w:rFonts w:hint="eastAsia" w:ascii="仿宋_GB2312" w:eastAsia="仿宋_GB2312"/>
                <w:kern w:val="0"/>
              </w:rPr>
              <w:t>汨罗市城市路灯服务中心</w:t>
            </w:r>
          </w:p>
        </w:tc>
      </w:tr>
      <w:tr w14:paraId="3D252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B9AD6B8">
            <w:pPr>
              <w:spacing w:line="240" w:lineRule="auto"/>
              <w:ind w:firstLine="420"/>
              <w:jc w:val="center"/>
              <w:rPr>
                <w:rFonts w:ascii="仿宋_GB2312" w:eastAsia="仿宋_GB2312"/>
                <w:kern w:val="0"/>
              </w:rPr>
            </w:pPr>
          </w:p>
          <w:p w14:paraId="74F6D4C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28471262">
            <w:pPr>
              <w:spacing w:line="240" w:lineRule="auto"/>
              <w:ind w:firstLine="420"/>
              <w:jc w:val="center"/>
              <w:rPr>
                <w:rFonts w:ascii="仿宋_GB2312" w:eastAsia="仿宋_GB2312"/>
                <w:kern w:val="0"/>
              </w:rPr>
            </w:pPr>
          </w:p>
        </w:tc>
        <w:tc>
          <w:tcPr>
            <w:tcW w:w="1466" w:type="dxa"/>
            <w:vAlign w:val="center"/>
          </w:tcPr>
          <w:p w14:paraId="6629F8E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0E022973">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081" w:type="dxa"/>
            <w:vAlign w:val="center"/>
          </w:tcPr>
          <w:p w14:paraId="5E2174C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30712E5E">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68B0956C">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8161C5F">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79B24A27">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510A5030">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4A99D448">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66C67B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00770C38">
            <w:pPr>
              <w:spacing w:line="240" w:lineRule="auto"/>
              <w:ind w:firstLine="420"/>
              <w:jc w:val="center"/>
              <w:rPr>
                <w:rFonts w:ascii="仿宋_GB2312" w:eastAsia="仿宋_GB2312"/>
                <w:kern w:val="0"/>
              </w:rPr>
            </w:pPr>
          </w:p>
        </w:tc>
        <w:tc>
          <w:tcPr>
            <w:tcW w:w="2098" w:type="dxa"/>
            <w:gridSpan w:val="2"/>
            <w:vAlign w:val="center"/>
          </w:tcPr>
          <w:p w14:paraId="2C4A0F69">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466" w:type="dxa"/>
            <w:vAlign w:val="center"/>
          </w:tcPr>
          <w:p w14:paraId="61EC261A">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626.48</w:t>
            </w:r>
          </w:p>
        </w:tc>
        <w:tc>
          <w:tcPr>
            <w:tcW w:w="1081" w:type="dxa"/>
            <w:vAlign w:val="center"/>
          </w:tcPr>
          <w:p w14:paraId="5ED14413">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732.52</w:t>
            </w:r>
          </w:p>
        </w:tc>
        <w:tc>
          <w:tcPr>
            <w:tcW w:w="1269" w:type="dxa"/>
            <w:vAlign w:val="center"/>
          </w:tcPr>
          <w:p w14:paraId="7EB97913">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732.52</w:t>
            </w:r>
          </w:p>
        </w:tc>
        <w:tc>
          <w:tcPr>
            <w:tcW w:w="699" w:type="dxa"/>
            <w:vAlign w:val="center"/>
          </w:tcPr>
          <w:p w14:paraId="37860FB0">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10</w:t>
            </w:r>
          </w:p>
        </w:tc>
        <w:tc>
          <w:tcPr>
            <w:tcW w:w="869" w:type="dxa"/>
            <w:vAlign w:val="center"/>
          </w:tcPr>
          <w:p w14:paraId="6EAE9E53">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100.00%</w:t>
            </w:r>
          </w:p>
        </w:tc>
        <w:tc>
          <w:tcPr>
            <w:tcW w:w="1423" w:type="dxa"/>
            <w:vAlign w:val="center"/>
          </w:tcPr>
          <w:p w14:paraId="10E85CC8">
            <w:pPr>
              <w:keepNext w:val="0"/>
              <w:keepLines w:val="0"/>
              <w:widowControl/>
              <w:suppressLineNumbers w:val="0"/>
              <w:jc w:val="center"/>
              <w:textAlignment w:val="center"/>
              <w:rPr>
                <w:rFonts w:ascii="仿宋_GB2312" w:eastAsia="仿宋_GB2312"/>
                <w:kern w:val="0"/>
              </w:rPr>
            </w:pPr>
            <w:r>
              <w:rPr>
                <w:rFonts w:hint="default" w:ascii="Times New Roman" w:hAnsi="Times New Roman" w:eastAsia="宋体" w:cs="Times New Roman"/>
                <w:i w:val="0"/>
                <w:iCs w:val="0"/>
                <w:snapToGrid w:val="0"/>
                <w:color w:val="000000"/>
                <w:kern w:val="0"/>
                <w:sz w:val="20"/>
                <w:szCs w:val="20"/>
                <w:u w:val="none"/>
                <w:lang w:val="en-US" w:eastAsia="zh-CN" w:bidi="ar"/>
              </w:rPr>
              <w:t>10.00</w:t>
            </w:r>
          </w:p>
        </w:tc>
      </w:tr>
      <w:tr w14:paraId="47866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748756F4">
            <w:pPr>
              <w:spacing w:line="240" w:lineRule="auto"/>
              <w:ind w:firstLine="420"/>
              <w:jc w:val="center"/>
              <w:rPr>
                <w:rFonts w:ascii="仿宋_GB2312" w:eastAsia="仿宋_GB2312"/>
                <w:kern w:val="0"/>
              </w:rPr>
            </w:pPr>
          </w:p>
        </w:tc>
        <w:tc>
          <w:tcPr>
            <w:tcW w:w="4645" w:type="dxa"/>
            <w:gridSpan w:val="4"/>
            <w:vAlign w:val="center"/>
          </w:tcPr>
          <w:p w14:paraId="7EB1A9FF">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18341FF1">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7D4B3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121507E3">
            <w:pPr>
              <w:spacing w:line="240" w:lineRule="auto"/>
              <w:ind w:firstLine="420"/>
              <w:jc w:val="center"/>
              <w:rPr>
                <w:rFonts w:ascii="仿宋_GB2312" w:eastAsia="仿宋_GB2312"/>
                <w:kern w:val="0"/>
              </w:rPr>
            </w:pPr>
          </w:p>
        </w:tc>
        <w:tc>
          <w:tcPr>
            <w:tcW w:w="4645" w:type="dxa"/>
            <w:gridSpan w:val="4"/>
            <w:vAlign w:val="center"/>
          </w:tcPr>
          <w:p w14:paraId="76ED8A54">
            <w:pPr>
              <w:spacing w:line="240" w:lineRule="auto"/>
              <w:ind w:firstLine="420"/>
              <w:jc w:val="left"/>
              <w:rPr>
                <w:rFonts w:ascii="仿宋_GB2312" w:eastAsia="仿宋_GB2312"/>
                <w:kern w:val="0"/>
                <w:lang w:eastAsia="zh-CN"/>
              </w:rPr>
            </w:pPr>
            <w:r>
              <w:rPr>
                <w:rFonts w:hint="eastAsia" w:ascii="仿宋_GB2312" w:hAnsi="宋体" w:eastAsia="仿宋_GB2312" w:cs="宋体"/>
                <w:kern w:val="0"/>
                <w:lang w:eastAsia="zh-CN"/>
              </w:rPr>
              <w:t>其中：一般公共预算：732.52</w:t>
            </w:r>
          </w:p>
        </w:tc>
        <w:tc>
          <w:tcPr>
            <w:tcW w:w="4260" w:type="dxa"/>
            <w:gridSpan w:val="4"/>
            <w:vAlign w:val="center"/>
          </w:tcPr>
          <w:p w14:paraId="660992DC">
            <w:pPr>
              <w:spacing w:line="240" w:lineRule="auto"/>
              <w:ind w:firstLine="420"/>
              <w:jc w:val="left"/>
              <w:rPr>
                <w:rFonts w:ascii="仿宋_GB2312" w:eastAsia="仿宋_GB2312"/>
                <w:kern w:val="0"/>
              </w:rPr>
            </w:pPr>
            <w:r>
              <w:rPr>
                <w:rFonts w:hint="eastAsia" w:ascii="仿宋_GB2312" w:hAnsi="宋体" w:eastAsia="仿宋_GB2312" w:cs="宋体"/>
                <w:kern w:val="0"/>
              </w:rPr>
              <w:t>其中：基本支出：196.00</w:t>
            </w:r>
          </w:p>
        </w:tc>
      </w:tr>
      <w:tr w14:paraId="63E1C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499766C3">
            <w:pPr>
              <w:spacing w:line="240" w:lineRule="auto"/>
              <w:ind w:firstLine="420"/>
              <w:jc w:val="center"/>
              <w:rPr>
                <w:rFonts w:ascii="仿宋_GB2312" w:eastAsia="仿宋_GB2312"/>
                <w:kern w:val="0"/>
              </w:rPr>
            </w:pPr>
          </w:p>
        </w:tc>
        <w:tc>
          <w:tcPr>
            <w:tcW w:w="4645" w:type="dxa"/>
            <w:gridSpan w:val="4"/>
            <w:vAlign w:val="center"/>
          </w:tcPr>
          <w:p w14:paraId="25CB123E">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0</w:t>
            </w:r>
          </w:p>
        </w:tc>
        <w:tc>
          <w:tcPr>
            <w:tcW w:w="4260" w:type="dxa"/>
            <w:gridSpan w:val="4"/>
            <w:vAlign w:val="center"/>
          </w:tcPr>
          <w:p w14:paraId="0DE346B5">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项目支出：536.52</w:t>
            </w:r>
          </w:p>
        </w:tc>
      </w:tr>
      <w:tr w14:paraId="5E821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4D52D6C5">
            <w:pPr>
              <w:spacing w:line="240" w:lineRule="auto"/>
              <w:ind w:firstLine="420"/>
              <w:jc w:val="center"/>
              <w:rPr>
                <w:rFonts w:ascii="仿宋_GB2312" w:eastAsia="仿宋_GB2312"/>
                <w:kern w:val="0"/>
              </w:rPr>
            </w:pPr>
          </w:p>
        </w:tc>
        <w:tc>
          <w:tcPr>
            <w:tcW w:w="4645" w:type="dxa"/>
            <w:gridSpan w:val="4"/>
            <w:vAlign w:val="center"/>
          </w:tcPr>
          <w:p w14:paraId="61051E0C">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0</w:t>
            </w:r>
          </w:p>
        </w:tc>
        <w:tc>
          <w:tcPr>
            <w:tcW w:w="4260" w:type="dxa"/>
            <w:gridSpan w:val="4"/>
            <w:vAlign w:val="center"/>
          </w:tcPr>
          <w:p w14:paraId="78F03ACE">
            <w:pPr>
              <w:spacing w:line="240" w:lineRule="auto"/>
              <w:ind w:firstLine="420"/>
              <w:jc w:val="left"/>
              <w:rPr>
                <w:rFonts w:ascii="仿宋_GB2312" w:eastAsia="仿宋_GB2312"/>
                <w:kern w:val="0"/>
                <w:lang w:eastAsia="zh-CN"/>
              </w:rPr>
            </w:pPr>
          </w:p>
        </w:tc>
      </w:tr>
      <w:tr w14:paraId="7B149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347613EB">
            <w:pPr>
              <w:spacing w:line="240" w:lineRule="auto"/>
              <w:ind w:firstLine="420"/>
              <w:jc w:val="center"/>
              <w:rPr>
                <w:rFonts w:ascii="仿宋_GB2312" w:eastAsia="仿宋_GB2312"/>
                <w:kern w:val="0"/>
                <w:lang w:eastAsia="zh-CN"/>
              </w:rPr>
            </w:pPr>
          </w:p>
        </w:tc>
        <w:tc>
          <w:tcPr>
            <w:tcW w:w="4645" w:type="dxa"/>
            <w:gridSpan w:val="4"/>
            <w:vAlign w:val="center"/>
          </w:tcPr>
          <w:p w14:paraId="378D27B5">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0</w:t>
            </w:r>
          </w:p>
        </w:tc>
        <w:tc>
          <w:tcPr>
            <w:tcW w:w="4260" w:type="dxa"/>
            <w:gridSpan w:val="4"/>
            <w:vAlign w:val="center"/>
          </w:tcPr>
          <w:p w14:paraId="7DA5E507">
            <w:pPr>
              <w:spacing w:line="240" w:lineRule="auto"/>
              <w:ind w:firstLine="420"/>
              <w:jc w:val="center"/>
              <w:rPr>
                <w:rFonts w:ascii="仿宋_GB2312" w:eastAsia="仿宋_GB2312"/>
                <w:kern w:val="0"/>
              </w:rPr>
            </w:pPr>
          </w:p>
        </w:tc>
      </w:tr>
      <w:tr w14:paraId="4CC29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25F922F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2EF8423A">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01377BBE">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2FEE78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04DAC2E6">
            <w:pPr>
              <w:spacing w:line="240" w:lineRule="auto"/>
              <w:ind w:firstLine="420"/>
              <w:jc w:val="center"/>
              <w:rPr>
                <w:rFonts w:ascii="仿宋_GB2312" w:eastAsia="仿宋_GB2312"/>
                <w:kern w:val="0"/>
              </w:rPr>
            </w:pPr>
          </w:p>
        </w:tc>
        <w:tc>
          <w:tcPr>
            <w:tcW w:w="4645" w:type="dxa"/>
            <w:gridSpan w:val="4"/>
            <w:vAlign w:val="center"/>
          </w:tcPr>
          <w:p w14:paraId="6384CFA8">
            <w:pPr>
              <w:spacing w:line="240" w:lineRule="auto"/>
              <w:ind w:firstLine="420"/>
              <w:jc w:val="both"/>
              <w:rPr>
                <w:rFonts w:ascii="仿宋_GB2312" w:eastAsia="仿宋_GB2312"/>
                <w:kern w:val="0"/>
              </w:rPr>
            </w:pPr>
            <w:r>
              <w:rPr>
                <w:rFonts w:hint="eastAsia" w:ascii="仿宋_GB2312" w:eastAsia="仿宋_GB2312"/>
                <w:kern w:val="0"/>
                <w:sz w:val="18"/>
                <w:szCs w:val="18"/>
              </w:rPr>
              <w:t>为城市生活正常提供城市街道路灯设施管理维护保障，背街小巷路灯设施维护管理；参与城区道路及背街小巷路灯新建、改建及景观照明工程施工和监管。</w:t>
            </w:r>
          </w:p>
        </w:tc>
        <w:tc>
          <w:tcPr>
            <w:tcW w:w="4260" w:type="dxa"/>
            <w:gridSpan w:val="4"/>
            <w:vAlign w:val="center"/>
          </w:tcPr>
          <w:p w14:paraId="20FA1292">
            <w:pPr>
              <w:spacing w:line="240" w:lineRule="auto"/>
              <w:ind w:firstLine="420"/>
              <w:jc w:val="center"/>
              <w:rPr>
                <w:rFonts w:ascii="仿宋_GB2312" w:eastAsia="仿宋_GB2312"/>
                <w:kern w:val="0"/>
              </w:rPr>
            </w:pPr>
            <w:r>
              <w:rPr>
                <w:rFonts w:hint="eastAsia" w:ascii="仿宋_GB2312" w:eastAsia="仿宋_GB2312"/>
                <w:kern w:val="0"/>
              </w:rPr>
              <w:t>100%</w:t>
            </w:r>
          </w:p>
        </w:tc>
      </w:tr>
      <w:tr w14:paraId="241A4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0FF2A135">
            <w:pPr>
              <w:spacing w:line="240" w:lineRule="auto"/>
              <w:ind w:firstLine="420"/>
              <w:jc w:val="center"/>
              <w:rPr>
                <w:rFonts w:ascii="仿宋_GB2312" w:eastAsia="仿宋_GB2312"/>
                <w:kern w:val="0"/>
              </w:rPr>
            </w:pPr>
          </w:p>
          <w:p w14:paraId="340E4540">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680D210">
            <w:pPr>
              <w:spacing w:line="240" w:lineRule="auto"/>
              <w:ind w:firstLine="420"/>
              <w:jc w:val="center"/>
              <w:rPr>
                <w:rFonts w:ascii="仿宋_GB2312" w:eastAsia="仿宋_GB2312"/>
                <w:kern w:val="0"/>
              </w:rPr>
            </w:pPr>
          </w:p>
          <w:p w14:paraId="4D7AC117">
            <w:pPr>
              <w:spacing w:line="240" w:lineRule="auto"/>
              <w:ind w:firstLine="420"/>
              <w:jc w:val="center"/>
              <w:rPr>
                <w:rFonts w:ascii="仿宋_GB2312" w:eastAsia="仿宋_GB2312"/>
                <w:kern w:val="0"/>
              </w:rPr>
            </w:pPr>
          </w:p>
        </w:tc>
        <w:tc>
          <w:tcPr>
            <w:tcW w:w="1069" w:type="dxa"/>
            <w:vAlign w:val="center"/>
          </w:tcPr>
          <w:p w14:paraId="0EB71EDC">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16D9C0E">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466" w:type="dxa"/>
            <w:vAlign w:val="center"/>
          </w:tcPr>
          <w:p w14:paraId="5E58E34E">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081" w:type="dxa"/>
            <w:vAlign w:val="center"/>
          </w:tcPr>
          <w:p w14:paraId="5A077CE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52E15382">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4293221B">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251599DD">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77EBA7F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53A1BB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33D104FA">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2F4AC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438768E">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7D5A279E">
            <w:pPr>
              <w:spacing w:line="240" w:lineRule="auto"/>
              <w:jc w:val="center"/>
              <w:rPr>
                <w:rFonts w:ascii="仿宋_GB2312" w:eastAsia="仿宋_GB2312"/>
                <w:kern w:val="0"/>
              </w:rPr>
            </w:pPr>
            <w:r>
              <w:rPr>
                <w:rFonts w:hint="eastAsia" w:ascii="仿宋_GB2312" w:hAnsi="宋体" w:eastAsia="仿宋_GB2312" w:cs="宋体"/>
                <w:kern w:val="0"/>
              </w:rPr>
              <w:t>产出指标</w:t>
            </w:r>
          </w:p>
          <w:p w14:paraId="1C68E4E9">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2E79C32">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466" w:type="dxa"/>
            <w:vAlign w:val="center"/>
          </w:tcPr>
          <w:p w14:paraId="7F748797">
            <w:pPr>
              <w:keepNext w:val="0"/>
              <w:keepLines w:val="0"/>
              <w:widowControl/>
              <w:suppressLineNumbers w:val="0"/>
              <w:jc w:val="center"/>
              <w:textAlignment w:val="center"/>
              <w:rPr>
                <w:rFonts w:ascii="仿宋_GB2312" w:eastAsia="仿宋_GB2312"/>
                <w:kern w:val="0"/>
                <w:sz w:val="18"/>
                <w:szCs w:val="18"/>
              </w:rPr>
            </w:pPr>
            <w:r>
              <w:rPr>
                <w:rFonts w:hint="eastAsia" w:ascii="仿宋" w:hAnsi="仿宋" w:eastAsia="仿宋" w:cs="仿宋"/>
                <w:i w:val="0"/>
                <w:iCs w:val="0"/>
                <w:snapToGrid w:val="0"/>
                <w:color w:val="000000"/>
                <w:kern w:val="0"/>
                <w:sz w:val="16"/>
                <w:szCs w:val="16"/>
                <w:u w:val="none"/>
                <w:lang w:val="en-US" w:eastAsia="zh-CN" w:bidi="ar"/>
              </w:rPr>
              <w:t xml:space="preserve">维修控制                           </w:t>
            </w:r>
          </w:p>
        </w:tc>
        <w:tc>
          <w:tcPr>
            <w:tcW w:w="1081" w:type="dxa"/>
            <w:vAlign w:val="center"/>
          </w:tcPr>
          <w:p w14:paraId="78A6F064">
            <w:pPr>
              <w:keepNext w:val="0"/>
              <w:keepLines w:val="0"/>
              <w:widowControl/>
              <w:suppressLineNumbers w:val="0"/>
              <w:jc w:val="center"/>
              <w:textAlignment w:val="center"/>
              <w:rPr>
                <w:rFonts w:ascii="仿宋_GB2312" w:eastAsia="仿宋_GB2312"/>
                <w:kern w:val="0"/>
                <w:sz w:val="18"/>
                <w:szCs w:val="18"/>
              </w:rPr>
            </w:pPr>
            <w:r>
              <w:rPr>
                <w:rFonts w:hint="eastAsia" w:ascii="仿宋_GB2312" w:hAnsi="宋体" w:eastAsia="仿宋_GB2312" w:cs="仿宋_GB2312"/>
                <w:i w:val="0"/>
                <w:iCs w:val="0"/>
                <w:snapToGrid w:val="0"/>
                <w:color w:val="000000"/>
                <w:kern w:val="0"/>
                <w:sz w:val="16"/>
                <w:szCs w:val="16"/>
                <w:u w:val="none"/>
                <w:lang w:val="en-US" w:eastAsia="zh-CN" w:bidi="ar"/>
              </w:rPr>
              <w:t>182个</w:t>
            </w:r>
          </w:p>
        </w:tc>
        <w:tc>
          <w:tcPr>
            <w:tcW w:w="1269" w:type="dxa"/>
            <w:vAlign w:val="center"/>
          </w:tcPr>
          <w:p w14:paraId="544BA65F">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14:paraId="41CB23C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7592A816">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03C15793">
            <w:pPr>
              <w:keepNext w:val="0"/>
              <w:keepLines w:val="0"/>
              <w:widowControl/>
              <w:suppressLineNumbers w:val="0"/>
              <w:jc w:val="center"/>
              <w:textAlignment w:val="center"/>
              <w:rPr>
                <w:rFonts w:ascii="仿宋_GB2312" w:eastAsia="仿宋_GB2312"/>
                <w:kern w:val="0"/>
              </w:rPr>
            </w:pPr>
          </w:p>
        </w:tc>
      </w:tr>
      <w:tr w14:paraId="03CA4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2664D00">
            <w:pPr>
              <w:spacing w:line="240" w:lineRule="auto"/>
              <w:ind w:firstLine="420"/>
              <w:jc w:val="center"/>
              <w:rPr>
                <w:rFonts w:ascii="仿宋_GB2312" w:eastAsia="仿宋_GB2312"/>
                <w:kern w:val="0"/>
                <w:lang w:eastAsia="zh-CN"/>
              </w:rPr>
            </w:pPr>
          </w:p>
        </w:tc>
        <w:tc>
          <w:tcPr>
            <w:tcW w:w="1069" w:type="dxa"/>
            <w:vMerge w:val="continue"/>
            <w:vAlign w:val="center"/>
          </w:tcPr>
          <w:p w14:paraId="357FCFF0">
            <w:pPr>
              <w:spacing w:line="240" w:lineRule="auto"/>
              <w:jc w:val="center"/>
              <w:rPr>
                <w:rFonts w:hint="eastAsia" w:ascii="仿宋_GB2312" w:eastAsia="仿宋_GB2312"/>
                <w:kern w:val="0"/>
              </w:rPr>
            </w:pPr>
          </w:p>
        </w:tc>
        <w:tc>
          <w:tcPr>
            <w:tcW w:w="1029" w:type="dxa"/>
            <w:vMerge w:val="continue"/>
            <w:vAlign w:val="center"/>
          </w:tcPr>
          <w:p w14:paraId="38563886">
            <w:pPr>
              <w:spacing w:line="240" w:lineRule="auto"/>
              <w:jc w:val="center"/>
              <w:rPr>
                <w:rFonts w:hint="eastAsia" w:ascii="仿宋_GB2312" w:hAnsi="宋体" w:eastAsia="仿宋_GB2312" w:cs="宋体"/>
                <w:kern w:val="0"/>
              </w:rPr>
            </w:pPr>
          </w:p>
        </w:tc>
        <w:tc>
          <w:tcPr>
            <w:tcW w:w="1466" w:type="dxa"/>
            <w:vAlign w:val="center"/>
          </w:tcPr>
          <w:p w14:paraId="30978070">
            <w:pPr>
              <w:keepNext w:val="0"/>
              <w:keepLines w:val="0"/>
              <w:widowControl/>
              <w:suppressLineNumbers w:val="0"/>
              <w:jc w:val="center"/>
              <w:textAlignment w:val="center"/>
              <w:rPr>
                <w:rFonts w:ascii="仿宋_GB2312" w:eastAsia="仿宋_GB2312"/>
                <w:kern w:val="0"/>
                <w:sz w:val="18"/>
                <w:szCs w:val="18"/>
              </w:rPr>
            </w:pPr>
            <w:r>
              <w:rPr>
                <w:rFonts w:hint="eastAsia" w:ascii="仿宋" w:hAnsi="仿宋" w:eastAsia="仿宋" w:cs="仿宋"/>
                <w:i w:val="0"/>
                <w:iCs w:val="0"/>
                <w:snapToGrid w:val="0"/>
                <w:color w:val="000000"/>
                <w:kern w:val="0"/>
                <w:sz w:val="16"/>
                <w:szCs w:val="16"/>
                <w:u w:val="none"/>
                <w:lang w:val="en-US" w:eastAsia="zh-CN" w:bidi="ar"/>
              </w:rPr>
              <w:t>维修线路</w:t>
            </w:r>
          </w:p>
        </w:tc>
        <w:tc>
          <w:tcPr>
            <w:tcW w:w="1081" w:type="dxa"/>
            <w:vAlign w:val="center"/>
          </w:tcPr>
          <w:p w14:paraId="5D480437">
            <w:pPr>
              <w:keepNext w:val="0"/>
              <w:keepLines w:val="0"/>
              <w:widowControl/>
              <w:suppressLineNumbers w:val="0"/>
              <w:jc w:val="center"/>
              <w:textAlignment w:val="center"/>
              <w:rPr>
                <w:rFonts w:ascii="仿宋_GB2312" w:eastAsia="仿宋_GB2312"/>
                <w:kern w:val="0"/>
                <w:sz w:val="18"/>
                <w:szCs w:val="18"/>
              </w:rPr>
            </w:pPr>
            <w:r>
              <w:rPr>
                <w:rFonts w:hint="eastAsia" w:ascii="仿宋_GB2312" w:hAnsi="宋体" w:eastAsia="仿宋_GB2312" w:cs="仿宋_GB2312"/>
                <w:i w:val="0"/>
                <w:iCs w:val="0"/>
                <w:snapToGrid w:val="0"/>
                <w:color w:val="000000"/>
                <w:kern w:val="0"/>
                <w:sz w:val="16"/>
                <w:szCs w:val="16"/>
                <w:u w:val="none"/>
                <w:lang w:val="en-US" w:eastAsia="zh-CN" w:bidi="ar"/>
              </w:rPr>
              <w:t>88km</w:t>
            </w:r>
          </w:p>
        </w:tc>
        <w:tc>
          <w:tcPr>
            <w:tcW w:w="1269" w:type="dxa"/>
            <w:vAlign w:val="center"/>
          </w:tcPr>
          <w:p w14:paraId="4C8D344E">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14:paraId="16F8E2E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70F4359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5BF6E4BA">
            <w:pPr>
              <w:keepNext w:val="0"/>
              <w:keepLines w:val="0"/>
              <w:widowControl/>
              <w:suppressLineNumbers w:val="0"/>
              <w:jc w:val="center"/>
              <w:textAlignment w:val="center"/>
              <w:rPr>
                <w:rFonts w:ascii="仿宋_GB2312" w:eastAsia="仿宋_GB2312"/>
                <w:kern w:val="0"/>
              </w:rPr>
            </w:pPr>
          </w:p>
        </w:tc>
      </w:tr>
      <w:tr w14:paraId="2C8AD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440B8E8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9D4B5B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3FFD464B">
            <w:pPr>
              <w:spacing w:line="240" w:lineRule="auto"/>
              <w:ind w:firstLine="420"/>
              <w:jc w:val="center"/>
              <w:rPr>
                <w:rFonts w:ascii="仿宋_GB2312" w:eastAsia="仿宋_GB2312"/>
                <w:kern w:val="0"/>
              </w:rPr>
            </w:pPr>
          </w:p>
        </w:tc>
        <w:tc>
          <w:tcPr>
            <w:tcW w:w="1466" w:type="dxa"/>
            <w:vAlign w:val="center"/>
          </w:tcPr>
          <w:p w14:paraId="2C47C256">
            <w:pPr>
              <w:keepNext w:val="0"/>
              <w:keepLines w:val="0"/>
              <w:widowControl/>
              <w:suppressLineNumbers w:val="0"/>
              <w:jc w:val="center"/>
              <w:textAlignment w:val="center"/>
              <w:rPr>
                <w:rFonts w:ascii="仿宋_GB2312" w:eastAsia="仿宋_GB2312"/>
                <w:kern w:val="0"/>
                <w:sz w:val="18"/>
                <w:szCs w:val="18"/>
              </w:rPr>
            </w:pPr>
            <w:r>
              <w:rPr>
                <w:rFonts w:hint="eastAsia" w:ascii="仿宋" w:hAnsi="仿宋" w:eastAsia="仿宋" w:cs="仿宋"/>
                <w:i w:val="0"/>
                <w:iCs w:val="0"/>
                <w:snapToGrid w:val="0"/>
                <w:color w:val="000000"/>
                <w:kern w:val="0"/>
                <w:sz w:val="16"/>
                <w:szCs w:val="16"/>
                <w:u w:val="none"/>
                <w:lang w:val="en-US" w:eastAsia="zh-CN" w:bidi="ar"/>
              </w:rPr>
              <w:t>维修路灯</w:t>
            </w:r>
          </w:p>
        </w:tc>
        <w:tc>
          <w:tcPr>
            <w:tcW w:w="1081" w:type="dxa"/>
            <w:vAlign w:val="center"/>
          </w:tcPr>
          <w:p w14:paraId="75509D8A">
            <w:pPr>
              <w:keepNext w:val="0"/>
              <w:keepLines w:val="0"/>
              <w:widowControl/>
              <w:suppressLineNumbers w:val="0"/>
              <w:jc w:val="center"/>
              <w:textAlignment w:val="center"/>
              <w:rPr>
                <w:rFonts w:ascii="仿宋_GB2312" w:eastAsia="仿宋_GB2312"/>
                <w:kern w:val="0"/>
                <w:sz w:val="18"/>
                <w:szCs w:val="18"/>
              </w:rPr>
            </w:pPr>
            <w:r>
              <w:rPr>
                <w:rFonts w:hint="eastAsia" w:ascii="仿宋_GB2312" w:hAnsi="宋体" w:eastAsia="仿宋_GB2312" w:cs="仿宋_GB2312"/>
                <w:i w:val="0"/>
                <w:iCs w:val="0"/>
                <w:snapToGrid w:val="0"/>
                <w:color w:val="000000"/>
                <w:kern w:val="0"/>
                <w:sz w:val="16"/>
                <w:szCs w:val="16"/>
                <w:u w:val="none"/>
                <w:lang w:val="en-US" w:eastAsia="zh-CN" w:bidi="ar"/>
              </w:rPr>
              <w:t xml:space="preserve">9542盏                            </w:t>
            </w:r>
          </w:p>
        </w:tc>
        <w:tc>
          <w:tcPr>
            <w:tcW w:w="1269" w:type="dxa"/>
            <w:vAlign w:val="center"/>
          </w:tcPr>
          <w:p w14:paraId="4E53F2B8">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14:paraId="3AEEEBB6">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14:paraId="43D54ADB">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14:paraId="0C658E56">
            <w:pPr>
              <w:keepNext w:val="0"/>
              <w:keepLines w:val="0"/>
              <w:widowControl/>
              <w:suppressLineNumbers w:val="0"/>
              <w:jc w:val="center"/>
              <w:textAlignment w:val="center"/>
              <w:rPr>
                <w:rFonts w:ascii="仿宋_GB2312" w:eastAsia="仿宋_GB2312"/>
                <w:kern w:val="0"/>
              </w:rPr>
            </w:pPr>
          </w:p>
        </w:tc>
      </w:tr>
      <w:tr w14:paraId="0ABD9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8189A6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742B7EA">
            <w:pPr>
              <w:spacing w:line="240" w:lineRule="auto"/>
              <w:ind w:firstLine="420"/>
              <w:jc w:val="center"/>
              <w:rPr>
                <w:rFonts w:ascii="仿宋_GB2312" w:eastAsia="仿宋_GB2312"/>
                <w:kern w:val="0"/>
              </w:rPr>
            </w:pPr>
          </w:p>
        </w:tc>
        <w:tc>
          <w:tcPr>
            <w:tcW w:w="1029" w:type="dxa"/>
            <w:tcBorders>
              <w:bottom w:val="nil"/>
            </w:tcBorders>
            <w:vAlign w:val="center"/>
          </w:tcPr>
          <w:p w14:paraId="25B003F1">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466" w:type="dxa"/>
            <w:vAlign w:val="center"/>
          </w:tcPr>
          <w:p w14:paraId="6E40D7E5">
            <w:pPr>
              <w:keepNext w:val="0"/>
              <w:keepLines w:val="0"/>
              <w:widowControl/>
              <w:suppressLineNumbers w:val="0"/>
              <w:jc w:val="center"/>
              <w:textAlignment w:val="center"/>
              <w:rPr>
                <w:rFonts w:ascii="仿宋_GB2312" w:eastAsia="仿宋_GB2312"/>
                <w:kern w:val="0"/>
                <w:sz w:val="18"/>
                <w:szCs w:val="18"/>
              </w:rPr>
            </w:pPr>
            <w:r>
              <w:rPr>
                <w:rFonts w:hint="eastAsia" w:ascii="仿宋" w:hAnsi="仿宋" w:eastAsia="仿宋" w:cs="仿宋"/>
                <w:i w:val="0"/>
                <w:iCs w:val="0"/>
                <w:snapToGrid w:val="0"/>
                <w:color w:val="000000"/>
                <w:kern w:val="0"/>
                <w:sz w:val="16"/>
                <w:szCs w:val="16"/>
                <w:u w:val="none"/>
                <w:lang w:val="en-US" w:eastAsia="zh-CN" w:bidi="ar"/>
              </w:rPr>
              <w:t>路灯设施完好率、 路灯亮灯率</w:t>
            </w:r>
          </w:p>
        </w:tc>
        <w:tc>
          <w:tcPr>
            <w:tcW w:w="1081" w:type="dxa"/>
            <w:vAlign w:val="center"/>
          </w:tcPr>
          <w:p w14:paraId="27096A60">
            <w:pPr>
              <w:keepNext w:val="0"/>
              <w:keepLines w:val="0"/>
              <w:widowControl/>
              <w:suppressLineNumbers w:val="0"/>
              <w:jc w:val="center"/>
              <w:textAlignment w:val="center"/>
              <w:rPr>
                <w:rFonts w:ascii="仿宋_GB2312" w:eastAsia="仿宋_GB2312"/>
                <w:kern w:val="0"/>
                <w:sz w:val="18"/>
                <w:szCs w:val="18"/>
              </w:rPr>
            </w:pPr>
            <w:r>
              <w:rPr>
                <w:rFonts w:hint="eastAsia" w:ascii="仿宋_GB2312" w:hAnsi="宋体" w:eastAsia="仿宋_GB2312" w:cs="仿宋_GB2312"/>
                <w:i w:val="0"/>
                <w:iCs w:val="0"/>
                <w:snapToGrid w:val="0"/>
                <w:color w:val="000000"/>
                <w:kern w:val="0"/>
                <w:sz w:val="16"/>
                <w:szCs w:val="16"/>
                <w:u w:val="none"/>
                <w:lang w:val="en-US" w:eastAsia="zh-CN" w:bidi="ar"/>
              </w:rPr>
              <w:t>98%以上</w:t>
            </w:r>
          </w:p>
        </w:tc>
        <w:tc>
          <w:tcPr>
            <w:tcW w:w="1269" w:type="dxa"/>
            <w:vAlign w:val="center"/>
          </w:tcPr>
          <w:p w14:paraId="2F7A80B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98%</w:t>
            </w:r>
          </w:p>
        </w:tc>
        <w:tc>
          <w:tcPr>
            <w:tcW w:w="699" w:type="dxa"/>
            <w:vAlign w:val="center"/>
          </w:tcPr>
          <w:p w14:paraId="7E9916A7">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2171E9D7">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217F3202">
            <w:pPr>
              <w:keepNext w:val="0"/>
              <w:keepLines w:val="0"/>
              <w:widowControl/>
              <w:suppressLineNumbers w:val="0"/>
              <w:jc w:val="center"/>
              <w:textAlignment w:val="center"/>
              <w:rPr>
                <w:rFonts w:ascii="仿宋_GB2312" w:eastAsia="仿宋_GB2312"/>
                <w:kern w:val="0"/>
              </w:rPr>
            </w:pPr>
          </w:p>
        </w:tc>
      </w:tr>
      <w:tr w14:paraId="0C466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2FDA268">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2570DF">
            <w:pPr>
              <w:spacing w:line="240" w:lineRule="auto"/>
              <w:ind w:firstLine="420"/>
              <w:jc w:val="center"/>
              <w:rPr>
                <w:rFonts w:ascii="仿宋_GB2312" w:eastAsia="仿宋_GB2312"/>
                <w:kern w:val="0"/>
              </w:rPr>
            </w:pPr>
          </w:p>
        </w:tc>
        <w:tc>
          <w:tcPr>
            <w:tcW w:w="1029" w:type="dxa"/>
            <w:tcBorders>
              <w:bottom w:val="nil"/>
            </w:tcBorders>
            <w:vAlign w:val="center"/>
          </w:tcPr>
          <w:p w14:paraId="27D02358">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466" w:type="dxa"/>
            <w:vAlign w:val="center"/>
          </w:tcPr>
          <w:p w14:paraId="5F7356B5">
            <w:pPr>
              <w:keepNext w:val="0"/>
              <w:keepLines w:val="0"/>
              <w:widowControl/>
              <w:suppressLineNumbers w:val="0"/>
              <w:jc w:val="center"/>
              <w:textAlignment w:val="center"/>
              <w:rPr>
                <w:rFonts w:ascii="仿宋_GB2312" w:eastAsia="仿宋_GB2312"/>
                <w:kern w:val="0"/>
                <w:sz w:val="18"/>
                <w:szCs w:val="18"/>
              </w:rPr>
            </w:pPr>
            <w:r>
              <w:rPr>
                <w:rFonts w:hint="eastAsia" w:ascii="仿宋" w:hAnsi="仿宋" w:eastAsia="仿宋" w:cs="仿宋"/>
                <w:i w:val="0"/>
                <w:iCs w:val="0"/>
                <w:snapToGrid w:val="0"/>
                <w:color w:val="000000"/>
                <w:kern w:val="0"/>
                <w:sz w:val="16"/>
                <w:szCs w:val="16"/>
                <w:u w:val="none"/>
                <w:lang w:val="en-US" w:eastAsia="zh-CN" w:bidi="ar"/>
              </w:rPr>
              <w:t>按工作要求每天巡查路灯设施</w:t>
            </w:r>
          </w:p>
        </w:tc>
        <w:tc>
          <w:tcPr>
            <w:tcW w:w="1081" w:type="dxa"/>
            <w:vAlign w:val="center"/>
          </w:tcPr>
          <w:p w14:paraId="174C5504">
            <w:pPr>
              <w:keepNext w:val="0"/>
              <w:keepLines w:val="0"/>
              <w:widowControl/>
              <w:suppressLineNumbers w:val="0"/>
              <w:jc w:val="center"/>
              <w:textAlignment w:val="center"/>
              <w:rPr>
                <w:rFonts w:ascii="仿宋_GB2312" w:eastAsia="仿宋_GB2312"/>
                <w:kern w:val="0"/>
                <w:sz w:val="18"/>
                <w:szCs w:val="18"/>
              </w:rPr>
            </w:pPr>
            <w:r>
              <w:rPr>
                <w:rFonts w:hint="eastAsia" w:ascii="仿宋_GB2312" w:hAnsi="宋体" w:eastAsia="仿宋_GB2312" w:cs="仿宋_GB2312"/>
                <w:i w:val="0"/>
                <w:iCs w:val="0"/>
                <w:snapToGrid w:val="0"/>
                <w:color w:val="000000"/>
                <w:kern w:val="0"/>
                <w:sz w:val="16"/>
                <w:szCs w:val="16"/>
                <w:u w:val="none"/>
                <w:lang w:val="en-US" w:eastAsia="zh-CN" w:bidi="ar"/>
              </w:rPr>
              <w:t>重大问题24小时修护、 线路故障48小时修护</w:t>
            </w:r>
          </w:p>
        </w:tc>
        <w:tc>
          <w:tcPr>
            <w:tcW w:w="1269" w:type="dxa"/>
            <w:vAlign w:val="center"/>
          </w:tcPr>
          <w:p w14:paraId="52515318">
            <w:pPr>
              <w:jc w:val="center"/>
              <w:rPr>
                <w:rFonts w:ascii="仿宋_GB2312" w:eastAsia="仿宋_GB2312"/>
                <w:kern w:val="0"/>
              </w:rPr>
            </w:pPr>
          </w:p>
        </w:tc>
        <w:tc>
          <w:tcPr>
            <w:tcW w:w="699" w:type="dxa"/>
            <w:vAlign w:val="center"/>
          </w:tcPr>
          <w:p w14:paraId="25A0E57B">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49D810FF">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75EC94BB">
            <w:pPr>
              <w:keepNext w:val="0"/>
              <w:keepLines w:val="0"/>
              <w:widowControl/>
              <w:suppressLineNumbers w:val="0"/>
              <w:jc w:val="center"/>
              <w:textAlignment w:val="center"/>
              <w:rPr>
                <w:rFonts w:ascii="仿宋_GB2312" w:eastAsia="仿宋_GB2312"/>
                <w:kern w:val="0"/>
              </w:rPr>
            </w:pPr>
          </w:p>
        </w:tc>
      </w:tr>
      <w:tr w14:paraId="5FD17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E74177F">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51CDA02E">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004C2998">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466" w:type="dxa"/>
            <w:vAlign w:val="center"/>
          </w:tcPr>
          <w:p w14:paraId="4B68D1E2">
            <w:pPr>
              <w:keepNext w:val="0"/>
              <w:keepLines w:val="0"/>
              <w:widowControl/>
              <w:suppressLineNumbers w:val="0"/>
              <w:jc w:val="center"/>
              <w:textAlignment w:val="center"/>
              <w:rPr>
                <w:rFonts w:ascii="仿宋_GB2312" w:eastAsia="仿宋_GB2312"/>
                <w:kern w:val="0"/>
                <w:sz w:val="18"/>
                <w:szCs w:val="18"/>
              </w:rPr>
            </w:pPr>
            <w:r>
              <w:rPr>
                <w:rFonts w:hint="eastAsia" w:ascii="仿宋" w:hAnsi="仿宋" w:eastAsia="仿宋" w:cs="仿宋"/>
                <w:i w:val="0"/>
                <w:iCs w:val="0"/>
                <w:snapToGrid w:val="0"/>
                <w:color w:val="000000"/>
                <w:kern w:val="0"/>
                <w:sz w:val="16"/>
                <w:szCs w:val="16"/>
                <w:u w:val="none"/>
                <w:lang w:val="en-US" w:eastAsia="zh-CN" w:bidi="ar"/>
              </w:rPr>
              <w:t>项目成本预算</w:t>
            </w:r>
          </w:p>
        </w:tc>
        <w:tc>
          <w:tcPr>
            <w:tcW w:w="1081" w:type="dxa"/>
            <w:vAlign w:val="center"/>
          </w:tcPr>
          <w:p w14:paraId="051CC352">
            <w:pPr>
              <w:keepNext w:val="0"/>
              <w:keepLines w:val="0"/>
              <w:widowControl/>
              <w:suppressLineNumbers w:val="0"/>
              <w:jc w:val="center"/>
              <w:textAlignment w:val="center"/>
              <w:rPr>
                <w:rFonts w:ascii="仿宋_GB2312" w:eastAsia="仿宋_GB2312"/>
                <w:kern w:val="0"/>
                <w:sz w:val="18"/>
                <w:szCs w:val="18"/>
              </w:rPr>
            </w:pPr>
            <w:r>
              <w:rPr>
                <w:rFonts w:hint="eastAsia" w:ascii="仿宋_GB2312" w:hAnsi="宋体" w:eastAsia="仿宋_GB2312" w:cs="仿宋_GB2312"/>
                <w:i w:val="0"/>
                <w:iCs w:val="0"/>
                <w:snapToGrid w:val="0"/>
                <w:color w:val="000000"/>
                <w:kern w:val="0"/>
                <w:sz w:val="16"/>
                <w:szCs w:val="16"/>
                <w:u w:val="none"/>
                <w:lang w:val="en-US" w:eastAsia="zh-CN" w:bidi="ar"/>
              </w:rPr>
              <w:t>合理开支</w:t>
            </w:r>
          </w:p>
        </w:tc>
        <w:tc>
          <w:tcPr>
            <w:tcW w:w="1269" w:type="dxa"/>
            <w:vAlign w:val="center"/>
          </w:tcPr>
          <w:p w14:paraId="6457AD90">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14:paraId="23635990">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14:paraId="2866B673">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14:paraId="63AFA616">
            <w:pPr>
              <w:keepNext w:val="0"/>
              <w:keepLines w:val="0"/>
              <w:widowControl/>
              <w:suppressLineNumbers w:val="0"/>
              <w:jc w:val="center"/>
              <w:textAlignment w:val="center"/>
              <w:rPr>
                <w:rFonts w:ascii="仿宋_GB2312" w:eastAsia="仿宋_GB2312"/>
                <w:kern w:val="0"/>
              </w:rPr>
            </w:pPr>
          </w:p>
        </w:tc>
      </w:tr>
      <w:tr w14:paraId="73F36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F237BCD">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3927DA6">
            <w:pPr>
              <w:spacing w:line="240" w:lineRule="auto"/>
              <w:ind w:firstLine="420"/>
              <w:jc w:val="center"/>
              <w:rPr>
                <w:rFonts w:ascii="仿宋_GB2312" w:eastAsia="仿宋_GB2312"/>
                <w:kern w:val="0"/>
              </w:rPr>
            </w:pPr>
          </w:p>
        </w:tc>
        <w:tc>
          <w:tcPr>
            <w:tcW w:w="1029" w:type="dxa"/>
            <w:tcBorders>
              <w:bottom w:val="nil"/>
            </w:tcBorders>
            <w:vAlign w:val="center"/>
          </w:tcPr>
          <w:p w14:paraId="79C1DE3A">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466" w:type="dxa"/>
            <w:vAlign w:val="center"/>
          </w:tcPr>
          <w:p w14:paraId="5A8FD1B1">
            <w:pPr>
              <w:keepNext w:val="0"/>
              <w:keepLines w:val="0"/>
              <w:widowControl/>
              <w:suppressLineNumbers w:val="0"/>
              <w:jc w:val="center"/>
              <w:textAlignment w:val="center"/>
              <w:rPr>
                <w:rFonts w:ascii="仿宋_GB2312" w:eastAsia="仿宋_GB2312"/>
                <w:kern w:val="0"/>
                <w:sz w:val="18"/>
                <w:szCs w:val="18"/>
              </w:rPr>
            </w:pPr>
            <w:r>
              <w:rPr>
                <w:rFonts w:hint="eastAsia" w:ascii="仿宋" w:hAnsi="仿宋" w:eastAsia="仿宋" w:cs="仿宋"/>
                <w:i w:val="0"/>
                <w:iCs w:val="0"/>
                <w:snapToGrid w:val="0"/>
                <w:color w:val="000000"/>
                <w:kern w:val="0"/>
                <w:sz w:val="16"/>
                <w:szCs w:val="16"/>
                <w:u w:val="none"/>
                <w:lang w:val="en-US" w:eastAsia="zh-CN" w:bidi="ar"/>
              </w:rPr>
              <w:t>周边环境带来的效益</w:t>
            </w:r>
          </w:p>
        </w:tc>
        <w:tc>
          <w:tcPr>
            <w:tcW w:w="1081" w:type="dxa"/>
            <w:vAlign w:val="center"/>
          </w:tcPr>
          <w:p w14:paraId="1D3C83AD">
            <w:pPr>
              <w:keepNext w:val="0"/>
              <w:keepLines w:val="0"/>
              <w:widowControl/>
              <w:suppressLineNumbers w:val="0"/>
              <w:jc w:val="center"/>
              <w:textAlignment w:val="center"/>
              <w:rPr>
                <w:rFonts w:ascii="仿宋_GB2312" w:eastAsia="仿宋_GB2312"/>
                <w:kern w:val="0"/>
                <w:sz w:val="18"/>
                <w:szCs w:val="18"/>
              </w:rPr>
            </w:pPr>
            <w:r>
              <w:rPr>
                <w:rFonts w:hint="eastAsia" w:ascii="仿宋_GB2312" w:hAnsi="宋体" w:eastAsia="仿宋_GB2312" w:cs="仿宋_GB2312"/>
                <w:i w:val="0"/>
                <w:iCs w:val="0"/>
                <w:snapToGrid w:val="0"/>
                <w:color w:val="000000"/>
                <w:kern w:val="0"/>
                <w:sz w:val="16"/>
                <w:szCs w:val="16"/>
                <w:u w:val="none"/>
                <w:lang w:val="en-US" w:eastAsia="zh-CN" w:bidi="ar"/>
              </w:rPr>
              <w:t>市民生活工作环境改善</w:t>
            </w:r>
          </w:p>
        </w:tc>
        <w:tc>
          <w:tcPr>
            <w:tcW w:w="1269" w:type="dxa"/>
            <w:vAlign w:val="center"/>
          </w:tcPr>
          <w:p w14:paraId="31A3E59C">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有效改善</w:t>
            </w:r>
          </w:p>
        </w:tc>
        <w:tc>
          <w:tcPr>
            <w:tcW w:w="699" w:type="dxa"/>
            <w:vAlign w:val="center"/>
          </w:tcPr>
          <w:p w14:paraId="5DEC868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14:paraId="7550C8C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1423" w:type="dxa"/>
            <w:vAlign w:val="center"/>
          </w:tcPr>
          <w:p w14:paraId="2D4A8A4D">
            <w:pPr>
              <w:keepNext w:val="0"/>
              <w:keepLines w:val="0"/>
              <w:widowControl/>
              <w:suppressLineNumbers w:val="0"/>
              <w:jc w:val="center"/>
              <w:textAlignment w:val="center"/>
              <w:rPr>
                <w:rFonts w:ascii="仿宋_GB2312" w:eastAsia="仿宋_GB2312"/>
                <w:kern w:val="0"/>
              </w:rPr>
            </w:pPr>
          </w:p>
        </w:tc>
      </w:tr>
      <w:tr w14:paraId="6F02D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8A6ED5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7BB3DE3">
            <w:pPr>
              <w:spacing w:line="240" w:lineRule="auto"/>
              <w:ind w:firstLine="420"/>
              <w:jc w:val="center"/>
              <w:rPr>
                <w:rFonts w:ascii="仿宋_GB2312" w:eastAsia="仿宋_GB2312"/>
                <w:kern w:val="0"/>
              </w:rPr>
            </w:pPr>
          </w:p>
        </w:tc>
        <w:tc>
          <w:tcPr>
            <w:tcW w:w="1029" w:type="dxa"/>
            <w:tcBorders>
              <w:bottom w:val="nil"/>
            </w:tcBorders>
            <w:vAlign w:val="center"/>
          </w:tcPr>
          <w:p w14:paraId="6C813174">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466" w:type="dxa"/>
            <w:vAlign w:val="center"/>
          </w:tcPr>
          <w:p w14:paraId="5B8F62F2">
            <w:pPr>
              <w:keepNext w:val="0"/>
              <w:keepLines w:val="0"/>
              <w:widowControl/>
              <w:suppressLineNumbers w:val="0"/>
              <w:jc w:val="center"/>
              <w:textAlignment w:val="center"/>
              <w:rPr>
                <w:rFonts w:ascii="仿宋_GB2312" w:eastAsia="仿宋_GB2312"/>
                <w:kern w:val="0"/>
                <w:sz w:val="18"/>
                <w:szCs w:val="18"/>
              </w:rPr>
            </w:pPr>
            <w:r>
              <w:rPr>
                <w:rFonts w:hint="eastAsia" w:ascii="仿宋" w:hAnsi="仿宋" w:eastAsia="仿宋" w:cs="仿宋"/>
                <w:i w:val="0"/>
                <w:iCs w:val="0"/>
                <w:snapToGrid w:val="0"/>
                <w:color w:val="000000"/>
                <w:kern w:val="0"/>
                <w:sz w:val="16"/>
                <w:szCs w:val="16"/>
                <w:u w:val="none"/>
                <w:lang w:val="en-US" w:eastAsia="zh-CN" w:bidi="ar"/>
              </w:rPr>
              <w:t>出行方便保障城市夜间交通</w:t>
            </w:r>
          </w:p>
        </w:tc>
        <w:tc>
          <w:tcPr>
            <w:tcW w:w="1081" w:type="dxa"/>
            <w:vAlign w:val="center"/>
          </w:tcPr>
          <w:p w14:paraId="7CFDE307">
            <w:pPr>
              <w:keepNext w:val="0"/>
              <w:keepLines w:val="0"/>
              <w:widowControl/>
              <w:suppressLineNumbers w:val="0"/>
              <w:jc w:val="center"/>
              <w:textAlignment w:val="center"/>
              <w:rPr>
                <w:rFonts w:ascii="仿宋_GB2312" w:eastAsia="仿宋_GB2312"/>
                <w:kern w:val="0"/>
                <w:sz w:val="18"/>
                <w:szCs w:val="18"/>
              </w:rPr>
            </w:pPr>
            <w:r>
              <w:rPr>
                <w:rFonts w:hint="eastAsia" w:ascii="仿宋_GB2312" w:hAnsi="宋体" w:eastAsia="仿宋_GB2312" w:cs="仿宋_GB2312"/>
                <w:i w:val="0"/>
                <w:iCs w:val="0"/>
                <w:snapToGrid w:val="0"/>
                <w:color w:val="000000"/>
                <w:kern w:val="0"/>
                <w:sz w:val="16"/>
                <w:szCs w:val="16"/>
                <w:u w:val="none"/>
                <w:lang w:val="en-US" w:eastAsia="zh-CN" w:bidi="ar"/>
              </w:rPr>
              <w:t>市民安全指数提升</w:t>
            </w:r>
          </w:p>
        </w:tc>
        <w:tc>
          <w:tcPr>
            <w:tcW w:w="1269" w:type="dxa"/>
            <w:vAlign w:val="center"/>
          </w:tcPr>
          <w:p w14:paraId="38B54309">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有效提升</w:t>
            </w:r>
          </w:p>
        </w:tc>
        <w:tc>
          <w:tcPr>
            <w:tcW w:w="699" w:type="dxa"/>
            <w:vAlign w:val="center"/>
          </w:tcPr>
          <w:p w14:paraId="409FEB86">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08B58F22">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3EB21855">
            <w:pPr>
              <w:keepNext w:val="0"/>
              <w:keepLines w:val="0"/>
              <w:widowControl/>
              <w:suppressLineNumbers w:val="0"/>
              <w:jc w:val="center"/>
              <w:textAlignment w:val="center"/>
              <w:rPr>
                <w:rFonts w:ascii="仿宋_GB2312" w:eastAsia="仿宋_GB2312"/>
                <w:kern w:val="0"/>
              </w:rPr>
            </w:pPr>
          </w:p>
        </w:tc>
      </w:tr>
      <w:tr w14:paraId="7C03D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6A00FA3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D1EC0D3">
            <w:pPr>
              <w:spacing w:line="240" w:lineRule="auto"/>
              <w:ind w:firstLine="420"/>
              <w:jc w:val="center"/>
              <w:rPr>
                <w:rFonts w:ascii="仿宋_GB2312" w:eastAsia="仿宋_GB2312"/>
                <w:kern w:val="0"/>
              </w:rPr>
            </w:pPr>
          </w:p>
        </w:tc>
        <w:tc>
          <w:tcPr>
            <w:tcW w:w="1029" w:type="dxa"/>
            <w:tcBorders>
              <w:bottom w:val="nil"/>
            </w:tcBorders>
            <w:vAlign w:val="center"/>
          </w:tcPr>
          <w:p w14:paraId="3CB0E742">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466" w:type="dxa"/>
            <w:vAlign w:val="center"/>
          </w:tcPr>
          <w:p w14:paraId="63981751">
            <w:pPr>
              <w:keepNext w:val="0"/>
              <w:keepLines w:val="0"/>
              <w:widowControl/>
              <w:suppressLineNumbers w:val="0"/>
              <w:jc w:val="center"/>
              <w:textAlignment w:val="center"/>
              <w:rPr>
                <w:rFonts w:ascii="仿宋_GB2312" w:eastAsia="仿宋_GB2312"/>
                <w:kern w:val="0"/>
                <w:sz w:val="18"/>
                <w:szCs w:val="18"/>
              </w:rPr>
            </w:pPr>
            <w:r>
              <w:rPr>
                <w:rFonts w:hint="eastAsia" w:ascii="仿宋" w:hAnsi="仿宋" w:eastAsia="仿宋" w:cs="仿宋"/>
                <w:i w:val="0"/>
                <w:iCs w:val="0"/>
                <w:snapToGrid w:val="0"/>
                <w:color w:val="000000"/>
                <w:kern w:val="0"/>
                <w:sz w:val="16"/>
                <w:szCs w:val="16"/>
                <w:u w:val="none"/>
                <w:lang w:val="en-US" w:eastAsia="zh-CN" w:bidi="ar"/>
              </w:rPr>
              <w:t>持续使用时间</w:t>
            </w:r>
          </w:p>
        </w:tc>
        <w:tc>
          <w:tcPr>
            <w:tcW w:w="1081" w:type="dxa"/>
            <w:vAlign w:val="center"/>
          </w:tcPr>
          <w:p w14:paraId="776EBC53">
            <w:pPr>
              <w:keepNext w:val="0"/>
              <w:keepLines w:val="0"/>
              <w:widowControl/>
              <w:suppressLineNumbers w:val="0"/>
              <w:jc w:val="center"/>
              <w:textAlignment w:val="center"/>
              <w:rPr>
                <w:rFonts w:ascii="仿宋_GB2312" w:eastAsia="仿宋_GB2312"/>
                <w:kern w:val="0"/>
                <w:sz w:val="18"/>
                <w:szCs w:val="18"/>
              </w:rPr>
            </w:pPr>
            <w:r>
              <w:rPr>
                <w:rFonts w:hint="eastAsia" w:ascii="仿宋_GB2312" w:hAnsi="宋体" w:eastAsia="仿宋_GB2312" w:cs="仿宋_GB2312"/>
                <w:i w:val="0"/>
                <w:iCs w:val="0"/>
                <w:snapToGrid w:val="0"/>
                <w:color w:val="000000"/>
                <w:kern w:val="0"/>
                <w:sz w:val="16"/>
                <w:szCs w:val="16"/>
                <w:u w:val="none"/>
                <w:lang w:val="en-US" w:eastAsia="zh-CN" w:bidi="ar"/>
              </w:rPr>
              <w:t>1年</w:t>
            </w:r>
          </w:p>
        </w:tc>
        <w:tc>
          <w:tcPr>
            <w:tcW w:w="1269" w:type="dxa"/>
            <w:vAlign w:val="center"/>
          </w:tcPr>
          <w:p w14:paraId="055F6796">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100%</w:t>
            </w:r>
          </w:p>
        </w:tc>
        <w:tc>
          <w:tcPr>
            <w:tcW w:w="699" w:type="dxa"/>
            <w:vAlign w:val="center"/>
          </w:tcPr>
          <w:p w14:paraId="61A10F54">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869" w:type="dxa"/>
            <w:vAlign w:val="center"/>
          </w:tcPr>
          <w:p w14:paraId="2C407970">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5</w:t>
            </w:r>
          </w:p>
        </w:tc>
        <w:tc>
          <w:tcPr>
            <w:tcW w:w="1423" w:type="dxa"/>
            <w:vAlign w:val="center"/>
          </w:tcPr>
          <w:p w14:paraId="7A5C488B">
            <w:pPr>
              <w:keepNext w:val="0"/>
              <w:keepLines w:val="0"/>
              <w:widowControl/>
              <w:suppressLineNumbers w:val="0"/>
              <w:jc w:val="center"/>
              <w:textAlignment w:val="center"/>
              <w:rPr>
                <w:rFonts w:ascii="仿宋_GB2312" w:eastAsia="仿宋_GB2312"/>
                <w:kern w:val="0"/>
              </w:rPr>
            </w:pPr>
          </w:p>
        </w:tc>
      </w:tr>
      <w:tr w14:paraId="493F5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22C4BFA9">
            <w:pPr>
              <w:spacing w:line="240" w:lineRule="auto"/>
              <w:ind w:firstLine="420"/>
              <w:jc w:val="center"/>
              <w:rPr>
                <w:rFonts w:ascii="仿宋_GB2312" w:eastAsia="仿宋_GB2312"/>
                <w:kern w:val="0"/>
              </w:rPr>
            </w:pPr>
          </w:p>
        </w:tc>
        <w:tc>
          <w:tcPr>
            <w:tcW w:w="1069" w:type="dxa"/>
            <w:tcBorders>
              <w:bottom w:val="nil"/>
            </w:tcBorders>
            <w:vAlign w:val="center"/>
          </w:tcPr>
          <w:p w14:paraId="03943D80">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4EE49E29">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7A880E8F">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466" w:type="dxa"/>
            <w:vAlign w:val="center"/>
          </w:tcPr>
          <w:p w14:paraId="0B4BC676">
            <w:pPr>
              <w:keepNext w:val="0"/>
              <w:keepLines w:val="0"/>
              <w:widowControl/>
              <w:suppressLineNumbers w:val="0"/>
              <w:jc w:val="center"/>
              <w:textAlignment w:val="center"/>
              <w:rPr>
                <w:rFonts w:ascii="仿宋_GB2312" w:eastAsia="仿宋_GB2312"/>
                <w:kern w:val="0"/>
                <w:sz w:val="18"/>
                <w:szCs w:val="18"/>
              </w:rPr>
            </w:pPr>
            <w:r>
              <w:rPr>
                <w:rFonts w:hint="eastAsia" w:ascii="仿宋" w:hAnsi="仿宋" w:eastAsia="仿宋" w:cs="仿宋"/>
                <w:i w:val="0"/>
                <w:iCs w:val="0"/>
                <w:snapToGrid w:val="0"/>
                <w:color w:val="000000"/>
                <w:kern w:val="0"/>
                <w:sz w:val="16"/>
                <w:szCs w:val="16"/>
                <w:u w:val="none"/>
                <w:lang w:val="en-US" w:eastAsia="zh-CN" w:bidi="ar"/>
              </w:rPr>
              <w:t>群众满意度</w:t>
            </w:r>
          </w:p>
        </w:tc>
        <w:tc>
          <w:tcPr>
            <w:tcW w:w="1081" w:type="dxa"/>
            <w:vAlign w:val="center"/>
          </w:tcPr>
          <w:p w14:paraId="4E68771A">
            <w:pPr>
              <w:keepNext w:val="0"/>
              <w:keepLines w:val="0"/>
              <w:widowControl/>
              <w:suppressLineNumbers w:val="0"/>
              <w:jc w:val="center"/>
              <w:textAlignment w:val="center"/>
              <w:rPr>
                <w:rFonts w:ascii="仿宋_GB2312" w:eastAsia="仿宋_GB2312"/>
                <w:kern w:val="0"/>
                <w:sz w:val="18"/>
                <w:szCs w:val="18"/>
              </w:rPr>
            </w:pPr>
            <w:r>
              <w:rPr>
                <w:rFonts w:hint="eastAsia" w:ascii="仿宋_GB2312" w:hAnsi="宋体" w:eastAsia="仿宋_GB2312" w:cs="仿宋_GB2312"/>
                <w:i w:val="0"/>
                <w:iCs w:val="0"/>
                <w:snapToGrid w:val="0"/>
                <w:color w:val="000000"/>
                <w:kern w:val="0"/>
                <w:sz w:val="16"/>
                <w:szCs w:val="16"/>
                <w:u w:val="none"/>
                <w:lang w:val="en-US" w:eastAsia="zh-CN" w:bidi="ar"/>
              </w:rPr>
              <w:t>98%</w:t>
            </w:r>
          </w:p>
        </w:tc>
        <w:tc>
          <w:tcPr>
            <w:tcW w:w="1269" w:type="dxa"/>
            <w:vAlign w:val="center"/>
          </w:tcPr>
          <w:p w14:paraId="5C81186D">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96%</w:t>
            </w:r>
          </w:p>
        </w:tc>
        <w:tc>
          <w:tcPr>
            <w:tcW w:w="699" w:type="dxa"/>
            <w:vAlign w:val="center"/>
          </w:tcPr>
          <w:p w14:paraId="3CB3B31A">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10</w:t>
            </w:r>
          </w:p>
        </w:tc>
        <w:tc>
          <w:tcPr>
            <w:tcW w:w="869" w:type="dxa"/>
            <w:vAlign w:val="center"/>
          </w:tcPr>
          <w:p w14:paraId="6712A1FA">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8</w:t>
            </w:r>
          </w:p>
        </w:tc>
        <w:tc>
          <w:tcPr>
            <w:tcW w:w="1423" w:type="dxa"/>
            <w:vAlign w:val="center"/>
          </w:tcPr>
          <w:p w14:paraId="0202CE63">
            <w:pPr>
              <w:keepNext w:val="0"/>
              <w:keepLines w:val="0"/>
              <w:widowControl/>
              <w:suppressLineNumbers w:val="0"/>
              <w:jc w:val="center"/>
              <w:textAlignment w:val="center"/>
              <w:rPr>
                <w:rFonts w:ascii="仿宋_GB2312" w:eastAsia="仿宋_GB2312"/>
                <w:kern w:val="0"/>
              </w:rPr>
            </w:pPr>
          </w:p>
        </w:tc>
      </w:tr>
      <w:tr w14:paraId="54AAC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87633E7">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3C0D945E">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3E303A50">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72DC614B">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466" w:type="dxa"/>
            <w:vAlign w:val="center"/>
          </w:tcPr>
          <w:p w14:paraId="66EDAD7B">
            <w:pPr>
              <w:keepNext w:val="0"/>
              <w:keepLines w:val="0"/>
              <w:widowControl/>
              <w:suppressLineNumbers w:val="0"/>
              <w:jc w:val="center"/>
              <w:textAlignment w:val="center"/>
              <w:rPr>
                <w:rFonts w:ascii="仿宋_GB2312" w:eastAsia="仿宋_GB2312"/>
                <w:kern w:val="0"/>
                <w:sz w:val="18"/>
                <w:szCs w:val="18"/>
              </w:rPr>
            </w:pPr>
            <w:r>
              <w:rPr>
                <w:rFonts w:hint="eastAsia" w:ascii="仿宋" w:hAnsi="仿宋" w:eastAsia="仿宋" w:cs="仿宋"/>
                <w:i w:val="0"/>
                <w:iCs w:val="0"/>
                <w:snapToGrid w:val="0"/>
                <w:color w:val="000000"/>
                <w:kern w:val="0"/>
                <w:sz w:val="16"/>
                <w:szCs w:val="16"/>
                <w:u w:val="none"/>
                <w:lang w:val="en-US" w:eastAsia="zh-CN" w:bidi="ar"/>
              </w:rPr>
              <w:t>严格控制预算成本</w:t>
            </w:r>
          </w:p>
        </w:tc>
        <w:tc>
          <w:tcPr>
            <w:tcW w:w="1081" w:type="dxa"/>
            <w:vAlign w:val="center"/>
          </w:tcPr>
          <w:p w14:paraId="52DB1E4B">
            <w:pPr>
              <w:keepNext w:val="0"/>
              <w:keepLines w:val="0"/>
              <w:widowControl/>
              <w:suppressLineNumbers w:val="0"/>
              <w:jc w:val="center"/>
              <w:textAlignment w:val="center"/>
              <w:rPr>
                <w:rFonts w:ascii="仿宋_GB2312" w:eastAsia="仿宋_GB2312"/>
                <w:kern w:val="0"/>
                <w:sz w:val="18"/>
                <w:szCs w:val="18"/>
              </w:rPr>
            </w:pPr>
            <w:r>
              <w:rPr>
                <w:rFonts w:hint="eastAsia" w:ascii="仿宋_GB2312" w:hAnsi="宋体" w:eastAsia="仿宋_GB2312" w:cs="仿宋_GB2312"/>
                <w:i w:val="0"/>
                <w:iCs w:val="0"/>
                <w:snapToGrid w:val="0"/>
                <w:color w:val="000000"/>
                <w:kern w:val="0"/>
                <w:sz w:val="16"/>
                <w:szCs w:val="16"/>
                <w:u w:val="none"/>
                <w:lang w:val="en-US" w:eastAsia="zh-CN" w:bidi="ar"/>
              </w:rPr>
              <w:t>基本支出≤158.98，项目支出≤457万元</w:t>
            </w:r>
          </w:p>
        </w:tc>
        <w:tc>
          <w:tcPr>
            <w:tcW w:w="1269" w:type="dxa"/>
            <w:vAlign w:val="center"/>
          </w:tcPr>
          <w:p w14:paraId="0EDD1AFE">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90%</w:t>
            </w:r>
          </w:p>
        </w:tc>
        <w:tc>
          <w:tcPr>
            <w:tcW w:w="699" w:type="dxa"/>
            <w:vAlign w:val="center"/>
          </w:tcPr>
          <w:p w14:paraId="1AC2207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20</w:t>
            </w:r>
          </w:p>
        </w:tc>
        <w:tc>
          <w:tcPr>
            <w:tcW w:w="869" w:type="dxa"/>
            <w:vAlign w:val="center"/>
          </w:tcPr>
          <w:p w14:paraId="59C184AE">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20"/>
                <w:szCs w:val="20"/>
                <w:u w:val="none"/>
                <w:lang w:val="en-US" w:eastAsia="zh-CN" w:bidi="ar"/>
              </w:rPr>
              <w:t>20</w:t>
            </w:r>
          </w:p>
        </w:tc>
        <w:tc>
          <w:tcPr>
            <w:tcW w:w="1423" w:type="dxa"/>
            <w:vAlign w:val="center"/>
          </w:tcPr>
          <w:p w14:paraId="4BA10AE0">
            <w:pPr>
              <w:keepNext w:val="0"/>
              <w:keepLines w:val="0"/>
              <w:widowControl/>
              <w:suppressLineNumbers w:val="0"/>
              <w:jc w:val="center"/>
              <w:textAlignment w:val="center"/>
              <w:rPr>
                <w:rFonts w:ascii="仿宋_GB2312" w:eastAsia="仿宋_GB2312"/>
                <w:kern w:val="0"/>
              </w:rPr>
            </w:pPr>
          </w:p>
        </w:tc>
      </w:tr>
      <w:tr w14:paraId="2A22F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703BA77">
            <w:pPr>
              <w:spacing w:line="240" w:lineRule="auto"/>
              <w:ind w:firstLine="420"/>
              <w:jc w:val="center"/>
              <w:rPr>
                <w:rFonts w:ascii="仿宋_GB2312" w:eastAsia="仿宋_GB2312"/>
                <w:kern w:val="0"/>
              </w:rPr>
            </w:pPr>
          </w:p>
        </w:tc>
        <w:tc>
          <w:tcPr>
            <w:tcW w:w="1069" w:type="dxa"/>
            <w:vMerge w:val="continue"/>
            <w:vAlign w:val="center"/>
          </w:tcPr>
          <w:p w14:paraId="0D2415C0">
            <w:pPr>
              <w:spacing w:line="240" w:lineRule="auto"/>
              <w:ind w:firstLine="420"/>
              <w:jc w:val="center"/>
              <w:rPr>
                <w:rFonts w:ascii="仿宋_GB2312" w:eastAsia="仿宋_GB2312"/>
                <w:kern w:val="0"/>
              </w:rPr>
            </w:pPr>
          </w:p>
        </w:tc>
        <w:tc>
          <w:tcPr>
            <w:tcW w:w="1029" w:type="dxa"/>
            <w:tcBorders>
              <w:top w:val="nil"/>
            </w:tcBorders>
            <w:vAlign w:val="center"/>
          </w:tcPr>
          <w:p w14:paraId="71F88E83">
            <w:pPr>
              <w:spacing w:line="240" w:lineRule="auto"/>
              <w:jc w:val="center"/>
              <w:rPr>
                <w:rFonts w:hint="eastAsia" w:ascii="仿宋_GB2312" w:eastAsia="仿宋_GB2312"/>
                <w:kern w:val="0"/>
                <w:sz w:val="16"/>
                <w:szCs w:val="16"/>
                <w:lang w:eastAsia="zh-CN"/>
              </w:rPr>
            </w:pPr>
            <w:r>
              <w:rPr>
                <w:rFonts w:hint="eastAsia" w:ascii="仿宋_GB2312" w:eastAsia="仿宋_GB2312"/>
                <w:kern w:val="0"/>
                <w:sz w:val="16"/>
                <w:szCs w:val="16"/>
                <w:lang w:eastAsia="zh-CN"/>
              </w:rPr>
              <w:t>社会成本指标</w:t>
            </w:r>
          </w:p>
        </w:tc>
        <w:tc>
          <w:tcPr>
            <w:tcW w:w="1466" w:type="dxa"/>
            <w:vAlign w:val="center"/>
          </w:tcPr>
          <w:p w14:paraId="383AE708">
            <w:pPr>
              <w:spacing w:line="240" w:lineRule="auto"/>
              <w:ind w:firstLine="420"/>
              <w:jc w:val="center"/>
              <w:rPr>
                <w:rFonts w:ascii="仿宋_GB2312" w:eastAsia="仿宋_GB2312"/>
                <w:kern w:val="0"/>
              </w:rPr>
            </w:pPr>
          </w:p>
        </w:tc>
        <w:tc>
          <w:tcPr>
            <w:tcW w:w="1081" w:type="dxa"/>
            <w:vAlign w:val="center"/>
          </w:tcPr>
          <w:p w14:paraId="77092C2B">
            <w:pPr>
              <w:spacing w:line="240" w:lineRule="auto"/>
              <w:ind w:firstLine="420"/>
              <w:jc w:val="center"/>
              <w:rPr>
                <w:rFonts w:ascii="仿宋_GB2312" w:eastAsia="仿宋_GB2312"/>
                <w:kern w:val="0"/>
              </w:rPr>
            </w:pPr>
          </w:p>
        </w:tc>
        <w:tc>
          <w:tcPr>
            <w:tcW w:w="1269" w:type="dxa"/>
            <w:vAlign w:val="center"/>
          </w:tcPr>
          <w:p w14:paraId="2AA34627">
            <w:pPr>
              <w:spacing w:line="240" w:lineRule="auto"/>
              <w:ind w:firstLine="420"/>
              <w:jc w:val="center"/>
              <w:rPr>
                <w:rFonts w:ascii="仿宋_GB2312" w:eastAsia="仿宋_GB2312"/>
                <w:kern w:val="0"/>
              </w:rPr>
            </w:pPr>
          </w:p>
        </w:tc>
        <w:tc>
          <w:tcPr>
            <w:tcW w:w="699" w:type="dxa"/>
            <w:vAlign w:val="center"/>
          </w:tcPr>
          <w:p w14:paraId="3B3CA284">
            <w:pPr>
              <w:spacing w:line="240" w:lineRule="auto"/>
              <w:ind w:firstLine="420"/>
              <w:jc w:val="center"/>
              <w:rPr>
                <w:rFonts w:ascii="仿宋_GB2312" w:eastAsia="仿宋_GB2312"/>
                <w:kern w:val="0"/>
              </w:rPr>
            </w:pPr>
          </w:p>
        </w:tc>
        <w:tc>
          <w:tcPr>
            <w:tcW w:w="869" w:type="dxa"/>
            <w:vAlign w:val="center"/>
          </w:tcPr>
          <w:p w14:paraId="0B09972D">
            <w:pPr>
              <w:spacing w:line="240" w:lineRule="auto"/>
              <w:ind w:firstLine="420"/>
              <w:jc w:val="center"/>
              <w:rPr>
                <w:rFonts w:ascii="仿宋_GB2312" w:eastAsia="仿宋_GB2312"/>
                <w:kern w:val="0"/>
              </w:rPr>
            </w:pPr>
          </w:p>
        </w:tc>
        <w:tc>
          <w:tcPr>
            <w:tcW w:w="1423" w:type="dxa"/>
            <w:vAlign w:val="center"/>
          </w:tcPr>
          <w:p w14:paraId="136AF543">
            <w:pPr>
              <w:spacing w:line="240" w:lineRule="auto"/>
              <w:ind w:firstLine="420"/>
              <w:jc w:val="center"/>
              <w:rPr>
                <w:rFonts w:ascii="仿宋_GB2312" w:eastAsia="仿宋_GB2312"/>
                <w:kern w:val="0"/>
              </w:rPr>
            </w:pPr>
          </w:p>
        </w:tc>
      </w:tr>
      <w:tr w14:paraId="3917E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0" w:hRule="atLeast"/>
        </w:trPr>
        <w:tc>
          <w:tcPr>
            <w:tcW w:w="1074" w:type="dxa"/>
            <w:vMerge w:val="continue"/>
            <w:textDirection w:val="tbRlV"/>
            <w:vAlign w:val="center"/>
          </w:tcPr>
          <w:p w14:paraId="58ECB97D">
            <w:pPr>
              <w:spacing w:line="240" w:lineRule="auto"/>
              <w:ind w:firstLine="420"/>
              <w:jc w:val="center"/>
              <w:rPr>
                <w:rFonts w:ascii="仿宋_GB2312" w:eastAsia="仿宋_GB2312"/>
                <w:kern w:val="0"/>
              </w:rPr>
            </w:pPr>
          </w:p>
        </w:tc>
        <w:tc>
          <w:tcPr>
            <w:tcW w:w="1069" w:type="dxa"/>
            <w:vMerge w:val="continue"/>
            <w:vAlign w:val="center"/>
          </w:tcPr>
          <w:p w14:paraId="0E99F4C9">
            <w:pPr>
              <w:spacing w:line="240" w:lineRule="auto"/>
              <w:ind w:firstLine="420"/>
              <w:jc w:val="center"/>
              <w:rPr>
                <w:rFonts w:ascii="仿宋_GB2312" w:eastAsia="仿宋_GB2312"/>
                <w:kern w:val="0"/>
              </w:rPr>
            </w:pPr>
          </w:p>
        </w:tc>
        <w:tc>
          <w:tcPr>
            <w:tcW w:w="1029" w:type="dxa"/>
            <w:tcBorders>
              <w:top w:val="nil"/>
            </w:tcBorders>
            <w:vAlign w:val="center"/>
          </w:tcPr>
          <w:p w14:paraId="3D59E142">
            <w:pPr>
              <w:spacing w:line="240" w:lineRule="auto"/>
              <w:jc w:val="center"/>
              <w:rPr>
                <w:rFonts w:hint="eastAsia" w:ascii="仿宋_GB2312" w:eastAsia="仿宋_GB2312"/>
                <w:kern w:val="0"/>
                <w:sz w:val="16"/>
                <w:szCs w:val="16"/>
                <w:lang w:eastAsia="zh-CN"/>
              </w:rPr>
            </w:pPr>
            <w:r>
              <w:rPr>
                <w:rFonts w:hint="eastAsia" w:ascii="仿宋_GB2312" w:eastAsia="仿宋_GB2312"/>
                <w:kern w:val="0"/>
                <w:sz w:val="16"/>
                <w:szCs w:val="16"/>
                <w:lang w:eastAsia="zh-CN"/>
              </w:rPr>
              <w:t>生态环境成本指标</w:t>
            </w:r>
          </w:p>
        </w:tc>
        <w:tc>
          <w:tcPr>
            <w:tcW w:w="1466" w:type="dxa"/>
            <w:vAlign w:val="center"/>
          </w:tcPr>
          <w:p w14:paraId="288F982A">
            <w:pPr>
              <w:spacing w:line="240" w:lineRule="auto"/>
              <w:ind w:firstLine="420"/>
              <w:jc w:val="center"/>
              <w:rPr>
                <w:rFonts w:ascii="仿宋_GB2312" w:eastAsia="仿宋_GB2312"/>
                <w:kern w:val="0"/>
              </w:rPr>
            </w:pPr>
          </w:p>
        </w:tc>
        <w:tc>
          <w:tcPr>
            <w:tcW w:w="1081" w:type="dxa"/>
            <w:vAlign w:val="center"/>
          </w:tcPr>
          <w:p w14:paraId="5AACB7C1">
            <w:pPr>
              <w:spacing w:line="240" w:lineRule="auto"/>
              <w:ind w:firstLine="420"/>
              <w:jc w:val="center"/>
              <w:rPr>
                <w:rFonts w:ascii="仿宋_GB2312" w:eastAsia="仿宋_GB2312"/>
                <w:kern w:val="0"/>
              </w:rPr>
            </w:pPr>
          </w:p>
        </w:tc>
        <w:tc>
          <w:tcPr>
            <w:tcW w:w="1269" w:type="dxa"/>
            <w:vAlign w:val="center"/>
          </w:tcPr>
          <w:p w14:paraId="716443A4">
            <w:pPr>
              <w:spacing w:line="240" w:lineRule="auto"/>
              <w:ind w:firstLine="420"/>
              <w:jc w:val="center"/>
              <w:rPr>
                <w:rFonts w:ascii="仿宋_GB2312" w:eastAsia="仿宋_GB2312"/>
                <w:kern w:val="0"/>
              </w:rPr>
            </w:pPr>
          </w:p>
        </w:tc>
        <w:tc>
          <w:tcPr>
            <w:tcW w:w="699" w:type="dxa"/>
            <w:vAlign w:val="center"/>
          </w:tcPr>
          <w:p w14:paraId="42D936D7">
            <w:pPr>
              <w:spacing w:line="240" w:lineRule="auto"/>
              <w:ind w:firstLine="420"/>
              <w:jc w:val="center"/>
              <w:rPr>
                <w:rFonts w:ascii="仿宋_GB2312" w:eastAsia="仿宋_GB2312"/>
                <w:kern w:val="0"/>
              </w:rPr>
            </w:pPr>
          </w:p>
        </w:tc>
        <w:tc>
          <w:tcPr>
            <w:tcW w:w="869" w:type="dxa"/>
            <w:vAlign w:val="center"/>
          </w:tcPr>
          <w:p w14:paraId="4435E977">
            <w:pPr>
              <w:spacing w:line="240" w:lineRule="auto"/>
              <w:ind w:firstLine="420"/>
              <w:jc w:val="center"/>
              <w:rPr>
                <w:rFonts w:ascii="仿宋_GB2312" w:eastAsia="仿宋_GB2312"/>
                <w:kern w:val="0"/>
              </w:rPr>
            </w:pPr>
          </w:p>
        </w:tc>
        <w:tc>
          <w:tcPr>
            <w:tcW w:w="1423" w:type="dxa"/>
            <w:vAlign w:val="center"/>
          </w:tcPr>
          <w:p w14:paraId="16F58976">
            <w:pPr>
              <w:spacing w:line="240" w:lineRule="auto"/>
              <w:ind w:firstLine="420"/>
              <w:jc w:val="center"/>
              <w:rPr>
                <w:rFonts w:ascii="仿宋_GB2312" w:eastAsia="仿宋_GB2312"/>
                <w:kern w:val="0"/>
              </w:rPr>
            </w:pPr>
          </w:p>
        </w:tc>
      </w:tr>
      <w:tr w14:paraId="62E1A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37DFE56A">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72FB12A0">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5F4764FF">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98</w:t>
            </w:r>
          </w:p>
        </w:tc>
        <w:tc>
          <w:tcPr>
            <w:tcW w:w="1423" w:type="dxa"/>
            <w:vAlign w:val="center"/>
          </w:tcPr>
          <w:p w14:paraId="0A113EEA">
            <w:pPr>
              <w:spacing w:line="240" w:lineRule="auto"/>
              <w:ind w:firstLine="420"/>
              <w:jc w:val="center"/>
              <w:rPr>
                <w:rFonts w:ascii="仿宋_GB2312" w:eastAsia="仿宋_GB2312"/>
                <w:kern w:val="0"/>
              </w:rPr>
            </w:pPr>
          </w:p>
        </w:tc>
      </w:tr>
    </w:tbl>
    <w:p w14:paraId="495828D9">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4E0BB75C">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陈规</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2024.10.15</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13575047755</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杨权</w:t>
      </w:r>
    </w:p>
    <w:p w14:paraId="4D0DB2F7">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03B900A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3</w:t>
      </w:r>
      <w:r>
        <w:rPr>
          <w:rFonts w:ascii="方正小标宋简体" w:hAnsi="宋体" w:eastAsia="方正小标宋简体" w:cs="宋体"/>
          <w:bCs/>
          <w:spacing w:val="8"/>
          <w:kern w:val="0"/>
          <w:sz w:val="44"/>
          <w:szCs w:val="44"/>
          <w:lang w:eastAsia="zh-CN"/>
        </w:rPr>
        <w:t>年度项目支出绩效自评表</w:t>
      </w:r>
    </w:p>
    <w:p w14:paraId="623F41EB">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6AC3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AE00E6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07127C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路灯维护费</w:t>
            </w:r>
          </w:p>
        </w:tc>
      </w:tr>
      <w:tr w14:paraId="600AA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AB6F7C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1A6AD18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77C40E7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44C4BC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DE3D03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汨罗市城市路灯服务中心</w:t>
            </w:r>
          </w:p>
        </w:tc>
      </w:tr>
      <w:tr w14:paraId="1C933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865BD4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E87DE0C">
            <w:pPr>
              <w:spacing w:line="240" w:lineRule="auto"/>
              <w:ind w:firstLine="420"/>
              <w:jc w:val="center"/>
              <w:rPr>
                <w:rFonts w:ascii="仿宋_GB2312" w:hAnsi="宋体" w:eastAsia="仿宋_GB2312" w:cs="宋体"/>
                <w:kern w:val="0"/>
                <w:lang w:eastAsia="zh-CN"/>
              </w:rPr>
            </w:pPr>
          </w:p>
        </w:tc>
        <w:tc>
          <w:tcPr>
            <w:tcW w:w="1020" w:type="dxa"/>
            <w:vAlign w:val="center"/>
          </w:tcPr>
          <w:p w14:paraId="42E3D94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6285D68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08E558C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0B6FFA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7580382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4FE5ED7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3F80B8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498727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0CD772C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1BC4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B6C1D4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09F981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26DA31D7">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30</w:t>
            </w:r>
          </w:p>
        </w:tc>
        <w:tc>
          <w:tcPr>
            <w:tcW w:w="1099" w:type="dxa"/>
            <w:vAlign w:val="center"/>
          </w:tcPr>
          <w:p w14:paraId="2A67243D">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30</w:t>
            </w:r>
          </w:p>
        </w:tc>
        <w:tc>
          <w:tcPr>
            <w:tcW w:w="1099" w:type="dxa"/>
            <w:vAlign w:val="center"/>
          </w:tcPr>
          <w:p w14:paraId="4D8EEBFB">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30</w:t>
            </w:r>
          </w:p>
        </w:tc>
        <w:tc>
          <w:tcPr>
            <w:tcW w:w="809" w:type="dxa"/>
            <w:vAlign w:val="center"/>
          </w:tcPr>
          <w:p w14:paraId="68EA5B17">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39DAABF4">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383" w:type="dxa"/>
            <w:vAlign w:val="center"/>
          </w:tcPr>
          <w:p w14:paraId="3DF54D59">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18427D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AFB144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9CFE96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0F717BBC">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30</w:t>
            </w:r>
          </w:p>
        </w:tc>
        <w:tc>
          <w:tcPr>
            <w:tcW w:w="1099" w:type="dxa"/>
            <w:vAlign w:val="center"/>
          </w:tcPr>
          <w:p w14:paraId="1EDE9628">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30</w:t>
            </w:r>
          </w:p>
        </w:tc>
        <w:tc>
          <w:tcPr>
            <w:tcW w:w="1099" w:type="dxa"/>
            <w:vAlign w:val="center"/>
          </w:tcPr>
          <w:p w14:paraId="74117C70">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30</w:t>
            </w:r>
          </w:p>
        </w:tc>
        <w:tc>
          <w:tcPr>
            <w:tcW w:w="809" w:type="dxa"/>
            <w:vAlign w:val="center"/>
          </w:tcPr>
          <w:p w14:paraId="3067B0C1">
            <w:pPr>
              <w:spacing w:line="240" w:lineRule="auto"/>
              <w:ind w:firstLine="420"/>
              <w:jc w:val="center"/>
              <w:rPr>
                <w:rFonts w:hint="eastAsia" w:ascii="仿宋" w:hAnsi="仿宋" w:eastAsia="仿宋" w:cs="仿宋"/>
                <w:kern w:val="0"/>
                <w:sz w:val="21"/>
                <w:szCs w:val="21"/>
                <w:lang w:eastAsia="zh-CN"/>
              </w:rPr>
            </w:pPr>
          </w:p>
        </w:tc>
        <w:tc>
          <w:tcPr>
            <w:tcW w:w="849" w:type="dxa"/>
            <w:vAlign w:val="center"/>
          </w:tcPr>
          <w:p w14:paraId="66D6F166">
            <w:pPr>
              <w:spacing w:line="240" w:lineRule="auto"/>
              <w:ind w:firstLine="420"/>
              <w:jc w:val="center"/>
              <w:rPr>
                <w:rFonts w:hint="eastAsia" w:ascii="仿宋" w:hAnsi="仿宋" w:eastAsia="仿宋" w:cs="仿宋"/>
                <w:kern w:val="0"/>
                <w:sz w:val="21"/>
                <w:szCs w:val="21"/>
                <w:lang w:eastAsia="zh-CN"/>
              </w:rPr>
            </w:pPr>
          </w:p>
        </w:tc>
        <w:tc>
          <w:tcPr>
            <w:tcW w:w="1383" w:type="dxa"/>
            <w:vAlign w:val="center"/>
          </w:tcPr>
          <w:p w14:paraId="7F84EC62">
            <w:pPr>
              <w:spacing w:line="240" w:lineRule="auto"/>
              <w:ind w:firstLine="420"/>
              <w:jc w:val="center"/>
              <w:rPr>
                <w:rFonts w:hint="eastAsia" w:ascii="仿宋" w:hAnsi="仿宋" w:eastAsia="仿宋" w:cs="仿宋"/>
                <w:kern w:val="0"/>
                <w:sz w:val="21"/>
                <w:szCs w:val="21"/>
                <w:lang w:eastAsia="zh-CN"/>
              </w:rPr>
            </w:pPr>
          </w:p>
        </w:tc>
      </w:tr>
      <w:tr w14:paraId="49257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7B1178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FD982B5">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0A32ADE8">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0</w:t>
            </w:r>
          </w:p>
        </w:tc>
        <w:tc>
          <w:tcPr>
            <w:tcW w:w="1099" w:type="dxa"/>
            <w:vAlign w:val="center"/>
          </w:tcPr>
          <w:p w14:paraId="7FAC2C10">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0</w:t>
            </w:r>
          </w:p>
        </w:tc>
        <w:tc>
          <w:tcPr>
            <w:tcW w:w="1099" w:type="dxa"/>
            <w:vAlign w:val="center"/>
          </w:tcPr>
          <w:p w14:paraId="17D0DA53">
            <w:pPr>
              <w:keepNext w:val="0"/>
              <w:keepLines w:val="0"/>
              <w:widowControl/>
              <w:suppressLineNumbers w:val="0"/>
              <w:jc w:val="center"/>
              <w:textAlignment w:val="center"/>
              <w:rPr>
                <w:rFonts w:hint="eastAsia" w:ascii="仿宋" w:hAnsi="仿宋" w:eastAsia="仿宋" w:cs="仿宋"/>
                <w:kern w:val="0"/>
                <w:sz w:val="21"/>
                <w:szCs w:val="21"/>
                <w:lang w:eastAsia="zh-CN"/>
              </w:rPr>
            </w:pPr>
            <w:r>
              <w:rPr>
                <w:rFonts w:hint="eastAsia" w:ascii="仿宋" w:hAnsi="仿宋" w:eastAsia="仿宋" w:cs="仿宋"/>
                <w:i w:val="0"/>
                <w:iCs w:val="0"/>
                <w:snapToGrid w:val="0"/>
                <w:color w:val="000000"/>
                <w:kern w:val="0"/>
                <w:sz w:val="20"/>
                <w:szCs w:val="20"/>
                <w:u w:val="none"/>
                <w:lang w:val="en-US" w:eastAsia="zh-CN" w:bidi="ar"/>
              </w:rPr>
              <w:t>0</w:t>
            </w:r>
          </w:p>
        </w:tc>
        <w:tc>
          <w:tcPr>
            <w:tcW w:w="809" w:type="dxa"/>
            <w:vAlign w:val="center"/>
          </w:tcPr>
          <w:p w14:paraId="078472F6">
            <w:pPr>
              <w:spacing w:line="240" w:lineRule="auto"/>
              <w:ind w:firstLine="420"/>
              <w:jc w:val="center"/>
              <w:rPr>
                <w:rFonts w:hint="eastAsia" w:ascii="仿宋" w:hAnsi="仿宋" w:eastAsia="仿宋" w:cs="仿宋"/>
                <w:kern w:val="0"/>
                <w:sz w:val="21"/>
                <w:szCs w:val="21"/>
                <w:lang w:eastAsia="zh-CN"/>
              </w:rPr>
            </w:pPr>
          </w:p>
        </w:tc>
        <w:tc>
          <w:tcPr>
            <w:tcW w:w="849" w:type="dxa"/>
            <w:vAlign w:val="center"/>
          </w:tcPr>
          <w:p w14:paraId="3D2678DC">
            <w:pPr>
              <w:spacing w:line="240" w:lineRule="auto"/>
              <w:ind w:firstLine="420"/>
              <w:jc w:val="center"/>
              <w:rPr>
                <w:rFonts w:hint="eastAsia" w:ascii="仿宋" w:hAnsi="仿宋" w:eastAsia="仿宋" w:cs="仿宋"/>
                <w:kern w:val="0"/>
                <w:sz w:val="21"/>
                <w:szCs w:val="21"/>
                <w:lang w:eastAsia="zh-CN"/>
              </w:rPr>
            </w:pPr>
          </w:p>
        </w:tc>
        <w:tc>
          <w:tcPr>
            <w:tcW w:w="1383" w:type="dxa"/>
            <w:vAlign w:val="center"/>
          </w:tcPr>
          <w:p w14:paraId="5D7E84C9">
            <w:pPr>
              <w:spacing w:line="240" w:lineRule="auto"/>
              <w:ind w:firstLine="420"/>
              <w:jc w:val="center"/>
              <w:rPr>
                <w:rFonts w:hint="eastAsia" w:ascii="仿宋" w:hAnsi="仿宋" w:eastAsia="仿宋" w:cs="仿宋"/>
                <w:kern w:val="0"/>
                <w:sz w:val="21"/>
                <w:szCs w:val="21"/>
                <w:lang w:eastAsia="zh-CN"/>
              </w:rPr>
            </w:pPr>
          </w:p>
        </w:tc>
      </w:tr>
      <w:tr w14:paraId="4F78D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41A1E7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25BCBB3">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B7DBBD9">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0"/>
                <w:szCs w:val="20"/>
                <w:u w:val="none"/>
                <w:lang w:val="en-US" w:eastAsia="zh-CN" w:bidi="ar"/>
              </w:rPr>
              <w:t>0</w:t>
            </w:r>
          </w:p>
        </w:tc>
        <w:tc>
          <w:tcPr>
            <w:tcW w:w="1099" w:type="dxa"/>
            <w:vAlign w:val="center"/>
          </w:tcPr>
          <w:p w14:paraId="1DF67B1E">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0"/>
                <w:szCs w:val="20"/>
                <w:u w:val="none"/>
                <w:lang w:val="en-US" w:eastAsia="zh-CN" w:bidi="ar"/>
              </w:rPr>
              <w:t>0</w:t>
            </w:r>
          </w:p>
        </w:tc>
        <w:tc>
          <w:tcPr>
            <w:tcW w:w="1099" w:type="dxa"/>
            <w:vAlign w:val="center"/>
          </w:tcPr>
          <w:p w14:paraId="2FC881D6">
            <w:pPr>
              <w:keepNext w:val="0"/>
              <w:keepLines w:val="0"/>
              <w:widowControl/>
              <w:suppressLineNumbers w:val="0"/>
              <w:jc w:val="center"/>
              <w:textAlignment w:val="center"/>
              <w:rPr>
                <w:rFonts w:hint="eastAsia" w:ascii="仿宋" w:hAnsi="仿宋" w:eastAsia="仿宋" w:cs="仿宋"/>
                <w:kern w:val="0"/>
                <w:sz w:val="21"/>
                <w:szCs w:val="21"/>
              </w:rPr>
            </w:pPr>
            <w:r>
              <w:rPr>
                <w:rFonts w:hint="eastAsia" w:ascii="仿宋" w:hAnsi="仿宋" w:eastAsia="仿宋" w:cs="仿宋"/>
                <w:i w:val="0"/>
                <w:iCs w:val="0"/>
                <w:snapToGrid w:val="0"/>
                <w:color w:val="000000"/>
                <w:kern w:val="0"/>
                <w:sz w:val="20"/>
                <w:szCs w:val="20"/>
                <w:u w:val="none"/>
                <w:lang w:val="en-US" w:eastAsia="zh-CN" w:bidi="ar"/>
              </w:rPr>
              <w:t>0</w:t>
            </w:r>
          </w:p>
        </w:tc>
        <w:tc>
          <w:tcPr>
            <w:tcW w:w="809" w:type="dxa"/>
            <w:vAlign w:val="center"/>
          </w:tcPr>
          <w:p w14:paraId="7788A024">
            <w:pPr>
              <w:spacing w:line="240" w:lineRule="auto"/>
              <w:ind w:firstLine="420"/>
              <w:jc w:val="center"/>
              <w:rPr>
                <w:rFonts w:hint="eastAsia" w:ascii="仿宋" w:hAnsi="仿宋" w:eastAsia="仿宋" w:cs="仿宋"/>
                <w:kern w:val="0"/>
                <w:sz w:val="21"/>
                <w:szCs w:val="21"/>
              </w:rPr>
            </w:pPr>
          </w:p>
        </w:tc>
        <w:tc>
          <w:tcPr>
            <w:tcW w:w="849" w:type="dxa"/>
            <w:vAlign w:val="center"/>
          </w:tcPr>
          <w:p w14:paraId="1169CA1A">
            <w:pPr>
              <w:spacing w:line="240" w:lineRule="auto"/>
              <w:ind w:firstLine="420"/>
              <w:jc w:val="center"/>
              <w:rPr>
                <w:rFonts w:hint="eastAsia" w:ascii="仿宋" w:hAnsi="仿宋" w:eastAsia="仿宋" w:cs="仿宋"/>
                <w:kern w:val="0"/>
                <w:sz w:val="21"/>
                <w:szCs w:val="21"/>
              </w:rPr>
            </w:pPr>
          </w:p>
        </w:tc>
        <w:tc>
          <w:tcPr>
            <w:tcW w:w="1383" w:type="dxa"/>
            <w:vAlign w:val="center"/>
          </w:tcPr>
          <w:p w14:paraId="18A7DFDD">
            <w:pPr>
              <w:spacing w:line="240" w:lineRule="auto"/>
              <w:ind w:firstLine="420"/>
              <w:jc w:val="center"/>
              <w:rPr>
                <w:rFonts w:hint="eastAsia" w:ascii="仿宋" w:hAnsi="仿宋" w:eastAsia="仿宋" w:cs="仿宋"/>
                <w:kern w:val="0"/>
                <w:sz w:val="21"/>
                <w:szCs w:val="21"/>
              </w:rPr>
            </w:pPr>
          </w:p>
        </w:tc>
      </w:tr>
      <w:tr w14:paraId="21631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9DF2CDD">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B92109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0E2E6DC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037A7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09BD04A">
            <w:pPr>
              <w:spacing w:line="240" w:lineRule="auto"/>
              <w:ind w:firstLine="420"/>
              <w:jc w:val="center"/>
              <w:rPr>
                <w:rFonts w:ascii="仿宋_GB2312" w:hAnsi="宋体" w:eastAsia="仿宋_GB2312" w:cs="宋体"/>
                <w:kern w:val="0"/>
              </w:rPr>
            </w:pPr>
          </w:p>
        </w:tc>
        <w:tc>
          <w:tcPr>
            <w:tcW w:w="4396" w:type="dxa"/>
            <w:gridSpan w:val="4"/>
            <w:vAlign w:val="center"/>
          </w:tcPr>
          <w:p w14:paraId="2CD44035">
            <w:pPr>
              <w:spacing w:line="240" w:lineRule="auto"/>
              <w:ind w:firstLine="420" w:firstLineChars="200"/>
              <w:jc w:val="both"/>
              <w:rPr>
                <w:rFonts w:ascii="仿宋_GB2312" w:hAnsi="宋体" w:eastAsia="仿宋_GB2312" w:cs="宋体"/>
                <w:kern w:val="0"/>
              </w:rPr>
            </w:pPr>
            <w:r>
              <w:rPr>
                <w:rFonts w:hint="eastAsia" w:ascii="仿宋_GB2312" w:hAnsi="宋体" w:eastAsia="仿宋_GB2312" w:cs="宋体"/>
                <w:kern w:val="0"/>
              </w:rPr>
              <w:t>满足城市发展的需要，减少与路灯管理相关的投诉，减少与路灯有关交通事故的发生，有利于城市治安产生较大的社会效益。</w:t>
            </w:r>
          </w:p>
        </w:tc>
        <w:tc>
          <w:tcPr>
            <w:tcW w:w="4140" w:type="dxa"/>
            <w:gridSpan w:val="4"/>
            <w:vAlign w:val="center"/>
          </w:tcPr>
          <w:p w14:paraId="59B933C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r>
      <w:tr w14:paraId="74C22E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40EAF19">
            <w:pPr>
              <w:spacing w:line="240" w:lineRule="auto"/>
              <w:ind w:firstLine="420"/>
              <w:jc w:val="center"/>
              <w:rPr>
                <w:rFonts w:ascii="仿宋_GB2312" w:hAnsi="宋体" w:eastAsia="仿宋_GB2312" w:cs="宋体"/>
                <w:kern w:val="0"/>
              </w:rPr>
            </w:pPr>
          </w:p>
          <w:p w14:paraId="2950826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27DF04F3">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2CE649E1">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A02F62D">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06ECEF39">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7B87656C">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43380BB6">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20E81A95">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71CEC65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9F22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0DFB94C">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77D0045E">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0563C14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B4B7E8F">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5D16C7AE">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落实路灯维护工作、抓好亮化管理工作</w:t>
            </w:r>
          </w:p>
        </w:tc>
        <w:tc>
          <w:tcPr>
            <w:tcW w:w="1099" w:type="dxa"/>
            <w:vAlign w:val="center"/>
          </w:tcPr>
          <w:p w14:paraId="78B0ACBE">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维修路灯2859盏，维修路灯线路126次，共3356米。维修控制电源箱185次，接收“12345”热线39起，接收处理“市民热线”38起，排查路灯亮化线路安全隐患26处。确保亮灯率始终保持在98%以上。</w:t>
            </w:r>
          </w:p>
        </w:tc>
        <w:tc>
          <w:tcPr>
            <w:tcW w:w="1099" w:type="dxa"/>
            <w:vAlign w:val="center"/>
          </w:tcPr>
          <w:p w14:paraId="1D8E02C4">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w:t>
            </w:r>
          </w:p>
        </w:tc>
        <w:tc>
          <w:tcPr>
            <w:tcW w:w="809" w:type="dxa"/>
            <w:vAlign w:val="center"/>
          </w:tcPr>
          <w:p w14:paraId="7F7DF396">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w:t>
            </w:r>
          </w:p>
        </w:tc>
        <w:tc>
          <w:tcPr>
            <w:tcW w:w="849" w:type="dxa"/>
            <w:vAlign w:val="center"/>
          </w:tcPr>
          <w:p w14:paraId="35B8B883">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10.00</w:t>
            </w:r>
          </w:p>
        </w:tc>
        <w:tc>
          <w:tcPr>
            <w:tcW w:w="1383" w:type="dxa"/>
            <w:vAlign w:val="center"/>
          </w:tcPr>
          <w:p w14:paraId="37D3A197">
            <w:pPr>
              <w:spacing w:line="240" w:lineRule="auto"/>
              <w:ind w:firstLine="420"/>
              <w:jc w:val="center"/>
              <w:rPr>
                <w:rFonts w:ascii="仿宋_GB2312" w:hAnsi="宋体" w:eastAsia="仿宋_GB2312" w:cs="宋体"/>
                <w:kern w:val="0"/>
              </w:rPr>
            </w:pPr>
          </w:p>
        </w:tc>
      </w:tr>
      <w:tr w14:paraId="141EE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839A1C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3D210A8">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FE64EC0">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33B440BC">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符合安全生产质量要求</w:t>
            </w:r>
          </w:p>
        </w:tc>
        <w:tc>
          <w:tcPr>
            <w:tcW w:w="1099" w:type="dxa"/>
            <w:vAlign w:val="center"/>
          </w:tcPr>
          <w:p w14:paraId="007793AE">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路灯材料采购、安装、维修符合安全生产质量要求</w:t>
            </w:r>
          </w:p>
        </w:tc>
        <w:tc>
          <w:tcPr>
            <w:tcW w:w="1099" w:type="dxa"/>
            <w:vAlign w:val="center"/>
          </w:tcPr>
          <w:p w14:paraId="726BBA54">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w:t>
            </w:r>
          </w:p>
        </w:tc>
        <w:tc>
          <w:tcPr>
            <w:tcW w:w="809" w:type="dxa"/>
            <w:vAlign w:val="center"/>
          </w:tcPr>
          <w:p w14:paraId="73104442">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w:t>
            </w:r>
          </w:p>
        </w:tc>
        <w:tc>
          <w:tcPr>
            <w:tcW w:w="849" w:type="dxa"/>
            <w:vAlign w:val="center"/>
          </w:tcPr>
          <w:p w14:paraId="25497985">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10.00</w:t>
            </w:r>
          </w:p>
        </w:tc>
        <w:tc>
          <w:tcPr>
            <w:tcW w:w="1383" w:type="dxa"/>
            <w:vAlign w:val="center"/>
          </w:tcPr>
          <w:p w14:paraId="5A4FC564">
            <w:pPr>
              <w:spacing w:line="240" w:lineRule="auto"/>
              <w:ind w:firstLine="420"/>
              <w:jc w:val="center"/>
              <w:rPr>
                <w:rFonts w:ascii="仿宋_GB2312" w:hAnsi="宋体" w:eastAsia="仿宋_GB2312" w:cs="宋体"/>
                <w:kern w:val="0"/>
              </w:rPr>
            </w:pPr>
          </w:p>
        </w:tc>
      </w:tr>
      <w:tr w14:paraId="10739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142F16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8362065">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6325F6D">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5155AC58">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按期完成亮化大修工作 及时完成民生工程项目的施工</w:t>
            </w:r>
          </w:p>
        </w:tc>
        <w:tc>
          <w:tcPr>
            <w:tcW w:w="1099" w:type="dxa"/>
            <w:vAlign w:val="center"/>
          </w:tcPr>
          <w:p w14:paraId="64B0C337">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w:t>
            </w:r>
          </w:p>
        </w:tc>
        <w:tc>
          <w:tcPr>
            <w:tcW w:w="1099" w:type="dxa"/>
            <w:vAlign w:val="center"/>
          </w:tcPr>
          <w:p w14:paraId="4BD8D415">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w:t>
            </w:r>
          </w:p>
        </w:tc>
        <w:tc>
          <w:tcPr>
            <w:tcW w:w="809" w:type="dxa"/>
            <w:vAlign w:val="center"/>
          </w:tcPr>
          <w:p w14:paraId="2BB182A4">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w:t>
            </w:r>
          </w:p>
        </w:tc>
        <w:tc>
          <w:tcPr>
            <w:tcW w:w="849" w:type="dxa"/>
            <w:vAlign w:val="center"/>
          </w:tcPr>
          <w:p w14:paraId="6E930806">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10.00</w:t>
            </w:r>
          </w:p>
        </w:tc>
        <w:tc>
          <w:tcPr>
            <w:tcW w:w="1383" w:type="dxa"/>
            <w:vAlign w:val="center"/>
          </w:tcPr>
          <w:p w14:paraId="09A64C28">
            <w:pPr>
              <w:spacing w:line="240" w:lineRule="auto"/>
              <w:ind w:firstLine="420"/>
              <w:jc w:val="center"/>
              <w:rPr>
                <w:rFonts w:ascii="仿宋_GB2312" w:hAnsi="宋体" w:eastAsia="仿宋_GB2312" w:cs="宋体"/>
                <w:kern w:val="0"/>
              </w:rPr>
            </w:pPr>
          </w:p>
        </w:tc>
      </w:tr>
      <w:tr w14:paraId="3FA95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9F1A72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D66A7DA">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3058A4E3">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273CC5FC">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669FB05B">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降低路灯维修成本</w:t>
            </w:r>
          </w:p>
        </w:tc>
        <w:tc>
          <w:tcPr>
            <w:tcW w:w="1099" w:type="dxa"/>
            <w:vAlign w:val="center"/>
          </w:tcPr>
          <w:p w14:paraId="33110D00">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严格控制成本</w:t>
            </w:r>
          </w:p>
        </w:tc>
        <w:tc>
          <w:tcPr>
            <w:tcW w:w="1099" w:type="dxa"/>
            <w:vAlign w:val="center"/>
          </w:tcPr>
          <w:p w14:paraId="0E70B413">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w:t>
            </w:r>
          </w:p>
        </w:tc>
        <w:tc>
          <w:tcPr>
            <w:tcW w:w="809" w:type="dxa"/>
            <w:vAlign w:val="center"/>
          </w:tcPr>
          <w:p w14:paraId="14E56A88">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w:t>
            </w:r>
          </w:p>
        </w:tc>
        <w:tc>
          <w:tcPr>
            <w:tcW w:w="849" w:type="dxa"/>
            <w:vAlign w:val="center"/>
          </w:tcPr>
          <w:p w14:paraId="67291089">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10.00</w:t>
            </w:r>
          </w:p>
        </w:tc>
        <w:tc>
          <w:tcPr>
            <w:tcW w:w="1383" w:type="dxa"/>
            <w:vAlign w:val="center"/>
          </w:tcPr>
          <w:p w14:paraId="2958B09D">
            <w:pPr>
              <w:spacing w:line="240" w:lineRule="auto"/>
              <w:ind w:firstLine="420"/>
              <w:jc w:val="center"/>
              <w:rPr>
                <w:rFonts w:ascii="仿宋_GB2312" w:hAnsi="宋体" w:eastAsia="仿宋_GB2312" w:cs="宋体"/>
                <w:kern w:val="0"/>
              </w:rPr>
            </w:pPr>
          </w:p>
        </w:tc>
      </w:tr>
      <w:tr w14:paraId="4C26B6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9347E8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6C94C70">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7BFE6FB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3E6C6FDF">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完成预期社会效益</w:t>
            </w:r>
          </w:p>
        </w:tc>
        <w:tc>
          <w:tcPr>
            <w:tcW w:w="1099" w:type="dxa"/>
            <w:vAlign w:val="center"/>
          </w:tcPr>
          <w:p w14:paraId="17FC7D06">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w:t>
            </w:r>
          </w:p>
        </w:tc>
        <w:tc>
          <w:tcPr>
            <w:tcW w:w="1099" w:type="dxa"/>
            <w:vAlign w:val="center"/>
          </w:tcPr>
          <w:p w14:paraId="1E09C3C9">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w:t>
            </w:r>
          </w:p>
        </w:tc>
        <w:tc>
          <w:tcPr>
            <w:tcW w:w="809" w:type="dxa"/>
            <w:vAlign w:val="center"/>
          </w:tcPr>
          <w:p w14:paraId="62D65FCD">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w:t>
            </w:r>
          </w:p>
        </w:tc>
        <w:tc>
          <w:tcPr>
            <w:tcW w:w="849" w:type="dxa"/>
            <w:vAlign w:val="center"/>
          </w:tcPr>
          <w:p w14:paraId="6B402462">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10.00</w:t>
            </w:r>
          </w:p>
        </w:tc>
        <w:tc>
          <w:tcPr>
            <w:tcW w:w="1383" w:type="dxa"/>
            <w:vAlign w:val="center"/>
          </w:tcPr>
          <w:p w14:paraId="039499B4">
            <w:pPr>
              <w:spacing w:line="240" w:lineRule="auto"/>
              <w:ind w:firstLine="420"/>
              <w:jc w:val="center"/>
              <w:rPr>
                <w:rFonts w:ascii="仿宋_GB2312" w:hAnsi="宋体" w:eastAsia="仿宋_GB2312" w:cs="宋体"/>
                <w:kern w:val="0"/>
              </w:rPr>
            </w:pPr>
          </w:p>
        </w:tc>
      </w:tr>
      <w:tr w14:paraId="20B514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jc w:val="center"/>
        </w:trPr>
        <w:tc>
          <w:tcPr>
            <w:tcW w:w="1054" w:type="dxa"/>
            <w:vMerge w:val="continue"/>
            <w:textDirection w:val="tbRlV"/>
            <w:vAlign w:val="center"/>
          </w:tcPr>
          <w:p w14:paraId="795FEE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6AAB35B">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4AF8BC66">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17869C9E">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提升市民生活幸福感，市民满意度</w:t>
            </w:r>
          </w:p>
        </w:tc>
        <w:tc>
          <w:tcPr>
            <w:tcW w:w="1099" w:type="dxa"/>
            <w:vAlign w:val="center"/>
          </w:tcPr>
          <w:p w14:paraId="11EBD9DC">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环境效益好、人居环境好</w:t>
            </w:r>
          </w:p>
        </w:tc>
        <w:tc>
          <w:tcPr>
            <w:tcW w:w="1099" w:type="dxa"/>
            <w:vAlign w:val="center"/>
          </w:tcPr>
          <w:p w14:paraId="79A028A7">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有效提升</w:t>
            </w:r>
          </w:p>
        </w:tc>
        <w:tc>
          <w:tcPr>
            <w:tcW w:w="809" w:type="dxa"/>
            <w:vAlign w:val="center"/>
          </w:tcPr>
          <w:p w14:paraId="68F12DB1">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5</w:t>
            </w:r>
          </w:p>
        </w:tc>
        <w:tc>
          <w:tcPr>
            <w:tcW w:w="849" w:type="dxa"/>
            <w:vAlign w:val="center"/>
          </w:tcPr>
          <w:p w14:paraId="5C6E7949">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5.00</w:t>
            </w:r>
          </w:p>
        </w:tc>
        <w:tc>
          <w:tcPr>
            <w:tcW w:w="1383" w:type="dxa"/>
            <w:vAlign w:val="center"/>
          </w:tcPr>
          <w:p w14:paraId="6D2E44E6">
            <w:pPr>
              <w:spacing w:line="240" w:lineRule="auto"/>
              <w:ind w:firstLine="420"/>
              <w:jc w:val="center"/>
              <w:rPr>
                <w:rFonts w:ascii="仿宋_GB2312" w:hAnsi="宋体" w:eastAsia="仿宋_GB2312" w:cs="宋体"/>
                <w:kern w:val="0"/>
              </w:rPr>
            </w:pPr>
          </w:p>
        </w:tc>
      </w:tr>
      <w:tr w14:paraId="557B2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jc w:val="center"/>
        </w:trPr>
        <w:tc>
          <w:tcPr>
            <w:tcW w:w="1054" w:type="dxa"/>
            <w:vMerge w:val="continue"/>
            <w:textDirection w:val="tbRlV"/>
            <w:vAlign w:val="center"/>
          </w:tcPr>
          <w:p w14:paraId="11AAB19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E79E396">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C7234D0">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4D0066CD">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全年持续维护路灯亮灯率达98%</w:t>
            </w:r>
          </w:p>
        </w:tc>
        <w:tc>
          <w:tcPr>
            <w:tcW w:w="1099" w:type="dxa"/>
            <w:vAlign w:val="center"/>
          </w:tcPr>
          <w:p w14:paraId="660824D5">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持续效益好</w:t>
            </w:r>
          </w:p>
        </w:tc>
        <w:tc>
          <w:tcPr>
            <w:tcW w:w="1099" w:type="dxa"/>
            <w:vAlign w:val="center"/>
          </w:tcPr>
          <w:p w14:paraId="3C2A3C0F">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持续效益好</w:t>
            </w:r>
          </w:p>
        </w:tc>
        <w:tc>
          <w:tcPr>
            <w:tcW w:w="809" w:type="dxa"/>
            <w:vAlign w:val="center"/>
          </w:tcPr>
          <w:p w14:paraId="3AB2C777">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5</w:t>
            </w:r>
          </w:p>
        </w:tc>
        <w:tc>
          <w:tcPr>
            <w:tcW w:w="849" w:type="dxa"/>
            <w:vAlign w:val="center"/>
          </w:tcPr>
          <w:p w14:paraId="2AC74938">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5.00</w:t>
            </w:r>
          </w:p>
        </w:tc>
        <w:tc>
          <w:tcPr>
            <w:tcW w:w="1383" w:type="dxa"/>
            <w:vAlign w:val="center"/>
          </w:tcPr>
          <w:p w14:paraId="0F78807D">
            <w:pPr>
              <w:spacing w:line="240" w:lineRule="auto"/>
              <w:ind w:firstLine="420"/>
              <w:jc w:val="center"/>
              <w:rPr>
                <w:rFonts w:ascii="仿宋_GB2312" w:hAnsi="宋体" w:eastAsia="仿宋_GB2312" w:cs="宋体"/>
                <w:kern w:val="0"/>
              </w:rPr>
            </w:pPr>
          </w:p>
        </w:tc>
      </w:tr>
      <w:tr w14:paraId="68C81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8ABE835">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09137692">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98464E1">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1722DD08">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社会群众满意度</w:t>
            </w:r>
          </w:p>
        </w:tc>
        <w:tc>
          <w:tcPr>
            <w:tcW w:w="1099" w:type="dxa"/>
            <w:vAlign w:val="center"/>
          </w:tcPr>
          <w:p w14:paraId="347EE64C">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97%</w:t>
            </w:r>
          </w:p>
        </w:tc>
        <w:tc>
          <w:tcPr>
            <w:tcW w:w="1099" w:type="dxa"/>
            <w:vAlign w:val="center"/>
          </w:tcPr>
          <w:p w14:paraId="77FACB65">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95%</w:t>
            </w:r>
          </w:p>
        </w:tc>
        <w:tc>
          <w:tcPr>
            <w:tcW w:w="809" w:type="dxa"/>
            <w:vAlign w:val="center"/>
          </w:tcPr>
          <w:p w14:paraId="5A47C036">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w:t>
            </w:r>
          </w:p>
        </w:tc>
        <w:tc>
          <w:tcPr>
            <w:tcW w:w="849" w:type="dxa"/>
            <w:vAlign w:val="center"/>
          </w:tcPr>
          <w:p w14:paraId="6AC51D88">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7.00</w:t>
            </w:r>
          </w:p>
        </w:tc>
        <w:tc>
          <w:tcPr>
            <w:tcW w:w="1383" w:type="dxa"/>
            <w:vAlign w:val="center"/>
          </w:tcPr>
          <w:p w14:paraId="2854D64C">
            <w:pPr>
              <w:spacing w:line="240" w:lineRule="auto"/>
              <w:ind w:firstLine="420"/>
              <w:jc w:val="center"/>
              <w:rPr>
                <w:rFonts w:ascii="仿宋_GB2312" w:hAnsi="宋体" w:eastAsia="仿宋_GB2312" w:cs="宋体"/>
                <w:kern w:val="0"/>
              </w:rPr>
            </w:pPr>
          </w:p>
        </w:tc>
      </w:tr>
      <w:tr w14:paraId="7543A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539264D">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11AFF23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0B73BE35">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4F2977A0">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5755058B">
            <w:pPr>
              <w:keepNext w:val="0"/>
              <w:keepLines w:val="0"/>
              <w:widowControl/>
              <w:suppressLineNumbers w:val="0"/>
              <w:jc w:val="left"/>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严格控制采购材料成本</w:t>
            </w:r>
          </w:p>
        </w:tc>
        <w:tc>
          <w:tcPr>
            <w:tcW w:w="1099" w:type="dxa"/>
            <w:vAlign w:val="center"/>
          </w:tcPr>
          <w:p w14:paraId="3AE7DF83">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材料采购经过询价无超过市场最优性价比支出情况</w:t>
            </w:r>
          </w:p>
        </w:tc>
        <w:tc>
          <w:tcPr>
            <w:tcW w:w="1099" w:type="dxa"/>
            <w:vAlign w:val="center"/>
          </w:tcPr>
          <w:p w14:paraId="6F03F882">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100%</w:t>
            </w:r>
          </w:p>
        </w:tc>
        <w:tc>
          <w:tcPr>
            <w:tcW w:w="809" w:type="dxa"/>
            <w:vAlign w:val="center"/>
          </w:tcPr>
          <w:p w14:paraId="377D96E2">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20</w:t>
            </w:r>
          </w:p>
        </w:tc>
        <w:tc>
          <w:tcPr>
            <w:tcW w:w="849" w:type="dxa"/>
            <w:vAlign w:val="center"/>
          </w:tcPr>
          <w:p w14:paraId="2B465C5B">
            <w:pPr>
              <w:keepNext w:val="0"/>
              <w:keepLines w:val="0"/>
              <w:widowControl/>
              <w:suppressLineNumbers w:val="0"/>
              <w:jc w:val="center"/>
              <w:textAlignment w:val="center"/>
              <w:rPr>
                <w:rFonts w:hint="eastAsia" w:ascii="仿宋" w:hAnsi="仿宋" w:eastAsia="仿宋" w:cs="仿宋"/>
                <w:kern w:val="0"/>
                <w:sz w:val="18"/>
                <w:szCs w:val="18"/>
              </w:rPr>
            </w:pPr>
            <w:r>
              <w:rPr>
                <w:rFonts w:hint="eastAsia" w:ascii="仿宋" w:hAnsi="仿宋" w:eastAsia="仿宋" w:cs="仿宋"/>
                <w:i w:val="0"/>
                <w:iCs w:val="0"/>
                <w:snapToGrid w:val="0"/>
                <w:color w:val="000000"/>
                <w:kern w:val="0"/>
                <w:sz w:val="16"/>
                <w:szCs w:val="16"/>
                <w:u w:val="none"/>
                <w:lang w:val="en-US" w:eastAsia="zh-CN" w:bidi="ar"/>
              </w:rPr>
              <w:t>20.00</w:t>
            </w:r>
          </w:p>
        </w:tc>
        <w:tc>
          <w:tcPr>
            <w:tcW w:w="1383" w:type="dxa"/>
            <w:vAlign w:val="center"/>
          </w:tcPr>
          <w:p w14:paraId="029B6555">
            <w:pPr>
              <w:spacing w:line="240" w:lineRule="auto"/>
              <w:ind w:firstLine="420"/>
              <w:jc w:val="center"/>
              <w:rPr>
                <w:rFonts w:ascii="仿宋_GB2312" w:hAnsi="宋体" w:eastAsia="仿宋_GB2312" w:cs="宋体"/>
                <w:kern w:val="0"/>
              </w:rPr>
            </w:pPr>
          </w:p>
        </w:tc>
      </w:tr>
      <w:tr w14:paraId="6690F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C75766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7497403A">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2D3325C3">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406ECA12">
            <w:pPr>
              <w:spacing w:line="240" w:lineRule="auto"/>
              <w:ind w:firstLine="420"/>
              <w:jc w:val="center"/>
              <w:rPr>
                <w:rFonts w:ascii="仿宋_GB2312" w:hAnsi="宋体" w:eastAsia="仿宋_GB2312" w:cs="宋体"/>
                <w:kern w:val="0"/>
              </w:rPr>
            </w:pPr>
          </w:p>
        </w:tc>
        <w:tc>
          <w:tcPr>
            <w:tcW w:w="1099" w:type="dxa"/>
            <w:vAlign w:val="center"/>
          </w:tcPr>
          <w:p w14:paraId="588AD33E">
            <w:pPr>
              <w:spacing w:line="240" w:lineRule="auto"/>
              <w:ind w:firstLine="420"/>
              <w:jc w:val="center"/>
              <w:rPr>
                <w:rFonts w:ascii="仿宋_GB2312" w:hAnsi="宋体" w:eastAsia="仿宋_GB2312" w:cs="宋体"/>
                <w:kern w:val="0"/>
              </w:rPr>
            </w:pPr>
          </w:p>
        </w:tc>
        <w:tc>
          <w:tcPr>
            <w:tcW w:w="1099" w:type="dxa"/>
            <w:vAlign w:val="center"/>
          </w:tcPr>
          <w:p w14:paraId="50214841">
            <w:pPr>
              <w:spacing w:line="240" w:lineRule="auto"/>
              <w:ind w:firstLine="420"/>
              <w:jc w:val="center"/>
              <w:rPr>
                <w:rFonts w:ascii="仿宋_GB2312" w:hAnsi="宋体" w:eastAsia="仿宋_GB2312" w:cs="宋体"/>
                <w:kern w:val="0"/>
              </w:rPr>
            </w:pPr>
          </w:p>
        </w:tc>
        <w:tc>
          <w:tcPr>
            <w:tcW w:w="809" w:type="dxa"/>
            <w:vAlign w:val="center"/>
          </w:tcPr>
          <w:p w14:paraId="3EC715D7">
            <w:pPr>
              <w:spacing w:line="240" w:lineRule="auto"/>
              <w:ind w:firstLine="420"/>
              <w:jc w:val="center"/>
              <w:rPr>
                <w:rFonts w:ascii="仿宋_GB2312" w:hAnsi="宋体" w:eastAsia="仿宋_GB2312" w:cs="宋体"/>
                <w:kern w:val="0"/>
              </w:rPr>
            </w:pPr>
          </w:p>
        </w:tc>
        <w:tc>
          <w:tcPr>
            <w:tcW w:w="849" w:type="dxa"/>
            <w:vAlign w:val="center"/>
          </w:tcPr>
          <w:p w14:paraId="2E5BAAC0">
            <w:pPr>
              <w:spacing w:line="240" w:lineRule="auto"/>
              <w:ind w:firstLine="420"/>
              <w:jc w:val="center"/>
              <w:rPr>
                <w:rFonts w:ascii="仿宋_GB2312" w:hAnsi="宋体" w:eastAsia="仿宋_GB2312" w:cs="宋体"/>
                <w:kern w:val="0"/>
              </w:rPr>
            </w:pPr>
          </w:p>
        </w:tc>
        <w:tc>
          <w:tcPr>
            <w:tcW w:w="1383" w:type="dxa"/>
            <w:vAlign w:val="center"/>
          </w:tcPr>
          <w:p w14:paraId="206F260C">
            <w:pPr>
              <w:spacing w:line="240" w:lineRule="auto"/>
              <w:ind w:firstLine="420"/>
              <w:jc w:val="center"/>
              <w:rPr>
                <w:rFonts w:ascii="仿宋_GB2312" w:hAnsi="宋体" w:eastAsia="仿宋_GB2312" w:cs="宋体"/>
                <w:kern w:val="0"/>
              </w:rPr>
            </w:pPr>
          </w:p>
        </w:tc>
      </w:tr>
      <w:tr w14:paraId="6D2B9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EAC096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BE3F1C8">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71E37CEC">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053C464A">
            <w:pPr>
              <w:spacing w:line="240" w:lineRule="auto"/>
              <w:ind w:firstLine="420"/>
              <w:jc w:val="center"/>
              <w:rPr>
                <w:rFonts w:ascii="仿宋_GB2312" w:hAnsi="宋体" w:eastAsia="仿宋_GB2312" w:cs="宋体"/>
                <w:kern w:val="0"/>
              </w:rPr>
            </w:pPr>
          </w:p>
        </w:tc>
        <w:tc>
          <w:tcPr>
            <w:tcW w:w="1099" w:type="dxa"/>
            <w:vAlign w:val="center"/>
          </w:tcPr>
          <w:p w14:paraId="1A520F6A">
            <w:pPr>
              <w:spacing w:line="240" w:lineRule="auto"/>
              <w:ind w:firstLine="420"/>
              <w:jc w:val="center"/>
              <w:rPr>
                <w:rFonts w:ascii="仿宋_GB2312" w:hAnsi="宋体" w:eastAsia="仿宋_GB2312" w:cs="宋体"/>
                <w:kern w:val="0"/>
              </w:rPr>
            </w:pPr>
          </w:p>
        </w:tc>
        <w:tc>
          <w:tcPr>
            <w:tcW w:w="1099" w:type="dxa"/>
            <w:vAlign w:val="center"/>
          </w:tcPr>
          <w:p w14:paraId="723B299D">
            <w:pPr>
              <w:spacing w:line="240" w:lineRule="auto"/>
              <w:ind w:firstLine="420"/>
              <w:jc w:val="center"/>
              <w:rPr>
                <w:rFonts w:ascii="仿宋_GB2312" w:hAnsi="宋体" w:eastAsia="仿宋_GB2312" w:cs="宋体"/>
                <w:kern w:val="0"/>
              </w:rPr>
            </w:pPr>
          </w:p>
        </w:tc>
        <w:tc>
          <w:tcPr>
            <w:tcW w:w="809" w:type="dxa"/>
            <w:vAlign w:val="center"/>
          </w:tcPr>
          <w:p w14:paraId="66C9BB63">
            <w:pPr>
              <w:spacing w:line="240" w:lineRule="auto"/>
              <w:ind w:firstLine="420"/>
              <w:jc w:val="center"/>
              <w:rPr>
                <w:rFonts w:ascii="仿宋_GB2312" w:hAnsi="宋体" w:eastAsia="仿宋_GB2312" w:cs="宋体"/>
                <w:kern w:val="0"/>
              </w:rPr>
            </w:pPr>
          </w:p>
        </w:tc>
        <w:tc>
          <w:tcPr>
            <w:tcW w:w="849" w:type="dxa"/>
            <w:vAlign w:val="center"/>
          </w:tcPr>
          <w:p w14:paraId="5922D53C">
            <w:pPr>
              <w:spacing w:line="240" w:lineRule="auto"/>
              <w:ind w:firstLine="420"/>
              <w:jc w:val="center"/>
              <w:rPr>
                <w:rFonts w:ascii="仿宋_GB2312" w:hAnsi="宋体" w:eastAsia="仿宋_GB2312" w:cs="宋体"/>
                <w:kern w:val="0"/>
              </w:rPr>
            </w:pPr>
          </w:p>
        </w:tc>
        <w:tc>
          <w:tcPr>
            <w:tcW w:w="1383" w:type="dxa"/>
            <w:vAlign w:val="center"/>
          </w:tcPr>
          <w:p w14:paraId="577786A7">
            <w:pPr>
              <w:spacing w:line="240" w:lineRule="auto"/>
              <w:ind w:firstLine="420"/>
              <w:jc w:val="center"/>
              <w:rPr>
                <w:rFonts w:ascii="仿宋_GB2312" w:hAnsi="宋体" w:eastAsia="仿宋_GB2312" w:cs="宋体"/>
                <w:kern w:val="0"/>
              </w:rPr>
            </w:pPr>
          </w:p>
        </w:tc>
      </w:tr>
      <w:tr w14:paraId="51EEC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40EFC5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72EDF7BF">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720798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w:t>
            </w:r>
          </w:p>
        </w:tc>
        <w:tc>
          <w:tcPr>
            <w:tcW w:w="1383" w:type="dxa"/>
            <w:vAlign w:val="center"/>
          </w:tcPr>
          <w:p w14:paraId="38C67B72">
            <w:pPr>
              <w:spacing w:line="240" w:lineRule="auto"/>
              <w:ind w:firstLine="420"/>
              <w:jc w:val="center"/>
              <w:rPr>
                <w:rFonts w:ascii="仿宋_GB2312" w:hAnsi="宋体" w:eastAsia="仿宋_GB2312" w:cs="宋体"/>
                <w:kern w:val="0"/>
              </w:rPr>
            </w:pPr>
          </w:p>
        </w:tc>
      </w:tr>
    </w:tbl>
    <w:p w14:paraId="76B4A4B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CC77F53">
      <w:pPr>
        <w:spacing w:line="240" w:lineRule="auto"/>
        <w:ind w:firstLine="420"/>
        <w:jc w:val="left"/>
        <w:rPr>
          <w:rFonts w:ascii="宋体" w:hAnsi="宋体" w:eastAsia="宋体" w:cs="宋体"/>
          <w:kern w:val="0"/>
          <w:lang w:eastAsia="zh-CN"/>
        </w:rPr>
      </w:pPr>
    </w:p>
    <w:p w14:paraId="07020958">
      <w:pPr>
        <w:rPr>
          <w:rFonts w:ascii="仿宋_GB2312" w:hAnsi="宋体" w:eastAsia="仿宋_GB2312" w:cs="宋体"/>
          <w:lang w:eastAsia="zh-CN"/>
        </w:rPr>
        <w:sectPr>
          <w:footerReference r:id="rId5" w:type="default"/>
          <w:pgSz w:w="11907" w:h="16839"/>
          <w:pgMar w:top="1191" w:right="1474" w:bottom="1191" w:left="1587" w:header="0" w:footer="1588" w:gutter="0"/>
          <w:pgNumType w:fmt="numberInDash"/>
          <w:cols w:space="720" w:num="1"/>
          <w:docGrid w:linePitch="286" w:charSpace="0"/>
        </w:sectPr>
      </w:pPr>
      <w:r>
        <w:rPr>
          <w:rFonts w:hint="eastAsia" w:ascii="仿宋_GB2312" w:hAnsi="宋体" w:eastAsia="仿宋_GB2312" w:cs="宋体"/>
          <w:kern w:val="0"/>
          <w:lang w:eastAsia="zh-CN"/>
        </w:rPr>
        <w:t>填</w:t>
      </w:r>
      <w:r>
        <w:rPr>
          <w:rFonts w:ascii="仿宋_GB2312" w:hAnsi="宋体" w:eastAsia="仿宋_GB2312" w:cs="宋体"/>
          <w:snapToGrid w:val="0"/>
          <w:color w:val="000000"/>
          <w:sz w:val="21"/>
          <w:szCs w:val="21"/>
          <w:lang w:val="en-US" w:eastAsia="zh-CN" w:bidi="ar-SA"/>
        </w:rPr>
        <w:t>表人：</w:t>
      </w:r>
      <w:r>
        <w:rPr>
          <w:rFonts w:hint="eastAsia" w:ascii="仿宋_GB2312" w:hAnsi="宋体" w:eastAsia="仿宋_GB2312" w:cs="宋体"/>
          <w:snapToGrid w:val="0"/>
          <w:color w:val="000000"/>
          <w:sz w:val="21"/>
          <w:szCs w:val="21"/>
          <w:lang w:val="en-US" w:eastAsia="zh-CN" w:bidi="ar-SA"/>
        </w:rPr>
        <w:t>陈规</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2024.10.15</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13575047755</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杨权</w:t>
      </w:r>
    </w:p>
    <w:p w14:paraId="3EC72D59">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7602D5E1">
      <w:pPr>
        <w:spacing w:line="240" w:lineRule="auto"/>
        <w:ind w:firstLine="880"/>
        <w:jc w:val="center"/>
        <w:rPr>
          <w:rFonts w:hint="eastAsia" w:ascii="方正小标宋简体" w:eastAsia="方正小标宋简体"/>
          <w:kern w:val="0"/>
          <w:sz w:val="44"/>
          <w:szCs w:val="44"/>
          <w:lang w:eastAsia="zh-CN"/>
        </w:rPr>
      </w:pPr>
    </w:p>
    <w:p w14:paraId="1CDD8D2D">
      <w:pPr>
        <w:spacing w:line="240" w:lineRule="auto"/>
        <w:ind w:firstLine="880"/>
        <w:jc w:val="center"/>
        <w:rPr>
          <w:rFonts w:hint="eastAsia" w:ascii="方正小标宋简体" w:eastAsia="方正小标宋简体"/>
          <w:kern w:val="0"/>
          <w:sz w:val="44"/>
          <w:szCs w:val="44"/>
          <w:lang w:eastAsia="zh-CN"/>
        </w:rPr>
      </w:pPr>
    </w:p>
    <w:p w14:paraId="0D62E48C">
      <w:pPr>
        <w:spacing w:line="240" w:lineRule="auto"/>
        <w:ind w:firstLine="880"/>
        <w:jc w:val="center"/>
        <w:rPr>
          <w:rFonts w:hint="eastAsia"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3</w:t>
      </w:r>
      <w:r>
        <w:rPr>
          <w:rFonts w:hint="eastAsia" w:ascii="方正小标宋简体" w:hAnsi="宋体" w:eastAsia="方正小标宋简体" w:cs="宋体"/>
          <w:kern w:val="0"/>
          <w:sz w:val="44"/>
          <w:szCs w:val="44"/>
          <w:lang w:eastAsia="zh-CN"/>
        </w:rPr>
        <w:t>年度汨罗市城市路灯服务中心</w:t>
      </w:r>
    </w:p>
    <w:p w14:paraId="29B1DC60">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kern w:val="0"/>
          <w:sz w:val="44"/>
          <w:szCs w:val="44"/>
          <w:lang w:eastAsia="zh-CN"/>
        </w:rPr>
        <w:t>部门整体支出</w:t>
      </w:r>
    </w:p>
    <w:p w14:paraId="179C39A0">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745BAF9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D83FBD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BAAE30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A8D217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38E25A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27C898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20B34E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7ABDCF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31894D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494819">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A098B6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A2F426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A463E7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91EE56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部门名称：汨罗市城市路灯服务中心</w:t>
      </w:r>
      <w:r>
        <w:rPr>
          <w:rFonts w:hint="eastAsia" w:ascii="楷体_GB2312" w:hAnsi="仿宋" w:eastAsia="楷体_GB2312" w:cs="仿宋"/>
          <w:b/>
          <w:bCs/>
          <w:snapToGrid w:val="0"/>
          <w:color w:val="000000"/>
          <w:spacing w:val="-28"/>
          <w:sz w:val="32"/>
          <w:szCs w:val="32"/>
          <w:u w:val="single"/>
          <w:lang w:val="en-US" w:eastAsia="zh-CN" w:bidi="ar-SA"/>
        </w:rPr>
        <w:t>(盖章)</w:t>
      </w:r>
    </w:p>
    <w:p w14:paraId="0D56F28E">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 xml:space="preserve">2024 </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 xml:space="preserve">10 </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 xml:space="preserve"> 15 </w:t>
      </w:r>
      <w:r>
        <w:rPr>
          <w:rFonts w:hint="eastAsia" w:ascii="楷体_GB2312" w:hAnsi="楷体" w:eastAsia="楷体_GB2312" w:cs="楷体"/>
          <w:b/>
          <w:bCs/>
          <w:spacing w:val="-13"/>
          <w:kern w:val="0"/>
          <w:sz w:val="32"/>
          <w:szCs w:val="32"/>
          <w:lang w:eastAsia="zh-CN"/>
        </w:rPr>
        <w:t>日</w:t>
      </w:r>
    </w:p>
    <w:p w14:paraId="6F688878">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44D304E7">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F57D098">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B0506B2">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771F7B6">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1BB390F">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7F2EDA00">
          <w:pPr>
            <w:pStyle w:val="3"/>
            <w:ind w:firstLine="360"/>
            <w:jc w:val="left"/>
            <w:rPr>
              <w:rFonts w:asciiTheme="minorEastAsia" w:hAnsiTheme="minorEastAsia" w:eastAsiaTheme="minorEastAsia"/>
              <w:kern w:val="0"/>
              <w:lang w:eastAsia="zh-CN"/>
            </w:rPr>
          </w:pPr>
        </w:p>
      </w:sdtContent>
    </w:sdt>
    <w:p w14:paraId="618DCB3E">
      <w:pPr>
        <w:spacing w:before="130" w:line="221" w:lineRule="auto"/>
        <w:jc w:val="center"/>
        <w:rPr>
          <w:rFonts w:hint="eastAsia" w:ascii="黑体" w:hAnsi="黑体" w:eastAsia="黑体" w:cs="黑体"/>
          <w:spacing w:val="-60"/>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3</w:t>
      </w:r>
      <w:r>
        <w:rPr>
          <w:rFonts w:ascii="黑体" w:hAnsi="黑体" w:eastAsia="黑体" w:cs="黑体"/>
          <w:spacing w:val="16"/>
          <w:sz w:val="40"/>
          <w:szCs w:val="40"/>
        </w:rPr>
        <w:t xml:space="preserve"> 年度</w:t>
      </w:r>
      <w:r>
        <w:rPr>
          <w:rFonts w:hint="eastAsia" w:ascii="黑体" w:hAnsi="黑体" w:eastAsia="黑体" w:cs="黑体"/>
          <w:spacing w:val="-60"/>
          <w:sz w:val="40"/>
          <w:szCs w:val="40"/>
        </w:rPr>
        <w:t>汨罗市城市路灯服务中心</w:t>
      </w:r>
    </w:p>
    <w:p w14:paraId="312BECDE">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部门整体支出绩效</w:t>
      </w:r>
    </w:p>
    <w:p w14:paraId="1819A1E2">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55763F30">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3613B94F">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一、部门基本情况</w:t>
      </w:r>
    </w:p>
    <w:p w14:paraId="3B3A617C">
      <w:pPr>
        <w:pStyle w:val="9"/>
        <w:spacing w:line="600" w:lineRule="exact"/>
        <w:ind w:firstLine="643"/>
        <w:jc w:val="both"/>
        <w:rPr>
          <w:rFonts w:hint="eastAsia" w:ascii="Times New Roman" w:hAnsi="Times New Roman" w:eastAsia="仿宋_GB2312"/>
          <w:b/>
          <w:bCs/>
          <w:kern w:val="0"/>
          <w:sz w:val="32"/>
          <w:szCs w:val="32"/>
          <w:lang w:val="en-US" w:eastAsia="zh-CN"/>
        </w:rPr>
      </w:pPr>
      <w:r>
        <w:rPr>
          <w:rFonts w:hint="eastAsia" w:ascii="Times New Roman" w:hAnsi="Times New Roman" w:eastAsia="仿宋_GB2312"/>
          <w:b/>
          <w:bCs/>
          <w:kern w:val="0"/>
          <w:sz w:val="32"/>
          <w:szCs w:val="32"/>
          <w:lang w:val="en-US" w:eastAsia="zh-CN"/>
        </w:rPr>
        <w:t>1、机构设置</w:t>
      </w:r>
    </w:p>
    <w:p w14:paraId="78D234D8">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汨罗市城市路灯服务中心为财政全额拨款的公益一类事业单位，隶属汨罗市城市管理和综合执法局，执行行政单位会计制度。汨罗市城市路灯服务中心设：办公室、财务室、工程办公室、巡查一组、巡查二组、党建等股室。</w:t>
      </w:r>
    </w:p>
    <w:p w14:paraId="3F05B542">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 xml:space="preserve">   </w:t>
      </w:r>
      <w:r>
        <w:rPr>
          <w:rFonts w:hint="eastAsia" w:ascii="Times New Roman" w:hAnsi="Times New Roman" w:eastAsia="仿宋_GB2312"/>
          <w:b/>
          <w:bCs/>
          <w:kern w:val="0"/>
          <w:sz w:val="32"/>
          <w:szCs w:val="32"/>
          <w:lang w:val="en-US" w:eastAsia="zh-CN"/>
        </w:rPr>
        <w:t xml:space="preserve"> 2、人员情况</w:t>
      </w:r>
    </w:p>
    <w:p w14:paraId="3D5D5ED8">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eastAsia="zh-CN"/>
        </w:rPr>
        <w:t>我</w:t>
      </w:r>
      <w:r>
        <w:rPr>
          <w:rFonts w:hint="eastAsia" w:ascii="Times New Roman" w:hAnsi="Times New Roman" w:eastAsia="仿宋_GB2312"/>
          <w:kern w:val="0"/>
          <w:sz w:val="32"/>
          <w:szCs w:val="32"/>
          <w:lang w:val="en-US" w:eastAsia="zh-CN"/>
        </w:rPr>
        <w:t>部门</w:t>
      </w:r>
      <w:r>
        <w:rPr>
          <w:rFonts w:hint="eastAsia" w:ascii="Times New Roman" w:hAnsi="Times New Roman" w:eastAsia="仿宋_GB2312"/>
          <w:kern w:val="0"/>
          <w:sz w:val="32"/>
          <w:szCs w:val="32"/>
          <w:lang w:eastAsia="zh-CN"/>
        </w:rPr>
        <w:t>202</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lang w:eastAsia="zh-CN"/>
        </w:rPr>
        <w:t>年</w:t>
      </w:r>
      <w:r>
        <w:rPr>
          <w:rFonts w:hint="eastAsia" w:ascii="Times New Roman" w:hAnsi="Times New Roman" w:eastAsia="仿宋_GB2312"/>
          <w:b/>
          <w:bCs/>
          <w:kern w:val="0"/>
          <w:sz w:val="32"/>
          <w:szCs w:val="32"/>
          <w:lang w:val="en-US" w:eastAsia="zh-CN"/>
        </w:rPr>
        <w:t>人员</w:t>
      </w:r>
      <w:r>
        <w:rPr>
          <w:rFonts w:hint="eastAsia" w:ascii="Times New Roman" w:hAnsi="Times New Roman" w:eastAsia="仿宋_GB2312"/>
          <w:kern w:val="0"/>
          <w:sz w:val="32"/>
          <w:szCs w:val="32"/>
          <w:lang w:eastAsia="zh-CN"/>
        </w:rPr>
        <w:t>编制</w:t>
      </w:r>
      <w:r>
        <w:rPr>
          <w:rFonts w:hint="eastAsia" w:ascii="Times New Roman" w:hAnsi="Times New Roman" w:eastAsia="仿宋_GB2312"/>
          <w:kern w:val="0"/>
          <w:sz w:val="32"/>
          <w:szCs w:val="32"/>
          <w:lang w:val="en-US" w:eastAsia="zh-CN"/>
        </w:rPr>
        <w:t>14</w:t>
      </w:r>
      <w:r>
        <w:rPr>
          <w:rFonts w:hint="eastAsia" w:ascii="Times New Roman" w:hAnsi="Times New Roman" w:eastAsia="仿宋_GB2312"/>
          <w:kern w:val="0"/>
          <w:sz w:val="32"/>
          <w:szCs w:val="32"/>
          <w:lang w:eastAsia="zh-CN"/>
        </w:rPr>
        <w:t>名，202</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lang w:eastAsia="zh-CN"/>
        </w:rPr>
        <w:t>年末在职</w:t>
      </w:r>
      <w:r>
        <w:rPr>
          <w:rFonts w:hint="eastAsia" w:ascii="Times New Roman" w:hAnsi="Times New Roman" w:eastAsia="仿宋_GB2312"/>
          <w:kern w:val="0"/>
          <w:sz w:val="32"/>
          <w:szCs w:val="32"/>
          <w:lang w:val="en-US" w:eastAsia="zh-CN"/>
        </w:rPr>
        <w:t>14</w:t>
      </w:r>
      <w:r>
        <w:rPr>
          <w:rFonts w:hint="eastAsia" w:ascii="Times New Roman" w:hAnsi="Times New Roman" w:eastAsia="仿宋_GB2312"/>
          <w:kern w:val="0"/>
          <w:sz w:val="32"/>
          <w:szCs w:val="32"/>
          <w:lang w:eastAsia="zh-CN"/>
        </w:rPr>
        <w:t>人，退休</w:t>
      </w:r>
      <w:r>
        <w:rPr>
          <w:rFonts w:hint="eastAsia" w:ascii="Times New Roman" w:hAnsi="Times New Roman" w:eastAsia="仿宋_GB2312"/>
          <w:kern w:val="0"/>
          <w:sz w:val="32"/>
          <w:szCs w:val="32"/>
          <w:lang w:val="en-US" w:eastAsia="zh-CN"/>
        </w:rPr>
        <w:t>9</w:t>
      </w:r>
      <w:r>
        <w:rPr>
          <w:rFonts w:hint="eastAsia" w:ascii="Times New Roman" w:hAnsi="Times New Roman" w:eastAsia="仿宋_GB2312"/>
          <w:kern w:val="0"/>
          <w:sz w:val="32"/>
          <w:szCs w:val="32"/>
          <w:lang w:eastAsia="zh-CN"/>
        </w:rPr>
        <w:t>人，遗属</w:t>
      </w:r>
      <w:r>
        <w:rPr>
          <w:rFonts w:hint="eastAsia" w:ascii="Times New Roman" w:hAnsi="Times New Roman" w:eastAsia="仿宋_GB2312"/>
          <w:kern w:val="0"/>
          <w:sz w:val="32"/>
          <w:szCs w:val="32"/>
          <w:lang w:val="en-US" w:eastAsia="zh-CN"/>
        </w:rPr>
        <w:t>1人</w:t>
      </w:r>
      <w:r>
        <w:rPr>
          <w:rFonts w:hint="eastAsia" w:ascii="Times New Roman" w:hAnsi="Times New Roman" w:eastAsia="仿宋_GB2312"/>
          <w:kern w:val="0"/>
          <w:sz w:val="32"/>
          <w:szCs w:val="32"/>
          <w:lang w:eastAsia="zh-CN"/>
        </w:rPr>
        <w:t>。</w:t>
      </w:r>
    </w:p>
    <w:p w14:paraId="7D32FED2">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5FA745FC">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（一）</w:t>
      </w:r>
      <w:r>
        <w:rPr>
          <w:rFonts w:hint="eastAsia" w:ascii="Times New Roman" w:hAnsi="Times New Roman" w:eastAsia="仿宋_GB2312"/>
          <w:kern w:val="0"/>
          <w:sz w:val="32"/>
          <w:szCs w:val="32"/>
          <w:lang w:eastAsia="zh-CN"/>
        </w:rPr>
        <w:t>基本支出情况</w:t>
      </w:r>
    </w:p>
    <w:p w14:paraId="296EA55E">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为保障单位机构运转、完成日常工作任务，202</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lang w:eastAsia="zh-CN"/>
        </w:rPr>
        <w:t>年一般公共预算拨款基本支出决算</w:t>
      </w:r>
      <w:r>
        <w:rPr>
          <w:rFonts w:hint="eastAsia" w:ascii="Times New Roman" w:hAnsi="Times New Roman" w:eastAsia="仿宋_GB2312"/>
          <w:kern w:val="0"/>
          <w:sz w:val="32"/>
          <w:szCs w:val="32"/>
          <w:lang w:val="en-US" w:eastAsia="zh-CN"/>
        </w:rPr>
        <w:t>196</w:t>
      </w:r>
      <w:r>
        <w:rPr>
          <w:rFonts w:hint="eastAsia" w:ascii="Times New Roman" w:hAnsi="Times New Roman" w:eastAsia="仿宋_GB2312"/>
          <w:kern w:val="0"/>
          <w:sz w:val="32"/>
          <w:szCs w:val="32"/>
          <w:lang w:eastAsia="zh-CN"/>
        </w:rPr>
        <w:t>万元，主要是工资福利支出、商品和服务支出和对个人和家庭的补助支出。</w:t>
      </w:r>
    </w:p>
    <w:p w14:paraId="2D7161E6">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1、“三公”经费支出情况:</w:t>
      </w:r>
      <w:r>
        <w:rPr>
          <w:rFonts w:hint="eastAsia" w:ascii="Times New Roman" w:hAnsi="Times New Roman" w:eastAsia="仿宋_GB2312"/>
          <w:kern w:val="0"/>
          <w:sz w:val="32"/>
          <w:szCs w:val="32"/>
          <w:lang w:eastAsia="zh-CN"/>
        </w:rPr>
        <w:t>202</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lang w:eastAsia="zh-CN"/>
        </w:rPr>
        <w:t>年度一般公共预算财政拨款“三公”经费年初预算为</w:t>
      </w:r>
      <w:r>
        <w:rPr>
          <w:rFonts w:hint="eastAsia" w:ascii="Times New Roman" w:hAnsi="Times New Roman" w:eastAsia="仿宋_GB2312"/>
          <w:kern w:val="0"/>
          <w:sz w:val="32"/>
          <w:szCs w:val="32"/>
          <w:lang w:val="en-US" w:eastAsia="zh-CN"/>
        </w:rPr>
        <w:t>1.4</w:t>
      </w:r>
      <w:r>
        <w:rPr>
          <w:rFonts w:hint="eastAsia" w:ascii="Times New Roman" w:hAnsi="Times New Roman" w:eastAsia="仿宋_GB2312"/>
          <w:kern w:val="0"/>
          <w:sz w:val="32"/>
          <w:szCs w:val="32"/>
          <w:lang w:eastAsia="zh-CN"/>
        </w:rPr>
        <w:t>万元，一般公共预算财政拨款“三公”经费支出决算为</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lang w:eastAsia="zh-CN"/>
        </w:rPr>
        <w:t>万元。其中：因公出国（境）费用0万元；公务用车购置及运行维护费0万元；公务接待费支出</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lang w:eastAsia="zh-CN"/>
        </w:rPr>
        <w:t>万元，比202</w:t>
      </w:r>
      <w:r>
        <w:rPr>
          <w:rFonts w:hint="eastAsia" w:ascii="Times New Roman" w:hAnsi="Times New Roman" w:eastAsia="仿宋_GB2312"/>
          <w:kern w:val="0"/>
          <w:sz w:val="32"/>
          <w:szCs w:val="32"/>
          <w:lang w:val="en-US" w:eastAsia="zh-CN"/>
        </w:rPr>
        <w:t>2</w:t>
      </w:r>
      <w:r>
        <w:rPr>
          <w:rFonts w:hint="eastAsia" w:ascii="Times New Roman" w:hAnsi="Times New Roman" w:eastAsia="仿宋_GB2312"/>
          <w:kern w:val="0"/>
          <w:sz w:val="32"/>
          <w:szCs w:val="32"/>
          <w:lang w:eastAsia="zh-CN"/>
        </w:rPr>
        <w:t>年公务接待费用减少了</w:t>
      </w:r>
      <w:r>
        <w:rPr>
          <w:rFonts w:hint="eastAsia" w:ascii="Times New Roman" w:hAnsi="Times New Roman" w:eastAsia="仿宋_GB2312"/>
          <w:kern w:val="0"/>
          <w:sz w:val="32"/>
          <w:szCs w:val="32"/>
          <w:lang w:val="en-US" w:eastAsia="zh-CN"/>
        </w:rPr>
        <w:t>0</w:t>
      </w:r>
      <w:r>
        <w:rPr>
          <w:rFonts w:hint="eastAsia" w:ascii="Times New Roman" w:hAnsi="Times New Roman" w:eastAsia="仿宋_GB2312"/>
          <w:kern w:val="0"/>
          <w:sz w:val="32"/>
          <w:szCs w:val="32"/>
          <w:lang w:eastAsia="zh-CN"/>
        </w:rPr>
        <w:t>万元。</w:t>
      </w:r>
    </w:p>
    <w:p w14:paraId="0C08F329">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2、公用经费支出情况：</w:t>
      </w:r>
    </w:p>
    <w:p w14:paraId="037637B0">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1</w:t>
      </w:r>
      <w:r>
        <w:rPr>
          <w:rFonts w:hint="eastAsia" w:ascii="Times New Roman" w:hAnsi="Times New Roman" w:eastAsia="仿宋_GB2312"/>
          <w:kern w:val="0"/>
          <w:sz w:val="32"/>
          <w:szCs w:val="32"/>
          <w:lang w:eastAsia="zh-CN"/>
        </w:rPr>
        <w:t>）办公经费202</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lang w:eastAsia="zh-CN"/>
        </w:rPr>
        <w:t>年度一般公共预算财政拨款年初预算为</w:t>
      </w:r>
      <w:r>
        <w:rPr>
          <w:rFonts w:hint="eastAsia" w:ascii="Times New Roman" w:hAnsi="Times New Roman" w:eastAsia="仿宋_GB2312"/>
          <w:kern w:val="0"/>
          <w:sz w:val="32"/>
          <w:szCs w:val="32"/>
          <w:lang w:val="en-US" w:eastAsia="zh-CN"/>
        </w:rPr>
        <w:t>1.68</w:t>
      </w:r>
      <w:r>
        <w:rPr>
          <w:rFonts w:hint="eastAsia" w:ascii="Times New Roman" w:hAnsi="Times New Roman" w:eastAsia="仿宋_GB2312"/>
          <w:kern w:val="0"/>
          <w:sz w:val="32"/>
          <w:szCs w:val="32"/>
          <w:lang w:eastAsia="zh-CN"/>
        </w:rPr>
        <w:t>万元，一般公共预算财政拨款经费支出决算为</w:t>
      </w:r>
      <w:r>
        <w:rPr>
          <w:rFonts w:hint="eastAsia" w:ascii="Times New Roman" w:hAnsi="Times New Roman" w:eastAsia="仿宋_GB2312"/>
          <w:kern w:val="0"/>
          <w:sz w:val="32"/>
          <w:szCs w:val="32"/>
          <w:lang w:val="en-US" w:eastAsia="zh-CN"/>
        </w:rPr>
        <w:t>1.27</w:t>
      </w:r>
      <w:r>
        <w:rPr>
          <w:rFonts w:hint="eastAsia" w:ascii="Times New Roman" w:hAnsi="Times New Roman" w:eastAsia="仿宋_GB2312"/>
          <w:kern w:val="0"/>
          <w:sz w:val="32"/>
          <w:szCs w:val="32"/>
          <w:lang w:eastAsia="zh-CN"/>
        </w:rPr>
        <w:t>万元，剩余指标调剂到其他科目使用。</w:t>
      </w:r>
    </w:p>
    <w:p w14:paraId="4B9D684D">
      <w:pPr>
        <w:pStyle w:val="9"/>
        <w:spacing w:line="600" w:lineRule="exact"/>
        <w:ind w:firstLine="643"/>
        <w:jc w:val="both"/>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w:t>
      </w:r>
      <w:r>
        <w:rPr>
          <w:rFonts w:hint="default" w:ascii="Times New Roman" w:hAnsi="Times New Roman" w:eastAsia="仿宋_GB2312"/>
          <w:kern w:val="0"/>
          <w:sz w:val="32"/>
          <w:szCs w:val="32"/>
          <w:lang w:val="en-US" w:eastAsia="zh-CN"/>
        </w:rPr>
        <w:t>水费、电费、差旅费</w:t>
      </w:r>
      <w:r>
        <w:rPr>
          <w:rFonts w:hint="eastAsia" w:ascii="Times New Roman" w:hAnsi="Times New Roman" w:eastAsia="仿宋_GB2312"/>
          <w:kern w:val="0"/>
          <w:sz w:val="32"/>
          <w:szCs w:val="32"/>
          <w:lang w:eastAsia="zh-CN"/>
        </w:rPr>
        <w:t>202</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lang w:eastAsia="zh-CN"/>
        </w:rPr>
        <w:t>年度一般公共预算财政拨款年初预算为</w:t>
      </w:r>
      <w:r>
        <w:rPr>
          <w:rFonts w:hint="eastAsia" w:ascii="Times New Roman" w:hAnsi="Times New Roman" w:eastAsia="仿宋_GB2312"/>
          <w:kern w:val="0"/>
          <w:sz w:val="32"/>
          <w:szCs w:val="32"/>
          <w:lang w:val="en-US" w:eastAsia="zh-CN"/>
        </w:rPr>
        <w:t>3.5</w:t>
      </w:r>
      <w:r>
        <w:rPr>
          <w:rFonts w:hint="eastAsia" w:ascii="Times New Roman" w:hAnsi="Times New Roman" w:eastAsia="仿宋_GB2312"/>
          <w:kern w:val="0"/>
          <w:sz w:val="32"/>
          <w:szCs w:val="32"/>
          <w:lang w:eastAsia="zh-CN"/>
        </w:rPr>
        <w:t>万元，一般公共预算财政拨款经费支出决算为</w:t>
      </w:r>
      <w:r>
        <w:rPr>
          <w:rFonts w:hint="eastAsia" w:ascii="Times New Roman" w:hAnsi="Times New Roman" w:eastAsia="仿宋_GB2312"/>
          <w:kern w:val="0"/>
          <w:sz w:val="32"/>
          <w:szCs w:val="32"/>
          <w:lang w:val="en-US" w:eastAsia="zh-CN"/>
        </w:rPr>
        <w:t>1.22</w:t>
      </w:r>
      <w:r>
        <w:rPr>
          <w:rFonts w:hint="eastAsia" w:ascii="Times New Roman" w:hAnsi="Times New Roman" w:eastAsia="仿宋_GB2312"/>
          <w:kern w:val="0"/>
          <w:sz w:val="32"/>
          <w:szCs w:val="32"/>
          <w:lang w:eastAsia="zh-CN"/>
        </w:rPr>
        <w:t>万元，剩余指标调剂到其他科目使用。</w:t>
      </w:r>
    </w:p>
    <w:p w14:paraId="10D86427">
      <w:pPr>
        <w:pStyle w:val="9"/>
        <w:spacing w:line="600" w:lineRule="exact"/>
        <w:ind w:firstLine="643"/>
        <w:jc w:val="both"/>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（3）</w:t>
      </w:r>
      <w:r>
        <w:rPr>
          <w:rFonts w:hint="default" w:ascii="Times New Roman" w:hAnsi="Times New Roman" w:eastAsia="仿宋_GB2312"/>
          <w:kern w:val="0"/>
          <w:sz w:val="32"/>
          <w:szCs w:val="32"/>
          <w:lang w:val="en-US" w:eastAsia="zh-CN"/>
        </w:rPr>
        <w:t>会议费、培训费</w:t>
      </w:r>
      <w:r>
        <w:rPr>
          <w:rFonts w:hint="eastAsia" w:ascii="Times New Roman" w:hAnsi="Times New Roman" w:eastAsia="仿宋_GB2312"/>
          <w:kern w:val="0"/>
          <w:sz w:val="32"/>
          <w:szCs w:val="32"/>
          <w:lang w:eastAsia="zh-CN"/>
        </w:rPr>
        <w:t>202</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lang w:eastAsia="zh-CN"/>
        </w:rPr>
        <w:t>年度一般公共预算财政拨款年初预算为</w:t>
      </w:r>
      <w:r>
        <w:rPr>
          <w:rFonts w:hint="eastAsia" w:ascii="Times New Roman" w:hAnsi="Times New Roman" w:eastAsia="仿宋_GB2312"/>
          <w:kern w:val="0"/>
          <w:sz w:val="32"/>
          <w:szCs w:val="32"/>
          <w:lang w:val="en-US" w:eastAsia="zh-CN"/>
        </w:rPr>
        <w:t>1.4</w:t>
      </w:r>
      <w:r>
        <w:rPr>
          <w:rFonts w:hint="eastAsia" w:ascii="Times New Roman" w:hAnsi="Times New Roman" w:eastAsia="仿宋_GB2312"/>
          <w:kern w:val="0"/>
          <w:sz w:val="32"/>
          <w:szCs w:val="32"/>
          <w:lang w:eastAsia="zh-CN"/>
        </w:rPr>
        <w:t>万元，一般公共预算财政拨款经费支出决算为</w:t>
      </w:r>
      <w:r>
        <w:rPr>
          <w:rFonts w:hint="eastAsia" w:ascii="Times New Roman" w:hAnsi="Times New Roman" w:eastAsia="仿宋_GB2312"/>
          <w:kern w:val="0"/>
          <w:sz w:val="32"/>
          <w:szCs w:val="32"/>
          <w:lang w:val="en-US" w:eastAsia="zh-CN"/>
        </w:rPr>
        <w:t>0.54</w:t>
      </w:r>
      <w:r>
        <w:rPr>
          <w:rFonts w:hint="eastAsia" w:ascii="Times New Roman" w:hAnsi="Times New Roman" w:eastAsia="仿宋_GB2312"/>
          <w:kern w:val="0"/>
          <w:sz w:val="32"/>
          <w:szCs w:val="32"/>
          <w:lang w:eastAsia="zh-CN"/>
        </w:rPr>
        <w:t>万元，剩余指标调剂到其他科目使用。</w:t>
      </w:r>
    </w:p>
    <w:p w14:paraId="7C319694">
      <w:pPr>
        <w:pStyle w:val="9"/>
        <w:spacing w:line="600" w:lineRule="exact"/>
        <w:ind w:firstLine="643"/>
        <w:jc w:val="both"/>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（4）</w:t>
      </w:r>
      <w:r>
        <w:rPr>
          <w:rFonts w:hint="default" w:ascii="Times New Roman" w:hAnsi="Times New Roman" w:eastAsia="仿宋_GB2312"/>
          <w:kern w:val="0"/>
          <w:sz w:val="32"/>
          <w:szCs w:val="32"/>
          <w:lang w:val="en-US" w:eastAsia="zh-CN"/>
        </w:rPr>
        <w:t>政府采购金额</w:t>
      </w:r>
      <w:r>
        <w:rPr>
          <w:rFonts w:hint="eastAsia" w:ascii="Times New Roman" w:hAnsi="Times New Roman" w:eastAsia="仿宋_GB2312"/>
          <w:kern w:val="0"/>
          <w:sz w:val="32"/>
          <w:szCs w:val="32"/>
          <w:lang w:eastAsia="zh-CN"/>
        </w:rPr>
        <w:t>202</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lang w:eastAsia="zh-CN"/>
        </w:rPr>
        <w:t>年度一般公共预算财政拨款年初预算为</w:t>
      </w:r>
      <w:r>
        <w:rPr>
          <w:rFonts w:hint="eastAsia" w:ascii="Times New Roman" w:hAnsi="Times New Roman" w:eastAsia="仿宋_GB2312"/>
          <w:kern w:val="0"/>
          <w:sz w:val="32"/>
          <w:szCs w:val="32"/>
          <w:lang w:val="en-US" w:eastAsia="zh-CN"/>
        </w:rPr>
        <w:t>69.5</w:t>
      </w:r>
      <w:r>
        <w:rPr>
          <w:rFonts w:hint="eastAsia" w:ascii="Times New Roman" w:hAnsi="Times New Roman" w:eastAsia="仿宋_GB2312"/>
          <w:kern w:val="0"/>
          <w:sz w:val="32"/>
          <w:szCs w:val="32"/>
          <w:lang w:eastAsia="zh-CN"/>
        </w:rPr>
        <w:t>万元，一般公共预算财政拨款经费支出决算为</w:t>
      </w:r>
      <w:r>
        <w:rPr>
          <w:rFonts w:hint="eastAsia" w:ascii="Times New Roman" w:hAnsi="Times New Roman" w:eastAsia="仿宋_GB2312"/>
          <w:kern w:val="0"/>
          <w:sz w:val="32"/>
          <w:szCs w:val="32"/>
          <w:lang w:val="en-US" w:eastAsia="zh-CN"/>
        </w:rPr>
        <w:t>57.28</w:t>
      </w:r>
      <w:r>
        <w:rPr>
          <w:rFonts w:hint="eastAsia" w:ascii="Times New Roman" w:hAnsi="Times New Roman" w:eastAsia="仿宋_GB2312"/>
          <w:kern w:val="0"/>
          <w:sz w:val="32"/>
          <w:szCs w:val="32"/>
          <w:lang w:eastAsia="zh-CN"/>
        </w:rPr>
        <w:t>万元。</w:t>
      </w:r>
    </w:p>
    <w:p w14:paraId="12E6659A">
      <w:pPr>
        <w:pStyle w:val="9"/>
        <w:spacing w:line="600" w:lineRule="exact"/>
        <w:ind w:firstLine="643"/>
        <w:jc w:val="both"/>
        <w:rPr>
          <w:rFonts w:hint="eastAsia" w:ascii="Times New Roman" w:hAnsi="Times New Roman" w:eastAsia="仿宋_GB2312"/>
          <w:b/>
          <w:bCs/>
          <w:kern w:val="0"/>
          <w:sz w:val="32"/>
          <w:szCs w:val="32"/>
          <w:lang w:val="en-US" w:eastAsia="zh-CN"/>
        </w:rPr>
      </w:pPr>
      <w:r>
        <w:rPr>
          <w:rFonts w:hint="eastAsia" w:ascii="Times New Roman" w:hAnsi="Times New Roman" w:eastAsia="仿宋_GB2312"/>
          <w:b/>
          <w:bCs/>
          <w:kern w:val="0"/>
          <w:sz w:val="32"/>
          <w:szCs w:val="32"/>
          <w:lang w:val="en-US" w:eastAsia="zh-CN"/>
        </w:rPr>
        <w:t>（二）专项支出基本情况</w:t>
      </w:r>
    </w:p>
    <w:p w14:paraId="504FECCD">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202</w:t>
      </w:r>
      <w:r>
        <w:rPr>
          <w:rFonts w:hint="eastAsia" w:ascii="Times New Roman" w:hAnsi="Times New Roman" w:eastAsia="仿宋_GB2312"/>
          <w:kern w:val="0"/>
          <w:sz w:val="32"/>
          <w:szCs w:val="32"/>
          <w:lang w:val="en-US" w:eastAsia="zh-CN"/>
        </w:rPr>
        <w:t>3</w:t>
      </w:r>
      <w:r>
        <w:rPr>
          <w:rFonts w:hint="eastAsia" w:ascii="Times New Roman" w:hAnsi="Times New Roman" w:eastAsia="仿宋_GB2312"/>
          <w:kern w:val="0"/>
          <w:sz w:val="32"/>
          <w:szCs w:val="32"/>
          <w:lang w:eastAsia="zh-CN"/>
        </w:rPr>
        <w:t>年市本级一般公共预算拨款项目支出预算</w:t>
      </w:r>
      <w:r>
        <w:rPr>
          <w:rFonts w:hint="eastAsia" w:ascii="Times New Roman" w:hAnsi="Times New Roman" w:eastAsia="仿宋_GB2312"/>
          <w:kern w:val="0"/>
          <w:sz w:val="32"/>
          <w:szCs w:val="32"/>
          <w:lang w:val="en-US" w:eastAsia="zh-CN"/>
        </w:rPr>
        <w:t>536.52</w:t>
      </w:r>
      <w:r>
        <w:rPr>
          <w:rFonts w:hint="eastAsia" w:ascii="Times New Roman" w:hAnsi="Times New Roman" w:eastAsia="仿宋_GB2312"/>
          <w:kern w:val="0"/>
          <w:sz w:val="32"/>
          <w:szCs w:val="32"/>
          <w:lang w:eastAsia="zh-CN"/>
        </w:rPr>
        <w:t>万元，其中路灯维护费</w:t>
      </w:r>
      <w:r>
        <w:rPr>
          <w:rFonts w:hint="eastAsia" w:ascii="Times New Roman" w:hAnsi="Times New Roman" w:eastAsia="仿宋_GB2312"/>
          <w:kern w:val="0"/>
          <w:sz w:val="32"/>
          <w:szCs w:val="32"/>
          <w:lang w:val="en-US" w:eastAsia="zh-CN"/>
        </w:rPr>
        <w:t>30</w:t>
      </w:r>
      <w:r>
        <w:rPr>
          <w:rFonts w:hint="eastAsia" w:ascii="Times New Roman" w:hAnsi="Times New Roman" w:eastAsia="仿宋_GB2312"/>
          <w:kern w:val="0"/>
          <w:sz w:val="32"/>
          <w:szCs w:val="32"/>
          <w:lang w:eastAsia="zh-CN"/>
        </w:rPr>
        <w:t>万</w:t>
      </w:r>
      <w:r>
        <w:rPr>
          <w:rFonts w:hint="eastAsia" w:ascii="Times New Roman" w:hAnsi="Times New Roman" w:eastAsia="仿宋_GB2312"/>
          <w:kern w:val="0"/>
          <w:sz w:val="32"/>
          <w:szCs w:val="32"/>
          <w:lang w:val="en-US" w:eastAsia="zh-CN"/>
        </w:rPr>
        <w:t>元</w:t>
      </w:r>
      <w:r>
        <w:rPr>
          <w:rFonts w:hint="eastAsia" w:ascii="Times New Roman" w:hAnsi="Times New Roman" w:eastAsia="仿宋_GB2312"/>
          <w:kern w:val="0"/>
          <w:sz w:val="32"/>
          <w:szCs w:val="32"/>
          <w:lang w:eastAsia="zh-CN"/>
        </w:rPr>
        <w:t>，智能监控系统维护费</w:t>
      </w:r>
      <w:r>
        <w:rPr>
          <w:rFonts w:hint="eastAsia" w:ascii="Times New Roman" w:hAnsi="Times New Roman" w:eastAsia="仿宋_GB2312"/>
          <w:kern w:val="0"/>
          <w:sz w:val="32"/>
          <w:szCs w:val="32"/>
          <w:lang w:val="en-US" w:eastAsia="zh-CN"/>
        </w:rPr>
        <w:t>20万元，路灯电费479.52万元</w:t>
      </w:r>
      <w:r>
        <w:rPr>
          <w:rFonts w:hint="eastAsia" w:ascii="Times New Roman" w:hAnsi="Times New Roman" w:eastAsia="仿宋_GB2312"/>
          <w:kern w:val="0"/>
          <w:sz w:val="32"/>
          <w:szCs w:val="32"/>
          <w:lang w:eastAsia="zh-CN"/>
        </w:rPr>
        <w:t>。均按照绩效目标完成资金使用。</w:t>
      </w:r>
    </w:p>
    <w:p w14:paraId="174490E2">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p w14:paraId="0A85884D">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无</w:t>
      </w:r>
    </w:p>
    <w:p w14:paraId="43EFAED7">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四、国有资本经营预算支出情况</w:t>
      </w:r>
    </w:p>
    <w:p w14:paraId="21404BEF">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无</w:t>
      </w:r>
    </w:p>
    <w:p w14:paraId="4BDB75B7">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p w14:paraId="3076A1DF">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eastAsia="zh-CN"/>
        </w:rPr>
        <w:t>无</w:t>
      </w:r>
    </w:p>
    <w:p w14:paraId="74F05B2D">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p w14:paraId="050930F8">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2023年为了加强财务管理、厉行节约、制止浪费，根据有关法律法规，结合我单位实际，进一步完善了财务审批管理、预算管理、固定资产管理、公务卡使用管理等一系列管理制度。在资金使用上严格遵守各项财政法规和财务管理制度规定，审计相关经费严格按照市财政相关规定进行管理，资金拨付有完整的审批程序和手续，严格按预算批复的用途支付，资金使用无截留、挤占、挪用、虚列支出等违规现象。</w:t>
      </w:r>
    </w:p>
    <w:p w14:paraId="533C82A8">
      <w:pPr>
        <w:pStyle w:val="9"/>
        <w:spacing w:line="600" w:lineRule="exact"/>
        <w:ind w:firstLine="643"/>
        <w:jc w:val="both"/>
        <w:rPr>
          <w:rFonts w:hint="eastAsia" w:ascii="Times New Roman" w:hAnsi="Times New Roman" w:eastAsia="仿宋_GB2312"/>
          <w:kern w:val="0"/>
          <w:sz w:val="32"/>
          <w:szCs w:val="32"/>
          <w:lang w:val="en" w:eastAsia="zh-CN"/>
        </w:rPr>
      </w:pPr>
      <w:r>
        <w:rPr>
          <w:rFonts w:hint="eastAsia" w:ascii="Times New Roman" w:hAnsi="Times New Roman" w:eastAsia="仿宋_GB2312"/>
          <w:kern w:val="0"/>
          <w:sz w:val="32"/>
          <w:szCs w:val="32"/>
          <w:lang w:val="en-US" w:eastAsia="zh-CN"/>
        </w:rPr>
        <w:t>2023年以来，</w:t>
      </w:r>
      <w:r>
        <w:rPr>
          <w:rFonts w:hint="eastAsia" w:ascii="Times New Roman" w:hAnsi="Times New Roman" w:eastAsia="仿宋_GB2312"/>
          <w:kern w:val="0"/>
          <w:sz w:val="32"/>
          <w:szCs w:val="32"/>
          <w:lang w:eastAsia="zh-CN"/>
        </w:rPr>
        <w:t>在</w:t>
      </w:r>
      <w:r>
        <w:rPr>
          <w:rFonts w:hint="eastAsia" w:ascii="Times New Roman" w:hAnsi="Times New Roman" w:eastAsia="仿宋_GB2312"/>
          <w:kern w:val="0"/>
          <w:sz w:val="32"/>
          <w:szCs w:val="32"/>
          <w:lang w:val="en-US" w:eastAsia="zh-CN"/>
        </w:rPr>
        <w:t>城管</w:t>
      </w:r>
      <w:r>
        <w:rPr>
          <w:rFonts w:hint="eastAsia" w:ascii="Times New Roman" w:hAnsi="Times New Roman" w:eastAsia="仿宋_GB2312"/>
          <w:kern w:val="0"/>
          <w:sz w:val="32"/>
          <w:szCs w:val="32"/>
          <w:lang w:eastAsia="zh-CN"/>
        </w:rPr>
        <w:t>局</w:t>
      </w:r>
      <w:r>
        <w:rPr>
          <w:rFonts w:hint="eastAsia" w:ascii="Times New Roman" w:hAnsi="Times New Roman" w:eastAsia="仿宋_GB2312"/>
          <w:kern w:val="0"/>
          <w:sz w:val="32"/>
          <w:szCs w:val="32"/>
          <w:lang w:val="en-US" w:eastAsia="zh-CN"/>
        </w:rPr>
        <w:t>党组正确</w:t>
      </w:r>
      <w:r>
        <w:rPr>
          <w:rFonts w:hint="eastAsia" w:ascii="Times New Roman" w:hAnsi="Times New Roman" w:eastAsia="仿宋_GB2312"/>
          <w:kern w:val="0"/>
          <w:sz w:val="32"/>
          <w:szCs w:val="32"/>
          <w:lang w:eastAsia="zh-CN"/>
        </w:rPr>
        <w:t>的领导下，</w:t>
      </w:r>
      <w:r>
        <w:rPr>
          <w:rFonts w:hint="eastAsia" w:ascii="Times New Roman" w:hAnsi="Times New Roman" w:eastAsia="仿宋_GB2312"/>
          <w:kern w:val="0"/>
          <w:sz w:val="32"/>
          <w:szCs w:val="32"/>
          <w:lang w:val="en-US" w:eastAsia="zh-CN"/>
        </w:rPr>
        <w:t>我单位全体干职工</w:t>
      </w:r>
      <w:r>
        <w:rPr>
          <w:rFonts w:hint="eastAsia" w:ascii="Times New Roman" w:hAnsi="Times New Roman" w:eastAsia="仿宋_GB2312"/>
          <w:kern w:val="0"/>
          <w:sz w:val="32"/>
          <w:szCs w:val="32"/>
          <w:lang w:eastAsia="zh-CN"/>
        </w:rPr>
        <w:t>与时俱进，锐意进取，发扬“团结、奉献、务实、高效”的路灯</w:t>
      </w:r>
      <w:r>
        <w:rPr>
          <w:rFonts w:hint="eastAsia" w:ascii="Times New Roman" w:hAnsi="Times New Roman" w:eastAsia="仿宋_GB2312"/>
          <w:kern w:val="0"/>
          <w:sz w:val="32"/>
          <w:szCs w:val="32"/>
          <w:lang w:val="en-US" w:eastAsia="zh-CN"/>
        </w:rPr>
        <w:t>人</w:t>
      </w:r>
      <w:r>
        <w:rPr>
          <w:rFonts w:hint="eastAsia" w:ascii="Times New Roman" w:hAnsi="Times New Roman" w:eastAsia="仿宋_GB2312"/>
          <w:kern w:val="0"/>
          <w:sz w:val="32"/>
          <w:szCs w:val="32"/>
          <w:lang w:eastAsia="zh-CN"/>
        </w:rPr>
        <w:t>精神，紧紧围绕路灯维护管理中心工作，始终践行方便群众</w:t>
      </w:r>
      <w:r>
        <w:rPr>
          <w:rFonts w:hint="eastAsia" w:ascii="Times New Roman" w:hAnsi="Times New Roman" w:eastAsia="仿宋_GB2312"/>
          <w:kern w:val="0"/>
          <w:sz w:val="32"/>
          <w:szCs w:val="32"/>
          <w:lang w:val="en-US" w:eastAsia="zh-CN"/>
        </w:rPr>
        <w:t>夜间</w:t>
      </w:r>
      <w:r>
        <w:rPr>
          <w:rFonts w:hint="eastAsia" w:ascii="Times New Roman" w:hAnsi="Times New Roman" w:eastAsia="仿宋_GB2312"/>
          <w:kern w:val="0"/>
          <w:sz w:val="32"/>
          <w:szCs w:val="32"/>
          <w:lang w:eastAsia="zh-CN"/>
        </w:rPr>
        <w:t>出行的服务理念，不断追求更高的工作效率、更优的服务质量、更快捷的运行机制，较好地完成了各项工作任务。</w:t>
      </w:r>
    </w:p>
    <w:p w14:paraId="12786626">
      <w:pPr>
        <w:pStyle w:val="9"/>
        <w:spacing w:line="600" w:lineRule="exact"/>
        <w:ind w:firstLine="643"/>
        <w:jc w:val="both"/>
        <w:rPr>
          <w:rFonts w:hint="eastAsia" w:ascii="Times New Roman" w:hAnsi="Times New Roman" w:eastAsia="仿宋_GB2312"/>
          <w:b/>
          <w:bCs/>
          <w:kern w:val="0"/>
          <w:sz w:val="32"/>
          <w:szCs w:val="32"/>
          <w:lang w:val="en-US" w:eastAsia="zh-CN"/>
        </w:rPr>
      </w:pPr>
      <w:r>
        <w:rPr>
          <w:rFonts w:hint="eastAsia" w:ascii="Times New Roman" w:hAnsi="Times New Roman" w:eastAsia="仿宋_GB2312"/>
          <w:b/>
          <w:bCs/>
          <w:kern w:val="0"/>
          <w:sz w:val="32"/>
          <w:szCs w:val="32"/>
          <w:lang w:val="en-US" w:eastAsia="zh-CN"/>
        </w:rPr>
        <w:t>(一）日常维护全面细致</w:t>
      </w:r>
    </w:p>
    <w:p w14:paraId="48243F0D">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1、强化路灯管养护，保证路灯亮灯率、设施完好率，路灯集中控制手机监控平台实行 24小时值班制，保证在第一时间掌控路灯运行状况，发现问题及时反馈到相关养护责任部门进行故障处置，</w:t>
      </w:r>
      <w:r>
        <w:rPr>
          <w:rFonts w:hint="eastAsia" w:ascii="Times New Roman" w:hAnsi="Times New Roman" w:eastAsia="仿宋_GB2312"/>
          <w:kern w:val="0"/>
          <w:sz w:val="32"/>
          <w:szCs w:val="32"/>
          <w:lang w:eastAsia="zh-CN"/>
        </w:rPr>
        <w:t>我们一如既往坚持路灯每日巡查、抢修和限期修复制度，全方位收集路灯维修管理信息，在主要路段人口集中区域发放便民服务卡，发布路灯维护联系电话，第一时间处理路灯维护管理方面的事情。截止目前为止，共维修路灯</w:t>
      </w:r>
      <w:r>
        <w:rPr>
          <w:rFonts w:hint="eastAsia" w:ascii="Times New Roman" w:hAnsi="Times New Roman" w:eastAsia="仿宋_GB2312"/>
          <w:kern w:val="0"/>
          <w:sz w:val="32"/>
          <w:szCs w:val="32"/>
          <w:lang w:val="en-US" w:eastAsia="zh-CN"/>
        </w:rPr>
        <w:t>3108</w:t>
      </w:r>
      <w:r>
        <w:rPr>
          <w:rFonts w:hint="eastAsia" w:ascii="Times New Roman" w:hAnsi="Times New Roman" w:eastAsia="仿宋_GB2312"/>
          <w:kern w:val="0"/>
          <w:sz w:val="32"/>
          <w:szCs w:val="32"/>
          <w:lang w:eastAsia="zh-CN"/>
        </w:rPr>
        <w:t>盏，维修路灯线路</w:t>
      </w:r>
      <w:r>
        <w:rPr>
          <w:rFonts w:hint="eastAsia" w:ascii="Times New Roman" w:hAnsi="Times New Roman" w:eastAsia="仿宋_GB2312"/>
          <w:kern w:val="0"/>
          <w:sz w:val="32"/>
          <w:szCs w:val="32"/>
          <w:lang w:val="en-US" w:eastAsia="zh-CN"/>
        </w:rPr>
        <w:t>158</w:t>
      </w:r>
      <w:r>
        <w:rPr>
          <w:rFonts w:hint="eastAsia" w:ascii="Times New Roman" w:hAnsi="Times New Roman" w:eastAsia="仿宋_GB2312"/>
          <w:kern w:val="0"/>
          <w:sz w:val="32"/>
          <w:szCs w:val="32"/>
          <w:lang w:eastAsia="zh-CN"/>
        </w:rPr>
        <w:t>次，共</w:t>
      </w:r>
      <w:r>
        <w:rPr>
          <w:rFonts w:hint="eastAsia" w:ascii="Times New Roman" w:hAnsi="Times New Roman" w:eastAsia="仿宋_GB2312"/>
          <w:kern w:val="0"/>
          <w:sz w:val="32"/>
          <w:szCs w:val="32"/>
          <w:lang w:val="en-US" w:eastAsia="zh-CN"/>
        </w:rPr>
        <w:t>3102</w:t>
      </w:r>
      <w:r>
        <w:rPr>
          <w:rFonts w:hint="eastAsia" w:ascii="Times New Roman" w:hAnsi="Times New Roman" w:eastAsia="仿宋_GB2312"/>
          <w:kern w:val="0"/>
          <w:sz w:val="32"/>
          <w:szCs w:val="32"/>
          <w:lang w:eastAsia="zh-CN"/>
        </w:rPr>
        <w:t>米。维修控制电源箱</w:t>
      </w:r>
      <w:r>
        <w:rPr>
          <w:rFonts w:hint="eastAsia" w:ascii="Times New Roman" w:hAnsi="Times New Roman" w:eastAsia="仿宋_GB2312"/>
          <w:kern w:val="0"/>
          <w:sz w:val="32"/>
          <w:szCs w:val="32"/>
          <w:lang w:val="en-US" w:eastAsia="zh-CN"/>
        </w:rPr>
        <w:t>82</w:t>
      </w:r>
      <w:r>
        <w:rPr>
          <w:rFonts w:hint="eastAsia" w:ascii="Times New Roman" w:hAnsi="Times New Roman" w:eastAsia="仿宋_GB2312"/>
          <w:kern w:val="0"/>
          <w:sz w:val="32"/>
          <w:szCs w:val="32"/>
          <w:lang w:eastAsia="zh-CN"/>
        </w:rPr>
        <w:t>次，接收“12345”热线</w:t>
      </w:r>
      <w:r>
        <w:rPr>
          <w:rFonts w:hint="eastAsia" w:ascii="Times New Roman" w:hAnsi="Times New Roman" w:eastAsia="仿宋_GB2312"/>
          <w:kern w:val="0"/>
          <w:sz w:val="32"/>
          <w:szCs w:val="32"/>
          <w:lang w:val="en-US" w:eastAsia="zh-CN"/>
        </w:rPr>
        <w:t>28</w:t>
      </w:r>
      <w:r>
        <w:rPr>
          <w:rFonts w:hint="eastAsia" w:ascii="Times New Roman" w:hAnsi="Times New Roman" w:eastAsia="仿宋_GB2312"/>
          <w:kern w:val="0"/>
          <w:sz w:val="32"/>
          <w:szCs w:val="32"/>
          <w:lang w:eastAsia="zh-CN"/>
        </w:rPr>
        <w:t>起，接收处理“市民热线”</w:t>
      </w:r>
      <w:r>
        <w:rPr>
          <w:rFonts w:hint="eastAsia" w:ascii="Times New Roman" w:hAnsi="Times New Roman" w:eastAsia="仿宋_GB2312"/>
          <w:kern w:val="0"/>
          <w:sz w:val="32"/>
          <w:szCs w:val="32"/>
          <w:lang w:val="en-US" w:eastAsia="zh-CN"/>
        </w:rPr>
        <w:t>56</w:t>
      </w:r>
      <w:r>
        <w:rPr>
          <w:rFonts w:hint="eastAsia" w:ascii="Times New Roman" w:hAnsi="Times New Roman" w:eastAsia="仿宋_GB2312"/>
          <w:kern w:val="0"/>
          <w:sz w:val="32"/>
          <w:szCs w:val="32"/>
          <w:lang w:eastAsia="zh-CN"/>
        </w:rPr>
        <w:t>起。确保亮灯率</w:t>
      </w:r>
      <w:r>
        <w:rPr>
          <w:rFonts w:hint="eastAsia" w:ascii="Times New Roman" w:hAnsi="Times New Roman" w:eastAsia="仿宋_GB2312"/>
          <w:kern w:val="0"/>
          <w:sz w:val="32"/>
          <w:szCs w:val="32"/>
          <w:lang w:val="en-US" w:eastAsia="zh-CN"/>
        </w:rPr>
        <w:t>和设施完好率</w:t>
      </w:r>
      <w:r>
        <w:rPr>
          <w:rFonts w:hint="eastAsia" w:ascii="Times New Roman" w:hAnsi="Times New Roman" w:eastAsia="仿宋_GB2312"/>
          <w:kern w:val="0"/>
          <w:sz w:val="32"/>
          <w:szCs w:val="32"/>
          <w:lang w:eastAsia="zh-CN"/>
        </w:rPr>
        <w:t>始终保持在9</w:t>
      </w:r>
      <w:r>
        <w:rPr>
          <w:rFonts w:hint="eastAsia" w:ascii="Times New Roman" w:hAnsi="Times New Roman" w:eastAsia="仿宋_GB2312"/>
          <w:kern w:val="0"/>
          <w:sz w:val="32"/>
          <w:szCs w:val="32"/>
          <w:lang w:val="en-US" w:eastAsia="zh-CN"/>
        </w:rPr>
        <w:t>8</w:t>
      </w:r>
      <w:r>
        <w:rPr>
          <w:rFonts w:hint="eastAsia" w:ascii="Times New Roman" w:hAnsi="Times New Roman" w:eastAsia="仿宋_GB2312"/>
          <w:kern w:val="0"/>
          <w:sz w:val="32"/>
          <w:szCs w:val="32"/>
          <w:lang w:eastAsia="zh-CN"/>
        </w:rPr>
        <w:t>%以上。</w:t>
      </w:r>
    </w:p>
    <w:p w14:paraId="3267EB42">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2、继续开展老城老旧设施更新改造工作，</w:t>
      </w:r>
      <w:r>
        <w:rPr>
          <w:rFonts w:hint="eastAsia" w:ascii="Times New Roman" w:hAnsi="Times New Roman" w:eastAsia="仿宋_GB2312"/>
          <w:kern w:val="0"/>
          <w:sz w:val="32"/>
          <w:szCs w:val="32"/>
          <w:lang w:eastAsia="zh-CN"/>
        </w:rPr>
        <w:t>着力推广绿色照明光源。加快推进城市绿色照明改造工作。在对老旧路灯进行改造时，逐步引进低碳环保、高效节能、安全舒适的新型LED灯，努力提高城市照明节能效率，减少维护成本。</w:t>
      </w:r>
      <w:r>
        <w:rPr>
          <w:rFonts w:hint="eastAsia" w:ascii="Times New Roman" w:hAnsi="Times New Roman" w:eastAsia="仿宋_GB2312"/>
          <w:kern w:val="0"/>
          <w:sz w:val="32"/>
          <w:szCs w:val="32"/>
          <w:lang w:val="en-US" w:eastAsia="zh-CN"/>
        </w:rPr>
        <w:t>将城区背街小巷寄杆灯逐步改造成专杆路灯并积极推广LED路灯、太阳能路灯等节能灯具，今年共计安装和更换LED路灯及灯具352盏。</w:t>
      </w:r>
    </w:p>
    <w:p w14:paraId="1D27E8B2">
      <w:pPr>
        <w:pStyle w:val="9"/>
        <w:spacing w:line="600" w:lineRule="exact"/>
        <w:ind w:firstLine="643"/>
        <w:jc w:val="both"/>
        <w:rPr>
          <w:rFonts w:hint="eastAsia" w:ascii="Times New Roman" w:hAnsi="Times New Roman" w:eastAsia="仿宋_GB2312"/>
          <w:kern w:val="0"/>
          <w:sz w:val="32"/>
          <w:szCs w:val="32"/>
          <w:lang w:val="en-US" w:eastAsia="zh-CN"/>
        </w:rPr>
      </w:pPr>
      <w:r>
        <w:rPr>
          <w:rFonts w:hint="default" w:ascii="Times New Roman" w:hAnsi="Times New Roman" w:eastAsia="仿宋_GB2312"/>
          <w:kern w:val="0"/>
          <w:sz w:val="32"/>
          <w:szCs w:val="32"/>
          <w:lang w:val="en-US" w:eastAsia="zh-CN"/>
        </w:rPr>
        <w:t>3、整治灯容灯貌，做好路灯美化亮化工作</w:t>
      </w:r>
      <w:r>
        <w:rPr>
          <w:rFonts w:hint="eastAsia" w:ascii="Times New Roman" w:hAnsi="Times New Roman" w:eastAsia="仿宋_GB2312"/>
          <w:kern w:val="0"/>
          <w:sz w:val="32"/>
          <w:szCs w:val="32"/>
          <w:lang w:val="en-US" w:eastAsia="zh-CN"/>
        </w:rPr>
        <w:t>。围绕“创建全国文明城市”“省级卫生城市复查”和“精细城管提质”，对全市主次干道进行排查整治，拆除高阳路路灯杆上的废旧广告牌85块，城区其他路灯杆上的废旧广告牌56块，着重对路灯杆上对私拉乱接进行排查和治理，共整治26处私拉乱接现象，</w:t>
      </w:r>
      <w:r>
        <w:rPr>
          <w:rFonts w:hint="default" w:ascii="Times New Roman" w:hAnsi="Times New Roman" w:eastAsia="仿宋_GB2312"/>
          <w:kern w:val="0"/>
          <w:sz w:val="32"/>
          <w:szCs w:val="32"/>
          <w:lang w:val="en-US" w:eastAsia="zh-CN"/>
        </w:rPr>
        <w:t xml:space="preserve">校正灯杆 </w:t>
      </w:r>
      <w:r>
        <w:rPr>
          <w:rFonts w:hint="eastAsia" w:ascii="Times New Roman" w:hAnsi="Times New Roman" w:eastAsia="仿宋_GB2312"/>
          <w:kern w:val="0"/>
          <w:sz w:val="32"/>
          <w:szCs w:val="32"/>
          <w:lang w:val="en-US" w:eastAsia="zh-CN"/>
        </w:rPr>
        <w:t>19</w:t>
      </w:r>
      <w:r>
        <w:rPr>
          <w:rFonts w:hint="default" w:ascii="Times New Roman" w:hAnsi="Times New Roman" w:eastAsia="仿宋_GB2312"/>
          <w:kern w:val="0"/>
          <w:sz w:val="32"/>
          <w:szCs w:val="32"/>
          <w:lang w:val="en-US" w:eastAsia="zh-CN"/>
        </w:rPr>
        <w:t xml:space="preserve"> </w:t>
      </w:r>
      <w:r>
        <w:rPr>
          <w:rFonts w:hint="eastAsia" w:ascii="Times New Roman" w:hAnsi="Times New Roman" w:eastAsia="仿宋_GB2312"/>
          <w:kern w:val="0"/>
          <w:sz w:val="32"/>
          <w:szCs w:val="32"/>
          <w:lang w:val="en-US" w:eastAsia="zh-CN"/>
        </w:rPr>
        <w:t>基，与园林中心配合修剪遮挡路灯树枝300余棵，消除安全隐患。</w:t>
      </w:r>
    </w:p>
    <w:p w14:paraId="6C69AFE3">
      <w:pPr>
        <w:pStyle w:val="9"/>
        <w:spacing w:line="600" w:lineRule="exact"/>
        <w:ind w:firstLine="643"/>
        <w:jc w:val="both"/>
        <w:rPr>
          <w:rFonts w:hint="eastAsia" w:ascii="Times New Roman" w:hAnsi="Times New Roman" w:eastAsia="仿宋_GB2312"/>
          <w:b/>
          <w:bCs/>
          <w:kern w:val="0"/>
          <w:sz w:val="32"/>
          <w:szCs w:val="32"/>
          <w:lang w:eastAsia="zh-CN"/>
        </w:rPr>
      </w:pPr>
      <w:r>
        <w:rPr>
          <w:rFonts w:hint="eastAsia" w:ascii="Times New Roman" w:hAnsi="Times New Roman" w:eastAsia="仿宋_GB2312"/>
          <w:b/>
          <w:bCs/>
          <w:kern w:val="0"/>
          <w:sz w:val="32"/>
          <w:szCs w:val="32"/>
          <w:lang w:eastAsia="zh-CN"/>
        </w:rPr>
        <w:t>（</w:t>
      </w:r>
      <w:r>
        <w:rPr>
          <w:rFonts w:hint="eastAsia" w:ascii="Times New Roman" w:hAnsi="Times New Roman" w:eastAsia="仿宋_GB2312"/>
          <w:b/>
          <w:bCs/>
          <w:kern w:val="0"/>
          <w:sz w:val="32"/>
          <w:szCs w:val="32"/>
          <w:lang w:val="en-US" w:eastAsia="zh-CN"/>
        </w:rPr>
        <w:t>二</w:t>
      </w:r>
      <w:r>
        <w:rPr>
          <w:rFonts w:hint="eastAsia" w:ascii="Times New Roman" w:hAnsi="Times New Roman" w:eastAsia="仿宋_GB2312"/>
          <w:b/>
          <w:bCs/>
          <w:kern w:val="0"/>
          <w:sz w:val="32"/>
          <w:szCs w:val="32"/>
          <w:lang w:eastAsia="zh-CN"/>
        </w:rPr>
        <w:t>）、</w:t>
      </w:r>
      <w:r>
        <w:rPr>
          <w:rFonts w:hint="eastAsia" w:ascii="Times New Roman" w:hAnsi="Times New Roman" w:eastAsia="仿宋_GB2312"/>
          <w:b/>
          <w:bCs/>
          <w:kern w:val="0"/>
          <w:sz w:val="32"/>
          <w:szCs w:val="32"/>
          <w:lang w:val="en-US" w:eastAsia="zh-CN"/>
        </w:rPr>
        <w:t>中心工作圆满完成</w:t>
      </w:r>
    </w:p>
    <w:p w14:paraId="68802735">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仿宋_GB2312"/>
          <w:kern w:val="0"/>
          <w:sz w:val="32"/>
          <w:szCs w:val="32"/>
          <w:lang w:val="en-US" w:eastAsia="zh-CN"/>
        </w:rPr>
        <w:t>1、</w:t>
      </w:r>
      <w:r>
        <w:rPr>
          <w:rFonts w:hint="eastAsia" w:ascii="Times New Roman" w:hAnsi="Times New Roman" w:eastAsia="仿宋_GB2312"/>
          <w:kern w:val="0"/>
          <w:sz w:val="32"/>
          <w:szCs w:val="32"/>
          <w:lang w:eastAsia="zh-CN"/>
        </w:rPr>
        <w:t>完成了</w:t>
      </w:r>
      <w:r>
        <w:rPr>
          <w:rFonts w:hint="eastAsia" w:ascii="Times New Roman" w:hAnsi="Times New Roman" w:eastAsia="仿宋_GB2312"/>
          <w:kern w:val="0"/>
          <w:sz w:val="32"/>
          <w:szCs w:val="32"/>
          <w:lang w:val="en-US" w:eastAsia="zh-CN"/>
        </w:rPr>
        <w:t>2023年跨年篝火晚会和春节氛围营造</w:t>
      </w:r>
      <w:r>
        <w:rPr>
          <w:rFonts w:hint="eastAsia" w:ascii="Times New Roman" w:hAnsi="Times New Roman" w:eastAsia="仿宋_GB2312"/>
          <w:kern w:val="0"/>
          <w:sz w:val="32"/>
          <w:szCs w:val="32"/>
          <w:lang w:eastAsia="zh-CN"/>
        </w:rPr>
        <w:t>亮化</w:t>
      </w:r>
      <w:r>
        <w:rPr>
          <w:rFonts w:hint="eastAsia" w:ascii="Times New Roman" w:hAnsi="Times New Roman" w:eastAsia="仿宋_GB2312"/>
          <w:kern w:val="0"/>
          <w:sz w:val="32"/>
          <w:szCs w:val="32"/>
          <w:lang w:val="en-US" w:eastAsia="zh-CN"/>
        </w:rPr>
        <w:t>任务的布置</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春节前，市委</w:t>
      </w:r>
      <w:r>
        <w:rPr>
          <w:rFonts w:hint="eastAsia" w:ascii="Times New Roman" w:hAnsi="Times New Roman" w:eastAsia="仿宋_GB2312"/>
          <w:kern w:val="0"/>
          <w:sz w:val="32"/>
          <w:szCs w:val="32"/>
          <w:lang w:eastAsia="zh-CN"/>
        </w:rPr>
        <w:t>、市政府和</w:t>
      </w:r>
      <w:r>
        <w:rPr>
          <w:rFonts w:hint="eastAsia" w:ascii="Times New Roman" w:hAnsi="Times New Roman" w:eastAsia="仿宋_GB2312"/>
          <w:kern w:val="0"/>
          <w:sz w:val="32"/>
          <w:szCs w:val="32"/>
          <w:lang w:val="en-US" w:eastAsia="zh-CN"/>
        </w:rPr>
        <w:t>城管</w:t>
      </w:r>
      <w:r>
        <w:rPr>
          <w:rFonts w:hint="eastAsia" w:ascii="Times New Roman" w:hAnsi="Times New Roman" w:eastAsia="仿宋_GB2312"/>
          <w:kern w:val="0"/>
          <w:sz w:val="32"/>
          <w:szCs w:val="32"/>
          <w:lang w:eastAsia="zh-CN"/>
        </w:rPr>
        <w:t>局下达多个亮化任务，面对恶劣天气、时间紧、任务重的局面，我们发扬敢打硬仗的作风，冒雨冒雪加班加点施工，做到施工不受天气影响，全面完成了各项任务。完成了全市主要街道灯笼悬挂</w:t>
      </w:r>
      <w:r>
        <w:rPr>
          <w:rFonts w:hint="eastAsia" w:ascii="Times New Roman" w:hAnsi="Times New Roman" w:eastAsia="仿宋_GB2312"/>
          <w:kern w:val="0"/>
          <w:sz w:val="32"/>
          <w:szCs w:val="32"/>
          <w:lang w:val="en-US" w:eastAsia="zh-CN"/>
        </w:rPr>
        <w:t>；</w:t>
      </w:r>
      <w:r>
        <w:rPr>
          <w:rFonts w:hint="eastAsia" w:ascii="Times New Roman" w:hAnsi="Times New Roman" w:eastAsia="仿宋_GB2312"/>
          <w:kern w:val="0"/>
          <w:sz w:val="32"/>
          <w:szCs w:val="32"/>
          <w:lang w:eastAsia="zh-CN"/>
        </w:rPr>
        <w:t>完成了</w:t>
      </w:r>
      <w:r>
        <w:rPr>
          <w:rFonts w:hint="eastAsia" w:ascii="Times New Roman" w:hAnsi="Times New Roman" w:eastAsia="仿宋_GB2312"/>
          <w:kern w:val="0"/>
          <w:sz w:val="32"/>
          <w:szCs w:val="32"/>
          <w:lang w:val="en-US" w:eastAsia="zh-CN"/>
        </w:rPr>
        <w:t>屈子公园、友谊河公园</w:t>
      </w:r>
      <w:r>
        <w:rPr>
          <w:rFonts w:hint="eastAsia" w:ascii="Times New Roman" w:hAnsi="Times New Roman" w:eastAsia="仿宋_GB2312"/>
          <w:kern w:val="0"/>
          <w:sz w:val="32"/>
          <w:szCs w:val="32"/>
          <w:lang w:eastAsia="zh-CN"/>
        </w:rPr>
        <w:t>、站前路广场、中信广场、政府广场、石油库广场、</w:t>
      </w:r>
      <w:r>
        <w:rPr>
          <w:rFonts w:hint="eastAsia" w:ascii="Times New Roman" w:hAnsi="Times New Roman" w:eastAsia="仿宋_GB2312"/>
          <w:kern w:val="0"/>
          <w:sz w:val="32"/>
          <w:szCs w:val="32"/>
          <w:lang w:val="en-US" w:eastAsia="zh-CN"/>
        </w:rPr>
        <w:t>友谊河桥</w:t>
      </w:r>
      <w:r>
        <w:rPr>
          <w:rFonts w:hint="eastAsia" w:ascii="Times New Roman" w:hAnsi="Times New Roman" w:eastAsia="仿宋_GB2312"/>
          <w:kern w:val="0"/>
          <w:sz w:val="32"/>
          <w:szCs w:val="32"/>
          <w:lang w:eastAsia="zh-CN"/>
        </w:rPr>
        <w:t>等多处</w:t>
      </w:r>
      <w:r>
        <w:rPr>
          <w:rFonts w:hint="eastAsia" w:ascii="Times New Roman" w:hAnsi="Times New Roman" w:eastAsia="仿宋_GB2312"/>
          <w:kern w:val="0"/>
          <w:sz w:val="32"/>
          <w:szCs w:val="32"/>
          <w:lang w:val="en-US" w:eastAsia="zh-CN"/>
        </w:rPr>
        <w:t>氛围营造</w:t>
      </w:r>
      <w:r>
        <w:rPr>
          <w:rFonts w:hint="eastAsia" w:ascii="Times New Roman" w:hAnsi="Times New Roman" w:eastAsia="仿宋_GB2312"/>
          <w:kern w:val="0"/>
          <w:sz w:val="32"/>
          <w:szCs w:val="32"/>
          <w:lang w:eastAsia="zh-CN"/>
        </w:rPr>
        <w:t>。</w:t>
      </w:r>
      <w:r>
        <w:rPr>
          <w:rFonts w:hint="eastAsia" w:ascii="Times New Roman" w:hAnsi="Times New Roman" w:eastAsia="仿宋_GB2312"/>
          <w:kern w:val="0"/>
          <w:sz w:val="32"/>
          <w:szCs w:val="32"/>
          <w:lang w:val="en-US" w:eastAsia="zh-CN"/>
        </w:rPr>
        <w:t>让</w:t>
      </w:r>
      <w:r>
        <w:rPr>
          <w:rFonts w:hint="eastAsia" w:ascii="Times New Roman" w:hAnsi="Times New Roman" w:eastAsia="仿宋_GB2312"/>
          <w:kern w:val="0"/>
          <w:sz w:val="32"/>
          <w:szCs w:val="32"/>
          <w:lang w:eastAsia="zh-CN"/>
        </w:rPr>
        <w:t>汨罗节</w:t>
      </w:r>
      <w:r>
        <w:rPr>
          <w:rFonts w:hint="eastAsia" w:ascii="Times New Roman" w:hAnsi="Times New Roman" w:eastAsia="仿宋_GB2312"/>
          <w:kern w:val="0"/>
          <w:sz w:val="32"/>
          <w:szCs w:val="32"/>
          <w:lang w:val="en-US" w:eastAsia="zh-CN"/>
        </w:rPr>
        <w:t>日</w:t>
      </w:r>
      <w:r>
        <w:rPr>
          <w:rFonts w:hint="eastAsia" w:ascii="Times New Roman" w:hAnsi="Times New Roman" w:eastAsia="仿宋_GB2312"/>
          <w:kern w:val="0"/>
          <w:sz w:val="32"/>
          <w:szCs w:val="32"/>
          <w:lang w:eastAsia="zh-CN"/>
        </w:rPr>
        <w:t>的夜色更加绚丽多彩。</w:t>
      </w:r>
    </w:p>
    <w:p w14:paraId="06760CCC">
      <w:pPr>
        <w:pStyle w:val="9"/>
        <w:spacing w:line="600" w:lineRule="exact"/>
        <w:ind w:firstLine="643"/>
        <w:jc w:val="both"/>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在纪念“屈原逝世2300周年活动、省卫生城市复查、全国文明城市检查、湖南省2023年城市照明安全运行及规范化管理调研评估”等重大活动中，我中心加班加点对全市的路灯和照明亮化设施进行了多次全面普查普修，对存在安全隐患的线路和灯具，进行及时维修和更换，确保路灯亮灯率和设施完好率，圆满的完成了上级赋予的各项任务。</w:t>
      </w:r>
    </w:p>
    <w:p w14:paraId="1EB615F8">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 w:eastAsia="zh-CN"/>
        </w:rPr>
        <w:t>整体上，预算资金管理使用良好，有效提升了加强党建引领、制定人才政策、强化干部队伍、完善工作制度、规范内部管理等工作实效；有效提升了持续抓好党建对各项工作的引领作用和持续增强组织对干部和人才等工作的引领作用；有效提升了为生态文化活力汨罗建设的增强续航能力。</w:t>
      </w:r>
      <w:r>
        <w:rPr>
          <w:rFonts w:hint="default" w:ascii="Times New Roman" w:hAnsi="Times New Roman" w:eastAsia="仿宋_GB2312"/>
          <w:kern w:val="0"/>
          <w:sz w:val="32"/>
          <w:szCs w:val="32"/>
          <w:lang w:val="en-US" w:eastAsia="zh-CN"/>
        </w:rPr>
        <w:t>服务对象满意度</w:t>
      </w:r>
      <w:r>
        <w:rPr>
          <w:rFonts w:hint="eastAsia" w:ascii="Times New Roman" w:hAnsi="Times New Roman" w:eastAsia="仿宋_GB2312"/>
          <w:kern w:val="0"/>
          <w:sz w:val="32"/>
          <w:szCs w:val="32"/>
          <w:lang w:val="en-US" w:eastAsia="zh-CN"/>
        </w:rPr>
        <w:t>为95%，较好地完成了年初整体支出绩效目标。</w:t>
      </w:r>
    </w:p>
    <w:p w14:paraId="6013EC34">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4F75C783">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1、部门单位内各股室预算管理意识不强，因担任工作需要负担的运行成本无法精准测算。</w:t>
      </w:r>
    </w:p>
    <w:p w14:paraId="2367B5E2">
      <w:pPr>
        <w:pStyle w:val="9"/>
        <w:spacing w:line="600" w:lineRule="exact"/>
        <w:ind w:firstLine="643"/>
        <w:jc w:val="both"/>
        <w:rPr>
          <w:rFonts w:hint="default"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2、资产管理需要进一步精细化管理，加强新购、使用、调整、报废处置等流程的报批管控程序。</w:t>
      </w:r>
    </w:p>
    <w:p w14:paraId="576AC9D0">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72E08DD8">
      <w:pPr>
        <w:pStyle w:val="9"/>
        <w:spacing w:line="600" w:lineRule="exact"/>
        <w:ind w:firstLine="643"/>
        <w:jc w:val="both"/>
        <w:rPr>
          <w:rFonts w:hint="eastAsia" w:ascii="Times New Roman" w:hAnsi="Times New Roman" w:eastAsia="仿宋_GB2312"/>
          <w:b/>
          <w:bCs/>
          <w:kern w:val="0"/>
          <w:sz w:val="32"/>
          <w:szCs w:val="32"/>
          <w:lang w:val="en-US" w:eastAsia="zh-CN"/>
        </w:rPr>
      </w:pPr>
      <w:r>
        <w:rPr>
          <w:rFonts w:hint="eastAsia" w:ascii="Times New Roman" w:hAnsi="Times New Roman" w:eastAsia="仿宋_GB2312"/>
          <w:b/>
          <w:bCs/>
          <w:kern w:val="0"/>
          <w:sz w:val="32"/>
          <w:szCs w:val="32"/>
          <w:lang w:val="en-US" w:eastAsia="zh-CN"/>
        </w:rPr>
        <w:t>1、细化预算编制工作</w:t>
      </w:r>
    </w:p>
    <w:p w14:paraId="7C281CDD">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进一步加强部内机构各股室的预算管理意识，严格按照预算编制的相关制度和要求，公用经费根据单位的年度工作重点和项目专项工作规划，本着“勤俭节约、保障运转”的原则进行预算的编制。编制范围尽可能的全面，不漏项。进一步提高预算编制的科学性、合理性、严谨性和可控性。</w:t>
      </w:r>
    </w:p>
    <w:p w14:paraId="49BBA929">
      <w:pPr>
        <w:pStyle w:val="9"/>
        <w:spacing w:line="600" w:lineRule="exact"/>
        <w:ind w:firstLine="643"/>
        <w:jc w:val="both"/>
        <w:rPr>
          <w:rFonts w:hint="eastAsia" w:ascii="Times New Roman" w:hAnsi="Times New Roman" w:eastAsia="仿宋_GB2312"/>
          <w:b/>
          <w:bCs/>
          <w:kern w:val="0"/>
          <w:sz w:val="32"/>
          <w:szCs w:val="32"/>
          <w:lang w:val="en-US" w:eastAsia="zh-CN"/>
        </w:rPr>
      </w:pPr>
      <w:r>
        <w:rPr>
          <w:rFonts w:hint="eastAsia" w:ascii="Times New Roman" w:hAnsi="Times New Roman" w:eastAsia="仿宋_GB2312"/>
          <w:b/>
          <w:bCs/>
          <w:kern w:val="0"/>
          <w:sz w:val="32"/>
          <w:szCs w:val="32"/>
          <w:lang w:val="en-US" w:eastAsia="zh-CN"/>
        </w:rPr>
        <w:t>2、加强预算执行管理</w:t>
      </w:r>
    </w:p>
    <w:p w14:paraId="1367AE1A">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遵循预算管理办法，制定和完善基本支出、项目支出等各项支出标准，严格按项目和进度执行预算，增强预算的约束力和严肃性。</w:t>
      </w:r>
    </w:p>
    <w:p w14:paraId="4E52B8FD">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推行重大事项部务会集体研究制度，财务支出部务会公开制度，落实预算执行分析，及时了解预算执行差异，合理调整、纠正预算执行偏差，切实提高部门预算收支管理水平。</w:t>
      </w:r>
    </w:p>
    <w:p w14:paraId="5E0FE2DD">
      <w:pPr>
        <w:pStyle w:val="9"/>
        <w:spacing w:line="600" w:lineRule="exact"/>
        <w:ind w:firstLine="643"/>
        <w:jc w:val="both"/>
        <w:rPr>
          <w:rFonts w:hint="eastAsia" w:ascii="Times New Roman" w:hAnsi="Times New Roman" w:eastAsia="仿宋_GB2312"/>
          <w:b/>
          <w:bCs/>
          <w:kern w:val="0"/>
          <w:sz w:val="32"/>
          <w:szCs w:val="32"/>
          <w:lang w:val="en-US" w:eastAsia="zh-CN"/>
        </w:rPr>
      </w:pPr>
      <w:r>
        <w:rPr>
          <w:rFonts w:hint="eastAsia" w:ascii="Times New Roman" w:hAnsi="Times New Roman" w:eastAsia="仿宋_GB2312"/>
          <w:b/>
          <w:bCs/>
          <w:kern w:val="0"/>
          <w:sz w:val="32"/>
          <w:szCs w:val="32"/>
          <w:lang w:val="en-US" w:eastAsia="zh-CN"/>
        </w:rPr>
        <w:t>3、完善管理制度，进一步加强资产管理</w:t>
      </w:r>
    </w:p>
    <w:p w14:paraId="603915CF">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进一步贯彻落实中央“八项规定”和湖南省委“九条规定”，建立本部门“三公经费”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14:paraId="3AFCD978">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九、部门整体支出绩效自评结果拟应用和公开情况</w:t>
      </w:r>
    </w:p>
    <w:p w14:paraId="61DD3E0C">
      <w:pPr>
        <w:pStyle w:val="9"/>
        <w:spacing w:line="600" w:lineRule="exact"/>
        <w:ind w:firstLine="643"/>
        <w:jc w:val="both"/>
        <w:rPr>
          <w:rFonts w:hint="eastAsia" w:ascii="Times New Roman" w:hAnsi="Times New Roman" w:eastAsia="仿宋_GB2312"/>
          <w:kern w:val="0"/>
          <w:sz w:val="32"/>
          <w:szCs w:val="32"/>
          <w:lang w:val="en-US" w:eastAsia="zh-CN"/>
        </w:rPr>
      </w:pPr>
      <w:r>
        <w:rPr>
          <w:rFonts w:hint="eastAsia" w:ascii="Times New Roman" w:hAnsi="Times New Roman" w:eastAsia="仿宋_GB2312"/>
          <w:kern w:val="0"/>
          <w:sz w:val="32"/>
          <w:szCs w:val="32"/>
          <w:lang w:val="en-US" w:eastAsia="zh-CN"/>
        </w:rPr>
        <w:t>部门整体支出绩效自评优，按要求公开。</w:t>
      </w:r>
    </w:p>
    <w:p w14:paraId="489312BE">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6BA0F933">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无</w:t>
      </w:r>
    </w:p>
    <w:p w14:paraId="7FB932DD">
      <w:pPr>
        <w:spacing w:line="267" w:lineRule="auto"/>
        <w:ind w:firstLine="552"/>
        <w:jc w:val="both"/>
        <w:rPr>
          <w:rFonts w:hint="eastAsia" w:ascii="宋体" w:hAnsi="宋体" w:eastAsia="宋体" w:cs="宋体"/>
          <w:bCs/>
          <w:spacing w:val="-4"/>
          <w:kern w:val="0"/>
          <w:sz w:val="28"/>
          <w:szCs w:val="28"/>
          <w:lang w:eastAsia="zh-CN"/>
        </w:rPr>
      </w:pPr>
    </w:p>
    <w:p w14:paraId="750C03A2">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76BE85A5">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3</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路灯维护</w:t>
      </w:r>
      <w:r>
        <w:rPr>
          <w:rFonts w:ascii="黑体" w:hAnsi="黑体" w:eastAsia="黑体" w:cs="黑体"/>
          <w:spacing w:val="15"/>
          <w:position w:val="10"/>
          <w:sz w:val="42"/>
          <w:szCs w:val="42"/>
        </w:rPr>
        <w:t>项目支出</w:t>
      </w:r>
    </w:p>
    <w:p w14:paraId="12B41BBB">
      <w:pPr>
        <w:spacing w:before="1" w:line="220" w:lineRule="auto"/>
        <w:ind w:left="3069"/>
        <w:rPr>
          <w:rFonts w:ascii="黑体" w:hAnsi="黑体" w:eastAsia="黑体" w:cs="黑体"/>
          <w:sz w:val="42"/>
          <w:szCs w:val="42"/>
        </w:rPr>
      </w:pPr>
      <w:r>
        <w:rPr>
          <w:rFonts w:ascii="黑体" w:hAnsi="黑体" w:eastAsia="黑体" w:cs="黑体"/>
          <w:spacing w:val="10"/>
          <w:sz w:val="42"/>
          <w:szCs w:val="42"/>
        </w:rPr>
        <w:t>绩效自评报告</w:t>
      </w:r>
    </w:p>
    <w:p w14:paraId="64B266BD">
      <w:pPr>
        <w:spacing w:line="246" w:lineRule="auto"/>
        <w:rPr>
          <w:rFonts w:ascii="Arial"/>
          <w:sz w:val="21"/>
        </w:rPr>
      </w:pPr>
    </w:p>
    <w:p w14:paraId="7D2A343F">
      <w:pPr>
        <w:spacing w:line="246" w:lineRule="auto"/>
        <w:rPr>
          <w:rFonts w:ascii="Arial"/>
          <w:sz w:val="21"/>
        </w:rPr>
      </w:pPr>
    </w:p>
    <w:p w14:paraId="5F3BD71C">
      <w:pPr>
        <w:spacing w:line="246" w:lineRule="auto"/>
        <w:rPr>
          <w:rFonts w:ascii="Arial"/>
          <w:sz w:val="21"/>
        </w:rPr>
      </w:pPr>
    </w:p>
    <w:p w14:paraId="65E46231">
      <w:pPr>
        <w:spacing w:line="246" w:lineRule="auto"/>
        <w:rPr>
          <w:rFonts w:ascii="Arial"/>
          <w:sz w:val="21"/>
        </w:rPr>
      </w:pPr>
    </w:p>
    <w:p w14:paraId="66B7F833">
      <w:pPr>
        <w:spacing w:line="246" w:lineRule="auto"/>
        <w:rPr>
          <w:rFonts w:ascii="Arial"/>
          <w:sz w:val="21"/>
        </w:rPr>
      </w:pPr>
    </w:p>
    <w:p w14:paraId="0A7AD3D8">
      <w:pPr>
        <w:spacing w:line="246" w:lineRule="auto"/>
        <w:rPr>
          <w:rFonts w:ascii="Arial"/>
          <w:sz w:val="21"/>
        </w:rPr>
      </w:pPr>
    </w:p>
    <w:p w14:paraId="31519119">
      <w:pPr>
        <w:spacing w:line="246" w:lineRule="auto"/>
        <w:rPr>
          <w:rFonts w:ascii="Arial"/>
          <w:sz w:val="21"/>
        </w:rPr>
      </w:pPr>
    </w:p>
    <w:p w14:paraId="293E2F08">
      <w:pPr>
        <w:spacing w:line="246" w:lineRule="auto"/>
        <w:rPr>
          <w:rFonts w:ascii="Arial"/>
          <w:sz w:val="21"/>
        </w:rPr>
      </w:pPr>
    </w:p>
    <w:p w14:paraId="7FB87C7F">
      <w:pPr>
        <w:spacing w:line="246" w:lineRule="auto"/>
        <w:rPr>
          <w:rFonts w:ascii="Arial"/>
          <w:sz w:val="21"/>
        </w:rPr>
      </w:pPr>
    </w:p>
    <w:p w14:paraId="39C7E265">
      <w:pPr>
        <w:spacing w:line="246" w:lineRule="auto"/>
        <w:rPr>
          <w:rFonts w:ascii="Arial"/>
          <w:sz w:val="21"/>
        </w:rPr>
      </w:pPr>
    </w:p>
    <w:p w14:paraId="1AD4155B">
      <w:pPr>
        <w:spacing w:line="246" w:lineRule="auto"/>
        <w:rPr>
          <w:rFonts w:ascii="Arial"/>
          <w:sz w:val="21"/>
        </w:rPr>
      </w:pPr>
    </w:p>
    <w:p w14:paraId="486C5492">
      <w:pPr>
        <w:spacing w:line="246" w:lineRule="auto"/>
        <w:rPr>
          <w:rFonts w:ascii="Arial"/>
          <w:sz w:val="21"/>
        </w:rPr>
      </w:pPr>
    </w:p>
    <w:p w14:paraId="78C44FF6">
      <w:pPr>
        <w:spacing w:line="246" w:lineRule="auto"/>
        <w:rPr>
          <w:rFonts w:ascii="Arial"/>
          <w:sz w:val="21"/>
        </w:rPr>
      </w:pPr>
    </w:p>
    <w:p w14:paraId="006318A3">
      <w:pPr>
        <w:spacing w:line="246" w:lineRule="auto"/>
        <w:rPr>
          <w:rFonts w:ascii="Arial"/>
          <w:sz w:val="21"/>
        </w:rPr>
      </w:pPr>
    </w:p>
    <w:p w14:paraId="477241CF">
      <w:pPr>
        <w:spacing w:line="246" w:lineRule="auto"/>
        <w:rPr>
          <w:rFonts w:ascii="Arial"/>
          <w:sz w:val="21"/>
        </w:rPr>
      </w:pPr>
    </w:p>
    <w:p w14:paraId="0CB0A801">
      <w:pPr>
        <w:spacing w:line="246" w:lineRule="auto"/>
        <w:rPr>
          <w:rFonts w:ascii="Arial"/>
          <w:sz w:val="21"/>
        </w:rPr>
      </w:pPr>
    </w:p>
    <w:p w14:paraId="5D7EF5C7">
      <w:pPr>
        <w:spacing w:line="246" w:lineRule="auto"/>
        <w:rPr>
          <w:rFonts w:ascii="Arial"/>
          <w:sz w:val="21"/>
        </w:rPr>
      </w:pPr>
    </w:p>
    <w:p w14:paraId="0BF024D4">
      <w:pPr>
        <w:spacing w:line="247" w:lineRule="auto"/>
        <w:rPr>
          <w:rFonts w:ascii="Arial"/>
          <w:sz w:val="21"/>
        </w:rPr>
      </w:pPr>
    </w:p>
    <w:p w14:paraId="3FDE551C">
      <w:pPr>
        <w:spacing w:line="247" w:lineRule="auto"/>
        <w:rPr>
          <w:rFonts w:ascii="Arial"/>
          <w:sz w:val="21"/>
        </w:rPr>
      </w:pPr>
    </w:p>
    <w:p w14:paraId="006ECEC1">
      <w:pPr>
        <w:spacing w:line="247" w:lineRule="auto"/>
        <w:rPr>
          <w:rFonts w:ascii="Arial"/>
          <w:sz w:val="21"/>
        </w:rPr>
      </w:pPr>
    </w:p>
    <w:p w14:paraId="1DE87FDE">
      <w:pPr>
        <w:spacing w:line="247" w:lineRule="auto"/>
        <w:rPr>
          <w:rFonts w:ascii="Arial"/>
          <w:sz w:val="21"/>
        </w:rPr>
      </w:pPr>
    </w:p>
    <w:p w14:paraId="6EA4A487">
      <w:pPr>
        <w:spacing w:line="247" w:lineRule="auto"/>
        <w:rPr>
          <w:rFonts w:ascii="Arial"/>
          <w:sz w:val="21"/>
        </w:rPr>
      </w:pPr>
    </w:p>
    <w:p w14:paraId="7A8E88E0">
      <w:pPr>
        <w:spacing w:line="247" w:lineRule="auto"/>
        <w:rPr>
          <w:rFonts w:ascii="Arial"/>
          <w:sz w:val="21"/>
        </w:rPr>
      </w:pPr>
    </w:p>
    <w:p w14:paraId="11B027F0">
      <w:pPr>
        <w:spacing w:line="247" w:lineRule="auto"/>
        <w:rPr>
          <w:rFonts w:ascii="Arial"/>
          <w:sz w:val="21"/>
        </w:rPr>
      </w:pPr>
    </w:p>
    <w:p w14:paraId="4963ED9A">
      <w:pPr>
        <w:spacing w:line="247" w:lineRule="auto"/>
        <w:rPr>
          <w:rFonts w:ascii="Arial"/>
          <w:sz w:val="21"/>
        </w:rPr>
      </w:pPr>
    </w:p>
    <w:p w14:paraId="3B32CA65">
      <w:pPr>
        <w:spacing w:line="247" w:lineRule="auto"/>
        <w:rPr>
          <w:rFonts w:ascii="Arial"/>
          <w:sz w:val="21"/>
        </w:rPr>
      </w:pPr>
    </w:p>
    <w:p w14:paraId="7FA292A1">
      <w:pPr>
        <w:spacing w:line="247" w:lineRule="auto"/>
        <w:rPr>
          <w:rFonts w:ascii="Arial"/>
          <w:sz w:val="21"/>
        </w:rPr>
      </w:pPr>
    </w:p>
    <w:p w14:paraId="5231943B">
      <w:pPr>
        <w:spacing w:line="247" w:lineRule="auto"/>
        <w:rPr>
          <w:rFonts w:ascii="Arial"/>
          <w:sz w:val="21"/>
        </w:rPr>
      </w:pPr>
    </w:p>
    <w:p w14:paraId="2BA90811">
      <w:pPr>
        <w:pStyle w:val="2"/>
        <w:spacing w:before="89" w:line="221" w:lineRule="auto"/>
        <w:ind w:firstLine="678" w:firstLineChars="300"/>
        <w:rPr>
          <w:sz w:val="27"/>
          <w:szCs w:val="27"/>
        </w:rPr>
      </w:pPr>
      <w:r>
        <w:rPr>
          <w:spacing w:val="-22"/>
          <w:sz w:val="27"/>
          <w:szCs w:val="27"/>
        </w:rPr>
        <w:t xml:space="preserve">部 门 </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rPr>
        <w:t>汨罗市城市路灯服务中心</w:t>
      </w:r>
      <w:r>
        <w:rPr>
          <w:spacing w:val="-22"/>
          <w:sz w:val="27"/>
          <w:szCs w:val="27"/>
          <w:u w:val="single" w:color="auto"/>
        </w:rPr>
        <w:t>(</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74028952">
      <w:pPr>
        <w:pStyle w:val="2"/>
        <w:spacing w:before="289" w:line="610" w:lineRule="exact"/>
        <w:ind w:left="3490"/>
        <w:rPr>
          <w:sz w:val="27"/>
          <w:szCs w:val="27"/>
        </w:rPr>
      </w:pPr>
      <w:r>
        <w:rPr>
          <w:rFonts w:hint="eastAsia"/>
          <w:spacing w:val="-13"/>
          <w:position w:val="26"/>
          <w:sz w:val="27"/>
          <w:szCs w:val="27"/>
          <w:lang w:val="en-US" w:eastAsia="zh-CN"/>
        </w:rPr>
        <w:t xml:space="preserve">2024  </w:t>
      </w:r>
      <w:r>
        <w:rPr>
          <w:spacing w:val="-13"/>
          <w:position w:val="26"/>
          <w:sz w:val="27"/>
          <w:szCs w:val="27"/>
        </w:rPr>
        <w:t xml:space="preserve">年 </w:t>
      </w:r>
      <w:r>
        <w:rPr>
          <w:rFonts w:hint="eastAsia"/>
          <w:spacing w:val="-13"/>
          <w:position w:val="26"/>
          <w:sz w:val="27"/>
          <w:szCs w:val="27"/>
          <w:lang w:val="en-US" w:eastAsia="zh-CN"/>
        </w:rPr>
        <w:t>10</w:t>
      </w:r>
      <w:r>
        <w:rPr>
          <w:spacing w:val="-13"/>
          <w:position w:val="26"/>
          <w:sz w:val="27"/>
          <w:szCs w:val="27"/>
        </w:rPr>
        <w:t xml:space="preserve"> 月</w:t>
      </w:r>
      <w:r>
        <w:rPr>
          <w:spacing w:val="12"/>
          <w:position w:val="26"/>
          <w:sz w:val="27"/>
          <w:szCs w:val="27"/>
        </w:rPr>
        <w:t xml:space="preserve"> </w:t>
      </w:r>
      <w:r>
        <w:rPr>
          <w:rFonts w:hint="eastAsia"/>
          <w:spacing w:val="12"/>
          <w:position w:val="26"/>
          <w:sz w:val="27"/>
          <w:szCs w:val="27"/>
          <w:lang w:val="en-US" w:eastAsia="zh-CN"/>
        </w:rPr>
        <w:t>15</w:t>
      </w:r>
      <w:r>
        <w:rPr>
          <w:spacing w:val="12"/>
          <w:position w:val="26"/>
          <w:sz w:val="27"/>
          <w:szCs w:val="27"/>
        </w:rPr>
        <w:t xml:space="preserve"> </w:t>
      </w:r>
      <w:r>
        <w:rPr>
          <w:spacing w:val="-13"/>
          <w:position w:val="26"/>
          <w:sz w:val="27"/>
          <w:szCs w:val="27"/>
        </w:rPr>
        <w:t>日</w:t>
      </w:r>
    </w:p>
    <w:p w14:paraId="6191F93D">
      <w:pPr>
        <w:pStyle w:val="2"/>
        <w:spacing w:before="1" w:line="223" w:lineRule="auto"/>
        <w:ind w:left="3560"/>
        <w:rPr>
          <w:sz w:val="24"/>
          <w:szCs w:val="24"/>
        </w:rPr>
      </w:pPr>
      <w:r>
        <w:rPr>
          <w:spacing w:val="7"/>
          <w:sz w:val="24"/>
          <w:szCs w:val="24"/>
        </w:rPr>
        <w:t>(此面为封面)</w:t>
      </w:r>
    </w:p>
    <w:p w14:paraId="6DA830AD">
      <w:pPr>
        <w:spacing w:line="223" w:lineRule="auto"/>
        <w:rPr>
          <w:sz w:val="24"/>
          <w:szCs w:val="24"/>
        </w:rPr>
        <w:sectPr>
          <w:footerReference r:id="rId6" w:type="default"/>
          <w:pgSz w:w="11900" w:h="16820"/>
          <w:pgMar w:top="1429" w:right="1782" w:bottom="1158" w:left="1450" w:header="0" w:footer="850" w:gutter="0"/>
          <w:cols w:space="720" w:num="1"/>
        </w:sectPr>
      </w:pPr>
    </w:p>
    <w:p w14:paraId="283A3B64">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5FD90BA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p>
    <w:p w14:paraId="680F149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5419A85A">
      <w:pPr>
        <w:ind w:firstLine="562" w:firstLineChars="200"/>
        <w:rPr>
          <w:rFonts w:ascii="黑体" w:hAnsi="黑体" w:eastAsia="黑体" w:cs="黑体"/>
          <w:b/>
          <w:bCs/>
          <w:snapToGrid w:val="0"/>
          <w:color w:val="000000"/>
          <w:spacing w:val="-15"/>
          <w:kern w:val="0"/>
          <w:sz w:val="31"/>
          <w:szCs w:val="31"/>
          <w:lang w:val="en-US" w:eastAsia="en-US" w:bidi="ar-SA"/>
        </w:rPr>
      </w:pPr>
      <w:r>
        <w:rPr>
          <w:rFonts w:ascii="黑体" w:hAnsi="黑体" w:eastAsia="黑体" w:cs="黑体"/>
          <w:b/>
          <w:bCs/>
          <w:snapToGrid w:val="0"/>
          <w:color w:val="000000"/>
          <w:spacing w:val="-15"/>
          <w:kern w:val="0"/>
          <w:sz w:val="31"/>
          <w:szCs w:val="31"/>
          <w:lang w:val="en-US" w:eastAsia="en-US" w:bidi="ar-SA"/>
        </w:rPr>
        <w:t>(一)项目支出概况。</w:t>
      </w:r>
    </w:p>
    <w:p w14:paraId="5FF79B1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en-US"/>
        </w:rPr>
      </w:pPr>
      <w:r>
        <w:rPr>
          <w:rFonts w:hint="eastAsia" w:eastAsia="仿宋_GB2312"/>
          <w:kern w:val="0"/>
          <w:sz w:val="32"/>
          <w:szCs w:val="32"/>
          <w:lang w:val="en-US" w:eastAsia="zh-CN"/>
        </w:rPr>
        <w:t>围绕城市路灯维护管理中心工作，始终践行方便群众出行的服务理念，不断追求更高的工作效率、更优的服务质量、更快捷的运行机制。紧紧围绕城市照明建设、管理和服务三大理念，常抓不懈搞好路灯、亮化维护管理工作，全力服务好政府投资路灯工程项目建设。</w:t>
      </w:r>
    </w:p>
    <w:p w14:paraId="5763CA0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(二)项目资金使用管理情况。</w:t>
      </w:r>
    </w:p>
    <w:p w14:paraId="233B5DE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1、资金到位情况：路灯维护项目经费年初预算为30万元，到账资30万元，实际支付30万元。</w:t>
      </w:r>
    </w:p>
    <w:p w14:paraId="14451D3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2、项目资金执行情况：根据实际工作情况，路灯维护费共支出30万元，此笔专项主要用于城市路灯的日常维护。</w:t>
      </w:r>
    </w:p>
    <w:p w14:paraId="4F645C3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b/>
          <w:bCs/>
          <w:spacing w:val="-15"/>
          <w:sz w:val="31"/>
          <w:szCs w:val="31"/>
        </w:rPr>
      </w:pPr>
      <w:r>
        <w:rPr>
          <w:rFonts w:hint="eastAsia" w:eastAsia="仿宋_GB2312"/>
          <w:kern w:val="0"/>
          <w:sz w:val="32"/>
          <w:szCs w:val="32"/>
          <w:lang w:val="en-US" w:eastAsia="zh-CN"/>
        </w:rPr>
        <w:t>3．项目资金管理情况：制定了财务管理制度，严格执行资金使用管理的相关规定，突出重点，集中用于应急突发性、临时性重大事件专项处理；科学安排，合理编制预算，精打细算，厉行节约，避免随意使用；单独核算，专款专用，纳入单位财务统一管理，严禁挪作他用。</w:t>
      </w:r>
    </w:p>
    <w:p w14:paraId="45853943">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ascii="黑体" w:hAnsi="黑体" w:eastAsia="黑体" w:cs="黑体"/>
          <w:b/>
          <w:bCs/>
          <w:snapToGrid w:val="0"/>
          <w:color w:val="000000"/>
          <w:spacing w:val="-15"/>
          <w:kern w:val="0"/>
          <w:sz w:val="31"/>
          <w:szCs w:val="31"/>
          <w:lang w:val="en-US" w:eastAsia="zh-CN" w:bidi="ar-SA"/>
        </w:rPr>
      </w:pPr>
      <w:r>
        <w:rPr>
          <w:rFonts w:ascii="黑体" w:hAnsi="黑体" w:eastAsia="黑体" w:cs="黑体"/>
          <w:b/>
          <w:bCs/>
          <w:snapToGrid w:val="0"/>
          <w:color w:val="000000"/>
          <w:spacing w:val="-15"/>
          <w:kern w:val="0"/>
          <w:sz w:val="31"/>
          <w:szCs w:val="31"/>
          <w:lang w:val="en-US" w:eastAsia="en-US" w:bidi="ar-SA"/>
        </w:rPr>
        <w:t>(三)项目支出绩效目标完成程度</w:t>
      </w:r>
      <w:r>
        <w:rPr>
          <w:rFonts w:hint="eastAsia" w:ascii="黑体" w:hAnsi="黑体" w:eastAsia="黑体" w:cs="黑体"/>
          <w:b/>
          <w:bCs/>
          <w:snapToGrid w:val="0"/>
          <w:color w:val="000000"/>
          <w:spacing w:val="-15"/>
          <w:kern w:val="0"/>
          <w:sz w:val="31"/>
          <w:szCs w:val="31"/>
          <w:lang w:val="en-US" w:eastAsia="zh-CN" w:bidi="ar-SA"/>
        </w:rPr>
        <w:t>。</w:t>
      </w:r>
    </w:p>
    <w:p w14:paraId="149DF8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该项目年度总体目标为城市路灯维护，提高路灯系统的管理水平，节约能源。实际完成100%。</w:t>
      </w:r>
    </w:p>
    <w:p w14:paraId="062F8A9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1、产出数量指标：年度指标值为维修路灯2859盏，维修路灯线路126次，共3356米。维修控制电源箱185次，接收“12345”热线39起，接收处理“市民热线”38起，排查路灯亮化线路安全隐患26处。确保亮灯率始终保持在98%以上。实际完成100%。</w:t>
      </w:r>
    </w:p>
    <w:p w14:paraId="7F915C4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2、产出质量指标：年度指标值为路灯材料采购、安装、维修符合安全生产质量要求。实际完成100%。</w:t>
      </w:r>
    </w:p>
    <w:p w14:paraId="5C13747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3、产出时效指标：各项工作完成时间2023.1.1-2023.12.31。实际完成100%。</w:t>
      </w:r>
    </w:p>
    <w:p w14:paraId="05FC894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4、经济效益指标：年度指标值为严格控制成本。实际完成为间接效益。</w:t>
      </w:r>
    </w:p>
    <w:p w14:paraId="11C62FD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5、社会效益指标：年度指标值为完成预期社会效益，实际完成100%。</w:t>
      </w:r>
    </w:p>
    <w:p w14:paraId="5167DC1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eastAsia="仿宋_GB2312"/>
          <w:kern w:val="0"/>
          <w:sz w:val="32"/>
          <w:szCs w:val="32"/>
          <w:lang w:val="en-US" w:eastAsia="zh-CN"/>
        </w:rPr>
      </w:pPr>
      <w:r>
        <w:rPr>
          <w:rFonts w:hint="eastAsia" w:eastAsia="仿宋_GB2312"/>
          <w:kern w:val="0"/>
          <w:sz w:val="32"/>
          <w:szCs w:val="32"/>
          <w:lang w:val="en-US" w:eastAsia="zh-CN"/>
        </w:rPr>
        <w:t>6、生态效益指标：年度指标值为提升市民生活幸福感，市民满意度。实际完成有效提升。</w:t>
      </w:r>
    </w:p>
    <w:p w14:paraId="47E96CE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49EA9ED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局绩效自评工作小组于2024年4月30日到5月15日对智能监控系统维护项目经费使用情况进行了认真审核，对相关情况进行了认真地汇总分析，按照《汨罗市项目支出绩效评价指标体系》提出的各项指标，进行了打分，严格绩效自评。</w:t>
      </w:r>
    </w:p>
    <w:p w14:paraId="3D2D9EB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043A9DB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综合分析，城市路灯维护项目经费的使用符合使用规定，根据城市规划，继续加强了城区主干道、次干道等重要路段的路灯、亮化配电设施的日常维护力度，同时对城区边缘地区和线路设施有质量问题的路段要重点投入了人力物力财力，解决了日常维护中的根本性问题，夯实了日常维护基础性工作。</w:t>
      </w:r>
    </w:p>
    <w:p w14:paraId="536BD6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val="en-US" w:eastAsia="zh-CN"/>
        </w:rPr>
      </w:pPr>
      <w:r>
        <w:rPr>
          <w:rFonts w:hint="eastAsia" w:eastAsia="仿宋_GB2312"/>
          <w:kern w:val="0"/>
          <w:sz w:val="32"/>
          <w:szCs w:val="32"/>
          <w:lang w:val="en-US" w:eastAsia="zh-CN"/>
        </w:rPr>
        <w:t>绩效评价自评小组根据绩效评价方案，自评得分97分。考评结果为优秀。</w:t>
      </w:r>
    </w:p>
    <w:p w14:paraId="32947CD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 绩效评价指标分析</w:t>
      </w:r>
    </w:p>
    <w:p w14:paraId="25C1809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(一)项目支出决策情况</w:t>
      </w:r>
    </w:p>
    <w:p w14:paraId="1BB56FA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我单位城市路灯维护项目经费的使用按照局机关财务管理制度有关规定执行，在使用时注重实效，坚持3人会审制度，金额较大的费用报局分管领导签字后，按政府采购流程执行。</w:t>
      </w:r>
    </w:p>
    <w:p w14:paraId="18ACBCC5">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(二)项目执行过程情况</w:t>
      </w:r>
    </w:p>
    <w:p w14:paraId="30B1E6F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1、我单位高度重视专项资金使用的组织工作，开专题会布置工作目标任务并作具体安排。</w:t>
      </w:r>
    </w:p>
    <w:p w14:paraId="489D5B0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2、组织保障，专项支出有专门的组织机构负责，配备专门人员管理。</w:t>
      </w:r>
    </w:p>
    <w:p w14:paraId="7D25DA9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3、各小组联动，确保专项支出从预算编制到结果应用，全程受控。</w:t>
      </w:r>
    </w:p>
    <w:p w14:paraId="12CEDD1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在采购过程中，严格按照市采购办规定，在政采云电子卖场上选择优质的商家进行合作，再根据相关规定，由采购负责人进行跟进监管，验收后报分管财务领导审批后拨付。</w:t>
      </w:r>
    </w:p>
    <w:p w14:paraId="3B11A24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(三)项目支出产出情况</w:t>
      </w:r>
    </w:p>
    <w:p w14:paraId="0FAE66C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产出数量指标：年度指标值为维修路灯2859盏，维修路灯线路126次，共3356米。维修控制电源箱185次，接收“12345”热线39起，接收处理“市民热线”38起，排查路灯亮化线路安全隐患26处。确保亮灯率始终保持在98%以上。实际完成100%。</w:t>
      </w:r>
    </w:p>
    <w:p w14:paraId="73AD2E7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2、产出质量指标：年度指标值为路灯材料采购、安装、维修符合安全生产质量要求。实际完成100%。</w:t>
      </w:r>
    </w:p>
    <w:p w14:paraId="0ADCD09E">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3、产出时效指标：各项工作完成时间2023.1.1-2023.12.31。实际完成100%。</w:t>
      </w:r>
    </w:p>
    <w:p w14:paraId="0B11607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(四)项目支出效益情况</w:t>
      </w:r>
    </w:p>
    <w:p w14:paraId="2FC681E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1、经济效益指标：年度指标值为降低路灯维修成本。实际完成100%。</w:t>
      </w:r>
    </w:p>
    <w:p w14:paraId="4714E59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2、社会效益指标：年度指标值为完成预期社会效益实际完成100%。</w:t>
      </w:r>
    </w:p>
    <w:p w14:paraId="3A63E0E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3、生态效益指标：年度指标值为提升市民生活幸福感，市民满意度。实际完成有效提升。</w:t>
      </w:r>
    </w:p>
    <w:p w14:paraId="3C7960C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63DCEB2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主要是领导重视，开专题会布置工作或作重要批示；组织保障，有专门的组织机构，配备专门人员。发现的主要问题及原因：一是近年来路面行驶车辆交通事故导致的路灯设施损坏情况严重。二是城市路灯管理维护为每年必须延续的专项项目，近年来该笔项目维护成本日益增加，但预算经费历年维持不变，给路灯管理维护工作增加了难度。</w:t>
      </w:r>
    </w:p>
    <w:p w14:paraId="2185B3F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3BEB52E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一是加大路灯管理维护经费投入，确保全城路灯及公用亮化设施正常运行。二是争取项目资金，推动中心城区路灯节能改造项目，节约电力资源。</w:t>
      </w:r>
    </w:p>
    <w:p w14:paraId="4087E74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七、其他需要说明的问题</w:t>
      </w:r>
    </w:p>
    <w:p w14:paraId="127DE429">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700"/>
        <w:jc w:val="both"/>
        <w:textAlignment w:val="baseline"/>
        <w:rPr>
          <w:rFonts w:hint="default"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无</w:t>
      </w:r>
    </w:p>
    <w:sectPr>
      <w:footerReference r:id="rId7"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DC998B5">
        <w:pPr>
          <w:pStyle w:val="3"/>
          <w:jc w:val="right"/>
          <w:rPr>
            <w:rFonts w:asciiTheme="minorEastAsia" w:hAnsiTheme="minorEastAsia" w:eastAsiaTheme="minorEastAsia"/>
            <w:kern w:val="0"/>
          </w:rPr>
        </w:pPr>
      </w:p>
    </w:sdtContent>
  </w:sdt>
  <w:p w14:paraId="280D1DE9">
    <w:pPr>
      <w:spacing w:line="14" w:lineRule="auto"/>
      <w:jc w:val="left"/>
      <w:rPr>
        <w:kern w:val="0"/>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AA151">
    <w:pPr>
      <w:spacing w:before="1" w:line="177" w:lineRule="auto"/>
      <w:jc w:val="right"/>
      <w:rPr>
        <w:rFonts w:ascii="宋体" w:hAnsi="宋体" w:eastAsia="宋体" w:cs="宋体"/>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01795">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OTkwYjg2MWZkYjg1MjI1ODY4MTE2YWQ3NmYyZTQ1YjAifQ=="/>
  </w:docVars>
  <w:rsids>
    <w:rsidRoot w:val="00000000"/>
    <w:rsid w:val="01AF3811"/>
    <w:rsid w:val="03795BF7"/>
    <w:rsid w:val="086E756B"/>
    <w:rsid w:val="0ACF37E5"/>
    <w:rsid w:val="0B400BC6"/>
    <w:rsid w:val="0E68228D"/>
    <w:rsid w:val="0EA6787F"/>
    <w:rsid w:val="12A61C4B"/>
    <w:rsid w:val="15276E52"/>
    <w:rsid w:val="16FC5F04"/>
    <w:rsid w:val="19D32FBC"/>
    <w:rsid w:val="1C643903"/>
    <w:rsid w:val="1E6A4395"/>
    <w:rsid w:val="25557A3D"/>
    <w:rsid w:val="26EA5ED7"/>
    <w:rsid w:val="27A93B82"/>
    <w:rsid w:val="2AE00186"/>
    <w:rsid w:val="308216BE"/>
    <w:rsid w:val="34FE1149"/>
    <w:rsid w:val="3A550786"/>
    <w:rsid w:val="3B7A130F"/>
    <w:rsid w:val="43BA7BE8"/>
    <w:rsid w:val="494A1329"/>
    <w:rsid w:val="4F8B6063"/>
    <w:rsid w:val="52FA3F96"/>
    <w:rsid w:val="54863AA0"/>
    <w:rsid w:val="55850F17"/>
    <w:rsid w:val="57AE6D93"/>
    <w:rsid w:val="5FB623A7"/>
    <w:rsid w:val="64AF5574"/>
    <w:rsid w:val="6E3851B0"/>
    <w:rsid w:val="784167CA"/>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autoRedefine/>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1791</Words>
  <Characters>2192</Characters>
  <TotalTime>6</TotalTime>
  <ScaleCrop>false</ScaleCrop>
  <LinksUpToDate>false</LinksUpToDate>
  <CharactersWithSpaces>2299</CharactersWithSpaces>
  <Application>WPS Office_12.1.0.21541_F1E327BC-269C-435d-A152-05C5408002CA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2024-05-21T14:05:00Z</cp:lastPrinted>
  <dcterms:modified xsi:type="dcterms:W3CDTF">2025-07-09T09:06:13Z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2052-12.1.0.21541</vt:lpwstr>
  </property>
  <property fmtid="{D5CDD505-2E9C-101B-9397-08002B2CF9AE}" pid="6" name="ICV">
    <vt:lpwstr>DD870C4C5A1E434DABEF5FD926430A35_13</vt:lpwstr>
  </property>
</Properties>
</file>