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90</w:t>
            </w:r>
          </w:p>
        </w:tc>
        <w:tc>
          <w:tcPr>
            <w:tcW w:w="2039" w:type="dxa"/>
            <w:gridSpan w:val="2"/>
            <w:vAlign w:val="center"/>
          </w:tcPr>
          <w:p w14:paraId="1D47B169">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88</w:t>
            </w:r>
          </w:p>
        </w:tc>
        <w:tc>
          <w:tcPr>
            <w:tcW w:w="1983" w:type="dxa"/>
            <w:gridSpan w:val="2"/>
            <w:vAlign w:val="center"/>
          </w:tcPr>
          <w:p w14:paraId="06F2846E">
            <w:pPr>
              <w:spacing w:line="240" w:lineRule="auto"/>
              <w:ind w:firstLine="420"/>
              <w:jc w:val="center"/>
              <w:rPr>
                <w:rFonts w:ascii="仿宋_GB2312" w:eastAsia="仿宋_GB2312"/>
                <w:kern w:val="0"/>
              </w:rPr>
            </w:pP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default" w:ascii="仿宋_GB2312" w:eastAsia="仿宋_GB2312"/>
                <w:kern w:val="0"/>
                <w:lang w:val="en-US" w:eastAsia="zh-CN"/>
              </w:rPr>
              <w:t>31.1</w:t>
            </w:r>
          </w:p>
        </w:tc>
        <w:tc>
          <w:tcPr>
            <w:tcW w:w="2039" w:type="dxa"/>
            <w:gridSpan w:val="2"/>
            <w:shd w:val="clear" w:color="auto" w:fill="auto"/>
            <w:vAlign w:val="center"/>
          </w:tcPr>
          <w:p w14:paraId="1D6514E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45</w:t>
            </w:r>
          </w:p>
        </w:tc>
        <w:tc>
          <w:tcPr>
            <w:tcW w:w="1983" w:type="dxa"/>
            <w:gridSpan w:val="2"/>
            <w:shd w:val="clear" w:color="auto" w:fill="auto"/>
            <w:vAlign w:val="center"/>
          </w:tcPr>
          <w:p w14:paraId="7DFA648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43.19</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35405593">
            <w:pPr>
              <w:spacing w:line="240" w:lineRule="auto"/>
              <w:ind w:firstLine="420" w:firstLineChars="0"/>
              <w:jc w:val="center"/>
              <w:rPr>
                <w:rFonts w:hint="default" w:ascii="仿宋_GB2312" w:eastAsia="仿宋_GB2312"/>
                <w:kern w:val="0"/>
                <w:lang w:val="en-US" w:eastAsia="zh-CN"/>
              </w:rPr>
            </w:pPr>
            <w:r>
              <w:rPr>
                <w:rFonts w:hint="default" w:ascii="仿宋_GB2312" w:eastAsia="仿宋_GB2312"/>
                <w:kern w:val="0"/>
                <w:lang w:val="en-US"/>
              </w:rPr>
              <w:t>28.2</w:t>
            </w:r>
          </w:p>
        </w:tc>
        <w:tc>
          <w:tcPr>
            <w:tcW w:w="2039" w:type="dxa"/>
            <w:gridSpan w:val="2"/>
            <w:vAlign w:val="center"/>
          </w:tcPr>
          <w:p w14:paraId="7474BB6E">
            <w:pPr>
              <w:spacing w:line="240" w:lineRule="auto"/>
              <w:ind w:firstLine="420" w:firstLineChars="0"/>
              <w:jc w:val="center"/>
              <w:rPr>
                <w:rFonts w:hint="default" w:ascii="仿宋_GB2312" w:eastAsia="仿宋_GB2312"/>
                <w:kern w:val="0"/>
                <w:lang w:val="en-US" w:eastAsia="zh-CN"/>
              </w:rPr>
            </w:pPr>
            <w:r>
              <w:rPr>
                <w:rFonts w:hint="default" w:ascii="仿宋_GB2312" w:eastAsia="仿宋_GB2312"/>
                <w:kern w:val="0"/>
                <w:lang w:val="en-US"/>
              </w:rPr>
              <w:t>36</w:t>
            </w:r>
          </w:p>
        </w:tc>
        <w:tc>
          <w:tcPr>
            <w:tcW w:w="1983" w:type="dxa"/>
            <w:gridSpan w:val="2"/>
            <w:vAlign w:val="center"/>
          </w:tcPr>
          <w:p w14:paraId="71BD7494">
            <w:pPr>
              <w:spacing w:line="240" w:lineRule="auto"/>
              <w:ind w:firstLine="420" w:firstLineChars="0"/>
              <w:jc w:val="center"/>
              <w:rPr>
                <w:rFonts w:hint="default" w:ascii="仿宋_GB2312" w:eastAsia="仿宋_GB2312"/>
                <w:kern w:val="0"/>
                <w:lang w:val="en-US" w:eastAsia="zh-CN"/>
              </w:rPr>
            </w:pPr>
            <w:r>
              <w:rPr>
                <w:rFonts w:hint="default" w:ascii="仿宋_GB2312" w:eastAsia="仿宋_GB2312"/>
                <w:kern w:val="0"/>
                <w:lang w:val="en-US"/>
              </w:rPr>
              <w:t>41.69</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28.2</w:t>
            </w:r>
          </w:p>
        </w:tc>
        <w:tc>
          <w:tcPr>
            <w:tcW w:w="2039" w:type="dxa"/>
            <w:gridSpan w:val="2"/>
            <w:vAlign w:val="center"/>
          </w:tcPr>
          <w:p w14:paraId="4D0A1ED9">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36</w:t>
            </w:r>
          </w:p>
        </w:tc>
        <w:tc>
          <w:tcPr>
            <w:tcW w:w="1983" w:type="dxa"/>
            <w:gridSpan w:val="2"/>
            <w:vAlign w:val="center"/>
          </w:tcPr>
          <w:p w14:paraId="5A740743">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41.69</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2.9</w:t>
            </w:r>
          </w:p>
        </w:tc>
        <w:tc>
          <w:tcPr>
            <w:tcW w:w="2039" w:type="dxa"/>
            <w:gridSpan w:val="2"/>
            <w:vAlign w:val="center"/>
          </w:tcPr>
          <w:p w14:paraId="672289AD">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9</w:t>
            </w:r>
          </w:p>
        </w:tc>
        <w:tc>
          <w:tcPr>
            <w:tcW w:w="1983" w:type="dxa"/>
            <w:gridSpan w:val="2"/>
            <w:vAlign w:val="center"/>
          </w:tcPr>
          <w:p w14:paraId="7985B411">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1.5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default" w:ascii="仿宋_GB2312" w:eastAsia="仿宋_GB2312"/>
                <w:kern w:val="0"/>
                <w:lang w:val="en-US" w:eastAsia="zh-CN"/>
              </w:rPr>
              <w:t>129.43</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default" w:ascii="仿宋_GB2312" w:eastAsia="仿宋_GB2312"/>
                <w:kern w:val="0"/>
                <w:lang w:val="en-US" w:eastAsia="zh-CN"/>
              </w:rPr>
              <w:t>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720E1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FCE6231">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打击非法营运专项</w:t>
            </w:r>
          </w:p>
        </w:tc>
        <w:tc>
          <w:tcPr>
            <w:tcW w:w="2116" w:type="dxa"/>
            <w:gridSpan w:val="2"/>
            <w:vAlign w:val="center"/>
          </w:tcPr>
          <w:p w14:paraId="1732F8B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32.31</w:t>
            </w:r>
          </w:p>
        </w:tc>
        <w:tc>
          <w:tcPr>
            <w:tcW w:w="2039" w:type="dxa"/>
            <w:gridSpan w:val="2"/>
            <w:vAlign w:val="center"/>
          </w:tcPr>
          <w:p w14:paraId="03E512A4">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61C08C7B">
            <w:pPr>
              <w:spacing w:line="240" w:lineRule="auto"/>
              <w:ind w:firstLine="420"/>
              <w:jc w:val="center"/>
              <w:rPr>
                <w:rFonts w:hint="eastAsia" w:ascii="仿宋_GB2312" w:eastAsia="仿宋_GB2312"/>
                <w:kern w:val="0"/>
                <w:lang w:val="en-US" w:eastAsia="zh-CN"/>
              </w:rPr>
            </w:pPr>
          </w:p>
        </w:tc>
      </w:tr>
      <w:tr w14:paraId="32806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09C2100">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农村公路养护</w:t>
            </w:r>
          </w:p>
        </w:tc>
        <w:tc>
          <w:tcPr>
            <w:tcW w:w="2116" w:type="dxa"/>
            <w:gridSpan w:val="2"/>
            <w:vAlign w:val="center"/>
          </w:tcPr>
          <w:p w14:paraId="5BF235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39.54</w:t>
            </w:r>
          </w:p>
        </w:tc>
        <w:tc>
          <w:tcPr>
            <w:tcW w:w="2039" w:type="dxa"/>
            <w:gridSpan w:val="2"/>
            <w:vAlign w:val="center"/>
          </w:tcPr>
          <w:p w14:paraId="369E66C7">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2090E1B9">
            <w:pPr>
              <w:spacing w:line="240" w:lineRule="auto"/>
              <w:ind w:firstLine="420"/>
              <w:jc w:val="center"/>
              <w:rPr>
                <w:rFonts w:hint="eastAsia" w:ascii="仿宋_GB2312" w:eastAsia="仿宋_GB2312"/>
                <w:kern w:val="0"/>
                <w:lang w:val="en-US" w:eastAsia="zh-CN"/>
              </w:rPr>
            </w:pPr>
          </w:p>
        </w:tc>
      </w:tr>
      <w:tr w14:paraId="18003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1143C60">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治超专项</w:t>
            </w:r>
          </w:p>
        </w:tc>
        <w:tc>
          <w:tcPr>
            <w:tcW w:w="2116" w:type="dxa"/>
            <w:gridSpan w:val="2"/>
            <w:vAlign w:val="center"/>
          </w:tcPr>
          <w:p w14:paraId="4E02B42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10.72</w:t>
            </w:r>
          </w:p>
        </w:tc>
        <w:tc>
          <w:tcPr>
            <w:tcW w:w="2039" w:type="dxa"/>
            <w:gridSpan w:val="2"/>
            <w:vAlign w:val="center"/>
          </w:tcPr>
          <w:p w14:paraId="25660995">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62B3AFFC">
            <w:pPr>
              <w:spacing w:line="240" w:lineRule="auto"/>
              <w:ind w:firstLine="420"/>
              <w:jc w:val="center"/>
              <w:rPr>
                <w:rFonts w:hint="eastAsia" w:ascii="仿宋_GB2312" w:eastAsia="仿宋_GB2312"/>
                <w:kern w:val="0"/>
                <w:lang w:val="en-US" w:eastAsia="zh-CN"/>
              </w:rPr>
            </w:pPr>
          </w:p>
        </w:tc>
      </w:tr>
      <w:tr w14:paraId="2885B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BB7307C">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执法服装经费</w:t>
            </w:r>
          </w:p>
        </w:tc>
        <w:tc>
          <w:tcPr>
            <w:tcW w:w="2116" w:type="dxa"/>
            <w:gridSpan w:val="2"/>
            <w:vAlign w:val="center"/>
          </w:tcPr>
          <w:p w14:paraId="21291F1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46.86</w:t>
            </w:r>
          </w:p>
        </w:tc>
        <w:tc>
          <w:tcPr>
            <w:tcW w:w="2039" w:type="dxa"/>
            <w:gridSpan w:val="2"/>
            <w:vAlign w:val="center"/>
          </w:tcPr>
          <w:p w14:paraId="69DA2E58">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2A08543D">
            <w:pPr>
              <w:spacing w:line="240" w:lineRule="auto"/>
              <w:ind w:firstLine="420"/>
              <w:jc w:val="center"/>
              <w:rPr>
                <w:rFonts w:hint="eastAsia" w:ascii="仿宋_GB2312" w:eastAsia="仿宋_GB2312"/>
                <w:kern w:val="0"/>
                <w:lang w:val="en-US"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firstLineChars="0"/>
              <w:jc w:val="center"/>
              <w:rPr>
                <w:rFonts w:hint="default" w:ascii="仿宋_GB2312" w:eastAsia="仿宋_GB2312"/>
                <w:kern w:val="0"/>
                <w:lang w:val="en-US"/>
              </w:rPr>
            </w:pPr>
            <w:r>
              <w:rPr>
                <w:rFonts w:hint="default" w:ascii="仿宋_GB2312" w:eastAsia="仿宋_GB2312"/>
                <w:kern w:val="0"/>
                <w:lang w:val="en-US"/>
              </w:rPr>
              <w:t>1.8</w:t>
            </w:r>
          </w:p>
        </w:tc>
        <w:tc>
          <w:tcPr>
            <w:tcW w:w="2039" w:type="dxa"/>
            <w:gridSpan w:val="2"/>
            <w:vAlign w:val="center"/>
          </w:tcPr>
          <w:p w14:paraId="7BB02F1D">
            <w:pPr>
              <w:spacing w:line="240" w:lineRule="auto"/>
              <w:ind w:firstLine="420" w:firstLineChars="0"/>
              <w:jc w:val="center"/>
              <w:rPr>
                <w:rFonts w:hint="default" w:ascii="仿宋_GB2312" w:eastAsia="仿宋_GB2312"/>
                <w:kern w:val="0"/>
                <w:lang w:val="en-US"/>
              </w:rPr>
            </w:pPr>
            <w:r>
              <w:rPr>
                <w:rFonts w:hint="default" w:ascii="仿宋_GB2312" w:eastAsia="仿宋_GB2312"/>
                <w:kern w:val="0"/>
                <w:lang w:val="en-US"/>
              </w:rPr>
              <w:t>10.8</w:t>
            </w:r>
          </w:p>
        </w:tc>
        <w:tc>
          <w:tcPr>
            <w:tcW w:w="1983" w:type="dxa"/>
            <w:gridSpan w:val="2"/>
            <w:vAlign w:val="center"/>
          </w:tcPr>
          <w:p w14:paraId="087A354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18.69</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firstLineChars="0"/>
              <w:jc w:val="center"/>
              <w:rPr>
                <w:rFonts w:hint="default" w:ascii="仿宋_GB2312" w:eastAsia="仿宋_GB2312"/>
                <w:kern w:val="0"/>
                <w:lang w:val="en-US"/>
              </w:rPr>
            </w:pPr>
            <w:r>
              <w:rPr>
                <w:rFonts w:hint="default" w:ascii="仿宋_GB2312" w:eastAsia="仿宋_GB2312"/>
                <w:kern w:val="0"/>
                <w:lang w:val="en-US"/>
              </w:rPr>
              <w:t>12.2</w:t>
            </w:r>
          </w:p>
        </w:tc>
        <w:tc>
          <w:tcPr>
            <w:tcW w:w="2039" w:type="dxa"/>
            <w:gridSpan w:val="2"/>
            <w:vAlign w:val="center"/>
          </w:tcPr>
          <w:p w14:paraId="31E21FE8">
            <w:pPr>
              <w:spacing w:line="240" w:lineRule="auto"/>
              <w:ind w:firstLine="420" w:firstLineChars="0"/>
              <w:jc w:val="center"/>
              <w:rPr>
                <w:rFonts w:hint="default" w:ascii="仿宋_GB2312" w:eastAsia="仿宋_GB2312"/>
                <w:kern w:val="0"/>
                <w:lang w:val="en-US"/>
              </w:rPr>
            </w:pPr>
            <w:r>
              <w:rPr>
                <w:rFonts w:hint="default" w:ascii="仿宋_GB2312" w:eastAsia="仿宋_GB2312"/>
                <w:kern w:val="0"/>
                <w:lang w:val="en-US"/>
              </w:rPr>
              <w:t>11.7</w:t>
            </w:r>
          </w:p>
        </w:tc>
        <w:tc>
          <w:tcPr>
            <w:tcW w:w="1983" w:type="dxa"/>
            <w:gridSpan w:val="2"/>
            <w:vAlign w:val="center"/>
          </w:tcPr>
          <w:p w14:paraId="4FD7453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2.77</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firstLineChars="0"/>
              <w:jc w:val="center"/>
              <w:rPr>
                <w:rFonts w:hint="default" w:ascii="仿宋_GB2312" w:eastAsia="仿宋_GB2312"/>
                <w:kern w:val="0"/>
                <w:lang w:val="en-US"/>
              </w:rPr>
            </w:pPr>
            <w:r>
              <w:rPr>
                <w:rFonts w:hint="default" w:ascii="仿宋_GB2312" w:eastAsia="仿宋_GB2312"/>
                <w:kern w:val="0"/>
                <w:lang w:val="en-US"/>
              </w:rPr>
              <w:t>0.36</w:t>
            </w:r>
          </w:p>
        </w:tc>
        <w:tc>
          <w:tcPr>
            <w:tcW w:w="2039" w:type="dxa"/>
            <w:gridSpan w:val="2"/>
            <w:vAlign w:val="center"/>
          </w:tcPr>
          <w:p w14:paraId="467174B3">
            <w:pPr>
              <w:spacing w:line="240" w:lineRule="auto"/>
              <w:ind w:firstLine="420" w:firstLineChars="0"/>
              <w:jc w:val="center"/>
              <w:rPr>
                <w:rFonts w:hint="default" w:ascii="仿宋_GB2312" w:eastAsia="仿宋_GB2312"/>
                <w:kern w:val="0"/>
                <w:lang w:val="en-US"/>
              </w:rPr>
            </w:pPr>
            <w:r>
              <w:rPr>
                <w:rFonts w:hint="default" w:ascii="仿宋_GB2312" w:eastAsia="仿宋_GB2312"/>
                <w:kern w:val="0"/>
                <w:lang w:val="en-US"/>
              </w:rPr>
              <w:t>9</w:t>
            </w:r>
          </w:p>
        </w:tc>
        <w:tc>
          <w:tcPr>
            <w:tcW w:w="1983" w:type="dxa"/>
            <w:gridSpan w:val="2"/>
            <w:vAlign w:val="center"/>
          </w:tcPr>
          <w:p w14:paraId="550E4F9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2.36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rPr>
            </w:pPr>
            <w:r>
              <w:rPr>
                <w:rFonts w:hint="default" w:ascii="仿宋_GB2312" w:eastAsia="仿宋_GB2312"/>
                <w:kern w:val="0"/>
                <w:lang w:val="en-US"/>
              </w:rPr>
              <w:t>121.8</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198.26</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认真贯彻落实“中央八项”规定要求，厉行节约</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5F2C9F59">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tbl>
      <w:tblPr>
        <w:tblStyle w:val="7"/>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8"/>
        <w:gridCol w:w="1053"/>
        <w:gridCol w:w="1211"/>
        <w:gridCol w:w="1014"/>
        <w:gridCol w:w="1094"/>
        <w:gridCol w:w="1092"/>
        <w:gridCol w:w="804"/>
        <w:gridCol w:w="843"/>
        <w:gridCol w:w="1380"/>
      </w:tblGrid>
      <w:tr w14:paraId="0389B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Align w:val="center"/>
          </w:tcPr>
          <w:p w14:paraId="11F8EA39">
            <w:pPr>
              <w:spacing w:line="240" w:lineRule="auto"/>
              <w:jc w:val="center"/>
              <w:rPr>
                <w:rFonts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预算部门名称</w:t>
            </w:r>
          </w:p>
        </w:tc>
        <w:tc>
          <w:tcPr>
            <w:tcW w:w="8491" w:type="dxa"/>
            <w:gridSpan w:val="8"/>
            <w:vAlign w:val="center"/>
          </w:tcPr>
          <w:p w14:paraId="683C3830">
            <w:pPr>
              <w:spacing w:line="240" w:lineRule="auto"/>
              <w:ind w:firstLine="420"/>
              <w:jc w:val="center"/>
              <w:rPr>
                <w:rFonts w:ascii="仿宋_GB2312" w:hAnsi="宋体" w:eastAsia="仿宋_GB2312" w:cs="宋体"/>
                <w:kern w:val="0"/>
                <w:sz w:val="16"/>
                <w:szCs w:val="16"/>
                <w:lang w:eastAsia="zh-CN"/>
              </w:rPr>
            </w:pPr>
            <w:r>
              <w:rPr>
                <w:rFonts w:hint="eastAsia" w:ascii="仿宋_GB2312" w:eastAsia="仿宋_GB2312"/>
                <w:kern w:val="0"/>
                <w:sz w:val="16"/>
                <w:szCs w:val="16"/>
                <w:lang w:eastAsia="zh-CN"/>
              </w:rPr>
              <w:t>汨罗市交通运输综合行政执法大队</w:t>
            </w:r>
          </w:p>
        </w:tc>
      </w:tr>
      <w:tr w14:paraId="234BD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restart"/>
            <w:tcBorders>
              <w:bottom w:val="nil"/>
            </w:tcBorders>
            <w:vAlign w:val="center"/>
          </w:tcPr>
          <w:p w14:paraId="59E1A8F9">
            <w:pPr>
              <w:spacing w:line="240" w:lineRule="auto"/>
              <w:jc w:val="center"/>
              <w:rPr>
                <w:rFonts w:hint="eastAsia" w:ascii="仿宋_GB2312" w:hAnsi="宋体" w:eastAsia="仿宋_GB2312" w:cs="宋体"/>
                <w:kern w:val="0"/>
                <w:sz w:val="16"/>
                <w:szCs w:val="16"/>
                <w:lang w:eastAsia="zh-CN"/>
              </w:rPr>
            </w:pPr>
          </w:p>
          <w:p w14:paraId="22FB3048">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年度预算申请(万元)</w:t>
            </w:r>
          </w:p>
        </w:tc>
        <w:tc>
          <w:tcPr>
            <w:tcW w:w="2264" w:type="dxa"/>
            <w:gridSpan w:val="2"/>
            <w:vAlign w:val="center"/>
          </w:tcPr>
          <w:p w14:paraId="739C74A9">
            <w:pPr>
              <w:spacing w:line="240" w:lineRule="auto"/>
              <w:jc w:val="center"/>
              <w:rPr>
                <w:rFonts w:hint="eastAsia" w:ascii="仿宋_GB2312" w:hAnsi="宋体" w:eastAsia="仿宋_GB2312" w:cs="宋体"/>
                <w:kern w:val="0"/>
                <w:sz w:val="16"/>
                <w:szCs w:val="16"/>
                <w:lang w:eastAsia="zh-CN"/>
              </w:rPr>
            </w:pPr>
          </w:p>
        </w:tc>
        <w:tc>
          <w:tcPr>
            <w:tcW w:w="1014" w:type="dxa"/>
            <w:vAlign w:val="center"/>
          </w:tcPr>
          <w:p w14:paraId="5F89A055">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年初</w:t>
            </w:r>
          </w:p>
          <w:p w14:paraId="11E3DB28">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预算数</w:t>
            </w:r>
          </w:p>
        </w:tc>
        <w:tc>
          <w:tcPr>
            <w:tcW w:w="1094" w:type="dxa"/>
            <w:vAlign w:val="center"/>
          </w:tcPr>
          <w:p w14:paraId="4EA20C6E">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全年</w:t>
            </w:r>
          </w:p>
          <w:p w14:paraId="375E67AE">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预算数</w:t>
            </w:r>
          </w:p>
        </w:tc>
        <w:tc>
          <w:tcPr>
            <w:tcW w:w="1092" w:type="dxa"/>
            <w:vAlign w:val="center"/>
          </w:tcPr>
          <w:p w14:paraId="6BC2B3E3">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全年</w:t>
            </w:r>
          </w:p>
          <w:p w14:paraId="09922A72">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执行数</w:t>
            </w:r>
          </w:p>
        </w:tc>
        <w:tc>
          <w:tcPr>
            <w:tcW w:w="804" w:type="dxa"/>
            <w:vAlign w:val="center"/>
          </w:tcPr>
          <w:p w14:paraId="5475129C">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分值</w:t>
            </w:r>
          </w:p>
        </w:tc>
        <w:tc>
          <w:tcPr>
            <w:tcW w:w="843" w:type="dxa"/>
            <w:vAlign w:val="center"/>
          </w:tcPr>
          <w:p w14:paraId="15129C16">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执行率</w:t>
            </w:r>
          </w:p>
        </w:tc>
        <w:tc>
          <w:tcPr>
            <w:tcW w:w="1380" w:type="dxa"/>
            <w:vAlign w:val="center"/>
          </w:tcPr>
          <w:p w14:paraId="4AE5FD3A">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得分</w:t>
            </w:r>
          </w:p>
        </w:tc>
      </w:tr>
      <w:tr w14:paraId="5E30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cBorders>
              <w:top w:val="nil"/>
              <w:bottom w:val="nil"/>
            </w:tcBorders>
            <w:vAlign w:val="center"/>
          </w:tcPr>
          <w:p w14:paraId="1095D316">
            <w:pPr>
              <w:spacing w:line="240" w:lineRule="auto"/>
              <w:jc w:val="center"/>
              <w:rPr>
                <w:rFonts w:hint="eastAsia" w:ascii="仿宋_GB2312" w:hAnsi="宋体" w:eastAsia="仿宋_GB2312" w:cs="宋体"/>
                <w:kern w:val="0"/>
                <w:sz w:val="16"/>
                <w:szCs w:val="16"/>
                <w:lang w:eastAsia="zh-CN"/>
              </w:rPr>
            </w:pPr>
          </w:p>
        </w:tc>
        <w:tc>
          <w:tcPr>
            <w:tcW w:w="2264" w:type="dxa"/>
            <w:gridSpan w:val="2"/>
            <w:vAlign w:val="center"/>
          </w:tcPr>
          <w:p w14:paraId="6B6C4531">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年度资金总额</w:t>
            </w:r>
          </w:p>
        </w:tc>
        <w:tc>
          <w:tcPr>
            <w:tcW w:w="1014" w:type="dxa"/>
            <w:vAlign w:val="center"/>
          </w:tcPr>
          <w:p w14:paraId="0416A2A1">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1047.07</w:t>
            </w:r>
          </w:p>
        </w:tc>
        <w:tc>
          <w:tcPr>
            <w:tcW w:w="1094" w:type="dxa"/>
            <w:vAlign w:val="center"/>
          </w:tcPr>
          <w:p w14:paraId="7AD96518">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1129.6</w:t>
            </w:r>
          </w:p>
        </w:tc>
        <w:tc>
          <w:tcPr>
            <w:tcW w:w="1092" w:type="dxa"/>
            <w:vAlign w:val="center"/>
          </w:tcPr>
          <w:p w14:paraId="7420152F">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1129.6</w:t>
            </w:r>
          </w:p>
        </w:tc>
        <w:tc>
          <w:tcPr>
            <w:tcW w:w="804" w:type="dxa"/>
            <w:vAlign w:val="center"/>
          </w:tcPr>
          <w:p w14:paraId="340F8B8C">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10</w:t>
            </w:r>
          </w:p>
        </w:tc>
        <w:tc>
          <w:tcPr>
            <w:tcW w:w="843" w:type="dxa"/>
            <w:vAlign w:val="center"/>
          </w:tcPr>
          <w:p w14:paraId="7402E4F2">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val="en-US" w:eastAsia="zh-CN"/>
              </w:rPr>
              <w:t>100%</w:t>
            </w:r>
          </w:p>
        </w:tc>
        <w:tc>
          <w:tcPr>
            <w:tcW w:w="1380" w:type="dxa"/>
            <w:vAlign w:val="center"/>
          </w:tcPr>
          <w:p w14:paraId="43FB721A">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r>
      <w:tr w14:paraId="23BE2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cBorders>
              <w:top w:val="nil"/>
              <w:bottom w:val="nil"/>
            </w:tcBorders>
            <w:vAlign w:val="center"/>
          </w:tcPr>
          <w:p w14:paraId="2CABAA53">
            <w:pPr>
              <w:spacing w:line="240" w:lineRule="auto"/>
              <w:jc w:val="center"/>
              <w:rPr>
                <w:rFonts w:hint="eastAsia" w:ascii="仿宋_GB2312" w:hAnsi="宋体" w:eastAsia="仿宋_GB2312" w:cs="宋体"/>
                <w:kern w:val="0"/>
                <w:sz w:val="16"/>
                <w:szCs w:val="16"/>
                <w:lang w:eastAsia="zh-CN"/>
              </w:rPr>
            </w:pPr>
          </w:p>
        </w:tc>
        <w:tc>
          <w:tcPr>
            <w:tcW w:w="4372" w:type="dxa"/>
            <w:gridSpan w:val="4"/>
            <w:vAlign w:val="center"/>
          </w:tcPr>
          <w:p w14:paraId="68078E3B">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按收入性质分：</w:t>
            </w:r>
          </w:p>
        </w:tc>
        <w:tc>
          <w:tcPr>
            <w:tcW w:w="4119" w:type="dxa"/>
            <w:gridSpan w:val="4"/>
            <w:vAlign w:val="center"/>
          </w:tcPr>
          <w:p w14:paraId="39461CFA">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按支出性质分：</w:t>
            </w:r>
          </w:p>
        </w:tc>
      </w:tr>
      <w:tr w14:paraId="2668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cBorders>
              <w:top w:val="nil"/>
              <w:bottom w:val="nil"/>
            </w:tcBorders>
            <w:vAlign w:val="center"/>
          </w:tcPr>
          <w:p w14:paraId="7592851E">
            <w:pPr>
              <w:spacing w:line="240" w:lineRule="auto"/>
              <w:jc w:val="center"/>
              <w:rPr>
                <w:rFonts w:hint="eastAsia" w:ascii="仿宋_GB2312" w:hAnsi="宋体" w:eastAsia="仿宋_GB2312" w:cs="宋体"/>
                <w:kern w:val="0"/>
                <w:sz w:val="16"/>
                <w:szCs w:val="16"/>
                <w:lang w:eastAsia="zh-CN"/>
              </w:rPr>
            </w:pPr>
          </w:p>
        </w:tc>
        <w:tc>
          <w:tcPr>
            <w:tcW w:w="4372" w:type="dxa"/>
            <w:gridSpan w:val="4"/>
            <w:vAlign w:val="center"/>
          </w:tcPr>
          <w:p w14:paraId="4D2BD59C">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eastAsia="zh-CN"/>
              </w:rPr>
              <w:t>其中：一般公共预算：</w:t>
            </w:r>
            <w:r>
              <w:rPr>
                <w:rFonts w:hint="eastAsia" w:ascii="仿宋_GB2312" w:hAnsi="宋体" w:eastAsia="仿宋_GB2312" w:cs="宋体"/>
                <w:kern w:val="0"/>
                <w:sz w:val="16"/>
                <w:szCs w:val="16"/>
                <w:lang w:val="en-US" w:eastAsia="zh-CN"/>
              </w:rPr>
              <w:t>1129.6</w:t>
            </w:r>
          </w:p>
        </w:tc>
        <w:tc>
          <w:tcPr>
            <w:tcW w:w="4119" w:type="dxa"/>
            <w:gridSpan w:val="4"/>
            <w:vAlign w:val="center"/>
          </w:tcPr>
          <w:p w14:paraId="443C06C3">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eastAsia="zh-CN"/>
              </w:rPr>
              <w:t>其中：基本支出：</w:t>
            </w:r>
            <w:r>
              <w:rPr>
                <w:rFonts w:hint="eastAsia" w:ascii="仿宋_GB2312" w:hAnsi="宋体" w:eastAsia="仿宋_GB2312" w:cs="宋体"/>
                <w:kern w:val="0"/>
                <w:sz w:val="16"/>
                <w:szCs w:val="16"/>
                <w:lang w:val="en-US" w:eastAsia="zh-CN"/>
              </w:rPr>
              <w:t>1129.6</w:t>
            </w:r>
          </w:p>
        </w:tc>
      </w:tr>
      <w:tr w14:paraId="2961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8" w:type="dxa"/>
            <w:vMerge w:val="continue"/>
            <w:tcBorders>
              <w:top w:val="nil"/>
            </w:tcBorders>
            <w:vAlign w:val="center"/>
          </w:tcPr>
          <w:p w14:paraId="64609891">
            <w:pPr>
              <w:spacing w:line="240" w:lineRule="auto"/>
              <w:ind w:firstLine="420"/>
              <w:jc w:val="center"/>
              <w:rPr>
                <w:rFonts w:ascii="仿宋_GB2312" w:hAnsi="宋体" w:eastAsia="仿宋_GB2312" w:cs="宋体"/>
                <w:kern w:val="0"/>
                <w:sz w:val="16"/>
                <w:szCs w:val="16"/>
                <w:lang w:eastAsia="zh-CN"/>
              </w:rPr>
            </w:pPr>
          </w:p>
        </w:tc>
        <w:tc>
          <w:tcPr>
            <w:tcW w:w="4372" w:type="dxa"/>
            <w:gridSpan w:val="4"/>
            <w:vAlign w:val="center"/>
          </w:tcPr>
          <w:p w14:paraId="02A687D7">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lang w:eastAsia="zh-CN"/>
              </w:rPr>
              <w:t>政府性基金拨款</w:t>
            </w:r>
            <w:r>
              <w:rPr>
                <w:rFonts w:hint="eastAsia" w:ascii="仿宋_GB2312" w:hAnsi="宋体" w:eastAsia="仿宋_GB2312" w:cs="宋体"/>
                <w:kern w:val="0"/>
              </w:rPr>
              <w:t>：</w:t>
            </w:r>
          </w:p>
        </w:tc>
        <w:tc>
          <w:tcPr>
            <w:tcW w:w="4119" w:type="dxa"/>
            <w:gridSpan w:val="4"/>
            <w:vAlign w:val="center"/>
          </w:tcPr>
          <w:p w14:paraId="66079E1A">
            <w:pPr>
              <w:spacing w:line="240" w:lineRule="auto"/>
              <w:ind w:firstLine="1673" w:firstLineChars="1046"/>
              <w:jc w:val="both"/>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项目支出：</w:t>
            </w:r>
            <w:r>
              <w:rPr>
                <w:rFonts w:hint="eastAsia" w:ascii="仿宋_GB2312" w:hAnsi="宋体" w:eastAsia="仿宋_GB2312" w:cs="宋体"/>
                <w:kern w:val="0"/>
                <w:sz w:val="16"/>
                <w:szCs w:val="16"/>
                <w:lang w:val="en-US" w:eastAsia="zh-CN"/>
              </w:rPr>
              <w:t>0</w:t>
            </w:r>
          </w:p>
        </w:tc>
      </w:tr>
      <w:tr w14:paraId="4E1FE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cBorders>
              <w:top w:val="nil"/>
            </w:tcBorders>
            <w:vAlign w:val="center"/>
          </w:tcPr>
          <w:p w14:paraId="418F2824">
            <w:pPr>
              <w:spacing w:line="240" w:lineRule="auto"/>
              <w:ind w:firstLine="420"/>
              <w:jc w:val="center"/>
              <w:rPr>
                <w:rFonts w:ascii="仿宋_GB2312" w:hAnsi="宋体" w:eastAsia="仿宋_GB2312" w:cs="宋体"/>
                <w:kern w:val="0"/>
                <w:sz w:val="16"/>
                <w:szCs w:val="16"/>
                <w:lang w:eastAsia="zh-CN"/>
              </w:rPr>
            </w:pPr>
          </w:p>
        </w:tc>
        <w:tc>
          <w:tcPr>
            <w:tcW w:w="4372" w:type="dxa"/>
            <w:gridSpan w:val="4"/>
            <w:vAlign w:val="center"/>
          </w:tcPr>
          <w:p w14:paraId="12E992A9">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lang w:eastAsia="zh-CN"/>
              </w:rPr>
              <w:t>纳入专户管理的非税收入拨款</w:t>
            </w:r>
            <w:r>
              <w:rPr>
                <w:rFonts w:hint="eastAsia" w:ascii="仿宋_GB2312" w:hAnsi="宋体" w:eastAsia="仿宋_GB2312" w:cs="宋体"/>
                <w:kern w:val="0"/>
                <w:lang w:eastAsia="zh-CN"/>
              </w:rPr>
              <w:t>：</w:t>
            </w:r>
          </w:p>
        </w:tc>
        <w:tc>
          <w:tcPr>
            <w:tcW w:w="1092" w:type="dxa"/>
            <w:vAlign w:val="center"/>
          </w:tcPr>
          <w:p w14:paraId="75F5DBB4">
            <w:pPr>
              <w:spacing w:line="240" w:lineRule="auto"/>
              <w:ind w:firstLine="420"/>
              <w:jc w:val="center"/>
              <w:rPr>
                <w:rFonts w:ascii="仿宋_GB2312" w:hAnsi="宋体" w:eastAsia="仿宋_GB2312" w:cs="宋体"/>
                <w:kern w:val="0"/>
                <w:sz w:val="16"/>
                <w:szCs w:val="16"/>
              </w:rPr>
            </w:pPr>
          </w:p>
        </w:tc>
        <w:tc>
          <w:tcPr>
            <w:tcW w:w="3027" w:type="dxa"/>
            <w:gridSpan w:val="3"/>
            <w:vAlign w:val="center"/>
          </w:tcPr>
          <w:p w14:paraId="75A36F6F">
            <w:pPr>
              <w:spacing w:line="240" w:lineRule="auto"/>
              <w:ind w:firstLine="420"/>
              <w:jc w:val="both"/>
              <w:rPr>
                <w:rFonts w:hint="eastAsia" w:ascii="仿宋_GB2312" w:hAnsi="宋体" w:eastAsia="仿宋_GB2312" w:cs="宋体"/>
                <w:kern w:val="0"/>
                <w:sz w:val="16"/>
                <w:szCs w:val="16"/>
                <w:lang w:eastAsia="zh-CN"/>
              </w:rPr>
            </w:pPr>
          </w:p>
        </w:tc>
      </w:tr>
      <w:tr w14:paraId="6A058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cBorders>
              <w:top w:val="nil"/>
            </w:tcBorders>
            <w:vAlign w:val="center"/>
          </w:tcPr>
          <w:p w14:paraId="2EBA8287">
            <w:pPr>
              <w:spacing w:line="240" w:lineRule="auto"/>
              <w:ind w:firstLine="420"/>
              <w:jc w:val="center"/>
              <w:rPr>
                <w:rFonts w:ascii="仿宋_GB2312" w:hAnsi="宋体" w:eastAsia="仿宋_GB2312" w:cs="宋体"/>
                <w:kern w:val="0"/>
                <w:sz w:val="16"/>
                <w:szCs w:val="16"/>
                <w:lang w:eastAsia="zh-CN"/>
              </w:rPr>
            </w:pPr>
          </w:p>
        </w:tc>
        <w:tc>
          <w:tcPr>
            <w:tcW w:w="2264" w:type="dxa"/>
            <w:gridSpan w:val="2"/>
            <w:vAlign w:val="center"/>
          </w:tcPr>
          <w:p w14:paraId="78650FAA">
            <w:pPr>
              <w:spacing w:line="240" w:lineRule="auto"/>
              <w:ind w:firstLine="480" w:firstLineChars="300"/>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其他资金</w:t>
            </w:r>
          </w:p>
        </w:tc>
        <w:tc>
          <w:tcPr>
            <w:tcW w:w="1014" w:type="dxa"/>
            <w:vAlign w:val="center"/>
          </w:tcPr>
          <w:p w14:paraId="61311D31">
            <w:pPr>
              <w:spacing w:line="240" w:lineRule="auto"/>
              <w:ind w:firstLine="420"/>
              <w:jc w:val="center"/>
              <w:rPr>
                <w:rFonts w:ascii="仿宋_GB2312" w:hAnsi="宋体" w:eastAsia="仿宋_GB2312" w:cs="宋体"/>
                <w:kern w:val="0"/>
                <w:sz w:val="16"/>
                <w:szCs w:val="16"/>
              </w:rPr>
            </w:pPr>
          </w:p>
        </w:tc>
        <w:tc>
          <w:tcPr>
            <w:tcW w:w="1094" w:type="dxa"/>
            <w:vAlign w:val="center"/>
          </w:tcPr>
          <w:p w14:paraId="5B79C79A">
            <w:pPr>
              <w:spacing w:line="240" w:lineRule="auto"/>
              <w:ind w:firstLine="420"/>
              <w:jc w:val="center"/>
              <w:rPr>
                <w:rFonts w:ascii="仿宋_GB2312" w:hAnsi="宋体" w:eastAsia="仿宋_GB2312" w:cs="宋体"/>
                <w:kern w:val="0"/>
                <w:sz w:val="16"/>
                <w:szCs w:val="16"/>
              </w:rPr>
            </w:pPr>
          </w:p>
        </w:tc>
        <w:tc>
          <w:tcPr>
            <w:tcW w:w="1092" w:type="dxa"/>
            <w:vAlign w:val="center"/>
          </w:tcPr>
          <w:p w14:paraId="19BBD3AA">
            <w:pPr>
              <w:spacing w:line="240" w:lineRule="auto"/>
              <w:ind w:firstLine="420"/>
              <w:jc w:val="center"/>
              <w:rPr>
                <w:rFonts w:ascii="仿宋_GB2312" w:hAnsi="宋体" w:eastAsia="仿宋_GB2312" w:cs="宋体"/>
                <w:kern w:val="0"/>
                <w:sz w:val="16"/>
                <w:szCs w:val="16"/>
              </w:rPr>
            </w:pPr>
          </w:p>
        </w:tc>
        <w:tc>
          <w:tcPr>
            <w:tcW w:w="3027" w:type="dxa"/>
            <w:gridSpan w:val="3"/>
            <w:vAlign w:val="center"/>
          </w:tcPr>
          <w:p w14:paraId="0CB819BC">
            <w:pPr>
              <w:spacing w:line="240" w:lineRule="auto"/>
              <w:ind w:firstLine="420"/>
              <w:jc w:val="both"/>
              <w:rPr>
                <w:rFonts w:ascii="仿宋_GB2312" w:hAnsi="宋体" w:eastAsia="仿宋_GB2312" w:cs="宋体"/>
                <w:kern w:val="0"/>
                <w:sz w:val="16"/>
                <w:szCs w:val="16"/>
              </w:rPr>
            </w:pPr>
          </w:p>
        </w:tc>
      </w:tr>
      <w:tr w14:paraId="14762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restart"/>
            <w:tcBorders>
              <w:bottom w:val="nil"/>
            </w:tcBorders>
            <w:vAlign w:val="center"/>
          </w:tcPr>
          <w:p w14:paraId="4C1F7E9B">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年度总体目标</w:t>
            </w:r>
          </w:p>
        </w:tc>
        <w:tc>
          <w:tcPr>
            <w:tcW w:w="4372" w:type="dxa"/>
            <w:gridSpan w:val="4"/>
            <w:vAlign w:val="center"/>
          </w:tcPr>
          <w:p w14:paraId="50F52C3D">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预期目标</w:t>
            </w:r>
          </w:p>
        </w:tc>
        <w:tc>
          <w:tcPr>
            <w:tcW w:w="4119" w:type="dxa"/>
            <w:gridSpan w:val="4"/>
            <w:vAlign w:val="center"/>
          </w:tcPr>
          <w:p w14:paraId="1B748A47">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实际完成情况</w:t>
            </w:r>
          </w:p>
        </w:tc>
      </w:tr>
      <w:tr w14:paraId="38B3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cBorders>
              <w:top w:val="nil"/>
            </w:tcBorders>
            <w:vAlign w:val="center"/>
          </w:tcPr>
          <w:p w14:paraId="4F3F5970">
            <w:pPr>
              <w:spacing w:line="240" w:lineRule="auto"/>
              <w:ind w:firstLine="420"/>
              <w:jc w:val="center"/>
              <w:rPr>
                <w:rFonts w:ascii="仿宋_GB2312" w:hAnsi="宋体" w:eastAsia="仿宋_GB2312" w:cs="宋体"/>
                <w:kern w:val="0"/>
                <w:sz w:val="16"/>
                <w:szCs w:val="16"/>
              </w:rPr>
            </w:pPr>
          </w:p>
        </w:tc>
        <w:tc>
          <w:tcPr>
            <w:tcW w:w="4372" w:type="dxa"/>
            <w:gridSpan w:val="4"/>
            <w:vAlign w:val="center"/>
          </w:tcPr>
          <w:p w14:paraId="0CB1BFCA">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1.深化路域环境治理，保障公路安全畅通。结合美丽乡村建设，集中力量对集镇路段、违法棚屋、</w:t>
            </w:r>
          </w:p>
          <w:p w14:paraId="09F025FD">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非公路标志、摆摊设点、堆物放料等严重影响路容路貌的违法行为开展专项整治，确保全市干线公</w:t>
            </w:r>
          </w:p>
          <w:p w14:paraId="6B8687EA">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路路域环境基本实现“八无”管理目标。</w:t>
            </w:r>
          </w:p>
          <w:p w14:paraId="69C035A7">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2.巩固深化治超成果，实现常态和长效化治超。严格落实“一超四究”等处罚机制，抓好源头</w:t>
            </w:r>
          </w:p>
          <w:p w14:paraId="56AEED5E">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治超和联网治超，推进治超治限联合执法常态化制度化，按照市委市政府、市治超办的统一部署，</w:t>
            </w:r>
          </w:p>
          <w:p w14:paraId="740245F6">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确保治超工作力度不减，继续保持高压态势，坚决遏制超限运输反弹，确保人民生命财产安全。</w:t>
            </w:r>
          </w:p>
          <w:p w14:paraId="487E2A7B">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3.加大打非治违力度，坚持不懈守好安全底线。落实“一线工作法”， 持续加大涉黑涉恶线索</w:t>
            </w:r>
          </w:p>
          <w:p w14:paraId="2769D416">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搜集排查力度，加强综合治理、源头治理，切实推进乱点乱象集中整治到位，铲除黑恶势力滋生土</w:t>
            </w:r>
          </w:p>
          <w:p w14:paraId="00B83371">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壤。积极开展客运、危货、出租车专项治理，切实加强“两客一危”、农村客运等重点领域执法，</w:t>
            </w:r>
          </w:p>
          <w:p w14:paraId="4FEA7A80">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切实加强安全执法力度，确保道路运输市场安全平稳。</w:t>
            </w:r>
          </w:p>
          <w:p w14:paraId="743243B7">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4、强化水上综合行政执法，切实维护水上交通运输安全。加强日常行政执法和专项整治行动， 根据</w:t>
            </w:r>
          </w:p>
          <w:p w14:paraId="1B61326E">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市政府部署，配合其他相关部门联合开展水上交通安全专项行动，维护水上交通运输安全，保护人</w:t>
            </w:r>
          </w:p>
          <w:p w14:paraId="0761E977">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民群众的生命、财产安全。</w:t>
            </w:r>
          </w:p>
          <w:p w14:paraId="4193E85B">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5、加强交通工程质量安全监督，提升工程质量安全水平。切实加强公路水运工程安全生产执法，提</w:t>
            </w:r>
          </w:p>
          <w:p w14:paraId="6485605C">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升工程质量安全水平，防止和减少生产安全事故。</w:t>
            </w:r>
          </w:p>
          <w:p w14:paraId="7A8CD9D8">
            <w:pPr>
              <w:spacing w:line="240" w:lineRule="auto"/>
              <w:ind w:firstLine="420"/>
              <w:jc w:val="center"/>
              <w:rPr>
                <w:rFonts w:hint="eastAsia" w:ascii="仿宋_GB2312" w:hAnsi="宋体" w:eastAsia="仿宋_GB2312" w:cs="宋体"/>
                <w:kern w:val="0"/>
                <w:sz w:val="16"/>
                <w:szCs w:val="16"/>
              </w:rPr>
            </w:pPr>
            <w:r>
              <w:rPr>
                <w:rFonts w:hint="eastAsia" w:ascii="仿宋_GB2312" w:hAnsi="宋体" w:eastAsia="仿宋_GB2312" w:cs="宋体"/>
                <w:kern w:val="0"/>
                <w:sz w:val="16"/>
                <w:szCs w:val="16"/>
              </w:rPr>
              <w:t>6、按规定配置管理执法制式服装和标志，提高执法队伍形象。加强我市交通运输综合行政执法人员</w:t>
            </w:r>
          </w:p>
          <w:p w14:paraId="10C35617">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依法行政、文明执法，进一步提升交通运输综合行政执法队伍形象。</w:t>
            </w:r>
          </w:p>
        </w:tc>
        <w:tc>
          <w:tcPr>
            <w:tcW w:w="4119" w:type="dxa"/>
            <w:gridSpan w:val="4"/>
            <w:vAlign w:val="center"/>
          </w:tcPr>
          <w:p w14:paraId="1A2B21EF">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我单位2023年度工作紧紧围绕国家法律法规和上级文件精神，严格按照省、岳阳市工作部署，认真贯彻省、工作会议精神，加强领导，落实责任，严格治理，确保实效。经过全年各环节的执法督查，我市城区道路设施得到了有效的保护，道路维修比往年大量减少，道路安全事故发生率明显降低，有效保障了人民群众的出行便捷及生命财产安全。同时有效加强同上级部门、兄弟县市信息沟通，积极配合各地治超部门协同作战，维护了大局，维护了良好的市场秩序和交通运输环境。</w:t>
            </w:r>
          </w:p>
        </w:tc>
      </w:tr>
      <w:tr w14:paraId="25C0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restart"/>
            <w:textDirection w:val="tbRlV"/>
            <w:vAlign w:val="center"/>
          </w:tcPr>
          <w:p w14:paraId="2997190E">
            <w:pPr>
              <w:spacing w:line="240" w:lineRule="auto"/>
              <w:ind w:firstLine="420"/>
              <w:jc w:val="center"/>
              <w:rPr>
                <w:rFonts w:ascii="仿宋_GB2312" w:hAnsi="宋体" w:eastAsia="仿宋_GB2312" w:cs="宋体"/>
                <w:kern w:val="0"/>
                <w:sz w:val="16"/>
                <w:szCs w:val="16"/>
              </w:rPr>
            </w:pPr>
          </w:p>
          <w:p w14:paraId="394F5E99">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绩效指标</w:t>
            </w:r>
          </w:p>
        </w:tc>
        <w:tc>
          <w:tcPr>
            <w:tcW w:w="1053" w:type="dxa"/>
            <w:vAlign w:val="center"/>
          </w:tcPr>
          <w:p w14:paraId="3476E815">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一级指标</w:t>
            </w:r>
          </w:p>
        </w:tc>
        <w:tc>
          <w:tcPr>
            <w:tcW w:w="1211" w:type="dxa"/>
            <w:vAlign w:val="center"/>
          </w:tcPr>
          <w:p w14:paraId="6E9F0C00">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二级指标</w:t>
            </w:r>
          </w:p>
        </w:tc>
        <w:tc>
          <w:tcPr>
            <w:tcW w:w="1014" w:type="dxa"/>
            <w:vAlign w:val="center"/>
          </w:tcPr>
          <w:p w14:paraId="585A7BB3">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三级指标</w:t>
            </w:r>
          </w:p>
        </w:tc>
        <w:tc>
          <w:tcPr>
            <w:tcW w:w="1094" w:type="dxa"/>
            <w:vAlign w:val="center"/>
          </w:tcPr>
          <w:p w14:paraId="3AD89E1C">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年度指标值</w:t>
            </w:r>
          </w:p>
        </w:tc>
        <w:tc>
          <w:tcPr>
            <w:tcW w:w="1092" w:type="dxa"/>
            <w:vAlign w:val="center"/>
          </w:tcPr>
          <w:p w14:paraId="22375879">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实际完成值</w:t>
            </w:r>
          </w:p>
        </w:tc>
        <w:tc>
          <w:tcPr>
            <w:tcW w:w="804" w:type="dxa"/>
            <w:vAlign w:val="center"/>
          </w:tcPr>
          <w:p w14:paraId="59F00BA3">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分值</w:t>
            </w:r>
          </w:p>
        </w:tc>
        <w:tc>
          <w:tcPr>
            <w:tcW w:w="843" w:type="dxa"/>
            <w:vAlign w:val="center"/>
          </w:tcPr>
          <w:p w14:paraId="30C19312">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得分</w:t>
            </w:r>
          </w:p>
        </w:tc>
        <w:tc>
          <w:tcPr>
            <w:tcW w:w="1380" w:type="dxa"/>
            <w:vAlign w:val="center"/>
          </w:tcPr>
          <w:p w14:paraId="7125B741">
            <w:pPr>
              <w:spacing w:line="240" w:lineRule="auto"/>
              <w:jc w:val="center"/>
              <w:rPr>
                <w:rFonts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偏差原因分析及改进措施</w:t>
            </w:r>
          </w:p>
        </w:tc>
      </w:tr>
      <w:tr w14:paraId="073E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48" w:type="dxa"/>
            <w:vMerge w:val="continue"/>
            <w:textDirection w:val="tbRlV"/>
            <w:vAlign w:val="center"/>
          </w:tcPr>
          <w:p w14:paraId="4B0C7CD1">
            <w:pPr>
              <w:spacing w:line="240" w:lineRule="auto"/>
              <w:ind w:firstLine="420"/>
              <w:jc w:val="center"/>
              <w:rPr>
                <w:rFonts w:ascii="仿宋_GB2312" w:hAnsi="宋体" w:eastAsia="仿宋_GB2312" w:cs="宋体"/>
                <w:kern w:val="0"/>
                <w:sz w:val="16"/>
                <w:szCs w:val="16"/>
                <w:lang w:eastAsia="zh-CN"/>
              </w:rPr>
            </w:pPr>
          </w:p>
        </w:tc>
        <w:tc>
          <w:tcPr>
            <w:tcW w:w="1053" w:type="dxa"/>
            <w:vMerge w:val="restart"/>
            <w:tcBorders>
              <w:bottom w:val="nil"/>
            </w:tcBorders>
            <w:vAlign w:val="center"/>
          </w:tcPr>
          <w:p w14:paraId="64DE2A93">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产出指标</w:t>
            </w:r>
          </w:p>
          <w:p w14:paraId="263BF7F1">
            <w:pPr>
              <w:spacing w:line="240" w:lineRule="auto"/>
              <w:jc w:val="center"/>
              <w:rPr>
                <w:rFonts w:ascii="仿宋_GB2312" w:hAnsi="宋体" w:eastAsia="仿宋_GB2312" w:cs="宋体"/>
                <w:kern w:val="0"/>
                <w:sz w:val="16"/>
                <w:szCs w:val="16"/>
              </w:rPr>
            </w:pPr>
            <w:r>
              <w:rPr>
                <w:rFonts w:ascii="仿宋_GB2312" w:hAnsi="宋体" w:eastAsia="仿宋_GB2312" w:cs="宋体"/>
                <w:kern w:val="0"/>
                <w:sz w:val="16"/>
                <w:szCs w:val="16"/>
              </w:rPr>
              <w:t>(</w:t>
            </w:r>
            <w:r>
              <w:rPr>
                <w:rFonts w:hint="eastAsia" w:ascii="仿宋_GB2312" w:hAnsi="宋体" w:eastAsia="仿宋_GB2312" w:cs="宋体"/>
                <w:kern w:val="0"/>
                <w:sz w:val="16"/>
                <w:szCs w:val="16"/>
                <w:lang w:val="en-US" w:eastAsia="zh-CN"/>
              </w:rPr>
              <w:t>3</w:t>
            </w:r>
            <w:r>
              <w:rPr>
                <w:rFonts w:ascii="仿宋_GB2312" w:hAnsi="宋体" w:eastAsia="仿宋_GB2312" w:cs="宋体"/>
                <w:kern w:val="0"/>
                <w:sz w:val="16"/>
                <w:szCs w:val="16"/>
              </w:rPr>
              <w:t>0</w:t>
            </w:r>
            <w:r>
              <w:rPr>
                <w:rFonts w:hint="eastAsia" w:ascii="仿宋_GB2312" w:hAnsi="宋体" w:eastAsia="仿宋_GB2312" w:cs="宋体"/>
                <w:kern w:val="0"/>
                <w:sz w:val="16"/>
                <w:szCs w:val="16"/>
              </w:rPr>
              <w:t>分</w:t>
            </w:r>
            <w:r>
              <w:rPr>
                <w:rFonts w:ascii="仿宋_GB2312" w:hAnsi="宋体" w:eastAsia="仿宋_GB2312" w:cs="宋体"/>
                <w:kern w:val="0"/>
                <w:sz w:val="16"/>
                <w:szCs w:val="16"/>
              </w:rPr>
              <w:t>)</w:t>
            </w:r>
          </w:p>
        </w:tc>
        <w:tc>
          <w:tcPr>
            <w:tcW w:w="1211" w:type="dxa"/>
            <w:vMerge w:val="restart"/>
            <w:vAlign w:val="center"/>
          </w:tcPr>
          <w:p w14:paraId="4E63D457">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数量指标</w:t>
            </w:r>
          </w:p>
        </w:tc>
        <w:tc>
          <w:tcPr>
            <w:tcW w:w="1014" w:type="dxa"/>
            <w:vAlign w:val="center"/>
          </w:tcPr>
          <w:p w14:paraId="5435E03E">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发现的重大隐患督促整改、跟踪督办率</w:t>
            </w:r>
          </w:p>
        </w:tc>
        <w:tc>
          <w:tcPr>
            <w:tcW w:w="1094" w:type="dxa"/>
            <w:vAlign w:val="center"/>
          </w:tcPr>
          <w:p w14:paraId="0922B115">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100%</w:t>
            </w:r>
          </w:p>
        </w:tc>
        <w:tc>
          <w:tcPr>
            <w:tcW w:w="1092" w:type="dxa"/>
            <w:vAlign w:val="center"/>
          </w:tcPr>
          <w:p w14:paraId="7CD5CCC4">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100%</w:t>
            </w:r>
          </w:p>
        </w:tc>
        <w:tc>
          <w:tcPr>
            <w:tcW w:w="804" w:type="dxa"/>
            <w:vMerge w:val="restart"/>
            <w:vAlign w:val="center"/>
          </w:tcPr>
          <w:p w14:paraId="3B0670E8">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843" w:type="dxa"/>
            <w:vMerge w:val="restart"/>
            <w:vAlign w:val="center"/>
          </w:tcPr>
          <w:p w14:paraId="03354E47">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9.25</w:t>
            </w:r>
          </w:p>
        </w:tc>
        <w:tc>
          <w:tcPr>
            <w:tcW w:w="1380" w:type="dxa"/>
            <w:vAlign w:val="center"/>
          </w:tcPr>
          <w:p w14:paraId="6B2AE1E5">
            <w:pPr>
              <w:spacing w:line="240" w:lineRule="auto"/>
              <w:ind w:firstLine="420"/>
              <w:jc w:val="center"/>
              <w:rPr>
                <w:rFonts w:ascii="仿宋_GB2312" w:hAnsi="宋体" w:eastAsia="仿宋_GB2312" w:cs="宋体"/>
                <w:kern w:val="0"/>
                <w:sz w:val="16"/>
                <w:szCs w:val="16"/>
              </w:rPr>
            </w:pPr>
          </w:p>
        </w:tc>
      </w:tr>
      <w:tr w14:paraId="7E708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continue"/>
            <w:textDirection w:val="tbRlV"/>
            <w:vAlign w:val="center"/>
          </w:tcPr>
          <w:p w14:paraId="3F9DA3E7">
            <w:pPr>
              <w:spacing w:line="240" w:lineRule="auto"/>
              <w:ind w:firstLine="420"/>
              <w:jc w:val="center"/>
              <w:rPr>
                <w:rFonts w:ascii="仿宋_GB2312" w:hAnsi="宋体" w:eastAsia="仿宋_GB2312" w:cs="宋体"/>
                <w:kern w:val="0"/>
                <w:sz w:val="16"/>
                <w:szCs w:val="16"/>
                <w:lang w:eastAsia="zh-CN"/>
              </w:rPr>
            </w:pPr>
          </w:p>
        </w:tc>
        <w:tc>
          <w:tcPr>
            <w:tcW w:w="1053" w:type="dxa"/>
            <w:vMerge w:val="continue"/>
            <w:vAlign w:val="center"/>
          </w:tcPr>
          <w:p w14:paraId="5C063B54">
            <w:pPr>
              <w:spacing w:line="240" w:lineRule="auto"/>
              <w:jc w:val="center"/>
              <w:rPr>
                <w:rFonts w:ascii="仿宋_GB2312" w:hAnsi="宋体" w:eastAsia="仿宋_GB2312" w:cs="宋体"/>
                <w:kern w:val="0"/>
                <w:sz w:val="16"/>
                <w:szCs w:val="16"/>
              </w:rPr>
            </w:pPr>
          </w:p>
        </w:tc>
        <w:tc>
          <w:tcPr>
            <w:tcW w:w="1211" w:type="dxa"/>
            <w:vMerge w:val="continue"/>
            <w:vAlign w:val="center"/>
          </w:tcPr>
          <w:p w14:paraId="534D2C41">
            <w:pPr>
              <w:spacing w:line="240" w:lineRule="auto"/>
              <w:jc w:val="center"/>
              <w:rPr>
                <w:rFonts w:hint="eastAsia" w:ascii="仿宋_GB2312" w:hAnsi="宋体" w:eastAsia="仿宋_GB2312" w:cs="宋体"/>
                <w:kern w:val="0"/>
                <w:sz w:val="16"/>
                <w:szCs w:val="16"/>
              </w:rPr>
            </w:pPr>
          </w:p>
        </w:tc>
        <w:tc>
          <w:tcPr>
            <w:tcW w:w="1014" w:type="dxa"/>
            <w:vAlign w:val="center"/>
          </w:tcPr>
          <w:p w14:paraId="3C1CAE1B">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交办的代理案件办理率</w:t>
            </w:r>
          </w:p>
        </w:tc>
        <w:tc>
          <w:tcPr>
            <w:tcW w:w="1094" w:type="dxa"/>
            <w:vAlign w:val="center"/>
          </w:tcPr>
          <w:p w14:paraId="5BCA7ACF">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100%</w:t>
            </w:r>
          </w:p>
        </w:tc>
        <w:tc>
          <w:tcPr>
            <w:tcW w:w="1092" w:type="dxa"/>
            <w:vAlign w:val="center"/>
          </w:tcPr>
          <w:p w14:paraId="5275615A">
            <w:pPr>
              <w:spacing w:line="240" w:lineRule="auto"/>
              <w:ind w:firstLine="420" w:firstLineChars="0"/>
              <w:jc w:val="both"/>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804" w:type="dxa"/>
            <w:vMerge w:val="continue"/>
            <w:vAlign w:val="center"/>
          </w:tcPr>
          <w:p w14:paraId="3725F5FC">
            <w:pPr>
              <w:spacing w:line="240" w:lineRule="auto"/>
              <w:jc w:val="center"/>
              <w:rPr>
                <w:rFonts w:hint="default" w:ascii="仿宋_GB2312" w:hAnsi="宋体" w:eastAsia="仿宋_GB2312" w:cs="宋体"/>
                <w:kern w:val="0"/>
                <w:sz w:val="16"/>
                <w:szCs w:val="16"/>
                <w:lang w:val="en-US" w:eastAsia="zh-CN"/>
              </w:rPr>
            </w:pPr>
          </w:p>
        </w:tc>
        <w:tc>
          <w:tcPr>
            <w:tcW w:w="843" w:type="dxa"/>
            <w:vMerge w:val="continue"/>
            <w:vAlign w:val="center"/>
          </w:tcPr>
          <w:p w14:paraId="26E9423C">
            <w:pPr>
              <w:spacing w:line="240" w:lineRule="auto"/>
              <w:jc w:val="center"/>
              <w:rPr>
                <w:rFonts w:hint="default" w:ascii="仿宋_GB2312" w:hAnsi="宋体" w:eastAsia="仿宋_GB2312" w:cs="宋体"/>
                <w:kern w:val="0"/>
                <w:sz w:val="16"/>
                <w:szCs w:val="16"/>
                <w:lang w:val="en-US" w:eastAsia="zh-CN"/>
              </w:rPr>
            </w:pPr>
          </w:p>
        </w:tc>
        <w:tc>
          <w:tcPr>
            <w:tcW w:w="1380" w:type="dxa"/>
            <w:vAlign w:val="center"/>
          </w:tcPr>
          <w:p w14:paraId="64CF5BB0">
            <w:pPr>
              <w:spacing w:line="240" w:lineRule="auto"/>
              <w:ind w:firstLine="420"/>
              <w:jc w:val="center"/>
              <w:rPr>
                <w:rFonts w:ascii="仿宋_GB2312" w:hAnsi="宋体" w:eastAsia="仿宋_GB2312" w:cs="宋体"/>
                <w:kern w:val="0"/>
                <w:sz w:val="16"/>
                <w:szCs w:val="16"/>
              </w:rPr>
            </w:pPr>
          </w:p>
        </w:tc>
      </w:tr>
      <w:tr w14:paraId="5FCA6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continue"/>
            <w:textDirection w:val="tbRlV"/>
            <w:vAlign w:val="center"/>
          </w:tcPr>
          <w:p w14:paraId="141E3728">
            <w:pPr>
              <w:spacing w:line="240" w:lineRule="auto"/>
              <w:ind w:firstLine="420"/>
              <w:jc w:val="center"/>
              <w:rPr>
                <w:rFonts w:ascii="仿宋_GB2312" w:hAnsi="宋体" w:eastAsia="仿宋_GB2312" w:cs="宋体"/>
                <w:kern w:val="0"/>
                <w:sz w:val="16"/>
                <w:szCs w:val="16"/>
                <w:lang w:eastAsia="zh-CN"/>
              </w:rPr>
            </w:pPr>
          </w:p>
        </w:tc>
        <w:tc>
          <w:tcPr>
            <w:tcW w:w="1053" w:type="dxa"/>
            <w:vMerge w:val="continue"/>
            <w:vAlign w:val="center"/>
          </w:tcPr>
          <w:p w14:paraId="16E0811E">
            <w:pPr>
              <w:spacing w:line="240" w:lineRule="auto"/>
              <w:jc w:val="center"/>
              <w:rPr>
                <w:rFonts w:ascii="仿宋_GB2312" w:hAnsi="宋体" w:eastAsia="仿宋_GB2312" w:cs="宋体"/>
                <w:kern w:val="0"/>
                <w:sz w:val="16"/>
                <w:szCs w:val="16"/>
              </w:rPr>
            </w:pPr>
          </w:p>
        </w:tc>
        <w:tc>
          <w:tcPr>
            <w:tcW w:w="1211" w:type="dxa"/>
            <w:vMerge w:val="continue"/>
            <w:vAlign w:val="center"/>
          </w:tcPr>
          <w:p w14:paraId="45B2305C">
            <w:pPr>
              <w:spacing w:line="240" w:lineRule="auto"/>
              <w:jc w:val="center"/>
              <w:rPr>
                <w:rFonts w:hint="eastAsia" w:ascii="仿宋_GB2312" w:hAnsi="宋体" w:eastAsia="仿宋_GB2312" w:cs="宋体"/>
                <w:kern w:val="0"/>
                <w:sz w:val="16"/>
                <w:szCs w:val="16"/>
              </w:rPr>
            </w:pPr>
          </w:p>
        </w:tc>
        <w:tc>
          <w:tcPr>
            <w:tcW w:w="1014" w:type="dxa"/>
            <w:vAlign w:val="center"/>
          </w:tcPr>
          <w:p w14:paraId="49296F12">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投诉回复处理率</w:t>
            </w:r>
          </w:p>
        </w:tc>
        <w:tc>
          <w:tcPr>
            <w:tcW w:w="1094" w:type="dxa"/>
            <w:vAlign w:val="center"/>
          </w:tcPr>
          <w:p w14:paraId="3FA5A2FA">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100%</w:t>
            </w:r>
          </w:p>
        </w:tc>
        <w:tc>
          <w:tcPr>
            <w:tcW w:w="1092" w:type="dxa"/>
            <w:vAlign w:val="center"/>
          </w:tcPr>
          <w:p w14:paraId="0F1D0950">
            <w:pPr>
              <w:spacing w:line="240" w:lineRule="auto"/>
              <w:ind w:firstLine="420" w:firstLineChars="0"/>
              <w:jc w:val="both"/>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100%</w:t>
            </w:r>
          </w:p>
        </w:tc>
        <w:tc>
          <w:tcPr>
            <w:tcW w:w="804" w:type="dxa"/>
            <w:vMerge w:val="continue"/>
            <w:vAlign w:val="center"/>
          </w:tcPr>
          <w:p w14:paraId="7BDC8820">
            <w:pPr>
              <w:spacing w:line="240" w:lineRule="auto"/>
              <w:jc w:val="center"/>
              <w:rPr>
                <w:rFonts w:hint="default" w:ascii="仿宋_GB2312" w:hAnsi="宋体" w:eastAsia="仿宋_GB2312" w:cs="宋体"/>
                <w:kern w:val="0"/>
                <w:sz w:val="16"/>
                <w:szCs w:val="16"/>
                <w:lang w:val="en-US" w:eastAsia="zh-CN"/>
              </w:rPr>
            </w:pPr>
          </w:p>
        </w:tc>
        <w:tc>
          <w:tcPr>
            <w:tcW w:w="843" w:type="dxa"/>
            <w:vMerge w:val="continue"/>
            <w:vAlign w:val="center"/>
          </w:tcPr>
          <w:p w14:paraId="15D75B3A">
            <w:pPr>
              <w:spacing w:line="240" w:lineRule="auto"/>
              <w:jc w:val="center"/>
              <w:rPr>
                <w:rFonts w:hint="default" w:ascii="仿宋_GB2312" w:hAnsi="宋体" w:eastAsia="仿宋_GB2312" w:cs="宋体"/>
                <w:kern w:val="0"/>
                <w:sz w:val="16"/>
                <w:szCs w:val="16"/>
                <w:lang w:val="en-US" w:eastAsia="zh-CN"/>
              </w:rPr>
            </w:pPr>
          </w:p>
        </w:tc>
        <w:tc>
          <w:tcPr>
            <w:tcW w:w="1380" w:type="dxa"/>
            <w:vAlign w:val="center"/>
          </w:tcPr>
          <w:p w14:paraId="1972D273">
            <w:pPr>
              <w:spacing w:line="240" w:lineRule="auto"/>
              <w:ind w:firstLine="420"/>
              <w:jc w:val="center"/>
              <w:rPr>
                <w:rFonts w:ascii="仿宋_GB2312" w:hAnsi="宋体" w:eastAsia="仿宋_GB2312" w:cs="宋体"/>
                <w:kern w:val="0"/>
                <w:sz w:val="16"/>
                <w:szCs w:val="16"/>
              </w:rPr>
            </w:pPr>
          </w:p>
        </w:tc>
      </w:tr>
      <w:tr w14:paraId="15B23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continue"/>
            <w:textDirection w:val="tbRlV"/>
            <w:vAlign w:val="center"/>
          </w:tcPr>
          <w:p w14:paraId="40BE456A">
            <w:pPr>
              <w:spacing w:line="240" w:lineRule="auto"/>
              <w:ind w:firstLine="420"/>
              <w:jc w:val="center"/>
              <w:rPr>
                <w:rFonts w:ascii="仿宋_GB2312" w:hAnsi="宋体" w:eastAsia="仿宋_GB2312" w:cs="宋体"/>
                <w:kern w:val="0"/>
                <w:sz w:val="16"/>
                <w:szCs w:val="16"/>
                <w:lang w:eastAsia="zh-CN"/>
              </w:rPr>
            </w:pPr>
          </w:p>
        </w:tc>
        <w:tc>
          <w:tcPr>
            <w:tcW w:w="1053" w:type="dxa"/>
            <w:vMerge w:val="continue"/>
            <w:vAlign w:val="center"/>
          </w:tcPr>
          <w:p w14:paraId="11023C66">
            <w:pPr>
              <w:spacing w:line="240" w:lineRule="auto"/>
              <w:jc w:val="center"/>
              <w:rPr>
                <w:rFonts w:ascii="仿宋_GB2312" w:hAnsi="宋体" w:eastAsia="仿宋_GB2312" w:cs="宋体"/>
                <w:kern w:val="0"/>
                <w:sz w:val="16"/>
                <w:szCs w:val="16"/>
              </w:rPr>
            </w:pPr>
          </w:p>
        </w:tc>
        <w:tc>
          <w:tcPr>
            <w:tcW w:w="1211" w:type="dxa"/>
            <w:vMerge w:val="continue"/>
            <w:tcBorders>
              <w:bottom w:val="nil"/>
            </w:tcBorders>
            <w:vAlign w:val="center"/>
          </w:tcPr>
          <w:p w14:paraId="65958BCB">
            <w:pPr>
              <w:spacing w:line="240" w:lineRule="auto"/>
              <w:jc w:val="center"/>
              <w:rPr>
                <w:rFonts w:hint="eastAsia" w:ascii="仿宋_GB2312" w:hAnsi="宋体" w:eastAsia="仿宋_GB2312" w:cs="宋体"/>
                <w:kern w:val="0"/>
                <w:sz w:val="16"/>
                <w:szCs w:val="16"/>
              </w:rPr>
            </w:pPr>
          </w:p>
        </w:tc>
        <w:tc>
          <w:tcPr>
            <w:tcW w:w="1014" w:type="dxa"/>
            <w:vAlign w:val="center"/>
          </w:tcPr>
          <w:p w14:paraId="1DF1BA79">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全年开展各类专项整治工作</w:t>
            </w:r>
          </w:p>
        </w:tc>
        <w:tc>
          <w:tcPr>
            <w:tcW w:w="1094" w:type="dxa"/>
            <w:vAlign w:val="center"/>
          </w:tcPr>
          <w:p w14:paraId="4EBD59EB">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≥8次</w:t>
            </w:r>
          </w:p>
        </w:tc>
        <w:tc>
          <w:tcPr>
            <w:tcW w:w="1092" w:type="dxa"/>
            <w:vAlign w:val="center"/>
          </w:tcPr>
          <w:p w14:paraId="034775AB">
            <w:pPr>
              <w:spacing w:line="240" w:lineRule="auto"/>
              <w:ind w:firstLine="420" w:firstLineChars="0"/>
              <w:jc w:val="both"/>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≥8次</w:t>
            </w:r>
          </w:p>
        </w:tc>
        <w:tc>
          <w:tcPr>
            <w:tcW w:w="804" w:type="dxa"/>
            <w:vMerge w:val="continue"/>
            <w:vAlign w:val="center"/>
          </w:tcPr>
          <w:p w14:paraId="1C7F64C5">
            <w:pPr>
              <w:spacing w:line="240" w:lineRule="auto"/>
              <w:jc w:val="center"/>
              <w:rPr>
                <w:rFonts w:hint="default" w:ascii="仿宋_GB2312" w:hAnsi="宋体" w:eastAsia="仿宋_GB2312" w:cs="宋体"/>
                <w:kern w:val="0"/>
                <w:sz w:val="16"/>
                <w:szCs w:val="16"/>
                <w:lang w:val="en-US" w:eastAsia="zh-CN"/>
              </w:rPr>
            </w:pPr>
          </w:p>
        </w:tc>
        <w:tc>
          <w:tcPr>
            <w:tcW w:w="843" w:type="dxa"/>
            <w:vMerge w:val="continue"/>
            <w:vAlign w:val="center"/>
          </w:tcPr>
          <w:p w14:paraId="015A3D90">
            <w:pPr>
              <w:spacing w:line="240" w:lineRule="auto"/>
              <w:jc w:val="center"/>
              <w:rPr>
                <w:rFonts w:hint="eastAsia" w:ascii="仿宋_GB2312" w:hAnsi="宋体" w:eastAsia="仿宋_GB2312" w:cs="宋体"/>
                <w:kern w:val="0"/>
                <w:sz w:val="16"/>
                <w:szCs w:val="16"/>
                <w:lang w:val="en-US" w:eastAsia="zh-CN"/>
              </w:rPr>
            </w:pPr>
          </w:p>
        </w:tc>
        <w:tc>
          <w:tcPr>
            <w:tcW w:w="1380" w:type="dxa"/>
            <w:vAlign w:val="center"/>
          </w:tcPr>
          <w:p w14:paraId="72A9E730">
            <w:pPr>
              <w:spacing w:line="240" w:lineRule="auto"/>
              <w:ind w:firstLine="420"/>
              <w:jc w:val="center"/>
              <w:rPr>
                <w:rFonts w:ascii="仿宋_GB2312" w:hAnsi="宋体" w:eastAsia="仿宋_GB2312" w:cs="宋体"/>
                <w:kern w:val="0"/>
                <w:sz w:val="16"/>
                <w:szCs w:val="16"/>
              </w:rPr>
            </w:pPr>
          </w:p>
        </w:tc>
      </w:tr>
      <w:tr w14:paraId="440E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continue"/>
            <w:textDirection w:val="tbRlV"/>
            <w:vAlign w:val="center"/>
          </w:tcPr>
          <w:p w14:paraId="211FB9B4">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bottom w:val="nil"/>
            </w:tcBorders>
            <w:vAlign w:val="center"/>
          </w:tcPr>
          <w:p w14:paraId="013C0A9B">
            <w:pPr>
              <w:spacing w:line="240" w:lineRule="auto"/>
              <w:ind w:firstLine="420"/>
              <w:jc w:val="center"/>
              <w:rPr>
                <w:rFonts w:ascii="仿宋_GB2312" w:hAnsi="宋体" w:eastAsia="仿宋_GB2312" w:cs="宋体"/>
                <w:kern w:val="0"/>
                <w:sz w:val="16"/>
                <w:szCs w:val="16"/>
              </w:rPr>
            </w:pPr>
          </w:p>
        </w:tc>
        <w:tc>
          <w:tcPr>
            <w:tcW w:w="1211" w:type="dxa"/>
            <w:vMerge w:val="restart"/>
            <w:vAlign w:val="center"/>
          </w:tcPr>
          <w:p w14:paraId="7B7E120F">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质量指标</w:t>
            </w:r>
          </w:p>
        </w:tc>
        <w:tc>
          <w:tcPr>
            <w:tcW w:w="1014" w:type="dxa"/>
            <w:vAlign w:val="center"/>
          </w:tcPr>
          <w:p w14:paraId="634BC422">
            <w:pPr>
              <w:spacing w:line="240" w:lineRule="auto"/>
              <w:jc w:val="left"/>
              <w:rPr>
                <w:rFonts w:hint="eastAsia" w:ascii="仿宋_GB2312" w:hAnsi="宋体" w:eastAsia="仿宋_GB2312" w:cs="宋体"/>
                <w:kern w:val="0"/>
                <w:sz w:val="16"/>
                <w:szCs w:val="16"/>
                <w:lang w:eastAsia="zh-CN"/>
              </w:rPr>
            </w:pPr>
            <w:r>
              <w:rPr>
                <w:rFonts w:hint="default" w:ascii="仿宋_GB2312" w:hAnsi="宋体" w:eastAsia="仿宋_GB2312" w:cs="宋体"/>
                <w:kern w:val="0"/>
                <w:sz w:val="16"/>
                <w:szCs w:val="16"/>
                <w:lang w:val="en-US" w:eastAsia="zh-CN"/>
              </w:rPr>
              <w:t>下发整改通知书</w:t>
            </w:r>
          </w:p>
        </w:tc>
        <w:tc>
          <w:tcPr>
            <w:tcW w:w="1094" w:type="dxa"/>
            <w:vAlign w:val="center"/>
          </w:tcPr>
          <w:p w14:paraId="63455F5D">
            <w:pPr>
              <w:spacing w:line="240" w:lineRule="auto"/>
              <w:jc w:val="left"/>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100.00%</w:t>
            </w:r>
          </w:p>
        </w:tc>
        <w:tc>
          <w:tcPr>
            <w:tcW w:w="1092" w:type="dxa"/>
            <w:vAlign w:val="center"/>
          </w:tcPr>
          <w:p w14:paraId="4805E6E7">
            <w:pPr>
              <w:spacing w:line="240" w:lineRule="auto"/>
              <w:jc w:val="left"/>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100%</w:t>
            </w:r>
          </w:p>
        </w:tc>
        <w:tc>
          <w:tcPr>
            <w:tcW w:w="804" w:type="dxa"/>
            <w:vMerge w:val="restart"/>
            <w:vAlign w:val="center"/>
          </w:tcPr>
          <w:p w14:paraId="1521E221">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843" w:type="dxa"/>
            <w:vMerge w:val="restart"/>
            <w:vAlign w:val="center"/>
          </w:tcPr>
          <w:p w14:paraId="130F5E6F">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9</w:t>
            </w:r>
          </w:p>
        </w:tc>
        <w:tc>
          <w:tcPr>
            <w:tcW w:w="1380" w:type="dxa"/>
            <w:vAlign w:val="center"/>
          </w:tcPr>
          <w:p w14:paraId="4246577E">
            <w:pPr>
              <w:spacing w:line="240" w:lineRule="auto"/>
              <w:ind w:firstLine="420"/>
              <w:jc w:val="center"/>
              <w:rPr>
                <w:rFonts w:ascii="仿宋_GB2312" w:hAnsi="宋体" w:eastAsia="仿宋_GB2312" w:cs="宋体"/>
                <w:kern w:val="0"/>
                <w:sz w:val="16"/>
                <w:szCs w:val="16"/>
              </w:rPr>
            </w:pPr>
          </w:p>
        </w:tc>
      </w:tr>
      <w:tr w14:paraId="5AF50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extDirection w:val="tbRlV"/>
            <w:vAlign w:val="center"/>
          </w:tcPr>
          <w:p w14:paraId="0FCD7A78">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bottom w:val="nil"/>
            </w:tcBorders>
            <w:vAlign w:val="center"/>
          </w:tcPr>
          <w:p w14:paraId="33B86300">
            <w:pPr>
              <w:spacing w:line="240" w:lineRule="auto"/>
              <w:ind w:firstLine="420"/>
              <w:jc w:val="center"/>
              <w:rPr>
                <w:rFonts w:ascii="仿宋_GB2312" w:hAnsi="宋体" w:eastAsia="仿宋_GB2312" w:cs="宋体"/>
                <w:kern w:val="0"/>
                <w:sz w:val="16"/>
                <w:szCs w:val="16"/>
              </w:rPr>
            </w:pPr>
          </w:p>
        </w:tc>
        <w:tc>
          <w:tcPr>
            <w:tcW w:w="1211" w:type="dxa"/>
            <w:vMerge w:val="continue"/>
            <w:tcBorders>
              <w:bottom w:val="nil"/>
            </w:tcBorders>
            <w:vAlign w:val="center"/>
          </w:tcPr>
          <w:p w14:paraId="53A819E1">
            <w:pPr>
              <w:spacing w:line="240" w:lineRule="auto"/>
              <w:jc w:val="center"/>
              <w:rPr>
                <w:rFonts w:ascii="仿宋_GB2312" w:hAnsi="宋体" w:eastAsia="仿宋_GB2312" w:cs="宋体"/>
                <w:kern w:val="0"/>
                <w:sz w:val="16"/>
                <w:szCs w:val="16"/>
              </w:rPr>
            </w:pPr>
          </w:p>
        </w:tc>
        <w:tc>
          <w:tcPr>
            <w:tcW w:w="1014" w:type="dxa"/>
            <w:vAlign w:val="center"/>
          </w:tcPr>
          <w:p w14:paraId="749FB485">
            <w:pPr>
              <w:spacing w:line="240" w:lineRule="auto"/>
              <w:jc w:val="left"/>
              <w:rPr>
                <w:rFonts w:hint="eastAsia" w:ascii="仿宋_GB2312" w:hAnsi="宋体" w:eastAsia="仿宋_GB2312" w:cs="宋体"/>
                <w:kern w:val="0"/>
                <w:sz w:val="16"/>
                <w:szCs w:val="16"/>
                <w:lang w:eastAsia="zh-CN"/>
              </w:rPr>
            </w:pPr>
            <w:r>
              <w:rPr>
                <w:rFonts w:hint="default" w:ascii="仿宋_GB2312" w:hAnsi="宋体" w:eastAsia="仿宋_GB2312" w:cs="宋体"/>
                <w:kern w:val="0"/>
                <w:sz w:val="16"/>
                <w:szCs w:val="16"/>
                <w:lang w:val="en-US" w:eastAsia="zh-CN"/>
              </w:rPr>
              <w:t>普通公路超限超载率</w:t>
            </w:r>
          </w:p>
        </w:tc>
        <w:tc>
          <w:tcPr>
            <w:tcW w:w="1094" w:type="dxa"/>
            <w:vAlign w:val="center"/>
          </w:tcPr>
          <w:p w14:paraId="714596E5">
            <w:pPr>
              <w:spacing w:line="240" w:lineRule="auto"/>
              <w:jc w:val="left"/>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0.98%</w:t>
            </w:r>
          </w:p>
        </w:tc>
        <w:tc>
          <w:tcPr>
            <w:tcW w:w="1092" w:type="dxa"/>
            <w:vAlign w:val="center"/>
          </w:tcPr>
          <w:p w14:paraId="79D9761A">
            <w:pPr>
              <w:spacing w:line="240" w:lineRule="auto"/>
              <w:jc w:val="left"/>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控制在1%以内</w:t>
            </w:r>
          </w:p>
        </w:tc>
        <w:tc>
          <w:tcPr>
            <w:tcW w:w="804" w:type="dxa"/>
            <w:vMerge w:val="continue"/>
            <w:vAlign w:val="center"/>
          </w:tcPr>
          <w:p w14:paraId="2640DB96">
            <w:pPr>
              <w:spacing w:line="240" w:lineRule="auto"/>
              <w:jc w:val="center"/>
              <w:rPr>
                <w:rFonts w:hint="eastAsia" w:ascii="仿宋_GB2312" w:hAnsi="宋体" w:eastAsia="仿宋_GB2312" w:cs="宋体"/>
                <w:kern w:val="0"/>
                <w:sz w:val="16"/>
                <w:szCs w:val="16"/>
                <w:lang w:val="en-US" w:eastAsia="zh-CN"/>
              </w:rPr>
            </w:pPr>
          </w:p>
        </w:tc>
        <w:tc>
          <w:tcPr>
            <w:tcW w:w="843" w:type="dxa"/>
            <w:vMerge w:val="continue"/>
            <w:vAlign w:val="center"/>
          </w:tcPr>
          <w:p w14:paraId="05FDF53D">
            <w:pPr>
              <w:spacing w:line="240" w:lineRule="auto"/>
              <w:jc w:val="center"/>
              <w:rPr>
                <w:rFonts w:hint="eastAsia" w:ascii="仿宋_GB2312" w:hAnsi="宋体" w:eastAsia="仿宋_GB2312" w:cs="宋体"/>
                <w:kern w:val="0"/>
                <w:sz w:val="16"/>
                <w:szCs w:val="16"/>
                <w:lang w:val="en-US" w:eastAsia="zh-CN"/>
              </w:rPr>
            </w:pPr>
          </w:p>
        </w:tc>
        <w:tc>
          <w:tcPr>
            <w:tcW w:w="1380" w:type="dxa"/>
            <w:vAlign w:val="center"/>
          </w:tcPr>
          <w:p w14:paraId="1360DDD4">
            <w:pPr>
              <w:spacing w:line="240" w:lineRule="auto"/>
              <w:ind w:firstLine="420"/>
              <w:jc w:val="center"/>
              <w:rPr>
                <w:rFonts w:ascii="仿宋_GB2312" w:hAnsi="宋体" w:eastAsia="仿宋_GB2312" w:cs="宋体"/>
                <w:kern w:val="0"/>
                <w:sz w:val="16"/>
                <w:szCs w:val="16"/>
              </w:rPr>
            </w:pPr>
          </w:p>
        </w:tc>
      </w:tr>
      <w:tr w14:paraId="5082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extDirection w:val="tbRlV"/>
            <w:vAlign w:val="center"/>
          </w:tcPr>
          <w:p w14:paraId="537E471E">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bottom w:val="nil"/>
            </w:tcBorders>
            <w:vAlign w:val="center"/>
          </w:tcPr>
          <w:p w14:paraId="38749ECF">
            <w:pPr>
              <w:spacing w:line="240" w:lineRule="auto"/>
              <w:ind w:firstLine="420"/>
              <w:jc w:val="center"/>
              <w:rPr>
                <w:rFonts w:ascii="仿宋_GB2312" w:hAnsi="宋体" w:eastAsia="仿宋_GB2312" w:cs="宋体"/>
                <w:kern w:val="0"/>
                <w:sz w:val="16"/>
                <w:szCs w:val="16"/>
              </w:rPr>
            </w:pPr>
          </w:p>
        </w:tc>
        <w:tc>
          <w:tcPr>
            <w:tcW w:w="1211" w:type="dxa"/>
            <w:tcBorders>
              <w:bottom w:val="nil"/>
            </w:tcBorders>
            <w:vAlign w:val="center"/>
          </w:tcPr>
          <w:p w14:paraId="498287D0">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时效指标</w:t>
            </w:r>
          </w:p>
        </w:tc>
        <w:tc>
          <w:tcPr>
            <w:tcW w:w="1014" w:type="dxa"/>
            <w:vAlign w:val="center"/>
          </w:tcPr>
          <w:p w14:paraId="5A6C232D">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1-1完成时间</w:t>
            </w:r>
          </w:p>
        </w:tc>
        <w:tc>
          <w:tcPr>
            <w:tcW w:w="1094" w:type="dxa"/>
            <w:vAlign w:val="center"/>
          </w:tcPr>
          <w:p w14:paraId="49841176">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2022.12.31</w:t>
            </w:r>
          </w:p>
        </w:tc>
        <w:tc>
          <w:tcPr>
            <w:tcW w:w="1092" w:type="dxa"/>
            <w:vAlign w:val="center"/>
          </w:tcPr>
          <w:p w14:paraId="27A4C4C9">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2022.12.31</w:t>
            </w:r>
          </w:p>
        </w:tc>
        <w:tc>
          <w:tcPr>
            <w:tcW w:w="804" w:type="dxa"/>
            <w:vAlign w:val="center"/>
          </w:tcPr>
          <w:p w14:paraId="36068F42">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843" w:type="dxa"/>
            <w:vAlign w:val="center"/>
          </w:tcPr>
          <w:p w14:paraId="3AD39738">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0" w:type="dxa"/>
            <w:vAlign w:val="center"/>
          </w:tcPr>
          <w:p w14:paraId="379CDB5F">
            <w:pPr>
              <w:spacing w:line="240" w:lineRule="auto"/>
              <w:ind w:firstLine="420"/>
              <w:jc w:val="center"/>
              <w:rPr>
                <w:rFonts w:ascii="仿宋_GB2312" w:hAnsi="宋体" w:eastAsia="仿宋_GB2312" w:cs="宋体"/>
                <w:kern w:val="0"/>
                <w:sz w:val="16"/>
                <w:szCs w:val="16"/>
              </w:rPr>
            </w:pPr>
          </w:p>
        </w:tc>
      </w:tr>
      <w:tr w14:paraId="7F0AD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48" w:type="dxa"/>
            <w:vMerge w:val="continue"/>
            <w:textDirection w:val="tbRlV"/>
            <w:vAlign w:val="center"/>
          </w:tcPr>
          <w:p w14:paraId="353C73C8">
            <w:pPr>
              <w:spacing w:line="240" w:lineRule="auto"/>
              <w:ind w:firstLine="420"/>
              <w:jc w:val="center"/>
              <w:rPr>
                <w:rFonts w:ascii="仿宋_GB2312" w:hAnsi="宋体" w:eastAsia="仿宋_GB2312" w:cs="宋体"/>
                <w:kern w:val="0"/>
                <w:sz w:val="16"/>
                <w:szCs w:val="16"/>
              </w:rPr>
            </w:pPr>
          </w:p>
        </w:tc>
        <w:tc>
          <w:tcPr>
            <w:tcW w:w="1053" w:type="dxa"/>
            <w:vMerge w:val="restart"/>
            <w:tcBorders>
              <w:bottom w:val="nil"/>
            </w:tcBorders>
            <w:vAlign w:val="center"/>
          </w:tcPr>
          <w:p w14:paraId="3FA87267">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效益指标</w:t>
            </w:r>
          </w:p>
          <w:p w14:paraId="5F6E94F8">
            <w:pPr>
              <w:spacing w:line="240" w:lineRule="auto"/>
              <w:jc w:val="center"/>
              <w:rPr>
                <w:rFonts w:ascii="仿宋_GB2312" w:hAnsi="宋体" w:eastAsia="仿宋_GB2312" w:cs="宋体"/>
                <w:kern w:val="0"/>
                <w:sz w:val="16"/>
                <w:szCs w:val="16"/>
              </w:rPr>
            </w:pPr>
            <w:r>
              <w:rPr>
                <w:rFonts w:ascii="仿宋_GB2312" w:hAnsi="宋体" w:eastAsia="仿宋_GB2312" w:cs="宋体"/>
                <w:kern w:val="0"/>
                <w:sz w:val="16"/>
                <w:szCs w:val="16"/>
              </w:rPr>
              <w:t>(30</w:t>
            </w:r>
            <w:r>
              <w:rPr>
                <w:rFonts w:hint="eastAsia" w:ascii="仿宋_GB2312" w:hAnsi="宋体" w:eastAsia="仿宋_GB2312" w:cs="宋体"/>
                <w:kern w:val="0"/>
                <w:sz w:val="16"/>
                <w:szCs w:val="16"/>
              </w:rPr>
              <w:t>分</w:t>
            </w:r>
            <w:r>
              <w:rPr>
                <w:rFonts w:ascii="仿宋_GB2312" w:hAnsi="宋体" w:eastAsia="仿宋_GB2312" w:cs="宋体"/>
                <w:kern w:val="0"/>
                <w:sz w:val="16"/>
                <w:szCs w:val="16"/>
              </w:rPr>
              <w:t>)</w:t>
            </w:r>
          </w:p>
        </w:tc>
        <w:tc>
          <w:tcPr>
            <w:tcW w:w="1211" w:type="dxa"/>
            <w:tcBorders>
              <w:bottom w:val="nil"/>
            </w:tcBorders>
            <w:vAlign w:val="center"/>
          </w:tcPr>
          <w:p w14:paraId="3FAF3996">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经济效益指标</w:t>
            </w:r>
          </w:p>
        </w:tc>
        <w:tc>
          <w:tcPr>
            <w:tcW w:w="1014" w:type="dxa"/>
            <w:vAlign w:val="center"/>
          </w:tcPr>
          <w:p w14:paraId="6B515402">
            <w:pPr>
              <w:spacing w:line="240" w:lineRule="auto"/>
              <w:jc w:val="left"/>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有效促进经济发展</w:t>
            </w:r>
          </w:p>
        </w:tc>
        <w:tc>
          <w:tcPr>
            <w:tcW w:w="1094" w:type="dxa"/>
            <w:vAlign w:val="center"/>
          </w:tcPr>
          <w:p w14:paraId="69B9CF70">
            <w:pPr>
              <w:spacing w:line="240" w:lineRule="auto"/>
              <w:jc w:val="center"/>
              <w:rPr>
                <w:rFonts w:hint="default"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有效促进</w:t>
            </w:r>
          </w:p>
        </w:tc>
        <w:tc>
          <w:tcPr>
            <w:tcW w:w="1092" w:type="dxa"/>
            <w:vAlign w:val="center"/>
          </w:tcPr>
          <w:p w14:paraId="3A2BA0D0">
            <w:pPr>
              <w:spacing w:line="240" w:lineRule="auto"/>
              <w:jc w:val="center"/>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有效促进</w:t>
            </w:r>
          </w:p>
        </w:tc>
        <w:tc>
          <w:tcPr>
            <w:tcW w:w="804" w:type="dxa"/>
            <w:vAlign w:val="center"/>
          </w:tcPr>
          <w:p w14:paraId="46B9D5E9">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843" w:type="dxa"/>
            <w:vAlign w:val="center"/>
          </w:tcPr>
          <w:p w14:paraId="5A4AC40E">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0" w:type="dxa"/>
            <w:vAlign w:val="center"/>
          </w:tcPr>
          <w:p w14:paraId="13702F97">
            <w:pPr>
              <w:spacing w:line="240" w:lineRule="auto"/>
              <w:ind w:firstLine="420"/>
              <w:jc w:val="center"/>
              <w:rPr>
                <w:rFonts w:ascii="仿宋_GB2312" w:hAnsi="宋体" w:eastAsia="仿宋_GB2312" w:cs="宋体"/>
                <w:kern w:val="0"/>
                <w:sz w:val="16"/>
                <w:szCs w:val="16"/>
              </w:rPr>
            </w:pPr>
          </w:p>
        </w:tc>
      </w:tr>
      <w:tr w14:paraId="0C90A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continue"/>
            <w:textDirection w:val="tbRlV"/>
            <w:vAlign w:val="center"/>
          </w:tcPr>
          <w:p w14:paraId="6E2CFD18">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bottom w:val="nil"/>
            </w:tcBorders>
            <w:vAlign w:val="center"/>
          </w:tcPr>
          <w:p w14:paraId="51EC5042">
            <w:pPr>
              <w:spacing w:line="240" w:lineRule="auto"/>
              <w:ind w:firstLine="420"/>
              <w:jc w:val="center"/>
              <w:rPr>
                <w:rFonts w:ascii="仿宋_GB2312" w:hAnsi="宋体" w:eastAsia="仿宋_GB2312" w:cs="宋体"/>
                <w:kern w:val="0"/>
                <w:sz w:val="16"/>
                <w:szCs w:val="16"/>
              </w:rPr>
            </w:pPr>
          </w:p>
        </w:tc>
        <w:tc>
          <w:tcPr>
            <w:tcW w:w="1211" w:type="dxa"/>
            <w:tcBorders>
              <w:bottom w:val="nil"/>
            </w:tcBorders>
            <w:vAlign w:val="center"/>
          </w:tcPr>
          <w:p w14:paraId="42031033">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社会效益指标</w:t>
            </w:r>
          </w:p>
        </w:tc>
        <w:tc>
          <w:tcPr>
            <w:tcW w:w="1014" w:type="dxa"/>
            <w:vAlign w:val="center"/>
          </w:tcPr>
          <w:p w14:paraId="561E8141">
            <w:pPr>
              <w:spacing w:line="240" w:lineRule="auto"/>
              <w:jc w:val="left"/>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有效维护交通道路安全、维护社会稳定</w:t>
            </w:r>
          </w:p>
        </w:tc>
        <w:tc>
          <w:tcPr>
            <w:tcW w:w="1094" w:type="dxa"/>
            <w:vAlign w:val="center"/>
          </w:tcPr>
          <w:p w14:paraId="7556119E">
            <w:pPr>
              <w:spacing w:line="240" w:lineRule="auto"/>
              <w:jc w:val="center"/>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有效维护</w:t>
            </w:r>
          </w:p>
        </w:tc>
        <w:tc>
          <w:tcPr>
            <w:tcW w:w="1092" w:type="dxa"/>
            <w:vAlign w:val="center"/>
          </w:tcPr>
          <w:p w14:paraId="45E7B751">
            <w:pPr>
              <w:spacing w:line="240" w:lineRule="auto"/>
              <w:jc w:val="center"/>
              <w:rPr>
                <w:rFonts w:hint="default"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有效促进</w:t>
            </w:r>
          </w:p>
        </w:tc>
        <w:tc>
          <w:tcPr>
            <w:tcW w:w="804" w:type="dxa"/>
            <w:vAlign w:val="center"/>
          </w:tcPr>
          <w:p w14:paraId="2CB91234">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843" w:type="dxa"/>
            <w:vAlign w:val="center"/>
          </w:tcPr>
          <w:p w14:paraId="596C9729">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w:t>
            </w:r>
          </w:p>
        </w:tc>
        <w:tc>
          <w:tcPr>
            <w:tcW w:w="1380" w:type="dxa"/>
            <w:vAlign w:val="center"/>
          </w:tcPr>
          <w:p w14:paraId="12C16243">
            <w:pPr>
              <w:spacing w:line="240" w:lineRule="auto"/>
              <w:ind w:firstLine="420"/>
              <w:jc w:val="center"/>
              <w:rPr>
                <w:rFonts w:ascii="仿宋_GB2312" w:hAnsi="宋体" w:eastAsia="仿宋_GB2312" w:cs="宋体"/>
                <w:kern w:val="0"/>
                <w:sz w:val="16"/>
                <w:szCs w:val="16"/>
              </w:rPr>
            </w:pPr>
          </w:p>
        </w:tc>
      </w:tr>
      <w:tr w14:paraId="691AC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extDirection w:val="tbRlV"/>
            <w:vAlign w:val="center"/>
          </w:tcPr>
          <w:p w14:paraId="2914C732">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bottom w:val="nil"/>
            </w:tcBorders>
            <w:vAlign w:val="center"/>
          </w:tcPr>
          <w:p w14:paraId="7EACDAB2">
            <w:pPr>
              <w:spacing w:line="240" w:lineRule="auto"/>
              <w:ind w:firstLine="420"/>
              <w:jc w:val="center"/>
              <w:rPr>
                <w:rFonts w:ascii="仿宋_GB2312" w:hAnsi="宋体" w:eastAsia="仿宋_GB2312" w:cs="宋体"/>
                <w:kern w:val="0"/>
                <w:sz w:val="16"/>
                <w:szCs w:val="16"/>
              </w:rPr>
            </w:pPr>
          </w:p>
        </w:tc>
        <w:tc>
          <w:tcPr>
            <w:tcW w:w="1211" w:type="dxa"/>
            <w:vAlign w:val="center"/>
          </w:tcPr>
          <w:p w14:paraId="15A2E474">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生态效益指标</w:t>
            </w:r>
          </w:p>
        </w:tc>
        <w:tc>
          <w:tcPr>
            <w:tcW w:w="1014" w:type="dxa"/>
            <w:vAlign w:val="center"/>
          </w:tcPr>
          <w:p w14:paraId="555E7118">
            <w:pPr>
              <w:spacing w:line="240" w:lineRule="auto"/>
              <w:jc w:val="left"/>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未对环境造成负面影响</w:t>
            </w:r>
          </w:p>
        </w:tc>
        <w:tc>
          <w:tcPr>
            <w:tcW w:w="1094" w:type="dxa"/>
            <w:vAlign w:val="center"/>
          </w:tcPr>
          <w:p w14:paraId="6213A376">
            <w:pPr>
              <w:spacing w:line="240" w:lineRule="auto"/>
              <w:jc w:val="center"/>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未对环境造成负面营销</w:t>
            </w:r>
          </w:p>
        </w:tc>
        <w:tc>
          <w:tcPr>
            <w:tcW w:w="1092" w:type="dxa"/>
            <w:vAlign w:val="center"/>
          </w:tcPr>
          <w:p w14:paraId="642E75CA">
            <w:pPr>
              <w:spacing w:line="240" w:lineRule="auto"/>
              <w:jc w:val="center"/>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未对环境造成负面营销</w:t>
            </w:r>
          </w:p>
        </w:tc>
        <w:tc>
          <w:tcPr>
            <w:tcW w:w="804" w:type="dxa"/>
            <w:vAlign w:val="center"/>
          </w:tcPr>
          <w:p w14:paraId="609039D8">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843" w:type="dxa"/>
            <w:vAlign w:val="center"/>
          </w:tcPr>
          <w:p w14:paraId="1EA1F149">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1380" w:type="dxa"/>
            <w:vAlign w:val="center"/>
          </w:tcPr>
          <w:p w14:paraId="3E2210F2">
            <w:pPr>
              <w:spacing w:line="240" w:lineRule="auto"/>
              <w:ind w:firstLine="420"/>
              <w:jc w:val="center"/>
              <w:rPr>
                <w:rFonts w:ascii="仿宋_GB2312" w:hAnsi="宋体" w:eastAsia="仿宋_GB2312" w:cs="宋体"/>
                <w:kern w:val="0"/>
                <w:sz w:val="16"/>
                <w:szCs w:val="16"/>
              </w:rPr>
            </w:pPr>
          </w:p>
        </w:tc>
      </w:tr>
      <w:tr w14:paraId="054F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048" w:type="dxa"/>
            <w:vMerge w:val="continue"/>
            <w:textDirection w:val="tbRlV"/>
            <w:vAlign w:val="center"/>
          </w:tcPr>
          <w:p w14:paraId="37BED01B">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bottom w:val="nil"/>
            </w:tcBorders>
            <w:vAlign w:val="center"/>
          </w:tcPr>
          <w:p w14:paraId="379E8CFC">
            <w:pPr>
              <w:spacing w:line="240" w:lineRule="auto"/>
              <w:ind w:firstLine="420"/>
              <w:jc w:val="center"/>
              <w:rPr>
                <w:rFonts w:ascii="仿宋_GB2312" w:hAnsi="宋体" w:eastAsia="仿宋_GB2312" w:cs="宋体"/>
                <w:kern w:val="0"/>
                <w:sz w:val="16"/>
                <w:szCs w:val="16"/>
              </w:rPr>
            </w:pPr>
          </w:p>
        </w:tc>
        <w:tc>
          <w:tcPr>
            <w:tcW w:w="1211" w:type="dxa"/>
            <w:tcBorders>
              <w:bottom w:val="nil"/>
            </w:tcBorders>
            <w:vAlign w:val="center"/>
          </w:tcPr>
          <w:p w14:paraId="7A8B68B1">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可持续影响指标</w:t>
            </w:r>
          </w:p>
        </w:tc>
        <w:tc>
          <w:tcPr>
            <w:tcW w:w="1014" w:type="dxa"/>
            <w:vAlign w:val="center"/>
          </w:tcPr>
          <w:p w14:paraId="723B6F12">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对社会交通运输带来积极可持续影响</w:t>
            </w:r>
          </w:p>
        </w:tc>
        <w:tc>
          <w:tcPr>
            <w:tcW w:w="1094" w:type="dxa"/>
            <w:vAlign w:val="center"/>
          </w:tcPr>
          <w:p w14:paraId="44CEBDC6">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效果明显</w:t>
            </w:r>
          </w:p>
        </w:tc>
        <w:tc>
          <w:tcPr>
            <w:tcW w:w="1092" w:type="dxa"/>
            <w:vAlign w:val="center"/>
          </w:tcPr>
          <w:p w14:paraId="3B57CC0A">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效果明显</w:t>
            </w:r>
          </w:p>
        </w:tc>
        <w:tc>
          <w:tcPr>
            <w:tcW w:w="804" w:type="dxa"/>
            <w:vAlign w:val="center"/>
          </w:tcPr>
          <w:p w14:paraId="53AC3CC4">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843" w:type="dxa"/>
            <w:vAlign w:val="center"/>
          </w:tcPr>
          <w:p w14:paraId="76EF2C62">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1380" w:type="dxa"/>
            <w:vAlign w:val="center"/>
          </w:tcPr>
          <w:p w14:paraId="30EE1567">
            <w:pPr>
              <w:spacing w:line="240" w:lineRule="auto"/>
              <w:ind w:firstLine="420"/>
              <w:jc w:val="center"/>
              <w:rPr>
                <w:rFonts w:ascii="仿宋_GB2312" w:hAnsi="宋体" w:eastAsia="仿宋_GB2312" w:cs="宋体"/>
                <w:kern w:val="0"/>
                <w:sz w:val="16"/>
                <w:szCs w:val="16"/>
              </w:rPr>
            </w:pPr>
          </w:p>
        </w:tc>
      </w:tr>
      <w:tr w14:paraId="6D07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continue"/>
            <w:textDirection w:val="tbRlV"/>
            <w:vAlign w:val="center"/>
          </w:tcPr>
          <w:p w14:paraId="0C89850E">
            <w:pPr>
              <w:spacing w:line="240" w:lineRule="auto"/>
              <w:ind w:firstLine="420"/>
              <w:jc w:val="center"/>
              <w:rPr>
                <w:rFonts w:ascii="仿宋_GB2312" w:hAnsi="宋体" w:eastAsia="仿宋_GB2312" w:cs="宋体"/>
                <w:kern w:val="0"/>
                <w:sz w:val="16"/>
                <w:szCs w:val="16"/>
              </w:rPr>
            </w:pPr>
          </w:p>
        </w:tc>
        <w:tc>
          <w:tcPr>
            <w:tcW w:w="1053" w:type="dxa"/>
            <w:vMerge w:val="restart"/>
            <w:tcBorders>
              <w:bottom w:val="nil"/>
            </w:tcBorders>
            <w:vAlign w:val="center"/>
          </w:tcPr>
          <w:p w14:paraId="240DEE59">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满意度指标</w:t>
            </w:r>
            <w:r>
              <w:rPr>
                <w:rFonts w:ascii="仿宋_GB2312" w:hAnsi="宋体" w:eastAsia="仿宋_GB2312" w:cs="宋体"/>
                <w:kern w:val="0"/>
                <w:sz w:val="16"/>
                <w:szCs w:val="16"/>
              </w:rPr>
              <w:t>(10</w:t>
            </w:r>
            <w:r>
              <w:rPr>
                <w:rFonts w:hint="eastAsia" w:ascii="仿宋_GB2312" w:hAnsi="宋体" w:eastAsia="仿宋_GB2312" w:cs="宋体"/>
                <w:kern w:val="0"/>
                <w:sz w:val="16"/>
                <w:szCs w:val="16"/>
              </w:rPr>
              <w:t>分</w:t>
            </w:r>
            <w:r>
              <w:rPr>
                <w:rFonts w:ascii="仿宋_GB2312" w:hAnsi="宋体" w:eastAsia="仿宋_GB2312" w:cs="宋体"/>
                <w:kern w:val="0"/>
                <w:sz w:val="16"/>
                <w:szCs w:val="16"/>
              </w:rPr>
              <w:t>)</w:t>
            </w:r>
          </w:p>
        </w:tc>
        <w:tc>
          <w:tcPr>
            <w:tcW w:w="1211" w:type="dxa"/>
            <w:vMerge w:val="restart"/>
            <w:tcBorders>
              <w:bottom w:val="nil"/>
            </w:tcBorders>
            <w:vAlign w:val="center"/>
          </w:tcPr>
          <w:p w14:paraId="26CDD0DF">
            <w:pPr>
              <w:spacing w:line="240" w:lineRule="auto"/>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服务对象满意度指标</w:t>
            </w:r>
          </w:p>
        </w:tc>
        <w:tc>
          <w:tcPr>
            <w:tcW w:w="1014" w:type="dxa"/>
            <w:vAlign w:val="center"/>
          </w:tcPr>
          <w:p w14:paraId="553A2E8F">
            <w:pPr>
              <w:spacing w:line="240" w:lineRule="auto"/>
              <w:jc w:val="left"/>
              <w:rPr>
                <w:rFonts w:hint="eastAsia" w:ascii="仿宋_GB2312" w:hAnsi="宋体" w:eastAsia="仿宋_GB2312" w:cs="宋体"/>
                <w:kern w:val="0"/>
                <w:sz w:val="16"/>
                <w:szCs w:val="16"/>
                <w:lang w:eastAsia="zh-CN"/>
              </w:rPr>
            </w:pPr>
            <w:r>
              <w:rPr>
                <w:rFonts w:hint="default" w:ascii="仿宋_GB2312" w:hAnsi="宋体" w:eastAsia="仿宋_GB2312" w:cs="宋体"/>
                <w:kern w:val="0"/>
                <w:sz w:val="16"/>
                <w:szCs w:val="16"/>
                <w:lang w:val="en-US" w:eastAsia="zh-CN"/>
              </w:rPr>
              <w:t>群众满意度</w:t>
            </w:r>
          </w:p>
        </w:tc>
        <w:tc>
          <w:tcPr>
            <w:tcW w:w="1094" w:type="dxa"/>
            <w:vAlign w:val="center"/>
          </w:tcPr>
          <w:p w14:paraId="19BDFB95">
            <w:pPr>
              <w:spacing w:line="240" w:lineRule="auto"/>
              <w:jc w:val="center"/>
              <w:rPr>
                <w:rFonts w:hint="default"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≥98%</w:t>
            </w:r>
          </w:p>
        </w:tc>
        <w:tc>
          <w:tcPr>
            <w:tcW w:w="1092" w:type="dxa"/>
            <w:vAlign w:val="center"/>
          </w:tcPr>
          <w:p w14:paraId="43C5FEFC">
            <w:pPr>
              <w:spacing w:line="240" w:lineRule="auto"/>
              <w:jc w:val="center"/>
              <w:rPr>
                <w:rFonts w:hint="eastAsia" w:ascii="仿宋_GB2312" w:hAnsi="宋体" w:eastAsia="仿宋_GB2312" w:cs="宋体"/>
                <w:kern w:val="0"/>
                <w:sz w:val="16"/>
                <w:szCs w:val="16"/>
                <w:lang w:val="en-US" w:eastAsia="zh-CN"/>
              </w:rPr>
            </w:pPr>
            <w:r>
              <w:rPr>
                <w:rFonts w:hint="default" w:ascii="仿宋_GB2312" w:hAnsi="宋体" w:eastAsia="仿宋_GB2312" w:cs="宋体"/>
                <w:kern w:val="0"/>
                <w:sz w:val="16"/>
                <w:szCs w:val="16"/>
                <w:lang w:val="en-US" w:eastAsia="zh-CN"/>
              </w:rPr>
              <w:t>≥9</w:t>
            </w:r>
            <w:r>
              <w:rPr>
                <w:rFonts w:hint="eastAsia" w:ascii="仿宋_GB2312" w:hAnsi="宋体" w:eastAsia="仿宋_GB2312" w:cs="宋体"/>
                <w:kern w:val="0"/>
                <w:sz w:val="16"/>
                <w:szCs w:val="16"/>
                <w:lang w:val="en-US" w:eastAsia="zh-CN"/>
              </w:rPr>
              <w:t>8</w:t>
            </w:r>
            <w:r>
              <w:rPr>
                <w:rFonts w:hint="default" w:ascii="仿宋_GB2312" w:hAnsi="宋体" w:eastAsia="仿宋_GB2312" w:cs="宋体"/>
                <w:kern w:val="0"/>
                <w:sz w:val="16"/>
                <w:szCs w:val="16"/>
                <w:lang w:val="en-US" w:eastAsia="zh-CN"/>
              </w:rPr>
              <w:t>%</w:t>
            </w:r>
          </w:p>
        </w:tc>
        <w:tc>
          <w:tcPr>
            <w:tcW w:w="804" w:type="dxa"/>
            <w:vAlign w:val="center"/>
          </w:tcPr>
          <w:p w14:paraId="2618368D">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843" w:type="dxa"/>
            <w:vAlign w:val="center"/>
          </w:tcPr>
          <w:p w14:paraId="01A4A891">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5</w:t>
            </w:r>
          </w:p>
        </w:tc>
        <w:tc>
          <w:tcPr>
            <w:tcW w:w="1380" w:type="dxa"/>
            <w:vAlign w:val="center"/>
          </w:tcPr>
          <w:p w14:paraId="4DF550E3">
            <w:pPr>
              <w:spacing w:line="240" w:lineRule="auto"/>
              <w:ind w:firstLine="420"/>
              <w:jc w:val="center"/>
              <w:rPr>
                <w:rFonts w:ascii="仿宋_GB2312" w:hAnsi="宋体" w:eastAsia="仿宋_GB2312" w:cs="宋体"/>
                <w:kern w:val="0"/>
                <w:sz w:val="16"/>
                <w:szCs w:val="16"/>
              </w:rPr>
            </w:pPr>
          </w:p>
        </w:tc>
      </w:tr>
      <w:tr w14:paraId="6FD2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extDirection w:val="tbRlV"/>
            <w:vAlign w:val="center"/>
          </w:tcPr>
          <w:p w14:paraId="695A96B8">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tcBorders>
            <w:vAlign w:val="center"/>
          </w:tcPr>
          <w:p w14:paraId="12E97C8C">
            <w:pPr>
              <w:spacing w:line="240" w:lineRule="auto"/>
              <w:ind w:firstLine="420"/>
              <w:jc w:val="center"/>
              <w:rPr>
                <w:rFonts w:ascii="仿宋_GB2312" w:hAnsi="宋体" w:eastAsia="仿宋_GB2312" w:cs="宋体"/>
                <w:kern w:val="0"/>
                <w:sz w:val="16"/>
                <w:szCs w:val="16"/>
              </w:rPr>
            </w:pPr>
          </w:p>
        </w:tc>
        <w:tc>
          <w:tcPr>
            <w:tcW w:w="1211" w:type="dxa"/>
            <w:vMerge w:val="continue"/>
            <w:tcBorders>
              <w:top w:val="nil"/>
            </w:tcBorders>
            <w:vAlign w:val="center"/>
          </w:tcPr>
          <w:p w14:paraId="7E0037FB">
            <w:pPr>
              <w:spacing w:line="240" w:lineRule="auto"/>
              <w:ind w:firstLine="420"/>
              <w:jc w:val="center"/>
              <w:rPr>
                <w:rFonts w:ascii="仿宋_GB2312" w:hAnsi="宋体" w:eastAsia="仿宋_GB2312" w:cs="宋体"/>
                <w:kern w:val="0"/>
                <w:sz w:val="16"/>
                <w:szCs w:val="16"/>
              </w:rPr>
            </w:pPr>
          </w:p>
        </w:tc>
        <w:tc>
          <w:tcPr>
            <w:tcW w:w="1014" w:type="dxa"/>
            <w:vAlign w:val="center"/>
          </w:tcPr>
          <w:p w14:paraId="54870CF7">
            <w:pPr>
              <w:spacing w:line="240" w:lineRule="auto"/>
              <w:jc w:val="left"/>
              <w:rPr>
                <w:rFonts w:hint="eastAsia" w:ascii="仿宋_GB2312" w:hAnsi="宋体" w:eastAsia="仿宋_GB2312" w:cs="宋体"/>
                <w:kern w:val="0"/>
                <w:sz w:val="16"/>
                <w:szCs w:val="16"/>
                <w:lang w:eastAsia="zh-CN"/>
              </w:rPr>
            </w:pPr>
          </w:p>
        </w:tc>
        <w:tc>
          <w:tcPr>
            <w:tcW w:w="1094" w:type="dxa"/>
            <w:vAlign w:val="center"/>
          </w:tcPr>
          <w:p w14:paraId="059E2B94">
            <w:pPr>
              <w:spacing w:line="240" w:lineRule="auto"/>
              <w:jc w:val="center"/>
              <w:rPr>
                <w:rFonts w:hint="eastAsia" w:ascii="仿宋_GB2312" w:hAnsi="宋体" w:eastAsia="仿宋_GB2312" w:cs="宋体"/>
                <w:kern w:val="0"/>
                <w:sz w:val="16"/>
                <w:szCs w:val="16"/>
                <w:lang w:eastAsia="zh-CN"/>
              </w:rPr>
            </w:pPr>
          </w:p>
        </w:tc>
        <w:tc>
          <w:tcPr>
            <w:tcW w:w="1092" w:type="dxa"/>
            <w:vAlign w:val="center"/>
          </w:tcPr>
          <w:p w14:paraId="1EE1F14B">
            <w:pPr>
              <w:spacing w:line="240" w:lineRule="auto"/>
              <w:jc w:val="center"/>
              <w:rPr>
                <w:rFonts w:hint="eastAsia" w:ascii="仿宋_GB2312" w:hAnsi="宋体" w:eastAsia="仿宋_GB2312" w:cs="宋体"/>
                <w:snapToGrid w:val="0"/>
                <w:color w:val="000000"/>
                <w:kern w:val="0"/>
                <w:sz w:val="16"/>
                <w:szCs w:val="16"/>
                <w:lang w:val="en-US" w:eastAsia="zh-CN" w:bidi="ar-SA"/>
              </w:rPr>
            </w:pPr>
          </w:p>
        </w:tc>
        <w:tc>
          <w:tcPr>
            <w:tcW w:w="804" w:type="dxa"/>
            <w:vAlign w:val="center"/>
          </w:tcPr>
          <w:p w14:paraId="575734C2">
            <w:pPr>
              <w:spacing w:line="240" w:lineRule="auto"/>
              <w:jc w:val="center"/>
              <w:rPr>
                <w:rFonts w:hint="eastAsia" w:ascii="仿宋_GB2312" w:hAnsi="宋体" w:eastAsia="仿宋_GB2312" w:cs="宋体"/>
                <w:kern w:val="0"/>
                <w:sz w:val="16"/>
                <w:szCs w:val="16"/>
                <w:lang w:eastAsia="zh-CN"/>
              </w:rPr>
            </w:pPr>
          </w:p>
        </w:tc>
        <w:tc>
          <w:tcPr>
            <w:tcW w:w="843" w:type="dxa"/>
            <w:vAlign w:val="center"/>
          </w:tcPr>
          <w:p w14:paraId="6DA626DE">
            <w:pPr>
              <w:spacing w:line="240" w:lineRule="auto"/>
              <w:jc w:val="center"/>
              <w:rPr>
                <w:rFonts w:hint="eastAsia" w:ascii="仿宋_GB2312" w:hAnsi="宋体" w:eastAsia="仿宋_GB2312" w:cs="宋体"/>
                <w:kern w:val="0"/>
                <w:sz w:val="16"/>
                <w:szCs w:val="16"/>
                <w:lang w:eastAsia="zh-CN"/>
              </w:rPr>
            </w:pPr>
          </w:p>
        </w:tc>
        <w:tc>
          <w:tcPr>
            <w:tcW w:w="1380" w:type="dxa"/>
            <w:vAlign w:val="center"/>
          </w:tcPr>
          <w:p w14:paraId="213F6CAE">
            <w:pPr>
              <w:spacing w:line="240" w:lineRule="auto"/>
              <w:ind w:firstLine="420"/>
              <w:jc w:val="center"/>
              <w:rPr>
                <w:rFonts w:ascii="仿宋_GB2312" w:hAnsi="宋体" w:eastAsia="仿宋_GB2312" w:cs="宋体"/>
                <w:kern w:val="0"/>
                <w:sz w:val="16"/>
                <w:szCs w:val="16"/>
              </w:rPr>
            </w:pPr>
          </w:p>
        </w:tc>
      </w:tr>
      <w:tr w14:paraId="4441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extDirection w:val="tbRlV"/>
            <w:vAlign w:val="center"/>
          </w:tcPr>
          <w:p w14:paraId="348A5FA3">
            <w:pPr>
              <w:spacing w:line="240" w:lineRule="auto"/>
              <w:ind w:firstLine="420"/>
              <w:jc w:val="center"/>
              <w:rPr>
                <w:rFonts w:ascii="仿宋_GB2312" w:hAnsi="宋体" w:eastAsia="仿宋_GB2312" w:cs="宋体"/>
                <w:kern w:val="0"/>
                <w:sz w:val="16"/>
                <w:szCs w:val="16"/>
              </w:rPr>
            </w:pPr>
          </w:p>
        </w:tc>
        <w:tc>
          <w:tcPr>
            <w:tcW w:w="1053" w:type="dxa"/>
            <w:vMerge w:val="restart"/>
            <w:tcBorders>
              <w:top w:val="nil"/>
            </w:tcBorders>
            <w:vAlign w:val="center"/>
          </w:tcPr>
          <w:p w14:paraId="7E2E7BDD">
            <w:pPr>
              <w:spacing w:line="240" w:lineRule="auto"/>
              <w:jc w:val="center"/>
              <w:rPr>
                <w:rFonts w:hint="eastAsia" w:ascii="仿宋_GB2312" w:eastAsia="仿宋_GB2312"/>
                <w:kern w:val="0"/>
                <w:sz w:val="16"/>
                <w:szCs w:val="16"/>
                <w:lang w:val="en-US" w:eastAsia="zh-CN"/>
              </w:rPr>
            </w:pPr>
            <w:r>
              <w:rPr>
                <w:rFonts w:hint="eastAsia" w:ascii="仿宋_GB2312" w:eastAsia="仿宋_GB2312"/>
                <w:kern w:val="0"/>
                <w:sz w:val="16"/>
                <w:szCs w:val="16"/>
                <w:lang w:val="en-US" w:eastAsia="zh-CN"/>
              </w:rPr>
              <w:t>成本指标</w:t>
            </w:r>
          </w:p>
          <w:p w14:paraId="5014F080">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val="en-US" w:eastAsia="zh-CN"/>
              </w:rPr>
              <w:t>（20分）</w:t>
            </w:r>
          </w:p>
        </w:tc>
        <w:tc>
          <w:tcPr>
            <w:tcW w:w="1211" w:type="dxa"/>
            <w:tcBorders>
              <w:top w:val="nil"/>
            </w:tcBorders>
            <w:vAlign w:val="center"/>
          </w:tcPr>
          <w:p w14:paraId="22DD7366">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eastAsia="zh-CN"/>
              </w:rPr>
              <w:t>经济成本指标</w:t>
            </w:r>
          </w:p>
        </w:tc>
        <w:tc>
          <w:tcPr>
            <w:tcW w:w="1014" w:type="dxa"/>
            <w:vAlign w:val="center"/>
          </w:tcPr>
          <w:p w14:paraId="1A0586AF">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支出控制在100万元</w:t>
            </w:r>
          </w:p>
        </w:tc>
        <w:tc>
          <w:tcPr>
            <w:tcW w:w="1094" w:type="dxa"/>
            <w:vAlign w:val="center"/>
          </w:tcPr>
          <w:p w14:paraId="40C3F882">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100万元</w:t>
            </w:r>
          </w:p>
        </w:tc>
        <w:tc>
          <w:tcPr>
            <w:tcW w:w="1092" w:type="dxa"/>
            <w:vAlign w:val="center"/>
          </w:tcPr>
          <w:p w14:paraId="4285D167">
            <w:pPr>
              <w:spacing w:line="240" w:lineRule="auto"/>
              <w:jc w:val="center"/>
              <w:rPr>
                <w:rFonts w:hint="default"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val="en-US" w:eastAsia="zh-CN"/>
              </w:rPr>
              <w:t>129.43</w:t>
            </w:r>
          </w:p>
        </w:tc>
        <w:tc>
          <w:tcPr>
            <w:tcW w:w="804" w:type="dxa"/>
            <w:vAlign w:val="center"/>
          </w:tcPr>
          <w:p w14:paraId="5FB8A7DA">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20</w:t>
            </w:r>
          </w:p>
        </w:tc>
        <w:tc>
          <w:tcPr>
            <w:tcW w:w="843" w:type="dxa"/>
            <w:vAlign w:val="center"/>
          </w:tcPr>
          <w:p w14:paraId="0AFB70F6">
            <w:pPr>
              <w:spacing w:line="240" w:lineRule="auto"/>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19</w:t>
            </w:r>
          </w:p>
        </w:tc>
        <w:tc>
          <w:tcPr>
            <w:tcW w:w="1380" w:type="dxa"/>
            <w:vAlign w:val="center"/>
          </w:tcPr>
          <w:p w14:paraId="6F8BED87">
            <w:pPr>
              <w:spacing w:line="240" w:lineRule="auto"/>
              <w:ind w:firstLine="420"/>
              <w:jc w:val="center"/>
              <w:rPr>
                <w:rFonts w:ascii="仿宋_GB2312" w:hAnsi="宋体" w:eastAsia="仿宋_GB2312" w:cs="宋体"/>
                <w:kern w:val="0"/>
                <w:sz w:val="16"/>
                <w:szCs w:val="16"/>
              </w:rPr>
            </w:pPr>
          </w:p>
        </w:tc>
      </w:tr>
      <w:tr w14:paraId="63CED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 w:hRule="atLeast"/>
          <w:jc w:val="center"/>
        </w:trPr>
        <w:tc>
          <w:tcPr>
            <w:tcW w:w="1048" w:type="dxa"/>
            <w:vMerge w:val="continue"/>
            <w:textDirection w:val="tbRlV"/>
            <w:vAlign w:val="center"/>
          </w:tcPr>
          <w:p w14:paraId="592F8630">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tcBorders>
            <w:vAlign w:val="center"/>
          </w:tcPr>
          <w:p w14:paraId="4C88D1E0">
            <w:pPr>
              <w:spacing w:line="240" w:lineRule="auto"/>
              <w:ind w:firstLine="420" w:firstLineChars="0"/>
              <w:jc w:val="center"/>
              <w:rPr>
                <w:rFonts w:ascii="仿宋_GB2312" w:hAnsi="宋体" w:eastAsia="仿宋_GB2312" w:cs="宋体"/>
                <w:kern w:val="0"/>
                <w:sz w:val="16"/>
                <w:szCs w:val="16"/>
              </w:rPr>
            </w:pPr>
          </w:p>
        </w:tc>
        <w:tc>
          <w:tcPr>
            <w:tcW w:w="1211" w:type="dxa"/>
            <w:tcBorders>
              <w:top w:val="nil"/>
            </w:tcBorders>
            <w:vAlign w:val="center"/>
          </w:tcPr>
          <w:p w14:paraId="5CFB9ED3">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eastAsia="zh-CN"/>
              </w:rPr>
              <w:t>社会成本指标</w:t>
            </w:r>
          </w:p>
        </w:tc>
        <w:tc>
          <w:tcPr>
            <w:tcW w:w="1014" w:type="dxa"/>
            <w:vAlign w:val="center"/>
          </w:tcPr>
          <w:p w14:paraId="49E2C148">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无</w:t>
            </w:r>
          </w:p>
        </w:tc>
        <w:tc>
          <w:tcPr>
            <w:tcW w:w="1094" w:type="dxa"/>
            <w:vAlign w:val="center"/>
          </w:tcPr>
          <w:p w14:paraId="124802A4">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无</w:t>
            </w:r>
          </w:p>
        </w:tc>
        <w:tc>
          <w:tcPr>
            <w:tcW w:w="1092" w:type="dxa"/>
            <w:vAlign w:val="center"/>
          </w:tcPr>
          <w:p w14:paraId="72BF6750">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804" w:type="dxa"/>
            <w:vAlign w:val="center"/>
          </w:tcPr>
          <w:p w14:paraId="4BE89AD7">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0</w:t>
            </w:r>
          </w:p>
        </w:tc>
        <w:tc>
          <w:tcPr>
            <w:tcW w:w="843" w:type="dxa"/>
            <w:vAlign w:val="center"/>
          </w:tcPr>
          <w:p w14:paraId="4124CB49">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0</w:t>
            </w:r>
          </w:p>
        </w:tc>
        <w:tc>
          <w:tcPr>
            <w:tcW w:w="1380" w:type="dxa"/>
            <w:vAlign w:val="center"/>
          </w:tcPr>
          <w:p w14:paraId="46789D19">
            <w:pPr>
              <w:spacing w:line="240" w:lineRule="auto"/>
              <w:ind w:firstLine="420"/>
              <w:jc w:val="center"/>
              <w:rPr>
                <w:rFonts w:ascii="仿宋_GB2312" w:hAnsi="宋体" w:eastAsia="仿宋_GB2312" w:cs="宋体"/>
                <w:kern w:val="0"/>
                <w:sz w:val="16"/>
                <w:szCs w:val="16"/>
              </w:rPr>
            </w:pPr>
          </w:p>
        </w:tc>
      </w:tr>
      <w:tr w14:paraId="09DEC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jc w:val="center"/>
        </w:trPr>
        <w:tc>
          <w:tcPr>
            <w:tcW w:w="1048" w:type="dxa"/>
            <w:vMerge w:val="continue"/>
            <w:textDirection w:val="tbRlV"/>
            <w:vAlign w:val="center"/>
          </w:tcPr>
          <w:p w14:paraId="669A1984">
            <w:pPr>
              <w:spacing w:line="240" w:lineRule="auto"/>
              <w:ind w:firstLine="420"/>
              <w:jc w:val="center"/>
              <w:rPr>
                <w:rFonts w:ascii="仿宋_GB2312" w:hAnsi="宋体" w:eastAsia="仿宋_GB2312" w:cs="宋体"/>
                <w:kern w:val="0"/>
                <w:sz w:val="16"/>
                <w:szCs w:val="16"/>
              </w:rPr>
            </w:pPr>
          </w:p>
        </w:tc>
        <w:tc>
          <w:tcPr>
            <w:tcW w:w="1053" w:type="dxa"/>
            <w:vMerge w:val="continue"/>
            <w:tcBorders>
              <w:top w:val="nil"/>
            </w:tcBorders>
            <w:vAlign w:val="center"/>
          </w:tcPr>
          <w:p w14:paraId="48555B9D">
            <w:pPr>
              <w:spacing w:line="240" w:lineRule="auto"/>
              <w:ind w:firstLine="420" w:firstLineChars="0"/>
              <w:jc w:val="center"/>
              <w:rPr>
                <w:rFonts w:ascii="仿宋_GB2312" w:hAnsi="宋体" w:eastAsia="仿宋_GB2312" w:cs="宋体"/>
                <w:kern w:val="0"/>
                <w:sz w:val="16"/>
                <w:szCs w:val="16"/>
              </w:rPr>
            </w:pPr>
          </w:p>
        </w:tc>
        <w:tc>
          <w:tcPr>
            <w:tcW w:w="1211" w:type="dxa"/>
            <w:tcBorders>
              <w:top w:val="nil"/>
            </w:tcBorders>
            <w:vAlign w:val="center"/>
          </w:tcPr>
          <w:p w14:paraId="0473F50E">
            <w:pPr>
              <w:spacing w:line="240" w:lineRule="auto"/>
              <w:jc w:val="center"/>
              <w:rPr>
                <w:rFonts w:ascii="仿宋_GB2312" w:hAnsi="宋体" w:eastAsia="仿宋_GB2312" w:cs="宋体"/>
                <w:kern w:val="0"/>
                <w:sz w:val="16"/>
                <w:szCs w:val="16"/>
              </w:rPr>
            </w:pPr>
            <w:r>
              <w:rPr>
                <w:rFonts w:hint="eastAsia" w:ascii="仿宋_GB2312" w:eastAsia="仿宋_GB2312"/>
                <w:kern w:val="0"/>
                <w:sz w:val="16"/>
                <w:szCs w:val="16"/>
                <w:lang w:eastAsia="zh-CN"/>
              </w:rPr>
              <w:t>生态环境成本指标</w:t>
            </w:r>
          </w:p>
        </w:tc>
        <w:tc>
          <w:tcPr>
            <w:tcW w:w="1014" w:type="dxa"/>
            <w:vAlign w:val="center"/>
          </w:tcPr>
          <w:p w14:paraId="37D3C256">
            <w:pPr>
              <w:spacing w:line="240" w:lineRule="auto"/>
              <w:jc w:val="left"/>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无</w:t>
            </w:r>
          </w:p>
        </w:tc>
        <w:tc>
          <w:tcPr>
            <w:tcW w:w="1094" w:type="dxa"/>
            <w:vAlign w:val="center"/>
          </w:tcPr>
          <w:p w14:paraId="0B69CB8F">
            <w:pPr>
              <w:spacing w:line="240" w:lineRule="auto"/>
              <w:jc w:val="center"/>
              <w:rPr>
                <w:rFonts w:hint="eastAsia" w:ascii="仿宋_GB2312" w:hAnsi="宋体" w:eastAsia="仿宋_GB2312" w:cs="宋体"/>
                <w:kern w:val="0"/>
                <w:sz w:val="16"/>
                <w:szCs w:val="16"/>
                <w:lang w:eastAsia="zh-CN"/>
              </w:rPr>
            </w:pPr>
            <w:r>
              <w:rPr>
                <w:rFonts w:hint="eastAsia" w:ascii="仿宋_GB2312" w:hAnsi="宋体" w:eastAsia="仿宋_GB2312" w:cs="宋体"/>
                <w:kern w:val="0"/>
                <w:sz w:val="16"/>
                <w:szCs w:val="16"/>
                <w:lang w:eastAsia="zh-CN"/>
              </w:rPr>
              <w:t>无</w:t>
            </w:r>
          </w:p>
        </w:tc>
        <w:tc>
          <w:tcPr>
            <w:tcW w:w="1092" w:type="dxa"/>
            <w:vAlign w:val="center"/>
          </w:tcPr>
          <w:p w14:paraId="18791E7C">
            <w:pPr>
              <w:spacing w:line="240" w:lineRule="auto"/>
              <w:jc w:val="center"/>
              <w:rPr>
                <w:rFonts w:hint="eastAsia" w:ascii="仿宋_GB2312" w:hAnsi="宋体" w:eastAsia="仿宋_GB2312" w:cs="宋体"/>
                <w:snapToGrid w:val="0"/>
                <w:color w:val="000000"/>
                <w:kern w:val="0"/>
                <w:sz w:val="16"/>
                <w:szCs w:val="16"/>
                <w:lang w:val="en-US" w:eastAsia="zh-CN" w:bidi="ar-SA"/>
              </w:rPr>
            </w:pPr>
            <w:r>
              <w:rPr>
                <w:rFonts w:hint="eastAsia" w:ascii="仿宋_GB2312" w:hAnsi="宋体" w:eastAsia="仿宋_GB2312" w:cs="宋体"/>
                <w:kern w:val="0"/>
                <w:sz w:val="16"/>
                <w:szCs w:val="16"/>
                <w:lang w:eastAsia="zh-CN"/>
              </w:rPr>
              <w:t>无</w:t>
            </w:r>
          </w:p>
        </w:tc>
        <w:tc>
          <w:tcPr>
            <w:tcW w:w="804" w:type="dxa"/>
            <w:vAlign w:val="center"/>
          </w:tcPr>
          <w:p w14:paraId="43296B04">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0</w:t>
            </w:r>
          </w:p>
        </w:tc>
        <w:tc>
          <w:tcPr>
            <w:tcW w:w="843" w:type="dxa"/>
            <w:vAlign w:val="center"/>
          </w:tcPr>
          <w:p w14:paraId="2FE18EF5">
            <w:pPr>
              <w:spacing w:line="240" w:lineRule="auto"/>
              <w:jc w:val="center"/>
              <w:rPr>
                <w:rFonts w:hint="eastAsia"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0</w:t>
            </w:r>
          </w:p>
        </w:tc>
        <w:tc>
          <w:tcPr>
            <w:tcW w:w="1380" w:type="dxa"/>
            <w:vAlign w:val="center"/>
          </w:tcPr>
          <w:p w14:paraId="7FEBDBD7">
            <w:pPr>
              <w:spacing w:line="240" w:lineRule="auto"/>
              <w:ind w:firstLine="420"/>
              <w:jc w:val="center"/>
              <w:rPr>
                <w:rFonts w:ascii="仿宋_GB2312" w:hAnsi="宋体" w:eastAsia="仿宋_GB2312" w:cs="宋体"/>
                <w:kern w:val="0"/>
                <w:sz w:val="16"/>
                <w:szCs w:val="16"/>
              </w:rPr>
            </w:pPr>
          </w:p>
        </w:tc>
      </w:tr>
      <w:tr w14:paraId="30719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jc w:val="center"/>
        </w:trPr>
        <w:tc>
          <w:tcPr>
            <w:tcW w:w="6512" w:type="dxa"/>
            <w:gridSpan w:val="6"/>
            <w:vAlign w:val="center"/>
          </w:tcPr>
          <w:p w14:paraId="76CE11C7">
            <w:pPr>
              <w:spacing w:line="240" w:lineRule="auto"/>
              <w:ind w:firstLine="420"/>
              <w:jc w:val="center"/>
              <w:rPr>
                <w:rFonts w:ascii="仿宋_GB2312" w:hAnsi="宋体" w:eastAsia="仿宋_GB2312" w:cs="宋体"/>
                <w:kern w:val="0"/>
                <w:sz w:val="16"/>
                <w:szCs w:val="16"/>
              </w:rPr>
            </w:pPr>
            <w:r>
              <w:rPr>
                <w:rFonts w:hint="eastAsia" w:ascii="仿宋_GB2312" w:hAnsi="宋体" w:eastAsia="仿宋_GB2312" w:cs="宋体"/>
                <w:kern w:val="0"/>
                <w:sz w:val="16"/>
                <w:szCs w:val="16"/>
              </w:rPr>
              <w:t>总分</w:t>
            </w:r>
          </w:p>
        </w:tc>
        <w:tc>
          <w:tcPr>
            <w:tcW w:w="804" w:type="dxa"/>
            <w:vAlign w:val="center"/>
          </w:tcPr>
          <w:p w14:paraId="189C1907">
            <w:pPr>
              <w:spacing w:line="240" w:lineRule="auto"/>
              <w:jc w:val="center"/>
              <w:rPr>
                <w:rFonts w:ascii="仿宋_GB2312" w:hAnsi="宋体" w:eastAsia="仿宋_GB2312" w:cs="宋体"/>
                <w:kern w:val="0"/>
                <w:sz w:val="16"/>
                <w:szCs w:val="16"/>
              </w:rPr>
            </w:pPr>
            <w:r>
              <w:rPr>
                <w:rFonts w:ascii="仿宋_GB2312" w:hAnsi="宋体" w:eastAsia="仿宋_GB2312" w:cs="宋体"/>
                <w:kern w:val="0"/>
                <w:sz w:val="16"/>
                <w:szCs w:val="16"/>
              </w:rPr>
              <w:t>100</w:t>
            </w:r>
          </w:p>
        </w:tc>
        <w:tc>
          <w:tcPr>
            <w:tcW w:w="843" w:type="dxa"/>
            <w:vAlign w:val="center"/>
          </w:tcPr>
          <w:p w14:paraId="25BAACCC">
            <w:pPr>
              <w:spacing w:line="240" w:lineRule="auto"/>
              <w:ind w:firstLine="420"/>
              <w:jc w:val="center"/>
              <w:rPr>
                <w:rFonts w:hint="default" w:ascii="仿宋_GB2312" w:hAnsi="宋体" w:eastAsia="仿宋_GB2312" w:cs="宋体"/>
                <w:kern w:val="0"/>
                <w:sz w:val="16"/>
                <w:szCs w:val="16"/>
                <w:lang w:val="en-US" w:eastAsia="zh-CN"/>
              </w:rPr>
            </w:pPr>
            <w:r>
              <w:rPr>
                <w:rFonts w:hint="eastAsia" w:ascii="仿宋_GB2312" w:hAnsi="宋体" w:eastAsia="仿宋_GB2312" w:cs="宋体"/>
                <w:kern w:val="0"/>
                <w:sz w:val="16"/>
                <w:szCs w:val="16"/>
                <w:lang w:val="en-US" w:eastAsia="zh-CN"/>
              </w:rPr>
              <w:t>97.25</w:t>
            </w:r>
          </w:p>
        </w:tc>
        <w:tc>
          <w:tcPr>
            <w:tcW w:w="1380" w:type="dxa"/>
            <w:vAlign w:val="center"/>
          </w:tcPr>
          <w:p w14:paraId="5B3D7E81">
            <w:pPr>
              <w:spacing w:line="240" w:lineRule="auto"/>
              <w:ind w:firstLine="420"/>
              <w:jc w:val="center"/>
              <w:rPr>
                <w:rFonts w:ascii="仿宋_GB2312" w:hAnsi="宋体" w:eastAsia="仿宋_GB2312" w:cs="宋体"/>
                <w:kern w:val="0"/>
                <w:sz w:val="16"/>
                <w:szCs w:val="16"/>
              </w:rPr>
            </w:pPr>
          </w:p>
        </w:tc>
      </w:tr>
    </w:tbl>
    <w:p w14:paraId="5D0D511E">
      <w:pPr>
        <w:spacing w:line="237" w:lineRule="exact"/>
        <w:ind w:firstLine="420"/>
        <w:jc w:val="left"/>
        <w:rPr>
          <w:kern w:val="0"/>
          <w:lang w:eastAsia="zh-CN"/>
        </w:rPr>
      </w:pPr>
    </w:p>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054B800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DFADA9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D88155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926F75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DD11A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3DEDF6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40744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C3A5FA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839F8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CBF7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B7AE8D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82D09D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5152228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D158595">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5E017EDB">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交通运输综合行政执法大队</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部门整体支出绩效自评报告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EDA5F2C">
      <w:pPr>
        <w:spacing w:before="130" w:line="221" w:lineRule="auto"/>
        <w:jc w:val="center"/>
        <w:rPr>
          <w:rFonts w:hint="eastAsia" w:ascii="黑体" w:hAnsi="黑体" w:eastAsia="黑体" w:cs="黑体"/>
          <w:spacing w:val="16"/>
          <w:sz w:val="40"/>
          <w:szCs w:val="40"/>
          <w:lang w:eastAsia="zh-CN"/>
        </w:rPr>
      </w:pPr>
      <w:r>
        <w:rPr>
          <w:rFonts w:hint="eastAsia" w:ascii="黑体" w:hAnsi="黑体" w:eastAsia="黑体" w:cs="黑体"/>
          <w:spacing w:val="16"/>
          <w:sz w:val="40"/>
          <w:szCs w:val="40"/>
          <w:lang w:eastAsia="zh-CN"/>
        </w:rPr>
        <w:t>202</w:t>
      </w:r>
      <w:r>
        <w:rPr>
          <w:rFonts w:hint="eastAsia" w:ascii="黑体" w:hAnsi="黑体" w:eastAsia="黑体" w:cs="黑体"/>
          <w:spacing w:val="16"/>
          <w:sz w:val="40"/>
          <w:szCs w:val="40"/>
          <w:lang w:val="en-US" w:eastAsia="zh-CN"/>
        </w:rPr>
        <w:t>3</w:t>
      </w:r>
      <w:r>
        <w:rPr>
          <w:rFonts w:hint="eastAsia" w:ascii="黑体" w:hAnsi="黑体" w:eastAsia="黑体" w:cs="黑体"/>
          <w:spacing w:val="16"/>
          <w:sz w:val="40"/>
          <w:szCs w:val="40"/>
          <w:lang w:eastAsia="zh-CN"/>
        </w:rPr>
        <w:t xml:space="preserve"> 年度交通运输综合行政执法大队</w:t>
      </w:r>
    </w:p>
    <w:p w14:paraId="6A3F30B4">
      <w:pPr>
        <w:spacing w:before="130" w:line="221" w:lineRule="auto"/>
        <w:jc w:val="center"/>
        <w:rPr>
          <w:rFonts w:ascii="黑体" w:hAnsi="黑体" w:eastAsia="黑体" w:cs="黑体"/>
          <w:spacing w:val="16"/>
          <w:sz w:val="40"/>
          <w:szCs w:val="40"/>
        </w:rPr>
      </w:pPr>
      <w:r>
        <w:rPr>
          <w:rFonts w:hint="eastAsia" w:ascii="黑体" w:hAnsi="黑体" w:eastAsia="黑体" w:cs="黑体"/>
          <w:spacing w:val="16"/>
          <w:sz w:val="40"/>
          <w:szCs w:val="40"/>
          <w:lang w:eastAsia="zh-CN"/>
        </w:rPr>
        <w:t>部门</w:t>
      </w:r>
      <w:r>
        <w:rPr>
          <w:rFonts w:ascii="黑体" w:hAnsi="黑体" w:eastAsia="黑体" w:cs="黑体"/>
          <w:spacing w:val="16"/>
          <w:sz w:val="40"/>
          <w:szCs w:val="40"/>
        </w:rPr>
        <w:t>整体支出绩效自评报告</w:t>
      </w:r>
    </w:p>
    <w:p w14:paraId="7C032366">
      <w:pPr>
        <w:spacing w:before="130" w:line="221" w:lineRule="auto"/>
        <w:jc w:val="center"/>
        <w:rPr>
          <w:rFonts w:ascii="黑体" w:hAnsi="黑体" w:eastAsia="黑体" w:cs="黑体"/>
          <w:spacing w:val="16"/>
          <w:sz w:val="40"/>
          <w:szCs w:val="40"/>
          <w:lang w:val="en-US" w:eastAsia="zh-CN"/>
        </w:rPr>
      </w:pPr>
    </w:p>
    <w:p w14:paraId="2DC95307">
      <w:pPr>
        <w:widowControl/>
        <w:numPr>
          <w:ilvl w:val="0"/>
          <w:numId w:val="1"/>
        </w:numPr>
        <w:spacing w:line="600" w:lineRule="exact"/>
        <w:ind w:firstLine="560" w:firstLineChars="200"/>
        <w:rPr>
          <w:rFonts w:hint="eastAsia" w:ascii="方正黑体_GBK" w:hAnsi="仿宋" w:eastAsia="方正黑体_GBK" w:cs="仿宋"/>
          <w:snapToGrid w:val="0"/>
          <w:color w:val="000000"/>
          <w:sz w:val="28"/>
          <w:szCs w:val="28"/>
          <w:lang w:val="en-US" w:eastAsia="zh-CN" w:bidi="ar-SA"/>
        </w:rPr>
      </w:pPr>
      <w:r>
        <w:rPr>
          <w:rFonts w:hint="eastAsia" w:ascii="方正黑体_GBK" w:hAnsi="仿宋" w:eastAsia="方正黑体_GBK" w:cs="仿宋"/>
          <w:snapToGrid w:val="0"/>
          <w:color w:val="000000"/>
          <w:sz w:val="28"/>
          <w:szCs w:val="28"/>
          <w:lang w:val="en-US" w:eastAsia="zh-CN" w:bidi="ar-SA"/>
        </w:rPr>
        <w:t>部门基本情况</w:t>
      </w:r>
      <w:bookmarkStart w:id="0" w:name="_GoBack"/>
      <w:bookmarkEnd w:id="0"/>
    </w:p>
    <w:p w14:paraId="3C649C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0" w:firstLineChars="200"/>
        <w:textAlignment w:val="baseline"/>
        <w:rPr>
          <w:rFonts w:hint="eastAsia" w:eastAsia="宋体" w:cs="仿宋_GB2312"/>
          <w:kern w:val="0"/>
          <w:sz w:val="28"/>
          <w:szCs w:val="28"/>
          <w:lang w:val="en-US" w:eastAsia="zh-CN"/>
        </w:rPr>
      </w:pPr>
      <w:r>
        <w:rPr>
          <w:rFonts w:hint="eastAsia" w:eastAsia="宋体" w:cs="仿宋_GB2312"/>
          <w:kern w:val="0"/>
          <w:sz w:val="28"/>
          <w:szCs w:val="28"/>
          <w:lang w:val="en-US" w:eastAsia="zh-CN"/>
        </w:rPr>
        <w:t>（1）宣传贯彻执行国家、省、岳阳市交通主管部门有关交通运输行政执法（含道路、公路水路路政、城乡客运、交通工程质量安全等）的方针、政策和法律法规规章；参与编制全市交通运输综合行政执法规划；拟定全市交通运输综合行政执法工作计划，并组织实施。</w:t>
      </w:r>
    </w:p>
    <w:p w14:paraId="6A7C03EA">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（2）依法行使有关法律法规赋予的公路水路路政、道路运政、城乡客运、交通工程质量安全等交通运输领域的行政处罚权以及与行政处罚相关的行政检查、行政强制权等行政执法职能。</w:t>
      </w:r>
    </w:p>
    <w:p w14:paraId="6BDDDE80">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3）负责全市交通运输综合行政执法的组织、指挥、协调；依法实施交通运输综合行政执法的法定程序、标准、规定；协调或配合上级对重大复杂交通运输违法案件、跨线（市、区）交通运输违法案件的查处，负责对全市境内的公路水路路政、道路运政、城乡客运、交通工程质量安全等违法案件查处；依法查处上级交办、相关部门移交及群众投诉、举报的违法案件。</w:t>
      </w:r>
    </w:p>
    <w:p w14:paraId="4C7382F2">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（4）负责对下放或委托给各镇办理的交通运输综合行政执法事项进行指导、协调、监督。</w:t>
      </w:r>
    </w:p>
    <w:p w14:paraId="6DB20E27">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（5）负责依法对交通运输市场主体及从业人员的经营行为实施监督检查，纠正违章违规经营行为，治理货运车辆超限运输，联合整治非法营运，维护交通运输市场秩序。</w:t>
      </w:r>
    </w:p>
    <w:p w14:paraId="602077CA">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（6）组织或参与跨行业、跨地区联合执法行动。</w:t>
      </w:r>
    </w:p>
    <w:p w14:paraId="6E987D20">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（7）参与交通运输行业诚信体系建设，做好道路运输、城乡客运行业质量信誉考核工作。</w:t>
      </w:r>
    </w:p>
    <w:p w14:paraId="0D97CBDA">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（8）参与全市节假日运输、重大物资运输、抢险救灾、交通战备等应急运输保障工作；配合相关部门做好联合运输工作。</w:t>
      </w:r>
    </w:p>
    <w:p w14:paraId="4A853BBF">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（9）完成上级交办的其他工作。</w:t>
      </w:r>
    </w:p>
    <w:p w14:paraId="213FABCF">
      <w:pPr>
        <w:widowControl/>
        <w:spacing w:line="600" w:lineRule="exact"/>
        <w:ind w:firstLine="560" w:firstLineChars="200"/>
        <w:rPr>
          <w:rFonts w:hint="default" w:eastAsia="宋体" w:cs="仿宋_GB2312"/>
          <w:kern w:val="0"/>
          <w:sz w:val="28"/>
          <w:szCs w:val="28"/>
          <w:lang w:val="en-US" w:eastAsia="zh-CN"/>
        </w:rPr>
      </w:pPr>
      <w:r>
        <w:rPr>
          <w:rFonts w:hint="eastAsia" w:eastAsia="宋体" w:cs="仿宋_GB2312"/>
          <w:kern w:val="0"/>
          <w:sz w:val="28"/>
          <w:szCs w:val="28"/>
          <w:lang w:val="en-US" w:eastAsia="zh-CN"/>
        </w:rPr>
        <w:t>（10）负责交通运输综合行政执法与刑事司法衔接、移送涉嫌犯罪案件。</w:t>
      </w:r>
    </w:p>
    <w:p w14:paraId="2B641025">
      <w:pPr>
        <w:spacing w:line="600" w:lineRule="exact"/>
        <w:ind w:firstLine="560" w:firstLineChars="200"/>
        <w:jc w:val="both"/>
        <w:rPr>
          <w:rFonts w:ascii="方正黑体_GBK" w:eastAsia="方正黑体_GBK"/>
          <w:kern w:val="0"/>
          <w:sz w:val="28"/>
          <w:szCs w:val="28"/>
          <w:lang w:eastAsia="zh-CN"/>
        </w:rPr>
      </w:pPr>
      <w:r>
        <w:rPr>
          <w:rFonts w:hint="eastAsia" w:ascii="方正黑体_GBK" w:eastAsia="方正黑体_GBK"/>
          <w:kern w:val="0"/>
          <w:sz w:val="28"/>
          <w:szCs w:val="28"/>
          <w:lang w:eastAsia="zh-CN"/>
        </w:rPr>
        <w:t>二、一般公共预算支出情况</w:t>
      </w:r>
    </w:p>
    <w:p w14:paraId="2B8E5FFE">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（一）基本支出情况</w:t>
      </w:r>
    </w:p>
    <w:p w14:paraId="42DC8FD0">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整体支出规模、使用方向和主要内容、涉及范围等按照综合预算的原则，汨罗市交通运输综合行政执法大队所有收入和支出均纳入部门预算管理。2023年度没有政府性基金预算拨款，收入包括经费拨款，纳入预算管理的非税收入拨款，其他收入、上年结转；支出包括保障单位基本运行的经费，项目经费。</w:t>
      </w:r>
    </w:p>
    <w:p w14:paraId="16829FCB">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年度收支情况。2023年收入预算1129.6万元，其他财政拨款0，其他收入0； 2023年支出预算1129.6万元，其中：基本支出1129.6万元，项目支出0万元。</w:t>
      </w:r>
    </w:p>
    <w:p w14:paraId="7335CE66">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项目支出情况</w:t>
      </w:r>
    </w:p>
    <w:p w14:paraId="00657FCB">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 xml:space="preserve"> 汨罗市交通运输综合行政执法大队2023年专项支出0万元。（二）项目支出情况。</w:t>
      </w:r>
    </w:p>
    <w:p w14:paraId="516D3C52">
      <w:pPr>
        <w:numPr>
          <w:numId w:val="0"/>
        </w:numPr>
        <w:spacing w:line="600" w:lineRule="exact"/>
        <w:ind w:firstLine="560" w:firstLineChars="200"/>
        <w:jc w:val="both"/>
        <w:rPr>
          <w:rFonts w:hint="eastAsia" w:ascii="方正黑体_GBK" w:eastAsia="方正黑体_GBK"/>
          <w:kern w:val="0"/>
          <w:sz w:val="28"/>
          <w:szCs w:val="28"/>
          <w:lang w:eastAsia="zh-CN"/>
        </w:rPr>
      </w:pPr>
      <w:r>
        <w:rPr>
          <w:rFonts w:hint="eastAsia" w:ascii="方正黑体_GBK" w:eastAsia="方正黑体_GBK"/>
          <w:kern w:val="0"/>
          <w:sz w:val="28"/>
          <w:szCs w:val="28"/>
          <w:lang w:eastAsia="zh-CN"/>
        </w:rPr>
        <w:t>三、政府性基金预算财政拨款支出情况</w:t>
      </w:r>
    </w:p>
    <w:p w14:paraId="142DDE37">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本部门无政府性基金预算财政拨款支出。</w:t>
      </w:r>
    </w:p>
    <w:p w14:paraId="2A755169">
      <w:pPr>
        <w:numPr>
          <w:numId w:val="0"/>
        </w:numPr>
        <w:spacing w:line="600" w:lineRule="exact"/>
        <w:ind w:firstLine="560" w:firstLineChars="200"/>
        <w:jc w:val="both"/>
        <w:rPr>
          <w:rFonts w:hint="eastAsia" w:ascii="方正黑体_GBK" w:eastAsia="方正黑体_GBK"/>
          <w:kern w:val="0"/>
          <w:sz w:val="28"/>
          <w:szCs w:val="28"/>
          <w:lang w:eastAsia="zh-CN"/>
        </w:rPr>
      </w:pPr>
      <w:r>
        <w:rPr>
          <w:rFonts w:hint="eastAsia" w:ascii="方正黑体_GBK" w:eastAsia="方正黑体_GBK"/>
          <w:kern w:val="0"/>
          <w:sz w:val="28"/>
          <w:szCs w:val="28"/>
          <w:lang w:eastAsia="zh-CN"/>
        </w:rPr>
        <w:t>四、国有资本经营预算财政拨款支出情况</w:t>
      </w:r>
    </w:p>
    <w:p w14:paraId="244A3F5E">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本部门无国有资本经营预算财政拨款支出。</w:t>
      </w:r>
    </w:p>
    <w:p w14:paraId="07F1EBC0">
      <w:pPr>
        <w:numPr>
          <w:numId w:val="0"/>
        </w:numPr>
        <w:spacing w:line="600" w:lineRule="exact"/>
        <w:ind w:firstLine="560" w:firstLineChars="200"/>
        <w:jc w:val="both"/>
        <w:rPr>
          <w:rFonts w:hint="eastAsia" w:ascii="方正黑体_GBK" w:eastAsia="方正黑体_GBK"/>
          <w:kern w:val="0"/>
          <w:sz w:val="28"/>
          <w:szCs w:val="28"/>
          <w:lang w:eastAsia="zh-CN"/>
        </w:rPr>
      </w:pPr>
      <w:r>
        <w:rPr>
          <w:rFonts w:hint="eastAsia" w:ascii="方正黑体_GBK" w:eastAsia="方正黑体_GBK"/>
          <w:kern w:val="0"/>
          <w:sz w:val="28"/>
          <w:szCs w:val="28"/>
          <w:lang w:eastAsia="zh-CN"/>
        </w:rPr>
        <w:t>五、社会保险基金预算支出情况</w:t>
      </w:r>
    </w:p>
    <w:p w14:paraId="5DBF2F9F">
      <w:pPr>
        <w:widowControl/>
        <w:spacing w:line="600" w:lineRule="exact"/>
        <w:ind w:firstLine="560" w:firstLineChars="200"/>
        <w:rPr>
          <w:rFonts w:hint="default" w:eastAsia="宋体" w:cs="仿宋_GB2312"/>
          <w:kern w:val="0"/>
          <w:sz w:val="28"/>
          <w:szCs w:val="28"/>
          <w:lang w:val="en-US" w:eastAsia="zh-CN"/>
        </w:rPr>
      </w:pPr>
      <w:r>
        <w:rPr>
          <w:rFonts w:hint="eastAsia" w:eastAsia="宋体" w:cs="仿宋_GB2312"/>
          <w:kern w:val="0"/>
          <w:sz w:val="28"/>
          <w:szCs w:val="28"/>
          <w:lang w:val="en-US" w:eastAsia="zh-CN"/>
        </w:rPr>
        <w:t>社会保险基金预算支出98.53万元；其中机关事业单位基本养老保险缴费支出90.69万元；其他社会保障和就业支出7.85万元。</w:t>
      </w:r>
    </w:p>
    <w:p w14:paraId="03087A41">
      <w:pPr>
        <w:spacing w:line="600" w:lineRule="exact"/>
        <w:ind w:firstLine="560" w:firstLineChars="200"/>
        <w:jc w:val="both"/>
        <w:rPr>
          <w:rFonts w:ascii="方正黑体_GBK" w:eastAsia="方正黑体_GBK"/>
          <w:kern w:val="0"/>
          <w:sz w:val="28"/>
          <w:szCs w:val="28"/>
          <w:lang w:eastAsia="zh-CN"/>
        </w:rPr>
      </w:pPr>
      <w:r>
        <w:rPr>
          <w:rFonts w:hint="eastAsia" w:ascii="方正黑体_GBK" w:eastAsia="方正黑体_GBK"/>
          <w:kern w:val="0"/>
          <w:sz w:val="28"/>
          <w:szCs w:val="28"/>
          <w:lang w:eastAsia="zh-CN"/>
        </w:rPr>
        <w:t>六、部门整体支出绩效情况</w:t>
      </w:r>
    </w:p>
    <w:p w14:paraId="789230B0">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 xml:space="preserve"> 从各股室及二级机构履职及履职效益情况来看，我单位整体效果较好，从经济性来看，各线能够按照年初预算来完成各项工作，年度开支控制在预算及财政局规定的范围内；从效率来看，各线对所承担的工作能够按照计划的时间把握进度，如质如量按时完成各项工作，注重了工作的效率性。</w:t>
      </w:r>
    </w:p>
    <w:p w14:paraId="7AD2711B">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本部门整体支出绩效评价自评为97.25分。</w:t>
      </w:r>
    </w:p>
    <w:p w14:paraId="4D33A17F">
      <w:pPr>
        <w:spacing w:line="600" w:lineRule="exact"/>
        <w:ind w:firstLine="560" w:firstLineChars="200"/>
        <w:jc w:val="both"/>
        <w:rPr>
          <w:rFonts w:ascii="方正黑体_GBK" w:eastAsia="方正黑体_GBK"/>
          <w:kern w:val="0"/>
          <w:sz w:val="28"/>
          <w:szCs w:val="28"/>
          <w:lang w:eastAsia="zh-CN"/>
        </w:rPr>
      </w:pPr>
      <w:r>
        <w:rPr>
          <w:rFonts w:hint="eastAsia" w:ascii="方正黑体_GBK" w:eastAsia="方正黑体_GBK"/>
          <w:kern w:val="0"/>
          <w:sz w:val="28"/>
          <w:szCs w:val="28"/>
          <w:lang w:eastAsia="zh-CN"/>
        </w:rPr>
        <w:t>七、存在的问题及原因分析</w:t>
      </w:r>
    </w:p>
    <w:p w14:paraId="678085DD">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1）根据本单位属于行政执法类机构，但目前仍处于改革过程中，单位性质尚未明确，在职在编工作人员人口结构老龄化严重。聘用人员负担重财政按事业单位性质安排预算，执法经费缺口大，执法装备配置不到位，影响执法效率。</w:t>
      </w:r>
    </w:p>
    <w:p w14:paraId="79C706DF">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（2）资金绩效目标管理和绩效评价体系有待进一步建立健全。</w:t>
      </w:r>
    </w:p>
    <w:p w14:paraId="3611C9C6">
      <w:pPr>
        <w:pStyle w:val="9"/>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黑体_GBK" w:eastAsia="方正黑体_GBK"/>
          <w:kern w:val="0"/>
          <w:sz w:val="28"/>
          <w:szCs w:val="28"/>
          <w:lang w:eastAsia="zh-CN"/>
        </w:rPr>
      </w:pPr>
      <w:r>
        <w:rPr>
          <w:rFonts w:hint="eastAsia" w:ascii="方正黑体_GBK" w:eastAsia="方正黑体_GBK"/>
          <w:kern w:val="0"/>
          <w:sz w:val="28"/>
          <w:szCs w:val="28"/>
          <w:lang w:eastAsia="zh-CN"/>
        </w:rPr>
        <w:t>八、下一步改进措施</w:t>
      </w:r>
    </w:p>
    <w:p w14:paraId="01385CB2">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（1）建议加快改革进度，尽快确定单位性质，财政经费算保障到位，确保本单位各项工作顺利开展。</w:t>
      </w:r>
    </w:p>
    <w:p w14:paraId="72440DDA">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（2）进一步细化绩效目标，建立健全绩效评价体系。加强绩效监控，对资金绩效目标实现程度和预算执行进度进行“双监控”。</w:t>
      </w:r>
    </w:p>
    <w:p w14:paraId="0F29DF12">
      <w:pPr>
        <w:widowControl/>
        <w:spacing w:line="600" w:lineRule="exact"/>
        <w:ind w:firstLine="560" w:firstLineChars="200"/>
        <w:rPr>
          <w:rFonts w:hint="eastAsia" w:eastAsia="宋体" w:cs="仿宋_GB2312"/>
          <w:kern w:val="0"/>
          <w:sz w:val="28"/>
          <w:szCs w:val="28"/>
          <w:lang w:val="en-US" w:eastAsia="zh-CN"/>
        </w:rPr>
      </w:pPr>
      <w:r>
        <w:rPr>
          <w:rFonts w:hint="eastAsia" w:eastAsia="宋体" w:cs="仿宋_GB2312"/>
          <w:kern w:val="0"/>
          <w:sz w:val="28"/>
          <w:szCs w:val="28"/>
          <w:lang w:val="en-US" w:eastAsia="zh-CN"/>
        </w:rPr>
        <w:t xml:space="preserve"> （3） 加强财务管理，严格财务审批。在费用报账支付时，按照预算规定的费用项目和用途进行资金使用、审核、列报支付，财务核算杜绝超支现象的发生。</w:t>
      </w:r>
    </w:p>
    <w:p w14:paraId="37ACA1CA">
      <w:pPr>
        <w:spacing w:line="600" w:lineRule="exact"/>
        <w:ind w:firstLine="560" w:firstLineChars="200"/>
        <w:jc w:val="both"/>
        <w:rPr>
          <w:rFonts w:ascii="方正黑体_GBK" w:eastAsia="方正黑体_GBK"/>
          <w:kern w:val="0"/>
          <w:sz w:val="28"/>
          <w:szCs w:val="28"/>
          <w:lang w:eastAsia="zh-CN"/>
        </w:rPr>
      </w:pPr>
      <w:r>
        <w:rPr>
          <w:rFonts w:hint="eastAsia" w:ascii="方正黑体_GBK" w:eastAsia="方正黑体_GBK"/>
          <w:kern w:val="0"/>
          <w:sz w:val="28"/>
          <w:szCs w:val="28"/>
          <w:lang w:eastAsia="zh-CN"/>
        </w:rPr>
        <w:t>九、部门整体支出绩效自评结果拟应用和公开情况</w:t>
      </w:r>
    </w:p>
    <w:p w14:paraId="6BBCD639">
      <w:pPr>
        <w:spacing w:line="600" w:lineRule="exact"/>
        <w:ind w:firstLine="560" w:firstLineChars="200"/>
        <w:jc w:val="both"/>
        <w:rPr>
          <w:rFonts w:hint="eastAsia" w:eastAsia="黑体"/>
          <w:kern w:val="0"/>
          <w:sz w:val="28"/>
          <w:szCs w:val="28"/>
          <w:lang w:eastAsia="zh-CN"/>
        </w:rPr>
      </w:pPr>
      <w:r>
        <w:rPr>
          <w:rFonts w:hint="eastAsia" w:eastAsia="黑体"/>
          <w:kern w:val="0"/>
          <w:sz w:val="28"/>
          <w:szCs w:val="28"/>
          <w:lang w:eastAsia="zh-CN"/>
        </w:rPr>
        <w:t>十、其他需要说明的情况</w:t>
      </w:r>
    </w:p>
    <w:p w14:paraId="61F15CD6">
      <w:pPr>
        <w:widowControl/>
        <w:spacing w:line="600" w:lineRule="exact"/>
        <w:ind w:firstLine="560" w:firstLineChars="200"/>
        <w:rPr>
          <w:rFonts w:hint="default" w:eastAsia="宋体" w:cs="仿宋_GB2312"/>
          <w:kern w:val="0"/>
          <w:sz w:val="28"/>
          <w:szCs w:val="28"/>
          <w:lang w:val="en-US" w:eastAsia="zh-CN"/>
        </w:rPr>
      </w:pPr>
      <w:r>
        <w:rPr>
          <w:rFonts w:hint="eastAsia" w:eastAsia="宋体" w:cs="仿宋_GB2312"/>
          <w:kern w:val="0"/>
          <w:sz w:val="28"/>
          <w:szCs w:val="28"/>
          <w:lang w:val="en-US" w:eastAsia="zh-CN"/>
        </w:rPr>
        <w:t>无。</w:t>
      </w: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71FD"/>
    <w:multiLevelType w:val="singleLevel"/>
    <w:tmpl w:val="EF9A71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ZjNzdjNWZkM2Q4YzNkZGY0YjY5M2I1YTBlODc2ZTUifQ=="/>
  </w:docVars>
  <w:rsids>
    <w:rsidRoot w:val="00000000"/>
    <w:rsid w:val="01AF3811"/>
    <w:rsid w:val="01F1594A"/>
    <w:rsid w:val="0364163C"/>
    <w:rsid w:val="03795BF7"/>
    <w:rsid w:val="07EC4BEA"/>
    <w:rsid w:val="086E756B"/>
    <w:rsid w:val="092C0C6B"/>
    <w:rsid w:val="0ACF37E5"/>
    <w:rsid w:val="0B400BC6"/>
    <w:rsid w:val="0D27191C"/>
    <w:rsid w:val="0E68228D"/>
    <w:rsid w:val="0EA6787F"/>
    <w:rsid w:val="10A560DD"/>
    <w:rsid w:val="117F0241"/>
    <w:rsid w:val="11D87C89"/>
    <w:rsid w:val="15276E52"/>
    <w:rsid w:val="19D32FBC"/>
    <w:rsid w:val="1E6A4395"/>
    <w:rsid w:val="25557A3D"/>
    <w:rsid w:val="26EA5ED7"/>
    <w:rsid w:val="27A93B82"/>
    <w:rsid w:val="2AE00186"/>
    <w:rsid w:val="2BAF1907"/>
    <w:rsid w:val="2C91311A"/>
    <w:rsid w:val="308216BE"/>
    <w:rsid w:val="310151F6"/>
    <w:rsid w:val="312863E3"/>
    <w:rsid w:val="34FE1149"/>
    <w:rsid w:val="39893DBB"/>
    <w:rsid w:val="39A14F85"/>
    <w:rsid w:val="3A550786"/>
    <w:rsid w:val="3B2F65C0"/>
    <w:rsid w:val="3B7A130F"/>
    <w:rsid w:val="3CE203C0"/>
    <w:rsid w:val="494A1329"/>
    <w:rsid w:val="4A1B668D"/>
    <w:rsid w:val="4A3459A1"/>
    <w:rsid w:val="4F8B6063"/>
    <w:rsid w:val="52FA3F96"/>
    <w:rsid w:val="538F3C48"/>
    <w:rsid w:val="55850F17"/>
    <w:rsid w:val="57AE6D93"/>
    <w:rsid w:val="58726012"/>
    <w:rsid w:val="5FB623A7"/>
    <w:rsid w:val="62943029"/>
    <w:rsid w:val="66E0683D"/>
    <w:rsid w:val="69B30178"/>
    <w:rsid w:val="6E3851B0"/>
    <w:rsid w:val="700925F0"/>
    <w:rsid w:val="737B1D72"/>
    <w:rsid w:val="77643B5A"/>
    <w:rsid w:val="784167CA"/>
    <w:rsid w:val="792A6432"/>
    <w:rsid w:val="7A175D06"/>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basedOn w:val="1"/>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3845</Words>
  <Characters>4149</Characters>
  <TotalTime>6</TotalTime>
  <ScaleCrop>false</ScaleCrop>
  <LinksUpToDate>false</LinksUpToDate>
  <CharactersWithSpaces>4282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WPS_1655195845</cp:lastModifiedBy>
  <cp:lastPrinted>2024-05-21T14:05:00Z</cp:lastPrinted>
  <dcterms:modified xsi:type="dcterms:W3CDTF">2025-07-08T00:35:30Z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2052-12.1.0.21915</vt:lpwstr>
  </property>
  <property fmtid="{D5CDD505-2E9C-101B-9397-08002B2CF9AE}" pid="6" name="ICV">
    <vt:lpwstr>187860B38A374314831A060440642941_13</vt:lpwstr>
  </property>
  <property fmtid="{D5CDD505-2E9C-101B-9397-08002B2CF9AE}" pid="7" name="KSOTemplateDocerSaveRecord">
    <vt:lpwstr>eyJoZGlkIjoiOTllZjQ4ZDljZmZjMGY2MWNhMjAxY2I0MDI4NzhmNGEiLCJ1c2VySWQiOiIxMzg2MTY5NzA4In0=</vt:lpwstr>
  </property>
</Properties>
</file>