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5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  <w:bookmarkStart w:id="0" w:name="_GoBack"/>
      <w:bookmarkEnd w:id="0"/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10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93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97.89%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39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39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38.48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7.48</w:t>
            </w: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7.48</w:t>
            </w: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39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39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31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25240.74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88224.89</w:t>
            </w: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1754.54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25240.74</w:t>
            </w: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88224.89</w:t>
            </w: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1754.54</w:t>
            </w: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179.16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199.35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179.98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15.02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0.55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43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6.65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15.9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0.32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714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2558EF38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10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湖南汨罗高新技术产业开发区管理委员会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89494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89405.45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3237.39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3.62%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39494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1180.56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50000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88224.89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引资争项</w:t>
            </w:r>
          </w:p>
        </w:tc>
        <w:tc>
          <w:tcPr>
            <w:tcW w:w="1298" w:type="dxa"/>
            <w:vAlign w:val="center"/>
          </w:tcPr>
          <w:p w14:paraId="2A374824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10亿元项目3</w:t>
            </w:r>
          </w:p>
        </w:tc>
        <w:tc>
          <w:tcPr>
            <w:tcW w:w="1269" w:type="dxa"/>
            <w:vAlign w:val="center"/>
          </w:tcPr>
          <w:p w14:paraId="708D788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567F5E5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717B7C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E485C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5CE1D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46D111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812C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26654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10423A41"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高质量发展</w:t>
            </w:r>
          </w:p>
        </w:tc>
        <w:tc>
          <w:tcPr>
            <w:tcW w:w="1298" w:type="dxa"/>
            <w:vAlign w:val="center"/>
          </w:tcPr>
          <w:p w14:paraId="1A5ADA3A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五好园区达标</w:t>
            </w:r>
          </w:p>
        </w:tc>
        <w:tc>
          <w:tcPr>
            <w:tcW w:w="1269" w:type="dxa"/>
            <w:vAlign w:val="center"/>
          </w:tcPr>
          <w:p w14:paraId="54075F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5580FC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0982B1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BA53E0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33DF5A2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F080A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55F4A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2A2261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5323318C"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计划进度</w:t>
            </w:r>
          </w:p>
        </w:tc>
        <w:tc>
          <w:tcPr>
            <w:tcW w:w="1298" w:type="dxa"/>
            <w:vAlign w:val="center"/>
          </w:tcPr>
          <w:p w14:paraId="479FA5D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完工进度</w:t>
            </w:r>
          </w:p>
        </w:tc>
        <w:tc>
          <w:tcPr>
            <w:tcW w:w="1269" w:type="dxa"/>
            <w:vAlign w:val="center"/>
          </w:tcPr>
          <w:p w14:paraId="5C1B34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C56B99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5DA3483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4EC514E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A000B2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94C6C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37EBC3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E73072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32611957"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收入指标</w:t>
            </w:r>
          </w:p>
        </w:tc>
        <w:tc>
          <w:tcPr>
            <w:tcW w:w="1298" w:type="dxa"/>
            <w:vAlign w:val="center"/>
          </w:tcPr>
          <w:p w14:paraId="078289F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税收</w:t>
            </w:r>
          </w:p>
        </w:tc>
        <w:tc>
          <w:tcPr>
            <w:tcW w:w="1269" w:type="dxa"/>
            <w:vAlign w:val="center"/>
          </w:tcPr>
          <w:p w14:paraId="7A453B8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15A3F6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2AC58B9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50A34D2D"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入库指标</w:t>
            </w:r>
          </w:p>
        </w:tc>
        <w:tc>
          <w:tcPr>
            <w:tcW w:w="1298" w:type="dxa"/>
            <w:vAlign w:val="center"/>
          </w:tcPr>
          <w:p w14:paraId="54DB100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税收</w:t>
            </w:r>
          </w:p>
        </w:tc>
        <w:tc>
          <w:tcPr>
            <w:tcW w:w="1269" w:type="dxa"/>
            <w:vAlign w:val="center"/>
          </w:tcPr>
          <w:p w14:paraId="40D8D4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12404D4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6DE220A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5D9BC272"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效益品质</w:t>
            </w:r>
          </w:p>
        </w:tc>
        <w:tc>
          <w:tcPr>
            <w:tcW w:w="1298" w:type="dxa"/>
            <w:vAlign w:val="center"/>
          </w:tcPr>
          <w:p w14:paraId="6E8C487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发展</w:t>
            </w:r>
          </w:p>
        </w:tc>
        <w:tc>
          <w:tcPr>
            <w:tcW w:w="1269" w:type="dxa"/>
            <w:vAlign w:val="center"/>
          </w:tcPr>
          <w:p w14:paraId="4886005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75FAE41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330990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10DCE7A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10F1A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AC0299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C66ED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14AC289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4DC60689">
            <w:pPr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环保</w:t>
            </w:r>
          </w:p>
        </w:tc>
        <w:tc>
          <w:tcPr>
            <w:tcW w:w="1298" w:type="dxa"/>
            <w:vAlign w:val="center"/>
          </w:tcPr>
          <w:p w14:paraId="45B96CB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绿色园区</w:t>
            </w: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6A82224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3C931F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F0190D3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F4912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3DC032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6481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4C2501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1B548B4C"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安全环保</w:t>
            </w:r>
          </w:p>
        </w:tc>
        <w:tc>
          <w:tcPr>
            <w:tcW w:w="1298" w:type="dxa"/>
            <w:vAlign w:val="center"/>
          </w:tcPr>
          <w:p w14:paraId="055B34E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达标</w:t>
            </w:r>
          </w:p>
        </w:tc>
        <w:tc>
          <w:tcPr>
            <w:tcW w:w="1269" w:type="dxa"/>
            <w:vAlign w:val="center"/>
          </w:tcPr>
          <w:p w14:paraId="46B414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47C4D9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1C7C72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B9277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BB249F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4B7E67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CB64A1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06A71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14:paraId="4F2AFDD1">
            <w:pPr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满意度</w:t>
            </w:r>
          </w:p>
        </w:tc>
        <w:tc>
          <w:tcPr>
            <w:tcW w:w="1298" w:type="dxa"/>
            <w:vAlign w:val="center"/>
          </w:tcPr>
          <w:p w14:paraId="6ABEB3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满意度</w:t>
            </w:r>
          </w:p>
        </w:tc>
        <w:tc>
          <w:tcPr>
            <w:tcW w:w="1269" w:type="dxa"/>
            <w:vAlign w:val="center"/>
          </w:tcPr>
          <w:p w14:paraId="31B5B32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1D3F37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19FFC8C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67D8AA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D1571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14AA98D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5F318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3D62FDE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3ED42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3D4C98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2FC22B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97110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760B7D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63B7EC90"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降低成本</w:t>
            </w:r>
          </w:p>
        </w:tc>
        <w:tc>
          <w:tcPr>
            <w:tcW w:w="1298" w:type="dxa"/>
            <w:vAlign w:val="center"/>
          </w:tcPr>
          <w:p w14:paraId="15ECA8D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运行成本</w:t>
            </w: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下降</w:t>
            </w: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公共建设</w:t>
            </w:r>
          </w:p>
        </w:tc>
        <w:tc>
          <w:tcPr>
            <w:tcW w:w="1298" w:type="dxa"/>
            <w:vAlign w:val="center"/>
          </w:tcPr>
          <w:p w14:paraId="09361E4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建设成本</w:t>
            </w: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下降</w:t>
            </w: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可持续发展</w:t>
            </w: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可持续</w:t>
            </w: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上升</w:t>
            </w: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95.5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10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园区发展专项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高新区管委会</w:t>
            </w: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高新区管委会部门</w:t>
            </w: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88224.89</w:t>
            </w: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88224.89</w:t>
            </w: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25240.74</w:t>
            </w: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28.61%</w:t>
            </w: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</w:t>
            </w: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25240.74</w:t>
            </w: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项目建设</w:t>
            </w: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开工数</w:t>
            </w: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67个</w:t>
            </w: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项目建设</w:t>
            </w: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建设标准</w:t>
            </w: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项目建设</w:t>
            </w: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完工进度</w:t>
            </w: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distribute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收入指标</w:t>
            </w: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8亿元</w:t>
            </w: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8.99亿元</w:t>
            </w: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</w:t>
            </w: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distribute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distribute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效益品质</w:t>
            </w: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发展</w:t>
            </w: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</w:t>
            </w: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distribute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distribute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环保</w:t>
            </w: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绿色园区</w:t>
            </w: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distribute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distribute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持续发展</w:t>
            </w: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五好园区</w:t>
            </w: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创建成功</w:t>
            </w: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满意度</w:t>
            </w: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满意度</w:t>
            </w: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降低成本</w:t>
            </w: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下降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29BFD57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下降</w:t>
            </w: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公共建设</w:t>
            </w: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下降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9BCBEC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下降</w:t>
            </w: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</w:t>
            </w: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可持续发展</w:t>
            </w: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上升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867BB9D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上升</w:t>
            </w: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3.5</w:t>
            </w: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95.5</w:t>
            </w: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10D26063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高新区管委会部门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5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-60"/>
          <w:sz w:val="40"/>
          <w:szCs w:val="40"/>
        </w:rPr>
        <w:t xml:space="preserve"> 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高新区管委会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(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单位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)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基本情况</w:t>
      </w:r>
    </w:p>
    <w:p w14:paraId="506C833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 w:bidi="ar-SA"/>
        </w:rPr>
        <w:t>1、执行党和国家路线、方针、政策、法律、法规、履行园区管理的服务职能.2、制定园区开发建设方案，探索园区改革、创新和发展的新路子，建设低碳、环保、生态、高科技产业园区3、负责园区内企业安全生产、环境保护的宣传、教育、监督管理工作。4、为园区内企业提供融资服务，协调银企关系，搭建融资平台，开展融资担保和贷后监督管理工作。5、负责园区企业生产经营状况摸底和综合统计工作。考核认定园区企业有关指标，兑现各类政策扶持。6、协调园区企业财税监管，为政府提供扎实有效的财源支撑。7、负责园区非公企业党建和工、青、妇工作的发展，实现党建带工建、带团建。8、负责园区派驻机构的统一管理。9、承办市人民政府交办的其他事项</w:t>
      </w:r>
    </w:p>
    <w:p w14:paraId="7563641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财政拨款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支出情况</w:t>
      </w:r>
    </w:p>
    <w:p w14:paraId="2B8E5FFE">
      <w:pPr>
        <w:pStyle w:val="12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1D7EB890">
      <w:pPr>
        <w:pStyle w:val="12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  <w:shd w:val="clear" w:color="auto" w:fill="FFFFFF"/>
          <w:lang w:val="en-US" w:eastAsia="zh-CN"/>
        </w:rPr>
        <w:t>湖南汨罗高新技术产业开发区管理委员会2023年度基本支出1180.56万元（工资福利支出978.51万元，一般商品和服务支出199.35万元、对个人和家庭的补助2.7万元）；</w:t>
      </w:r>
      <w:r>
        <w:rPr>
          <w:rFonts w:hint="eastAsia" w:ascii="微软雅黑" w:hAnsi="微软雅黑" w:eastAsia="微软雅黑" w:cs="微软雅黑"/>
          <w:b w:val="0"/>
          <w:bCs w:val="0"/>
          <w:color w:val="555555"/>
          <w:kern w:val="0"/>
          <w:sz w:val="21"/>
          <w:szCs w:val="21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  <w:shd w:val="clear" w:color="auto" w:fill="FFFFFF"/>
          <w:lang w:val="en-US" w:eastAsia="zh-CN"/>
        </w:rPr>
        <w:t>项目支出88224.89万元（</w:t>
      </w:r>
      <w:r>
        <w:rPr>
          <w:rFonts w:hint="eastAsia" w:ascii="微软雅黑" w:hAnsi="微软雅黑" w:eastAsia="微软雅黑" w:cs="微软雅黑"/>
          <w:color w:val="555555"/>
          <w:kern w:val="0"/>
          <w:sz w:val="21"/>
          <w:szCs w:val="21"/>
          <w:lang w:eastAsia="zh-CN"/>
        </w:rPr>
        <w:t>教育附加及上解</w:t>
      </w:r>
      <w:r>
        <w:rPr>
          <w:rFonts w:hint="eastAsia" w:ascii="微软雅黑" w:hAnsi="微软雅黑" w:eastAsia="微软雅黑" w:cs="微软雅黑"/>
          <w:color w:val="555555"/>
          <w:kern w:val="0"/>
          <w:sz w:val="21"/>
          <w:szCs w:val="21"/>
          <w:lang w:val="en-US" w:eastAsia="zh-CN"/>
        </w:rPr>
        <w:t>5625万元，税务事业费上解1800万元，支持中小企业发展29656万元</w:t>
      </w:r>
      <w:r>
        <w:rPr>
          <w:rFonts w:hint="eastAsia" w:ascii="微软雅黑" w:hAnsi="微软雅黑" w:eastAsia="微软雅黑" w:cs="微软雅黑"/>
          <w:color w:val="555555"/>
          <w:kern w:val="0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color w:val="555555"/>
          <w:kern w:val="0"/>
          <w:sz w:val="21"/>
          <w:szCs w:val="21"/>
          <w:lang w:val="en-US" w:eastAsia="zh-CN"/>
        </w:rPr>
        <w:t>园区财政基金收入安排47000万元，</w:t>
      </w:r>
      <w:r>
        <w:rPr>
          <w:rFonts w:hint="eastAsia" w:ascii="微软雅黑" w:hAnsi="微软雅黑" w:eastAsia="微软雅黑" w:cs="微软雅黑"/>
          <w:color w:val="555555"/>
          <w:kern w:val="0"/>
          <w:sz w:val="21"/>
          <w:szCs w:val="21"/>
          <w:lang w:eastAsia="zh-CN"/>
        </w:rPr>
        <w:t>融资担保风险补偿专项资金</w:t>
      </w:r>
      <w:r>
        <w:rPr>
          <w:rFonts w:hint="eastAsia" w:ascii="微软雅黑" w:hAnsi="微软雅黑" w:eastAsia="微软雅黑" w:cs="微软雅黑"/>
          <w:color w:val="555555"/>
          <w:kern w:val="0"/>
          <w:sz w:val="21"/>
          <w:szCs w:val="21"/>
          <w:lang w:val="en-US" w:eastAsia="zh-CN"/>
        </w:rPr>
        <w:t>400万元，园区产业链建设6万元，园区机关各类专项支出2237.89万元，</w:t>
      </w:r>
      <w:r>
        <w:rPr>
          <w:rFonts w:hint="eastAsia" w:ascii="微软雅黑" w:hAnsi="微软雅黑" w:eastAsia="微软雅黑" w:cs="微软雅黑"/>
          <w:b w:val="0"/>
          <w:bCs w:val="0"/>
          <w:color w:val="555555"/>
          <w:kern w:val="0"/>
          <w:sz w:val="21"/>
          <w:szCs w:val="21"/>
          <w:lang w:val="en-US" w:eastAsia="zh-CN"/>
        </w:rPr>
        <w:t>用以弥补历年园区财政对招商引资企业的产业扶持1000万元，预备费安排500万元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  <w:shd w:val="clear" w:color="auto" w:fill="FFFFFF"/>
          <w:lang w:val="en-US" w:eastAsia="zh-CN"/>
        </w:rPr>
        <w:t>）。</w:t>
      </w:r>
    </w:p>
    <w:p w14:paraId="00657FCB">
      <w:pPr>
        <w:pStyle w:val="12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5C6A9FC6">
      <w:pPr>
        <w:pStyle w:val="13"/>
        <w:ind w:firstLine="525" w:firstLineChars="25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年初预算为88224.89万元，占一般公共预算拨款支出比例为98.68%。</w:t>
      </w:r>
    </w:p>
    <w:p w14:paraId="6A560A0D">
      <w:pPr>
        <w:pStyle w:val="13"/>
        <w:ind w:firstLine="525" w:firstLineChars="25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具体安排情况如下：</w:t>
      </w:r>
    </w:p>
    <w:p w14:paraId="394B39D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宋体"/>
          <w:color w:val="555555"/>
          <w:kern w:val="0"/>
          <w:szCs w:val="21"/>
        </w:rPr>
        <w:t>（一）基本支出：202</w:t>
      </w:r>
      <w:r>
        <w:rPr>
          <w:rFonts w:hint="eastAsia" w:ascii="微软雅黑" w:hAnsi="微软雅黑" w:eastAsia="微软雅黑" w:cs="宋体"/>
          <w:color w:val="555555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555555"/>
          <w:kern w:val="0"/>
          <w:szCs w:val="21"/>
        </w:rPr>
        <w:t xml:space="preserve">年基本支出年初预算数为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1180.56</w:t>
      </w:r>
      <w:r>
        <w:rPr>
          <w:rFonts w:hint="eastAsia" w:ascii="微软雅黑" w:hAnsi="微软雅黑" w:eastAsia="微软雅黑" w:cs="宋体"/>
          <w:color w:val="555555"/>
          <w:kern w:val="0"/>
          <w:szCs w:val="21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其中人员经费978.51万元，公用经费199.35万元，其他商品和服务支出2.7万元。</w:t>
      </w:r>
    </w:p>
    <w:p w14:paraId="4E6FAF1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420" w:firstLineChars="200"/>
        <w:rPr>
          <w:rFonts w:hint="eastAsia" w:ascii="微软雅黑" w:hAnsi="微软雅黑" w:eastAsia="微软雅黑" w:cs="宋体"/>
          <w:color w:val="555555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</w:rPr>
        <w:t>（二）项目支出：202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</w:rPr>
        <w:t>年项目支出年初预算数为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  <w:lang w:val="en-US" w:eastAsia="zh-CN"/>
        </w:rPr>
        <w:t>79299.89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</w:rPr>
        <w:t>万元，是指单位为完成特定行政工作任务或事业发展目标而发生的支出，包括融资担保风险补偿专项资金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</w:rPr>
        <w:t>00万元，园区产业链建设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</w:rPr>
        <w:t>万元；园区建设47000万元，对企业的补助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  <w:lang w:val="en-US" w:eastAsia="zh-CN"/>
        </w:rPr>
        <w:t>29656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</w:rPr>
        <w:t>万元，其他专项支出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  <w:lang w:val="en-US" w:eastAsia="zh-CN"/>
        </w:rPr>
        <w:t>2237.89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</w:rPr>
        <w:t>万元。</w:t>
      </w:r>
    </w:p>
    <w:p w14:paraId="10ADE24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 w:firstLineChars="200"/>
        <w:rPr>
          <w:rFonts w:hint="eastAsia" w:ascii="微软雅黑" w:hAnsi="微软雅黑" w:eastAsia="微软雅黑" w:cs="宋体"/>
          <w:color w:val="555555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</w:rPr>
        <w:t>（三） 各类上解支出：202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</w:rPr>
        <w:t>年安排各类上解支出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  <w:lang w:val="en-US" w:eastAsia="zh-CN"/>
        </w:rPr>
        <w:t>7425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</w:rPr>
        <w:t>万元。包括教育附加及上解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  <w:lang w:val="en-US" w:eastAsia="zh-CN"/>
        </w:rPr>
        <w:t>5625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</w:rPr>
        <w:t>万元，税务事业费上解1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</w:rPr>
        <w:t>00万元。</w:t>
      </w:r>
    </w:p>
    <w:p w14:paraId="3974D4C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 w:firstLineChars="200"/>
        <w:rPr>
          <w:rFonts w:hint="eastAsia" w:ascii="微软雅黑" w:hAnsi="微软雅黑" w:eastAsia="微软雅黑" w:cs="宋体"/>
          <w:color w:val="555555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</w:rPr>
        <w:t>（四）弥补上年财政亏损及预备费支出：202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</w:rPr>
        <w:t>年共安排支出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  <w:lang w:val="en-US" w:eastAsia="zh-CN"/>
        </w:rPr>
        <w:t>1500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</w:rPr>
        <w:t>万元，包括土地收入统筹1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  <w:lang w:val="en-US" w:eastAsia="zh-CN"/>
        </w:rPr>
        <w:t>0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</w:rPr>
        <w:t>00万元，</w:t>
      </w:r>
      <w:r>
        <w:rPr>
          <w:rFonts w:hint="eastAsia" w:ascii="微软雅黑" w:hAnsi="微软雅黑" w:eastAsia="微软雅黑" w:cs="微软雅黑"/>
          <w:b w:val="0"/>
          <w:bCs w:val="0"/>
          <w:color w:val="555555"/>
          <w:kern w:val="0"/>
          <w:sz w:val="21"/>
          <w:szCs w:val="21"/>
          <w:lang w:val="en-US" w:eastAsia="zh-CN"/>
        </w:rPr>
        <w:t>用以弥补历年园区财政对招商引资企业的产业扶持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</w:rPr>
        <w:t>；安排预备费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555555"/>
          <w:kern w:val="0"/>
          <w:sz w:val="21"/>
          <w:szCs w:val="21"/>
        </w:rPr>
        <w:t>00万余。</w:t>
      </w:r>
    </w:p>
    <w:p w14:paraId="516D3C52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财政拨款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支出情况</w:t>
      </w:r>
    </w:p>
    <w:p w14:paraId="2431CD7A">
      <w:pPr>
        <w:pStyle w:val="13"/>
        <w:ind w:firstLine="525" w:firstLineChars="25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2023年政府性基金预算拨款支出预算47000万元，其中：</w:t>
      </w:r>
    </w:p>
    <w:p w14:paraId="131F348D">
      <w:pPr>
        <w:pStyle w:val="13"/>
        <w:numPr>
          <w:ilvl w:val="0"/>
          <w:numId w:val="0"/>
        </w:numPr>
        <w:ind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行政运行（类）项目支出（款）园区发展专项支出（项）</w:t>
      </w:r>
    </w:p>
    <w:p w14:paraId="2226FC83">
      <w:pPr>
        <w:pStyle w:val="13"/>
        <w:ind w:firstLine="525" w:firstLineChars="250"/>
        <w:rPr>
          <w:rFonts w:hint="default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年初预算为47000万元，占一般公共预算拨款支出比例为52.57%。</w:t>
      </w:r>
    </w:p>
    <w:p w14:paraId="2A755169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国有资本经营预算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财政拨款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支出情况</w:t>
      </w:r>
    </w:p>
    <w:p w14:paraId="44DE578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2023年度本单位无国有资本经营安排的支出。</w:t>
      </w:r>
    </w:p>
    <w:p w14:paraId="07F1EBC0">
      <w:pPr>
        <w:numPr>
          <w:ilvl w:val="0"/>
          <w:numId w:val="3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社会保险基金预算支出情况</w:t>
      </w:r>
    </w:p>
    <w:p w14:paraId="6BB228C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2023年度本单位无社会保险基金预算支出。</w:t>
      </w:r>
    </w:p>
    <w:p w14:paraId="03087A41">
      <w:pPr>
        <w:spacing w:line="600" w:lineRule="exact"/>
        <w:ind w:firstLine="320" w:firstLineChars="1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14122FF7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1、常态化、规范化开展“三会一课”、组织生活会、党工委书记讲党课等活动，做实党员档案、党员培养、群团共建、绩效考核、志愿服务等工作，7个企业党支部获评全市两新组织标杆党支部，2名同志荣获岳阳市两新组织优秀党建指导员称号。紧紧围绕“建链、延链、补链、强链”工作目标，统筹各种资源力量，推动形成“党建引领、党企融合、互助共赢”的发展新格局 2、充分发挥园区产业优势和战略优势，立足新能源、高分子材料、智能制造转型升级，积极推动产业特色化、集群化发展。新能源产业。新规划一平方公里，专门用于锂电池的回收和再生锂的提炼加工，推进新能源项目在园区“落地生根”，四杰科技、顺华锂业、圣凯坤等先后7家新能源项目竣工验收；宁德烯铖人造石墨负极材料、中南大学退役锂电池绿色高值循环利用、湖南大学钠离子电池硬碳负极材料研发项目在园区落地生根，逐步形成了锂电池回收、利用、负极材料、正极材料等锂电产业链。高分子材料。新基源与法国弗吉亚合作，共同打造汽车零部件生产基地；恒塑新材与中石化华中分公司合作，促进塑料产业与上游石化产业纵向一体化和集约化发展；天惠与中南大学签订科技创新协议，开展超导铜线技术研究，湖南首单新型复合导电棒外贸出口业务落地；“汨罗市有色金属循环综合利用产业集群”跻身全国100个中小企业特色产业集群。智能制造。培育了10家省内外麻将机制造装备配套项目，是全国三大麻将机制造中心，目前联基电子已投产运营。配套园对标“世界级万亿产业战略性配套基地”发展定位，三一PC装备产业园建成投产；岳阳现代服务职业学院如期开学；优冠体育地面材料助力亚运会场馆建设，产业链式集聚效应逐步释放。                                                                      3、牢固树立“项目为王”鲜明导向，坚持“走出去+请进来”，实现项目招引量质双升。1-11月，实现签约项目74个，签约投资额达217.25亿元，其中10亿元以上项目3个。走出去。先后赴北京、广东、深圳、河南、江苏、浙江、上海等地招商引资，积极参与“岳商大会”“港洽周”“珠三角”“长三角”等重大招商活动。引进湘商回归，投资建设中南工业设备再制造项目，吸引线上15家、线下6家企业入驻园区，积极引导企业从回收到拆解到综合利用的全产业链。请进来。跟踪洽谈项目98个，邀请东莞恒业、聚石化学、佳海集团、金利金铅等50余批次客商来园实地考察，主要涉及PCB线路板产业、新能源产业、工业地产等产业，项目正在积极洽谈跟进中。突出“园中园”聚合效应，推动电子信息产业强链延链补链，PCB产业园已引进单面、双面多层PCB生产，即将全面入驻。提质效。出台《汨罗高新区招商引资暂行办法》和《关于进一步规范招商引资有关事项的通知》，明确招商引资流程，加强项目评估，完善招商引资审批机制，招引过程中严格执行流程，放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 xml:space="preserve">势。                                                                                               4、建立项目信息管理制度，遵循“统一管理、分级负责，集中力量、重点保障，条块结合、联动推进”原则，挂图作战，扎实推进项目建设、1-11月份，实现开工项目67个，完成投资32.14亿元；竣工投产项目67个，完成投资101亿元。速度快。标准化厂房四期、重金属污水处理厂等9个“龙虎榜”项目稳步推进；中南表面处理中心一期、金汇葛天、国盈新材料、简票科技竣工验收；福缘碳素二期、巨浪、国耳、国曼、美旺正进行基础施工。保障强。调扩区用地审核于11月21日经省自然资源厅批复，同意将592.24公顷依扩区用地调入汨罗高新区四至边界范围；青云路已全线通车，革新路路基已完成90%，天立路路基施工完成70%，高铁大道路基完成50%；八里变电站廊道项目已全面完成；完成土地报批3个批次，面积623亩；处置五祥科技、国耳生物科技两宗低效（空闲）用地共计80.4亩。力度大。联合新市镇控建执法队，采用“陆地巡查+无人机巡视”的方式，严管控建拆违，联合新市镇政府开展4次大型联合执法行动，拆除违建房屋及违建坟墓；严格执行项目批后监管工作，从文明施工、扬尘治理、规划建设等方面，制定了规范化管理的实施方案，要求所有在建项目坚决落实扬尘治理“6个100%”，严格按图施工，遵循客观逻辑，完善相关手续，依法依规推进项目建设。                                                                                                                           5、支持引导企业新认定国家级专精特新企业1家、省级16家，科技型企业中小企业137家，高新技术企业14家，创新型中小企业28家，省级企业技术创新平台4个；九喜进入北京证券交易所基础层、龙智在湖南股权交易所“专精特新”专板成功挂牌                                                                 6、创新周例会、企业培育、优化营商环境制度，不断强化改革举措、压实工作责任、加大推进力度，改革创新蹄疾步稳，有序推进，成效明显。周例会。每周定期召开周例会，总结上周工作成效，安排布置本周工作目标任务，重点调度科技创新、招商引资、项目建设等中心工作，重大项目建设实行“一个党工委领导牵头+一个工作专班推进”机制，坚持问题导向、目标导向、结果导向，倒排工期、挂图作战，力争不误一天、不拖一事、不空一档。企业培育。协调对接相关部门推进高新区企业的项目申报、资金拨付、专利申请、人才引进等工作，大力开展“小升规、规进高、高创精”企业梯度培育活动，组织企业集中业务培训活动2场次、“一对一”上门辅导48家次。营商环境。持续深化“一件事一次办”，严格落实“三集中三到位”，坚定践行“不叫不到、随叫随到、说到做到、服务周到”，深化“放管服”改革。组建专班，联合住建、应急管理、生态环境等职能部门，对入园企业环评、安评、消防、建工等手续，实行“一对一”帮代办，24小时在线，全过程服务，受理办结147项审批事项，国曼、巨浪、美旺、合纵4家企业实现“拿地即开工”；开展“送政策、解难题、优服务”联企帮扶活动，联企干部深入企业一线车间，搜集企业诉求、破解企业难题，助推企业发展壮大，树立良好的营商环境品牌。                                                                 7、坚持“防”字为先，坚决守住守牢安全生产、生态环保、债务风险防控、党风廉政建设底线红线，切实维护社会大局平安稳定。安全生产。明确“一区两园”安全生产监督管理的组织体系和责任分工，设立“安全生产主任奖”，建立警示通报、有奖举报制度，全员挂联企业，安全生产监管实现全覆盖；深入开展安全生产“五大行动”，坚决将各类隐患消灭在萌芽状态。生态环保。牢记习总书记“守护一江碧水”殷殷嘱托，牢固树立“生态优先绿色发展”理念，引进“环保管家”为园区提供环保技术服务，解决环保“疑难杂症”；严格入园项目审批流程，对所有入园项目环保全过程介入，确保项目环保措施合理；采用“陆地巡查+无人机巡视”的方式，开展执法行动，严厉打击企业夜间偷排、乱倾倒垃圾等违法行为。债务防控。牢固树立过“紧日子”的思想，统筹好财政资金的使用，控制非生产性支出，压减非刚性非重点支出；积极开展银政企对接活动，通过华融湘江银行“税贷通”业务，为12家企业发放贷款1.65亿元，对接担保公司及银行金融产品，为23家企业提供园区风补融资贷款1.3亿元；汨之源集团融资到位资金15.2亿元，申报到位专项债券资金3亿元，申报中央预算内等专项资金900万元；企业债券发行已通过中债登审批，正在上交所审核。 </w:t>
      </w:r>
    </w:p>
    <w:p w14:paraId="4D33A17F"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七、存在的问题及原因分析</w:t>
      </w:r>
    </w:p>
    <w:p w14:paraId="0D5F29E0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一）个别单位对绩效评价工作不够重视，未按规定时间节点开展绩效自评并上报自评报告。自评表格填报内容不规范。项目绩效目标完成情况填写不完整不准确。部分绩效指标完成情况以已达到预期目标完成笼统表述；数量指标没有量化，未设置效益指标打分权重；个别项目既无自评结论也无得分汇总。</w:t>
      </w:r>
    </w:p>
    <w:p w14:paraId="07D15B6E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二）绩效自评工作不够规范。一是绩效评分表内容及报告填报不完整。个别项目绩效指标年初未设定目标值，仅自评时填写实际结果；个别项目评价时业绩值漏填；个别项目支出数填写与实际支出不一致；部分项目评价报告不完整，缺少问题与建议，或未填写评价结果。二是问题产生原因分析不够深入。个别部门和单位项目支出存在预算执行行政单位绩效管理存在率低、或未完成年初设定的绩效目标等问题，在评价报告中未进行原因分析，未提出针对性的评价意见和建议。</w:t>
      </w:r>
    </w:p>
    <w:p w14:paraId="50AB4744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三）绩效目标设置不够合理。一是部分项目指标设置不完整，绩效目标没有设置效益指标；二是部分指标设置与项目实际相关性较低，仅套用共性指标，个性化指标设置过少，难以体现项目实施绩效；三是部分指标内容设定过于笼统或宽泛，定性指标多，定量指标少，造成评价环节难以衡量。</w:t>
      </w:r>
    </w:p>
    <w:p w14:paraId="548B111B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四）自评质量不高，自评结论不够客观真实。部分项目自评结论与指标得分、指标完成值缺乏对应；个别项目评分结果较低但自评结论为"优"；个别项目仅有自评分数无评价结论。项目单位不注重资料收集整理，项目档案资料不全，绩效自评缺少有效资料的支撑，自评质量不高，自评结论不够客观真实，自评结论与实际绩效抽评结论偏离度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大。</w:t>
      </w:r>
    </w:p>
    <w:p w14:paraId="21E6073D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70B4F37B"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强化预算绩效管理，建立健全绩效管理机制。深入贯彻落实《关于全面落实预算绩效管理的实施意见》精神，加强预算绩效管理工作组织领导，进一步提高思想认识，建立健全预算绩效管理机制，明确责任主体，优化预算管理流程，完善内控制度，明确部门内部绩效目标设置、审核、监控和评价的责任分工，加强部门财务与业务工作衔接，不断提升预算绩效管理水平，切实提高财政资金使用效益。</w:t>
      </w:r>
    </w:p>
    <w:p w14:paraId="28073FBC"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强化绩效目标管理，规范绩效目标编制。绩效目标是项目设立和实施的前提，是做好绩效评价等各项预算绩效管理工作的基础。下年度编制预算时要结合单位职责、项目实施实际，分解细化工作要求，科学设置绩效目标和相关指标，规范绩效目标编制，加强绩效目标审核，提升绩效目标编制质量。</w:t>
      </w:r>
    </w:p>
    <w:p w14:paraId="77C4D95E"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强化绩效自评工作，提高自评报告质量。按照"谁使用、谁评价"的原则，建立健全项目和政策绩效自评工作机制，加快项目和政策绩效自评全覆盖，如实反映绩效目标实现结果，对绩效目标未达成或目标制定明显不合理的，要作出说明提出改进措施，逐步推进部门和单位整体绩效自评工作，提高部门和单位履职效能和公共服务质量，建立健全绩效评价常态机制，不断创新评价方法，提高绩效评价质量。</w:t>
      </w:r>
    </w:p>
    <w:p w14:paraId="6C7E7DEF"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建立预算绩效管理协同联动机制。为加快构建全方位、全过程、全覆盖预算绩效管理体系，节约资源，减少重复检查，提高工作效率，压实预算绩效管理主体责任，进一步规范财政管理、维护财经纪律、提高财政资金绩效。审计、财政建立指标共商、信息共享、成果共用、整改共抓预算绩效管理协同联动机制。</w:t>
      </w:r>
    </w:p>
    <w:p w14:paraId="37ACA1CA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14F4FF27">
      <w:pPr>
        <w:pStyle w:val="2"/>
        <w:ind w:firstLine="1280" w:firstLineChars="400"/>
        <w:rPr>
          <w:rFonts w:hint="default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无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财政拨款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支出情况表</w:t>
      </w:r>
    </w:p>
    <w:p w14:paraId="0F7D610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财政拨款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jc w:val="center"/>
        <w:rPr>
          <w:rFonts w:ascii="黑体" w:hAnsi="黑体" w:eastAsia="黑体" w:cs="黑体"/>
          <w:spacing w:val="15"/>
          <w:position w:val="10"/>
          <w:sz w:val="42"/>
          <w:szCs w:val="42"/>
        </w:rPr>
      </w:pP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202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val="en-US" w:eastAsia="zh-CN"/>
        </w:rPr>
        <w:t>3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val="en-US" w:eastAsia="zh-CN"/>
        </w:rPr>
        <w:t>高新区管委会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201" w:line="578" w:lineRule="exact"/>
        <w:ind w:left="2169"/>
        <w:jc w:val="center"/>
        <w:rPr>
          <w:rFonts w:ascii="黑体" w:hAnsi="黑体" w:eastAsia="黑体" w:cs="黑体"/>
          <w:spacing w:val="15"/>
          <w:position w:val="10"/>
          <w:sz w:val="42"/>
          <w:szCs w:val="42"/>
        </w:rPr>
      </w:pP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4"/>
        <w:spacing w:before="89" w:line="221" w:lineRule="auto"/>
        <w:ind w:firstLine="452" w:firstLineChars="200"/>
        <w:rPr>
          <w:sz w:val="27"/>
          <w:szCs w:val="27"/>
        </w:rPr>
      </w:pPr>
      <w:r>
        <w:rPr>
          <w:spacing w:val="-22"/>
          <w:sz w:val="27"/>
          <w:szCs w:val="27"/>
        </w:rPr>
        <w:t>部 门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</w:t>
      </w:r>
      <w:r>
        <w:rPr>
          <w:rFonts w:hint="eastAsia"/>
          <w:spacing w:val="-22"/>
          <w:sz w:val="27"/>
          <w:szCs w:val="27"/>
          <w:u w:val="single" w:color="auto"/>
          <w:lang w:val="en-US" w:eastAsia="zh-CN"/>
        </w:rPr>
        <w:t>湖南汨罗高新技术产业开发区管理委员会</w:t>
      </w:r>
      <w:r>
        <w:rPr>
          <w:spacing w:val="-22"/>
          <w:sz w:val="27"/>
          <w:szCs w:val="27"/>
          <w:u w:val="single" w:color="auto"/>
        </w:rPr>
        <w:t>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6B80A16B">
      <w:pPr>
        <w:pStyle w:val="4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2024</w:t>
      </w:r>
      <w:r>
        <w:rPr>
          <w:spacing w:val="-13"/>
          <w:position w:val="26"/>
          <w:sz w:val="27"/>
          <w:szCs w:val="27"/>
        </w:rPr>
        <w:t xml:space="preserve">年 </w:t>
      </w: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10</w:t>
      </w:r>
      <w:r>
        <w:rPr>
          <w:spacing w:val="-13"/>
          <w:position w:val="26"/>
          <w:sz w:val="27"/>
          <w:szCs w:val="27"/>
        </w:rPr>
        <w:t xml:space="preserve">  月</w:t>
      </w:r>
      <w:r>
        <w:rPr>
          <w:spacing w:val="12"/>
          <w:position w:val="26"/>
          <w:sz w:val="27"/>
          <w:szCs w:val="27"/>
        </w:rPr>
        <w:t xml:space="preserve">  </w:t>
      </w:r>
      <w:r>
        <w:rPr>
          <w:rFonts w:hint="eastAsia"/>
          <w:spacing w:val="12"/>
          <w:position w:val="26"/>
          <w:sz w:val="27"/>
          <w:szCs w:val="27"/>
          <w:lang w:val="en-US" w:eastAsia="zh-CN"/>
        </w:rPr>
        <w:t>10</w:t>
      </w:r>
      <w:r>
        <w:rPr>
          <w:spacing w:val="12"/>
          <w:position w:val="26"/>
          <w:sz w:val="27"/>
          <w:szCs w:val="27"/>
        </w:rPr>
        <w:t xml:space="preserve">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4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7D402DEC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(一)项目支出概况。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2023年，汨罗高新区争当践行“三高四新”战略排头兵，深入贯彻落实省委、省政府和市委、市政府各项决策部署，敢闯敢干敢为、加压加力加速，持续推动“五好”园区创建走深走实。全年预计完成税收8.99亿元。1-10月份，实现技工贸收入193.37亿元，主导产业主营业务收入191.35亿元，高新技术产业主营业务收入119.47亿元，固定资产投资16.31亿元。</w:t>
      </w:r>
    </w:p>
    <w:p w14:paraId="155117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(二)项目资金使用管理情况。</w:t>
      </w:r>
    </w:p>
    <w:p w14:paraId="00535C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项目资金由园区各部门申报，通过单项绩效评价和统一政府购买服务，逐一审批，专款专用。同时，园区财政部门负责对项目资金按进度拨付，严格按预算支出。</w:t>
      </w:r>
    </w:p>
    <w:p w14:paraId="1F7DA48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楷体" w:hAnsi="楷体" w:eastAsia="楷体" w:cs="楷体"/>
          <w:b/>
          <w:bCs/>
          <w:spacing w:val="6"/>
          <w:position w:val="16"/>
          <w:sz w:val="31"/>
          <w:szCs w:val="31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  <w:r>
        <w:rPr>
          <w:rFonts w:ascii="楷体" w:hAnsi="楷体" w:eastAsia="楷体" w:cs="楷体"/>
          <w:b/>
          <w:bCs/>
          <w:spacing w:val="6"/>
          <w:position w:val="16"/>
          <w:sz w:val="31"/>
          <w:szCs w:val="31"/>
        </w:rPr>
        <w:t>。</w:t>
      </w:r>
    </w:p>
    <w:p w14:paraId="2518170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高新区通常会制定详细的预算执行计划，并对预算执行进度进行密切跟踪和监督。这有助于确保项目资金按照既定的时间和节奏进行支出，提高预算执行的效率。</w:t>
      </w:r>
    </w:p>
    <w:p w14:paraId="093A692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高新区项目在立项之初就会设定明确的绩效目标，包括经济效益、社会效益、环境效益等方面。</w:t>
      </w:r>
    </w:p>
    <w:p w14:paraId="6732EB4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</w:p>
    <w:p w14:paraId="4D7F0008">
      <w:pPr>
        <w:pStyle w:val="2"/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2023年汨罗高新区对各大专项实行项目立项前的绩效评价。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 w14:paraId="10DCCBDB">
      <w:pPr>
        <w:pStyle w:val="2"/>
      </w:pPr>
      <w:r>
        <w:rPr>
          <w:rFonts w:hint="eastAsia" w:ascii="仿宋" w:hAnsi="仿宋" w:eastAsia="仿宋" w:cs="仿宋"/>
          <w:sz w:val="32"/>
          <w:szCs w:val="32"/>
        </w:rPr>
        <w:t>2023年，汨罗高新区高质量发展行稳致远，获评湖南省环保诚信园区、省级及以上园区土地集约利用评价优秀园区，经济运行质效进一步提升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全年技工贸收入同比增长8.59%，税收增长1.5%。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28CF1106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绩效自评工作不够规范。一是绩效评分表内容及报告填报不完整。个别项目绩效指标年初未设定目标值，仅自评时填写实际结果；个别项目评价时业绩值漏填；个别项目支出数填写与实际支出不一致；部分项目评价报告不完整，缺少问题与建议，或未填写评价结果。二是问题产生原因分析不够深入。个别部门和单位项目支出存在预算执行行政单位绩效管理存在率低、或未完成年初设定的绩效目标等问题，在评价报告中未进行原因分析，未提出针对性的评价意见和建议。</w:t>
      </w:r>
    </w:p>
    <w:p w14:paraId="18750A6F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绩效目标设置不够合理。一是部分项目指标设置不完整，绩效目标没有设置效益指标；二是部分指标设置与项目实际相关性较低，仅套用共性指标，个性化指标设置过少，难以体现项目实施绩效；三是部分指标内容设定过于笼统或宽泛，定性指标多，定量指标少，造成评价环节难以衡量。</w:t>
      </w:r>
    </w:p>
    <w:p w14:paraId="0225AC7B">
      <w:pPr>
        <w:pStyle w:val="2"/>
        <w:rPr>
          <w:rFonts w:hint="eastAsia"/>
          <w:lang w:eastAsia="zh-CN"/>
        </w:rPr>
      </w:pPr>
    </w:p>
    <w:p w14:paraId="58DE1297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有关建议</w:t>
      </w:r>
    </w:p>
    <w:p w14:paraId="3D0AE1FA"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强化预算绩效管理，建立健全绩效管理机制。深入贯彻落实《关于全面落实预算绩效管理的实施意见》精神，加强预算绩效管理工作组织领导，进一步提高思想认识，建立健全预算绩效管理机制，明确责任主体，优化预算管理流程，完善内控制度，明确部门内部绩效目标设置、审核、监控和评价的责任分工，加强部门财务与业务工作衔接，不断提升预算绩效管理水平，切实提高财政资金使用效益。</w:t>
      </w:r>
    </w:p>
    <w:p w14:paraId="74C4A1B1"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强化绩效目标管理，规范绩效目标编制。绩效目标是项目设立和实施的前提，是做好绩效评价等各项预算绩效管理工作的基础。下年度编制预算时要结合单位职责、项目实施实际，分解细化工作要求，科学设置绩效目标和相关指标，规范绩效目标编制，加强绩效目标审核，提升绩效目标编制质量。</w:t>
      </w:r>
    </w:p>
    <w:p w14:paraId="0B28716C"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强化绩效自评工作，提高自评报告质量。按照"谁使用、谁评价"的原则，建立健全项目和政策绩效自评工作机制，加快项目和政策绩效自评全覆盖，如实反映绩效目标实现结果，对绩效目标未达成或目标制定明显不合理的，要作出说明提出改进措施，逐步推进部门和单位整体绩效自评工作，提高部门和单位履职效能和公共服务质量，建立健全绩效评价常态机制，不断创新评价方法，提高绩效评价质量。</w:t>
      </w:r>
    </w:p>
    <w:p w14:paraId="6E3D18CF">
      <w:pPr>
        <w:pStyle w:val="2"/>
        <w:numPr>
          <w:ilvl w:val="0"/>
          <w:numId w:val="0"/>
        </w:numPr>
      </w:pPr>
    </w:p>
    <w:p w14:paraId="6BBCD639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其他需要说明的问题</w:t>
      </w:r>
    </w:p>
    <w:p w14:paraId="377A869F"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15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15"/>
          <w:sz w:val="18"/>
          <w:szCs w:val="18"/>
          <w:lang w:val="en-US" w:eastAsia="zh-CN"/>
        </w:rPr>
        <w:t>无</w:t>
      </w:r>
    </w:p>
    <w:p w14:paraId="5BF5127A">
      <w:pPr>
        <w:pStyle w:val="2"/>
        <w:numPr>
          <w:ilvl w:val="0"/>
          <w:numId w:val="0"/>
        </w:numPr>
        <w:ind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5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5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5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5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AF0660"/>
    <w:multiLevelType w:val="singleLevel"/>
    <w:tmpl w:val="A6AF066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0CA267"/>
    <w:multiLevelType w:val="singleLevel"/>
    <w:tmpl w:val="430CA26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B27DB79"/>
    <w:multiLevelType w:val="singleLevel"/>
    <w:tmpl w:val="5B27DB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k5NTc0NDc4MGY2NGE1ZjhlNzFlMGU1Y2I0ZjQ3NGQifQ=="/>
  </w:docVars>
  <w:rsids>
    <w:rsidRoot w:val="00000000"/>
    <w:rsid w:val="01AF3811"/>
    <w:rsid w:val="036F5548"/>
    <w:rsid w:val="03795BF7"/>
    <w:rsid w:val="086E756B"/>
    <w:rsid w:val="0ACF37E5"/>
    <w:rsid w:val="0B400BC6"/>
    <w:rsid w:val="0E68228D"/>
    <w:rsid w:val="0EA6787F"/>
    <w:rsid w:val="10106E34"/>
    <w:rsid w:val="15276E52"/>
    <w:rsid w:val="1990114D"/>
    <w:rsid w:val="19D32FBC"/>
    <w:rsid w:val="1E6A4395"/>
    <w:rsid w:val="225011AD"/>
    <w:rsid w:val="230508DD"/>
    <w:rsid w:val="23C05C28"/>
    <w:rsid w:val="25557A3D"/>
    <w:rsid w:val="26EA5ED7"/>
    <w:rsid w:val="27A93B82"/>
    <w:rsid w:val="2AE00186"/>
    <w:rsid w:val="308216BE"/>
    <w:rsid w:val="34FE1149"/>
    <w:rsid w:val="3A0D22CD"/>
    <w:rsid w:val="3A550786"/>
    <w:rsid w:val="3B7A130F"/>
    <w:rsid w:val="459C6E90"/>
    <w:rsid w:val="464A2500"/>
    <w:rsid w:val="48727AFC"/>
    <w:rsid w:val="494A1329"/>
    <w:rsid w:val="4F8B6063"/>
    <w:rsid w:val="52FA3F96"/>
    <w:rsid w:val="53371679"/>
    <w:rsid w:val="55850F17"/>
    <w:rsid w:val="57AE6D93"/>
    <w:rsid w:val="57C91E94"/>
    <w:rsid w:val="5E3F5F6B"/>
    <w:rsid w:val="5FB623A7"/>
    <w:rsid w:val="6B6A2B79"/>
    <w:rsid w:val="6D3A056E"/>
    <w:rsid w:val="6E3851B0"/>
    <w:rsid w:val="71213A5E"/>
    <w:rsid w:val="732F6DBA"/>
    <w:rsid w:val="76B11CC7"/>
    <w:rsid w:val="784167CA"/>
    <w:rsid w:val="7C130B4D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100" w:firstLineChars="100"/>
    </w:pPr>
  </w:style>
  <w:style w:type="paragraph" w:customStyle="1" w:styleId="3">
    <w:name w:val="BodyText"/>
    <w:basedOn w:val="1"/>
    <w:qFormat/>
    <w:uiPriority w:val="0"/>
    <w:pPr>
      <w:spacing w:after="120"/>
    </w:p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5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8161</Words>
  <Characters>8766</Characters>
  <TotalTime>12</TotalTime>
  <ScaleCrop>false</ScaleCrop>
  <LinksUpToDate>false</LinksUpToDate>
  <CharactersWithSpaces>9348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回归爱斯基摩</cp:lastModifiedBy>
  <cp:lastPrinted>2024-05-21T14:05:00Z</cp:lastPrinted>
  <dcterms:modified xsi:type="dcterms:W3CDTF">2025-07-16T09:48:54Z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2052-12.1.0.21541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eyJoZGlkIjoiMzQ0YTE5NTIyNmFlNGNkNTU3Mjc2NTVjMTA5ODg0Y2MiLCJ1c2VySWQiOiIyNTk2MDk4OTUifQ==</vt:lpwstr>
  </property>
</Properties>
</file>