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172.22%</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0.15</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0.11</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0.15</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0.11</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265.32</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148.37</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9.18</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5.32</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5.04</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67174B3">
            <w:pPr>
              <w:spacing w:line="240" w:lineRule="auto"/>
              <w:ind w:firstLine="420"/>
              <w:jc w:val="center"/>
              <w:rPr>
                <w:rFonts w:ascii="仿宋_GB2312" w:eastAsia="仿宋_GB2312"/>
                <w:kern w:val="0"/>
              </w:rPr>
            </w:pP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15"/>
                <w:szCs w:val="15"/>
                <w:lang w:val="en-US" w:eastAsia="en-US" w:bidi="ar-SA"/>
              </w:rPr>
              <w:t>一是严控办公经费，推行无纸化办公，减少纸质文件的使用，同时减少一次性日常用品的使用，如一次性杯子等；二是优化压缩项目支出，对非刚性、非重点项目的支出进行压缩，提高财政资金使用效率；三是加强预算管理和绩效评价，强化预算约束力，严格执行先有预算后有支出的原则。</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黄丹</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2025.09.17</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18173081135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许达</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438"/>
        <w:gridCol w:w="688"/>
        <w:gridCol w:w="711"/>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汨罗市国有资产服务中心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438"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88"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11"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420.52</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665.07</w:t>
            </w:r>
          </w:p>
        </w:tc>
        <w:tc>
          <w:tcPr>
            <w:tcW w:w="1438"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665.07</w:t>
            </w:r>
          </w:p>
        </w:tc>
        <w:tc>
          <w:tcPr>
            <w:tcW w:w="688"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711" w:type="dxa"/>
            <w:vAlign w:val="center"/>
          </w:tcPr>
          <w:p w14:paraId="0424998F">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516.7</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516.7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148.37</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148.37</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sz w:val="15"/>
                <w:szCs w:val="15"/>
              </w:rPr>
              <w:t>1、完成行政事业单位经营性资产统一集中监管，全年实现经营性门面租金收入608万元，2、完成经营性资产评估100000万元，3、完成国有资产的清产核资、资产评估、资产处置等相关工作。4、加强国有企业监管，进一步建立建全相关规章制度。5、做好企业历史遗留的“三供一业”工作。</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sz w:val="15"/>
                <w:szCs w:val="15"/>
              </w:rPr>
              <w:t>1、完成行政事业单位经营性资产统一集中监管，全年实现经营性门面租金收入653.64万元，2、完成经营性资产评估100000万元，3、完成国有资产的清产核资、资产评估、资产处置收入2978.87万元。4、加强国有企业监管，进一步建立建全相关规章制度。5、做好企业历史遗留的“三供一业”工作。</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438"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88"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711"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1.完成年度7家单位政企分开任务；2.完成资产归集、处置；3.完成经营性资产管理；4.国企监管。</w:t>
            </w:r>
          </w:p>
        </w:tc>
        <w:tc>
          <w:tcPr>
            <w:tcW w:w="1298" w:type="dxa"/>
            <w:vAlign w:val="center"/>
          </w:tcPr>
          <w:p w14:paraId="2A374824">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1.7家；2.市属国有资产；3.市属国有企业。</w:t>
            </w:r>
          </w:p>
        </w:tc>
        <w:tc>
          <w:tcPr>
            <w:tcW w:w="1438" w:type="dxa"/>
            <w:vAlign w:val="center"/>
          </w:tcPr>
          <w:p w14:paraId="708D788A">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w:t>
            </w:r>
            <w:r>
              <w:rPr>
                <w:rFonts w:hint="eastAsia" w:ascii="仿宋_GB2312" w:eastAsia="仿宋_GB2312"/>
                <w:kern w:val="0"/>
                <w:sz w:val="15"/>
                <w:szCs w:val="15"/>
                <w:lang w:eastAsia="zh-CN"/>
              </w:rPr>
              <w:t>完成</w:t>
            </w:r>
            <w:r>
              <w:rPr>
                <w:rFonts w:hint="eastAsia" w:ascii="仿宋_GB2312" w:eastAsia="仿宋_GB2312"/>
                <w:kern w:val="0"/>
                <w:sz w:val="15"/>
                <w:szCs w:val="15"/>
              </w:rPr>
              <w:t>7家</w:t>
            </w:r>
            <w:r>
              <w:rPr>
                <w:rFonts w:hint="eastAsia" w:ascii="仿宋_GB2312" w:eastAsia="仿宋_GB2312"/>
                <w:kern w:val="0"/>
                <w:sz w:val="15"/>
                <w:szCs w:val="15"/>
                <w:lang w:eastAsia="zh-CN"/>
              </w:rPr>
              <w:t>政企分开</w:t>
            </w:r>
            <w:r>
              <w:rPr>
                <w:rFonts w:hint="eastAsia" w:ascii="仿宋_GB2312" w:eastAsia="仿宋_GB2312"/>
                <w:kern w:val="0"/>
                <w:sz w:val="15"/>
                <w:szCs w:val="15"/>
              </w:rPr>
              <w:t>；2.市属国有资产</w:t>
            </w:r>
            <w:r>
              <w:rPr>
                <w:rFonts w:hint="eastAsia" w:ascii="仿宋_GB2312" w:eastAsia="仿宋_GB2312"/>
                <w:kern w:val="0"/>
                <w:sz w:val="15"/>
                <w:szCs w:val="15"/>
                <w:lang w:eastAsia="zh-CN"/>
              </w:rPr>
              <w:t>保值增值</w:t>
            </w:r>
            <w:r>
              <w:rPr>
                <w:rFonts w:hint="eastAsia" w:ascii="仿宋_GB2312" w:eastAsia="仿宋_GB2312"/>
                <w:kern w:val="0"/>
                <w:sz w:val="15"/>
                <w:szCs w:val="15"/>
              </w:rPr>
              <w:t>；3.市属国有企业</w:t>
            </w:r>
            <w:r>
              <w:rPr>
                <w:rFonts w:hint="eastAsia" w:ascii="仿宋_GB2312" w:eastAsia="仿宋_GB2312"/>
                <w:kern w:val="0"/>
                <w:sz w:val="15"/>
                <w:szCs w:val="15"/>
                <w:lang w:eastAsia="zh-CN"/>
              </w:rPr>
              <w:t>向市场化推进</w:t>
            </w:r>
            <w:r>
              <w:rPr>
                <w:rFonts w:hint="eastAsia" w:ascii="仿宋_GB2312" w:eastAsia="仿宋_GB2312"/>
                <w:kern w:val="0"/>
                <w:sz w:val="15"/>
                <w:szCs w:val="15"/>
              </w:rPr>
              <w:t>。</w:t>
            </w:r>
          </w:p>
        </w:tc>
        <w:tc>
          <w:tcPr>
            <w:tcW w:w="688" w:type="dxa"/>
            <w:vAlign w:val="center"/>
          </w:tcPr>
          <w:p w14:paraId="567F5E54">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711" w:type="dxa"/>
            <w:vAlign w:val="center"/>
          </w:tcPr>
          <w:p w14:paraId="2717B7C4">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7CF9B186">
            <w:pPr>
              <w:spacing w:line="240" w:lineRule="auto"/>
              <w:ind w:firstLine="420"/>
              <w:jc w:val="center"/>
              <w:rPr>
                <w:rFonts w:ascii="仿宋_GB2312" w:eastAsia="仿宋_GB2312"/>
                <w:kern w:val="0"/>
                <w:sz w:val="15"/>
                <w:szCs w:val="15"/>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1.加强对市属监管企业和国有资产的监督管理。</w:t>
            </w:r>
          </w:p>
        </w:tc>
        <w:tc>
          <w:tcPr>
            <w:tcW w:w="1298" w:type="dxa"/>
            <w:vAlign w:val="center"/>
          </w:tcPr>
          <w:p w14:paraId="1A5ADA3A">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市属国有资产</w:t>
            </w:r>
          </w:p>
        </w:tc>
        <w:tc>
          <w:tcPr>
            <w:tcW w:w="1438" w:type="dxa"/>
            <w:vAlign w:val="center"/>
          </w:tcPr>
          <w:p w14:paraId="54075F02">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1.完善了市属国有企业投融资制度，加强了国企的监管;2.进一步规范了市属国企的人事制度3.完成了市属国企的年终考核任务。</w:t>
            </w:r>
          </w:p>
        </w:tc>
        <w:tc>
          <w:tcPr>
            <w:tcW w:w="688" w:type="dxa"/>
            <w:vAlign w:val="center"/>
          </w:tcPr>
          <w:p w14:paraId="5580FC82">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711" w:type="dxa"/>
            <w:vAlign w:val="center"/>
          </w:tcPr>
          <w:p w14:paraId="0982B111">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09E0DC5F">
            <w:pPr>
              <w:spacing w:line="240" w:lineRule="auto"/>
              <w:ind w:firstLine="420"/>
              <w:jc w:val="center"/>
              <w:rPr>
                <w:rFonts w:ascii="仿宋_GB2312" w:eastAsia="仿宋_GB2312"/>
                <w:kern w:val="0"/>
                <w:sz w:val="15"/>
                <w:szCs w:val="15"/>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1.完成年度7家单位政企分开任务；2.完成资产归集、处置；3.完成经营性资产管理；4.国企监管。</w:t>
            </w:r>
          </w:p>
        </w:tc>
        <w:tc>
          <w:tcPr>
            <w:tcW w:w="1298" w:type="dxa"/>
            <w:vAlign w:val="center"/>
          </w:tcPr>
          <w:p w14:paraId="479FA5D5">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2024年全年</w:t>
            </w:r>
          </w:p>
        </w:tc>
        <w:tc>
          <w:tcPr>
            <w:tcW w:w="1438" w:type="dxa"/>
            <w:vAlign w:val="center"/>
          </w:tcPr>
          <w:p w14:paraId="5C1B3402">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1.完成7家公司政企分开任务2.完成资产归集评估值10亿元;3.完成资产处置收入2978.87万元；4.完成经营性门面租金收入653.64万元</w:t>
            </w:r>
          </w:p>
        </w:tc>
        <w:tc>
          <w:tcPr>
            <w:tcW w:w="688" w:type="dxa"/>
            <w:vAlign w:val="center"/>
          </w:tcPr>
          <w:p w14:paraId="4C56B99F">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711" w:type="dxa"/>
            <w:vAlign w:val="center"/>
          </w:tcPr>
          <w:p w14:paraId="5DA34835">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7BF8C6A4">
            <w:pPr>
              <w:spacing w:line="240" w:lineRule="auto"/>
              <w:ind w:firstLine="420"/>
              <w:jc w:val="center"/>
              <w:rPr>
                <w:rFonts w:ascii="仿宋_GB2312" w:eastAsia="仿宋_GB2312"/>
                <w:kern w:val="0"/>
                <w:sz w:val="15"/>
                <w:szCs w:val="15"/>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完成经营性资产租金收入608万元。</w:t>
            </w:r>
          </w:p>
        </w:tc>
        <w:tc>
          <w:tcPr>
            <w:tcW w:w="1298" w:type="dxa"/>
            <w:vAlign w:val="center"/>
          </w:tcPr>
          <w:p w14:paraId="078289F3">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≥608万元</w:t>
            </w:r>
          </w:p>
        </w:tc>
        <w:tc>
          <w:tcPr>
            <w:tcW w:w="1438" w:type="dxa"/>
            <w:vAlign w:val="center"/>
          </w:tcPr>
          <w:p w14:paraId="7A453B87">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完成了收缴179个经营性门面租金的收缴合计收入653.64万元。</w:t>
            </w:r>
          </w:p>
        </w:tc>
        <w:tc>
          <w:tcPr>
            <w:tcW w:w="688" w:type="dxa"/>
            <w:vAlign w:val="center"/>
          </w:tcPr>
          <w:p w14:paraId="415A3F60">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711" w:type="dxa"/>
            <w:vAlign w:val="center"/>
          </w:tcPr>
          <w:p w14:paraId="2AC58B95">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63D43995">
            <w:pPr>
              <w:spacing w:line="240" w:lineRule="auto"/>
              <w:ind w:firstLine="420"/>
              <w:jc w:val="center"/>
              <w:rPr>
                <w:rFonts w:ascii="仿宋_GB2312" w:eastAsia="仿宋_GB2312"/>
                <w:kern w:val="0"/>
                <w:sz w:val="15"/>
                <w:szCs w:val="15"/>
              </w:rPr>
            </w:pPr>
          </w:p>
        </w:tc>
      </w:tr>
      <w:tr w14:paraId="31AA3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A965F81">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1A616913">
            <w:pPr>
              <w:spacing w:line="240" w:lineRule="auto"/>
              <w:ind w:firstLine="420"/>
              <w:jc w:val="center"/>
              <w:rPr>
                <w:rFonts w:ascii="仿宋_GB2312" w:eastAsia="仿宋_GB2312"/>
                <w:kern w:val="0"/>
              </w:rPr>
            </w:pPr>
          </w:p>
        </w:tc>
        <w:tc>
          <w:tcPr>
            <w:tcW w:w="1249" w:type="dxa"/>
            <w:vAlign w:val="center"/>
          </w:tcPr>
          <w:p w14:paraId="56623844">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完成市属l国有资产处置500万元。</w:t>
            </w:r>
          </w:p>
        </w:tc>
        <w:tc>
          <w:tcPr>
            <w:tcW w:w="1298" w:type="dxa"/>
            <w:vAlign w:val="center"/>
          </w:tcPr>
          <w:p w14:paraId="342215A0">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≥500</w:t>
            </w:r>
          </w:p>
        </w:tc>
        <w:tc>
          <w:tcPr>
            <w:tcW w:w="1438" w:type="dxa"/>
            <w:vAlign w:val="center"/>
          </w:tcPr>
          <w:p w14:paraId="118D6ECA">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完成处置收入2978.87万元</w:t>
            </w:r>
          </w:p>
        </w:tc>
        <w:tc>
          <w:tcPr>
            <w:tcW w:w="688" w:type="dxa"/>
            <w:vAlign w:val="center"/>
          </w:tcPr>
          <w:p w14:paraId="7436CB53">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711" w:type="dxa"/>
            <w:vAlign w:val="center"/>
          </w:tcPr>
          <w:p w14:paraId="068C4EA7">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2D29F75A">
            <w:pPr>
              <w:spacing w:line="240" w:lineRule="auto"/>
              <w:ind w:firstLine="420"/>
              <w:jc w:val="center"/>
              <w:rPr>
                <w:rFonts w:ascii="仿宋_GB2312" w:eastAsia="仿宋_GB2312"/>
                <w:kern w:val="0"/>
                <w:sz w:val="15"/>
                <w:szCs w:val="15"/>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76717E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完成市属国有资产归集评估值100000万元</w:t>
            </w:r>
          </w:p>
        </w:tc>
        <w:tc>
          <w:tcPr>
            <w:tcW w:w="1298" w:type="dxa"/>
            <w:vAlign w:val="center"/>
          </w:tcPr>
          <w:p w14:paraId="54DB100B">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≥100000万元</w:t>
            </w:r>
          </w:p>
        </w:tc>
        <w:tc>
          <w:tcPr>
            <w:tcW w:w="1438" w:type="dxa"/>
            <w:vAlign w:val="center"/>
          </w:tcPr>
          <w:p w14:paraId="40D8D424">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完成国企调规变性资产11宗，价值约为3.11亿元，待办资产46宗，预估6.89亿元，两项合计约100000万元。</w:t>
            </w:r>
          </w:p>
        </w:tc>
        <w:tc>
          <w:tcPr>
            <w:tcW w:w="688" w:type="dxa"/>
            <w:vAlign w:val="center"/>
          </w:tcPr>
          <w:p w14:paraId="12404D44">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711" w:type="dxa"/>
            <w:vAlign w:val="center"/>
          </w:tcPr>
          <w:p w14:paraId="6DE220A2">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6004A8BA">
            <w:pPr>
              <w:spacing w:line="240" w:lineRule="auto"/>
              <w:ind w:firstLine="420"/>
              <w:jc w:val="center"/>
              <w:rPr>
                <w:rFonts w:ascii="仿宋_GB2312" w:eastAsia="仿宋_GB2312"/>
                <w:kern w:val="0"/>
                <w:sz w:val="15"/>
                <w:szCs w:val="15"/>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强化国有企业和国有资产的监督管理，确保国有资产保值增值。</w:t>
            </w:r>
          </w:p>
        </w:tc>
        <w:tc>
          <w:tcPr>
            <w:tcW w:w="1298" w:type="dxa"/>
            <w:vAlign w:val="center"/>
          </w:tcPr>
          <w:p w14:paraId="6E8C4873">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提高人民群众对国有企业的满意度</w:t>
            </w:r>
          </w:p>
        </w:tc>
        <w:tc>
          <w:tcPr>
            <w:tcW w:w="1438" w:type="dxa"/>
            <w:vAlign w:val="center"/>
          </w:tcPr>
          <w:p w14:paraId="4886005B">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≥100%</w:t>
            </w:r>
          </w:p>
        </w:tc>
        <w:tc>
          <w:tcPr>
            <w:tcW w:w="688" w:type="dxa"/>
            <w:vAlign w:val="center"/>
          </w:tcPr>
          <w:p w14:paraId="75FAE414">
            <w:pPr>
              <w:spacing w:line="240" w:lineRule="auto"/>
              <w:ind w:firstLine="420"/>
              <w:jc w:val="center"/>
              <w:rPr>
                <w:rFonts w:ascii="仿宋_GB2312" w:eastAsia="仿宋_GB2312"/>
                <w:kern w:val="0"/>
                <w:sz w:val="15"/>
                <w:szCs w:val="15"/>
              </w:rPr>
            </w:pPr>
          </w:p>
        </w:tc>
        <w:tc>
          <w:tcPr>
            <w:tcW w:w="711" w:type="dxa"/>
            <w:vAlign w:val="center"/>
          </w:tcPr>
          <w:p w14:paraId="3309901E">
            <w:pPr>
              <w:spacing w:line="240" w:lineRule="auto"/>
              <w:ind w:firstLine="420"/>
              <w:jc w:val="center"/>
              <w:rPr>
                <w:rFonts w:ascii="仿宋_GB2312" w:eastAsia="仿宋_GB2312"/>
                <w:kern w:val="0"/>
                <w:sz w:val="15"/>
                <w:szCs w:val="15"/>
              </w:rPr>
            </w:pPr>
          </w:p>
        </w:tc>
        <w:tc>
          <w:tcPr>
            <w:tcW w:w="1423" w:type="dxa"/>
            <w:vAlign w:val="center"/>
          </w:tcPr>
          <w:p w14:paraId="4D65F265">
            <w:pPr>
              <w:spacing w:line="240" w:lineRule="auto"/>
              <w:ind w:firstLine="420"/>
              <w:jc w:val="center"/>
              <w:rPr>
                <w:rFonts w:ascii="仿宋_GB2312" w:eastAsia="仿宋_GB2312"/>
                <w:kern w:val="0"/>
                <w:sz w:val="15"/>
                <w:szCs w:val="15"/>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sz w:val="15"/>
                <w:szCs w:val="15"/>
              </w:rPr>
            </w:pPr>
            <w:r>
              <w:rPr>
                <w:rFonts w:hint="eastAsia" w:ascii="仿宋_GB2312" w:eastAsia="仿宋_GB2312"/>
                <w:kern w:val="0"/>
                <w:sz w:val="15"/>
                <w:szCs w:val="15"/>
              </w:rPr>
              <w:t>生态环境改变状况</w:t>
            </w:r>
          </w:p>
        </w:tc>
        <w:tc>
          <w:tcPr>
            <w:tcW w:w="1298" w:type="dxa"/>
            <w:vAlign w:val="center"/>
          </w:tcPr>
          <w:p w14:paraId="45B96CBB">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有所改善</w:t>
            </w:r>
          </w:p>
        </w:tc>
        <w:tc>
          <w:tcPr>
            <w:tcW w:w="1438" w:type="dxa"/>
            <w:vAlign w:val="center"/>
          </w:tcPr>
          <w:p w14:paraId="35C3564D">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有所改善</w:t>
            </w:r>
          </w:p>
        </w:tc>
        <w:tc>
          <w:tcPr>
            <w:tcW w:w="688" w:type="dxa"/>
            <w:vAlign w:val="center"/>
          </w:tcPr>
          <w:p w14:paraId="6A822248">
            <w:pPr>
              <w:spacing w:line="240" w:lineRule="auto"/>
              <w:ind w:firstLine="420"/>
              <w:jc w:val="center"/>
              <w:rPr>
                <w:rFonts w:ascii="仿宋_GB2312" w:eastAsia="仿宋_GB2312"/>
                <w:kern w:val="0"/>
                <w:sz w:val="15"/>
                <w:szCs w:val="15"/>
              </w:rPr>
            </w:pPr>
          </w:p>
        </w:tc>
        <w:tc>
          <w:tcPr>
            <w:tcW w:w="711" w:type="dxa"/>
            <w:vAlign w:val="center"/>
          </w:tcPr>
          <w:p w14:paraId="73C931F8">
            <w:pPr>
              <w:spacing w:line="240" w:lineRule="auto"/>
              <w:ind w:firstLine="420"/>
              <w:jc w:val="center"/>
              <w:rPr>
                <w:rFonts w:ascii="仿宋_GB2312" w:eastAsia="仿宋_GB2312"/>
                <w:kern w:val="0"/>
                <w:sz w:val="15"/>
                <w:szCs w:val="15"/>
              </w:rPr>
            </w:pPr>
          </w:p>
        </w:tc>
        <w:tc>
          <w:tcPr>
            <w:tcW w:w="1423" w:type="dxa"/>
            <w:vAlign w:val="center"/>
          </w:tcPr>
          <w:p w14:paraId="0E6767B7">
            <w:pPr>
              <w:spacing w:line="240" w:lineRule="auto"/>
              <w:ind w:firstLine="420"/>
              <w:jc w:val="center"/>
              <w:rPr>
                <w:rFonts w:ascii="仿宋_GB2312" w:eastAsia="仿宋_GB2312"/>
                <w:kern w:val="0"/>
                <w:sz w:val="15"/>
                <w:szCs w:val="15"/>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推进国有企业市场化运作。</w:t>
            </w:r>
          </w:p>
        </w:tc>
        <w:tc>
          <w:tcPr>
            <w:tcW w:w="1298" w:type="dxa"/>
            <w:vAlign w:val="center"/>
          </w:tcPr>
          <w:p w14:paraId="055B34ED">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确保国有企业可持续发展</w:t>
            </w:r>
          </w:p>
        </w:tc>
        <w:tc>
          <w:tcPr>
            <w:tcW w:w="1438" w:type="dxa"/>
            <w:vAlign w:val="center"/>
          </w:tcPr>
          <w:p w14:paraId="46B41467">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政策的持续性</w:t>
            </w:r>
          </w:p>
        </w:tc>
        <w:tc>
          <w:tcPr>
            <w:tcW w:w="688" w:type="dxa"/>
            <w:vAlign w:val="center"/>
          </w:tcPr>
          <w:p w14:paraId="447C4D99">
            <w:pPr>
              <w:spacing w:line="240" w:lineRule="auto"/>
              <w:ind w:firstLine="420"/>
              <w:jc w:val="center"/>
              <w:rPr>
                <w:rFonts w:ascii="仿宋_GB2312" w:eastAsia="仿宋_GB2312"/>
                <w:kern w:val="0"/>
                <w:sz w:val="15"/>
                <w:szCs w:val="15"/>
              </w:rPr>
            </w:pPr>
          </w:p>
        </w:tc>
        <w:tc>
          <w:tcPr>
            <w:tcW w:w="711" w:type="dxa"/>
            <w:vAlign w:val="center"/>
          </w:tcPr>
          <w:p w14:paraId="71C7C72F">
            <w:pPr>
              <w:spacing w:line="240" w:lineRule="auto"/>
              <w:ind w:firstLine="420"/>
              <w:jc w:val="center"/>
              <w:rPr>
                <w:rFonts w:ascii="仿宋_GB2312" w:eastAsia="仿宋_GB2312"/>
                <w:kern w:val="0"/>
                <w:sz w:val="15"/>
                <w:szCs w:val="15"/>
              </w:rPr>
            </w:pPr>
          </w:p>
        </w:tc>
        <w:tc>
          <w:tcPr>
            <w:tcW w:w="1423" w:type="dxa"/>
            <w:vAlign w:val="center"/>
          </w:tcPr>
          <w:p w14:paraId="04D49FFC">
            <w:pPr>
              <w:spacing w:line="240" w:lineRule="auto"/>
              <w:ind w:firstLine="420"/>
              <w:jc w:val="center"/>
              <w:rPr>
                <w:rFonts w:ascii="仿宋_GB2312" w:eastAsia="仿宋_GB2312"/>
                <w:kern w:val="0"/>
                <w:sz w:val="15"/>
                <w:szCs w:val="15"/>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ind w:firstLine="420"/>
              <w:jc w:val="center"/>
              <w:rPr>
                <w:rFonts w:hint="eastAsia" w:ascii="仿宋_GB2312" w:eastAsia="仿宋_GB2312"/>
                <w:kern w:val="0"/>
                <w:sz w:val="15"/>
                <w:szCs w:val="15"/>
                <w:lang w:eastAsia="zh-CN"/>
              </w:rPr>
            </w:pPr>
            <w:r>
              <w:rPr>
                <w:rFonts w:hint="eastAsia" w:ascii="仿宋_GB2312" w:eastAsia="仿宋_GB2312"/>
                <w:kern w:val="0"/>
                <w:sz w:val="15"/>
                <w:szCs w:val="15"/>
              </w:rPr>
              <w:t>国有企业满意</w:t>
            </w:r>
            <w:r>
              <w:rPr>
                <w:rFonts w:hint="eastAsia" w:ascii="仿宋_GB2312" w:eastAsia="仿宋_GB2312"/>
                <w:kern w:val="0"/>
                <w:sz w:val="15"/>
                <w:szCs w:val="15"/>
                <w:lang w:eastAsia="zh-CN"/>
              </w:rPr>
              <w:t>率</w:t>
            </w:r>
          </w:p>
        </w:tc>
        <w:tc>
          <w:tcPr>
            <w:tcW w:w="1298" w:type="dxa"/>
            <w:vAlign w:val="center"/>
          </w:tcPr>
          <w:p w14:paraId="6ABEB3E2">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rPr>
              <w:t>≥</w:t>
            </w:r>
            <w:r>
              <w:rPr>
                <w:rFonts w:hint="eastAsia" w:ascii="仿宋_GB2312" w:eastAsia="仿宋_GB2312"/>
                <w:kern w:val="0"/>
                <w:sz w:val="15"/>
                <w:szCs w:val="15"/>
                <w:lang w:val="en-US" w:eastAsia="zh-CN"/>
              </w:rPr>
              <w:t>98%</w:t>
            </w:r>
          </w:p>
        </w:tc>
        <w:tc>
          <w:tcPr>
            <w:tcW w:w="1438" w:type="dxa"/>
            <w:vAlign w:val="center"/>
          </w:tcPr>
          <w:p w14:paraId="31B5B329">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≥100%</w:t>
            </w:r>
          </w:p>
        </w:tc>
        <w:tc>
          <w:tcPr>
            <w:tcW w:w="688" w:type="dxa"/>
            <w:vAlign w:val="center"/>
          </w:tcPr>
          <w:p w14:paraId="41D3F37B">
            <w:pPr>
              <w:spacing w:line="240" w:lineRule="auto"/>
              <w:ind w:firstLine="420"/>
              <w:jc w:val="center"/>
              <w:rPr>
                <w:rFonts w:ascii="仿宋_GB2312" w:eastAsia="仿宋_GB2312"/>
                <w:kern w:val="0"/>
                <w:sz w:val="15"/>
                <w:szCs w:val="15"/>
              </w:rPr>
            </w:pPr>
          </w:p>
        </w:tc>
        <w:tc>
          <w:tcPr>
            <w:tcW w:w="711" w:type="dxa"/>
            <w:vAlign w:val="center"/>
          </w:tcPr>
          <w:p w14:paraId="19FFC8CC">
            <w:pPr>
              <w:spacing w:line="240" w:lineRule="auto"/>
              <w:ind w:firstLine="420"/>
              <w:jc w:val="center"/>
              <w:rPr>
                <w:rFonts w:ascii="仿宋_GB2312" w:eastAsia="仿宋_GB2312"/>
                <w:kern w:val="0"/>
                <w:sz w:val="15"/>
                <w:szCs w:val="15"/>
              </w:rPr>
            </w:pPr>
          </w:p>
        </w:tc>
        <w:tc>
          <w:tcPr>
            <w:tcW w:w="1423" w:type="dxa"/>
            <w:vAlign w:val="center"/>
          </w:tcPr>
          <w:p w14:paraId="0412303D">
            <w:pPr>
              <w:spacing w:line="240" w:lineRule="auto"/>
              <w:ind w:firstLine="420"/>
              <w:jc w:val="center"/>
              <w:rPr>
                <w:rFonts w:ascii="仿宋_GB2312" w:eastAsia="仿宋_GB2312"/>
                <w:kern w:val="0"/>
                <w:sz w:val="15"/>
                <w:szCs w:val="15"/>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租户满意度</w:t>
            </w:r>
          </w:p>
        </w:tc>
        <w:tc>
          <w:tcPr>
            <w:tcW w:w="1298" w:type="dxa"/>
            <w:vAlign w:val="center"/>
          </w:tcPr>
          <w:p w14:paraId="5D1571F7">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w:t>
            </w:r>
            <w:r>
              <w:rPr>
                <w:rFonts w:hint="eastAsia" w:ascii="仿宋_GB2312" w:eastAsia="仿宋_GB2312"/>
                <w:kern w:val="0"/>
                <w:sz w:val="15"/>
                <w:szCs w:val="15"/>
                <w:lang w:val="en-US" w:eastAsia="zh-CN"/>
              </w:rPr>
              <w:t>96%</w:t>
            </w:r>
          </w:p>
        </w:tc>
        <w:tc>
          <w:tcPr>
            <w:tcW w:w="1438" w:type="dxa"/>
            <w:vAlign w:val="center"/>
          </w:tcPr>
          <w:p w14:paraId="14AA98DC">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w:t>
            </w:r>
            <w:r>
              <w:rPr>
                <w:rFonts w:hint="eastAsia" w:ascii="仿宋_GB2312" w:eastAsia="仿宋_GB2312"/>
                <w:kern w:val="0"/>
                <w:sz w:val="15"/>
                <w:szCs w:val="15"/>
                <w:lang w:val="en-US" w:eastAsia="zh-CN"/>
              </w:rPr>
              <w:t>98%</w:t>
            </w:r>
          </w:p>
        </w:tc>
        <w:tc>
          <w:tcPr>
            <w:tcW w:w="688" w:type="dxa"/>
            <w:vAlign w:val="center"/>
          </w:tcPr>
          <w:p w14:paraId="45F31835">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711" w:type="dxa"/>
            <w:vAlign w:val="center"/>
          </w:tcPr>
          <w:p w14:paraId="3D62FDEF">
            <w:pPr>
              <w:spacing w:line="240" w:lineRule="auto"/>
              <w:ind w:firstLine="420"/>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9</w:t>
            </w:r>
          </w:p>
        </w:tc>
        <w:tc>
          <w:tcPr>
            <w:tcW w:w="1423" w:type="dxa"/>
            <w:vAlign w:val="center"/>
          </w:tcPr>
          <w:p w14:paraId="57DECFDE">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原因：大环境经济下行，对实体经济冲击大，租客降租诉求明显。改进措施：对于租客降租诉求，我中心针对经济下行造成的出租困难，已向市政府请示报告对经营性门面重新评估，确定租金对外出租。</w:t>
            </w: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全年本本控制在预算内</w:t>
            </w:r>
          </w:p>
        </w:tc>
        <w:tc>
          <w:tcPr>
            <w:tcW w:w="1298" w:type="dxa"/>
            <w:vAlign w:val="center"/>
          </w:tcPr>
          <w:p w14:paraId="15ECA8D3">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≤420.52</w:t>
            </w:r>
          </w:p>
        </w:tc>
        <w:tc>
          <w:tcPr>
            <w:tcW w:w="1438" w:type="dxa"/>
            <w:vAlign w:val="center"/>
          </w:tcPr>
          <w:p w14:paraId="3C328246">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全年预算实际执行为665.07万元</w:t>
            </w:r>
          </w:p>
        </w:tc>
        <w:tc>
          <w:tcPr>
            <w:tcW w:w="688" w:type="dxa"/>
            <w:vAlign w:val="center"/>
          </w:tcPr>
          <w:p w14:paraId="42BD2B94">
            <w:pPr>
              <w:spacing w:line="240" w:lineRule="auto"/>
              <w:ind w:firstLine="420"/>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711" w:type="dxa"/>
            <w:vAlign w:val="center"/>
          </w:tcPr>
          <w:p w14:paraId="786F4305">
            <w:pPr>
              <w:spacing w:line="240" w:lineRule="auto"/>
              <w:ind w:firstLine="420"/>
              <w:jc w:val="left"/>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9</w:t>
            </w:r>
          </w:p>
        </w:tc>
        <w:tc>
          <w:tcPr>
            <w:tcW w:w="1423" w:type="dxa"/>
            <w:vAlign w:val="center"/>
          </w:tcPr>
          <w:p w14:paraId="0F79A5E1">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原因：人员增加，工资普调，业务量加大，公用经费增加，年中项目追加。措施：一是加强年初预算编制的精细化；二是严格落实“中央八项规定”精神，厉行节约，减少不必要的开支。</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对社会发展可能造成的负面影响</w:t>
            </w:r>
          </w:p>
        </w:tc>
        <w:tc>
          <w:tcPr>
            <w:tcW w:w="1298" w:type="dxa"/>
            <w:vAlign w:val="center"/>
          </w:tcPr>
          <w:p w14:paraId="09361E43">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无负面影响</w:t>
            </w:r>
          </w:p>
        </w:tc>
        <w:tc>
          <w:tcPr>
            <w:tcW w:w="1438" w:type="dxa"/>
            <w:vAlign w:val="center"/>
          </w:tcPr>
          <w:p w14:paraId="32DCD303">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无负面影响</w:t>
            </w:r>
          </w:p>
        </w:tc>
        <w:tc>
          <w:tcPr>
            <w:tcW w:w="688" w:type="dxa"/>
            <w:vAlign w:val="center"/>
          </w:tcPr>
          <w:p w14:paraId="765229A3">
            <w:pPr>
              <w:spacing w:line="240" w:lineRule="auto"/>
              <w:ind w:firstLine="420"/>
              <w:jc w:val="center"/>
              <w:rPr>
                <w:rFonts w:ascii="仿宋_GB2312" w:eastAsia="仿宋_GB2312"/>
                <w:kern w:val="0"/>
                <w:sz w:val="15"/>
                <w:szCs w:val="15"/>
              </w:rPr>
            </w:pPr>
          </w:p>
        </w:tc>
        <w:tc>
          <w:tcPr>
            <w:tcW w:w="711" w:type="dxa"/>
            <w:vAlign w:val="center"/>
          </w:tcPr>
          <w:p w14:paraId="4012A71B">
            <w:pPr>
              <w:spacing w:line="240" w:lineRule="auto"/>
              <w:ind w:firstLine="420"/>
              <w:jc w:val="left"/>
              <w:rPr>
                <w:rFonts w:ascii="仿宋_GB2312" w:eastAsia="仿宋_GB2312"/>
                <w:kern w:val="0"/>
                <w:sz w:val="15"/>
                <w:szCs w:val="15"/>
              </w:rPr>
            </w:pPr>
          </w:p>
        </w:tc>
        <w:tc>
          <w:tcPr>
            <w:tcW w:w="1423" w:type="dxa"/>
            <w:vAlign w:val="center"/>
          </w:tcPr>
          <w:p w14:paraId="6A85C036">
            <w:pPr>
              <w:spacing w:line="240" w:lineRule="auto"/>
              <w:ind w:firstLine="420"/>
              <w:jc w:val="center"/>
              <w:rPr>
                <w:rFonts w:ascii="仿宋_GB2312" w:eastAsia="仿宋_GB2312"/>
                <w:kern w:val="0"/>
                <w:sz w:val="15"/>
                <w:szCs w:val="15"/>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对</w:t>
            </w:r>
            <w:r>
              <w:rPr>
                <w:rFonts w:hint="eastAsia" w:ascii="仿宋_GB2312" w:eastAsia="仿宋_GB2312"/>
                <w:kern w:val="0"/>
                <w:sz w:val="15"/>
                <w:szCs w:val="15"/>
                <w:lang w:eastAsia="zh-CN"/>
              </w:rPr>
              <w:t>生态环境</w:t>
            </w:r>
            <w:r>
              <w:rPr>
                <w:rFonts w:hint="eastAsia" w:ascii="仿宋_GB2312" w:eastAsia="仿宋_GB2312"/>
                <w:kern w:val="0"/>
                <w:sz w:val="15"/>
                <w:szCs w:val="15"/>
              </w:rPr>
              <w:t>可能造成的负面影响</w:t>
            </w:r>
          </w:p>
        </w:tc>
        <w:tc>
          <w:tcPr>
            <w:tcW w:w="1298" w:type="dxa"/>
            <w:vAlign w:val="center"/>
          </w:tcPr>
          <w:p w14:paraId="789CDCB9">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无负面影响</w:t>
            </w:r>
          </w:p>
        </w:tc>
        <w:tc>
          <w:tcPr>
            <w:tcW w:w="1438" w:type="dxa"/>
            <w:vAlign w:val="center"/>
          </w:tcPr>
          <w:p w14:paraId="4E354EE6">
            <w:pPr>
              <w:spacing w:line="240" w:lineRule="auto"/>
              <w:ind w:firstLine="420"/>
              <w:jc w:val="center"/>
              <w:rPr>
                <w:rFonts w:ascii="仿宋_GB2312" w:eastAsia="仿宋_GB2312"/>
                <w:kern w:val="0"/>
                <w:sz w:val="15"/>
                <w:szCs w:val="15"/>
              </w:rPr>
            </w:pPr>
            <w:r>
              <w:rPr>
                <w:rFonts w:hint="eastAsia" w:ascii="仿宋_GB2312" w:eastAsia="仿宋_GB2312"/>
                <w:kern w:val="0"/>
                <w:sz w:val="15"/>
                <w:szCs w:val="15"/>
              </w:rPr>
              <w:t>无负面影响</w:t>
            </w:r>
          </w:p>
        </w:tc>
        <w:tc>
          <w:tcPr>
            <w:tcW w:w="688" w:type="dxa"/>
            <w:vAlign w:val="center"/>
          </w:tcPr>
          <w:p w14:paraId="6C36DE67">
            <w:pPr>
              <w:spacing w:line="240" w:lineRule="auto"/>
              <w:ind w:firstLine="420"/>
              <w:jc w:val="center"/>
              <w:rPr>
                <w:rFonts w:ascii="仿宋_GB2312" w:eastAsia="仿宋_GB2312"/>
                <w:kern w:val="0"/>
                <w:sz w:val="15"/>
                <w:szCs w:val="15"/>
              </w:rPr>
            </w:pPr>
          </w:p>
        </w:tc>
        <w:tc>
          <w:tcPr>
            <w:tcW w:w="711" w:type="dxa"/>
            <w:vAlign w:val="center"/>
          </w:tcPr>
          <w:p w14:paraId="6B31F2AB">
            <w:pPr>
              <w:spacing w:line="240" w:lineRule="auto"/>
              <w:ind w:firstLine="420"/>
              <w:jc w:val="left"/>
              <w:rPr>
                <w:rFonts w:ascii="仿宋_GB2312" w:eastAsia="仿宋_GB2312"/>
                <w:kern w:val="0"/>
                <w:sz w:val="15"/>
                <w:szCs w:val="15"/>
              </w:rPr>
            </w:pPr>
          </w:p>
        </w:tc>
        <w:tc>
          <w:tcPr>
            <w:tcW w:w="1423" w:type="dxa"/>
            <w:vAlign w:val="center"/>
          </w:tcPr>
          <w:p w14:paraId="14ED7F29">
            <w:pPr>
              <w:spacing w:line="240" w:lineRule="auto"/>
              <w:ind w:firstLine="420"/>
              <w:jc w:val="center"/>
              <w:rPr>
                <w:rFonts w:ascii="仿宋_GB2312" w:eastAsia="仿宋_GB2312"/>
                <w:kern w:val="0"/>
                <w:sz w:val="15"/>
                <w:szCs w:val="15"/>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157"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88"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711" w:type="dxa"/>
            <w:vAlign w:val="center"/>
          </w:tcPr>
          <w:p w14:paraId="6F45C202">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黄丹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2025.09.17</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18173081135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许达</w:t>
      </w:r>
      <w:r>
        <w:rPr>
          <w:rFonts w:ascii="仿宋_GB2312" w:hAnsi="宋体" w:eastAsia="仿宋_GB2312" w:cs="宋体"/>
          <w:snapToGrid w:val="0"/>
          <w:color w:val="000000"/>
          <w:sz w:val="35"/>
          <w:szCs w:val="35"/>
          <w:lang w:val="en-US" w:eastAsia="zh-CN" w:bidi="ar-SA"/>
        </w:rPr>
        <w:t xml:space="preserve"> </w:t>
      </w:r>
    </w:p>
    <w:p w14:paraId="0EF5A24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520D69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D66557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1C4FBC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3EE613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3A72A1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2B0C0C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627"/>
        <w:gridCol w:w="725"/>
        <w:gridCol w:w="1689"/>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国有资本经营</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汨罗市国有资产服务中心</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汨罗市国有资产服务中心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27"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725"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689"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98.45</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98.45</w:t>
            </w:r>
          </w:p>
        </w:tc>
        <w:tc>
          <w:tcPr>
            <w:tcW w:w="627" w:type="dxa"/>
            <w:vAlign w:val="center"/>
          </w:tcPr>
          <w:p w14:paraId="79BFE3F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725" w:type="dxa"/>
            <w:vAlign w:val="center"/>
          </w:tcPr>
          <w:p w14:paraId="33470801">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689" w:type="dxa"/>
            <w:vAlign w:val="center"/>
          </w:tcPr>
          <w:p w14:paraId="7A8C6380">
            <w:pPr>
              <w:spacing w:line="240" w:lineRule="auto"/>
              <w:ind w:firstLine="630" w:firstLineChars="3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627" w:type="dxa"/>
            <w:vAlign w:val="center"/>
          </w:tcPr>
          <w:p w14:paraId="05C9BB92">
            <w:pPr>
              <w:spacing w:line="240" w:lineRule="auto"/>
              <w:ind w:firstLine="420"/>
              <w:jc w:val="center"/>
              <w:rPr>
                <w:rFonts w:ascii="仿宋_GB2312" w:hAnsi="宋体" w:eastAsia="仿宋_GB2312" w:cs="宋体"/>
                <w:kern w:val="0"/>
                <w:lang w:eastAsia="zh-CN"/>
              </w:rPr>
            </w:pPr>
          </w:p>
        </w:tc>
        <w:tc>
          <w:tcPr>
            <w:tcW w:w="725" w:type="dxa"/>
            <w:vAlign w:val="center"/>
          </w:tcPr>
          <w:p w14:paraId="4AC8E360">
            <w:pPr>
              <w:spacing w:line="240" w:lineRule="auto"/>
              <w:ind w:firstLine="420"/>
              <w:jc w:val="center"/>
              <w:rPr>
                <w:rFonts w:ascii="仿宋_GB2312" w:hAnsi="宋体" w:eastAsia="仿宋_GB2312" w:cs="宋体"/>
                <w:kern w:val="0"/>
                <w:lang w:eastAsia="zh-CN"/>
              </w:rPr>
            </w:pPr>
          </w:p>
        </w:tc>
        <w:tc>
          <w:tcPr>
            <w:tcW w:w="1689"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627" w:type="dxa"/>
            <w:vAlign w:val="center"/>
          </w:tcPr>
          <w:p w14:paraId="5B513B6B">
            <w:pPr>
              <w:spacing w:line="240" w:lineRule="auto"/>
              <w:ind w:firstLine="420"/>
              <w:jc w:val="center"/>
              <w:rPr>
                <w:rFonts w:ascii="仿宋_GB2312" w:hAnsi="宋体" w:eastAsia="仿宋_GB2312" w:cs="宋体"/>
                <w:kern w:val="0"/>
                <w:lang w:eastAsia="zh-CN"/>
              </w:rPr>
            </w:pPr>
          </w:p>
        </w:tc>
        <w:tc>
          <w:tcPr>
            <w:tcW w:w="725" w:type="dxa"/>
            <w:vAlign w:val="center"/>
          </w:tcPr>
          <w:p w14:paraId="72BEE34C">
            <w:pPr>
              <w:spacing w:line="240" w:lineRule="auto"/>
              <w:ind w:firstLine="420"/>
              <w:jc w:val="center"/>
              <w:rPr>
                <w:rFonts w:ascii="仿宋_GB2312" w:hAnsi="宋体" w:eastAsia="仿宋_GB2312" w:cs="宋体"/>
                <w:kern w:val="0"/>
                <w:lang w:eastAsia="zh-CN"/>
              </w:rPr>
            </w:pPr>
          </w:p>
        </w:tc>
        <w:tc>
          <w:tcPr>
            <w:tcW w:w="1689"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70</w:t>
            </w:r>
          </w:p>
        </w:tc>
        <w:tc>
          <w:tcPr>
            <w:tcW w:w="1099" w:type="dxa"/>
            <w:vAlign w:val="center"/>
          </w:tcPr>
          <w:p w14:paraId="03D3AC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98.45</w:t>
            </w:r>
          </w:p>
        </w:tc>
        <w:tc>
          <w:tcPr>
            <w:tcW w:w="1099" w:type="dxa"/>
            <w:vAlign w:val="center"/>
          </w:tcPr>
          <w:p w14:paraId="186F5ED3">
            <w:pPr>
              <w:spacing w:line="240" w:lineRule="auto"/>
              <w:ind w:firstLine="420"/>
              <w:jc w:val="center"/>
              <w:rPr>
                <w:rFonts w:hint="default" w:ascii="仿宋_GB2312" w:hAnsi="宋体" w:eastAsia="仿宋_GB2312" w:cs="宋体"/>
                <w:kern w:val="0"/>
                <w:lang w:val="en-US" w:eastAsia="zh-CN"/>
              </w:rPr>
            </w:pPr>
          </w:p>
        </w:tc>
        <w:tc>
          <w:tcPr>
            <w:tcW w:w="627" w:type="dxa"/>
            <w:vAlign w:val="center"/>
          </w:tcPr>
          <w:p w14:paraId="3908879F">
            <w:pPr>
              <w:spacing w:line="240" w:lineRule="auto"/>
              <w:ind w:firstLine="210" w:firstLineChars="100"/>
              <w:jc w:val="both"/>
              <w:rPr>
                <w:rFonts w:hint="default" w:ascii="仿宋_GB2312" w:hAnsi="宋体" w:eastAsia="仿宋_GB2312" w:cs="宋体"/>
                <w:kern w:val="0"/>
                <w:lang w:val="en-US" w:eastAsia="zh-CN"/>
              </w:rPr>
            </w:pPr>
          </w:p>
        </w:tc>
        <w:tc>
          <w:tcPr>
            <w:tcW w:w="725" w:type="dxa"/>
            <w:vAlign w:val="center"/>
          </w:tcPr>
          <w:p w14:paraId="0EAD3560">
            <w:pPr>
              <w:spacing w:line="240" w:lineRule="auto"/>
              <w:ind w:firstLine="210" w:firstLineChars="100"/>
              <w:jc w:val="both"/>
              <w:rPr>
                <w:rFonts w:hint="default" w:ascii="仿宋_GB2312" w:hAnsi="宋体" w:eastAsia="仿宋_GB2312" w:cs="宋体"/>
                <w:kern w:val="0"/>
                <w:lang w:val="en-US" w:eastAsia="zh-CN"/>
              </w:rPr>
            </w:pPr>
          </w:p>
        </w:tc>
        <w:tc>
          <w:tcPr>
            <w:tcW w:w="1689" w:type="dxa"/>
            <w:vAlign w:val="center"/>
          </w:tcPr>
          <w:p w14:paraId="0178F4E7">
            <w:pPr>
              <w:spacing w:line="240" w:lineRule="auto"/>
              <w:ind w:firstLine="630" w:firstLineChars="300"/>
              <w:jc w:val="both"/>
              <w:rPr>
                <w:rFonts w:hint="default" w:ascii="仿宋_GB2312" w:hAnsi="宋体" w:eastAsia="仿宋_GB2312" w:cs="宋体"/>
                <w:kern w:val="0"/>
                <w:lang w:val="en-US" w:eastAsia="zh-CN"/>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sz w:val="15"/>
                <w:szCs w:val="15"/>
              </w:rPr>
              <w:t>规范国有资产的管理工作，加强国有企业的监管，确保国有资产安全、完整，确保国有资产保值、增值。做好国有企业退休人员社会化管理工作。</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sz w:val="15"/>
                <w:szCs w:val="15"/>
              </w:rPr>
              <w:t>规范国有资产的管理工作，加强国有企业的监管，确保国有资产安全、完整，确保国有资产保值、增值。做好国有企业退休人员社会化管理工作。</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627"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725"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689"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1.经营性门面招租2.国有资产处置、3.资产归集</w:t>
            </w:r>
          </w:p>
        </w:tc>
        <w:tc>
          <w:tcPr>
            <w:tcW w:w="1099" w:type="dxa"/>
            <w:vAlign w:val="center"/>
          </w:tcPr>
          <w:p w14:paraId="54B93945">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3个任务</w:t>
            </w:r>
          </w:p>
        </w:tc>
        <w:tc>
          <w:tcPr>
            <w:tcW w:w="1099" w:type="dxa"/>
            <w:vAlign w:val="center"/>
          </w:tcPr>
          <w:p w14:paraId="7F49710C">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根据年初任务，已超额完成三大任务。</w:t>
            </w:r>
          </w:p>
        </w:tc>
        <w:tc>
          <w:tcPr>
            <w:tcW w:w="627" w:type="dxa"/>
            <w:vAlign w:val="center"/>
          </w:tcPr>
          <w:p w14:paraId="450DEC19">
            <w:pPr>
              <w:spacing w:line="240" w:lineRule="auto"/>
              <w:ind w:firstLine="420"/>
              <w:jc w:val="both"/>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25" w:type="dxa"/>
            <w:vAlign w:val="center"/>
          </w:tcPr>
          <w:p w14:paraId="5F7B7A4C">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689" w:type="dxa"/>
            <w:vAlign w:val="center"/>
          </w:tcPr>
          <w:p w14:paraId="47B69173">
            <w:pPr>
              <w:spacing w:line="240" w:lineRule="auto"/>
              <w:ind w:firstLine="420"/>
              <w:jc w:val="center"/>
              <w:rPr>
                <w:rFonts w:ascii="仿宋_GB2312" w:hAnsi="宋体" w:eastAsia="仿宋_GB2312" w:cs="宋体"/>
                <w:kern w:val="0"/>
                <w:sz w:val="15"/>
                <w:szCs w:val="15"/>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1.完成全年门面招租工作，2.经营性资产评估、注入；3.完成资产处置</w:t>
            </w:r>
          </w:p>
        </w:tc>
        <w:tc>
          <w:tcPr>
            <w:tcW w:w="1099" w:type="dxa"/>
            <w:vAlign w:val="center"/>
          </w:tcPr>
          <w:p w14:paraId="2D69FB32">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3个任务</w:t>
            </w:r>
          </w:p>
        </w:tc>
        <w:tc>
          <w:tcPr>
            <w:tcW w:w="1099" w:type="dxa"/>
            <w:vAlign w:val="center"/>
          </w:tcPr>
          <w:p w14:paraId="03BC31E1">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1.完成全年门面招租工作，2.经营性资产评估、注入；3.完成资产处置</w:t>
            </w:r>
          </w:p>
        </w:tc>
        <w:tc>
          <w:tcPr>
            <w:tcW w:w="627" w:type="dxa"/>
            <w:vAlign w:val="center"/>
          </w:tcPr>
          <w:p w14:paraId="5DC86158">
            <w:pPr>
              <w:spacing w:line="240" w:lineRule="auto"/>
              <w:ind w:firstLine="420"/>
              <w:jc w:val="both"/>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25" w:type="dxa"/>
            <w:vAlign w:val="center"/>
          </w:tcPr>
          <w:p w14:paraId="25177C64">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689" w:type="dxa"/>
            <w:vAlign w:val="center"/>
          </w:tcPr>
          <w:p w14:paraId="2036CC26">
            <w:pPr>
              <w:spacing w:line="240" w:lineRule="auto"/>
              <w:ind w:firstLine="420"/>
              <w:jc w:val="center"/>
              <w:rPr>
                <w:rFonts w:ascii="仿宋_GB2312" w:hAnsi="宋体" w:eastAsia="仿宋_GB2312" w:cs="宋体"/>
                <w:kern w:val="0"/>
                <w:sz w:val="15"/>
                <w:szCs w:val="15"/>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完成全年门面招租、资产归集、资产处置</w:t>
            </w:r>
          </w:p>
        </w:tc>
        <w:tc>
          <w:tcPr>
            <w:tcW w:w="1099" w:type="dxa"/>
            <w:vAlign w:val="center"/>
          </w:tcPr>
          <w:p w14:paraId="015D039B">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2024年全年</w:t>
            </w:r>
          </w:p>
        </w:tc>
        <w:tc>
          <w:tcPr>
            <w:tcW w:w="1099" w:type="dxa"/>
            <w:vAlign w:val="center"/>
          </w:tcPr>
          <w:p w14:paraId="5C21687F">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完成全年门面招租、资产归集、资产处置</w:t>
            </w:r>
          </w:p>
        </w:tc>
        <w:tc>
          <w:tcPr>
            <w:tcW w:w="627" w:type="dxa"/>
            <w:vAlign w:val="center"/>
          </w:tcPr>
          <w:p w14:paraId="0D16C331">
            <w:pPr>
              <w:spacing w:line="240" w:lineRule="auto"/>
              <w:ind w:firstLine="420"/>
              <w:jc w:val="both"/>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25" w:type="dxa"/>
            <w:vAlign w:val="center"/>
          </w:tcPr>
          <w:p w14:paraId="094C7D5E">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689" w:type="dxa"/>
            <w:vAlign w:val="center"/>
          </w:tcPr>
          <w:p w14:paraId="46CE8FD2">
            <w:pPr>
              <w:spacing w:line="240" w:lineRule="auto"/>
              <w:ind w:firstLine="420"/>
              <w:jc w:val="center"/>
              <w:rPr>
                <w:rFonts w:ascii="仿宋_GB2312" w:hAnsi="宋体" w:eastAsia="仿宋_GB2312" w:cs="宋体"/>
                <w:kern w:val="0"/>
                <w:sz w:val="15"/>
                <w:szCs w:val="15"/>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完成全年经营性租金收入</w:t>
            </w:r>
          </w:p>
        </w:tc>
        <w:tc>
          <w:tcPr>
            <w:tcW w:w="1099" w:type="dxa"/>
            <w:vAlign w:val="center"/>
          </w:tcPr>
          <w:p w14:paraId="53928C31">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≥608万元</w:t>
            </w:r>
          </w:p>
        </w:tc>
        <w:tc>
          <w:tcPr>
            <w:tcW w:w="1099" w:type="dxa"/>
            <w:vAlign w:val="center"/>
          </w:tcPr>
          <w:p w14:paraId="6D883DDF">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完成全年经营性租金收入653.64万元</w:t>
            </w:r>
          </w:p>
        </w:tc>
        <w:tc>
          <w:tcPr>
            <w:tcW w:w="627" w:type="dxa"/>
            <w:vAlign w:val="center"/>
          </w:tcPr>
          <w:p w14:paraId="29584852">
            <w:pPr>
              <w:spacing w:line="240" w:lineRule="auto"/>
              <w:ind w:firstLine="420"/>
              <w:jc w:val="both"/>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25" w:type="dxa"/>
            <w:vAlign w:val="center"/>
          </w:tcPr>
          <w:p w14:paraId="41D412C8">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689" w:type="dxa"/>
            <w:vAlign w:val="center"/>
          </w:tcPr>
          <w:p w14:paraId="5D804D2D">
            <w:pPr>
              <w:spacing w:line="240" w:lineRule="auto"/>
              <w:ind w:firstLine="420"/>
              <w:jc w:val="center"/>
              <w:rPr>
                <w:rFonts w:ascii="仿宋_GB2312" w:hAnsi="宋体" w:eastAsia="仿宋_GB2312" w:cs="宋体"/>
                <w:kern w:val="0"/>
                <w:sz w:val="15"/>
                <w:szCs w:val="15"/>
              </w:rPr>
            </w:pPr>
          </w:p>
        </w:tc>
      </w:tr>
      <w:tr w14:paraId="203D6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E5668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9B1C654">
            <w:pPr>
              <w:spacing w:line="240" w:lineRule="auto"/>
              <w:ind w:firstLine="420"/>
              <w:jc w:val="center"/>
              <w:rPr>
                <w:rFonts w:ascii="仿宋_GB2312" w:hAnsi="宋体" w:eastAsia="仿宋_GB2312" w:cs="宋体"/>
                <w:kern w:val="0"/>
              </w:rPr>
            </w:pPr>
          </w:p>
        </w:tc>
        <w:tc>
          <w:tcPr>
            <w:tcW w:w="1020" w:type="dxa"/>
            <w:vAlign w:val="center"/>
          </w:tcPr>
          <w:p w14:paraId="7669318A">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完成全年国有资产归集</w:t>
            </w:r>
          </w:p>
        </w:tc>
        <w:tc>
          <w:tcPr>
            <w:tcW w:w="1099" w:type="dxa"/>
            <w:vAlign w:val="center"/>
          </w:tcPr>
          <w:p w14:paraId="7595888F">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≥100000万元</w:t>
            </w:r>
          </w:p>
        </w:tc>
        <w:tc>
          <w:tcPr>
            <w:tcW w:w="1099" w:type="dxa"/>
            <w:vAlign w:val="center"/>
          </w:tcPr>
          <w:p w14:paraId="30034ADF">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完成资产归集评估价值100000万元</w:t>
            </w:r>
          </w:p>
        </w:tc>
        <w:tc>
          <w:tcPr>
            <w:tcW w:w="627" w:type="dxa"/>
            <w:vAlign w:val="center"/>
          </w:tcPr>
          <w:p w14:paraId="316F30C7">
            <w:pPr>
              <w:spacing w:line="240" w:lineRule="auto"/>
              <w:ind w:firstLine="420"/>
              <w:jc w:val="both"/>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25" w:type="dxa"/>
            <w:vAlign w:val="center"/>
          </w:tcPr>
          <w:p w14:paraId="63FA22F7">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689" w:type="dxa"/>
            <w:vAlign w:val="center"/>
          </w:tcPr>
          <w:p w14:paraId="4230F837">
            <w:pPr>
              <w:spacing w:line="240" w:lineRule="auto"/>
              <w:ind w:firstLine="420"/>
              <w:jc w:val="center"/>
              <w:rPr>
                <w:rFonts w:ascii="仿宋_GB2312" w:hAnsi="宋体" w:eastAsia="仿宋_GB2312" w:cs="宋体"/>
                <w:kern w:val="0"/>
                <w:sz w:val="15"/>
                <w:szCs w:val="15"/>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746C49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完成全年国有资产处置</w:t>
            </w:r>
          </w:p>
        </w:tc>
        <w:tc>
          <w:tcPr>
            <w:tcW w:w="1099" w:type="dxa"/>
            <w:vAlign w:val="center"/>
          </w:tcPr>
          <w:p w14:paraId="2C0C58B6">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≥500万元</w:t>
            </w:r>
          </w:p>
        </w:tc>
        <w:tc>
          <w:tcPr>
            <w:tcW w:w="1099" w:type="dxa"/>
            <w:vAlign w:val="center"/>
          </w:tcPr>
          <w:p w14:paraId="076658D4">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完成年度国有资产处置收入2978.87万元。</w:t>
            </w:r>
          </w:p>
        </w:tc>
        <w:tc>
          <w:tcPr>
            <w:tcW w:w="627" w:type="dxa"/>
            <w:vAlign w:val="center"/>
          </w:tcPr>
          <w:p w14:paraId="3D83AE10">
            <w:pPr>
              <w:spacing w:line="240" w:lineRule="auto"/>
              <w:ind w:firstLine="150" w:firstLineChars="100"/>
              <w:jc w:val="both"/>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25" w:type="dxa"/>
            <w:vAlign w:val="center"/>
          </w:tcPr>
          <w:p w14:paraId="6B84A567">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689" w:type="dxa"/>
            <w:vAlign w:val="center"/>
          </w:tcPr>
          <w:p w14:paraId="145E24DC">
            <w:pPr>
              <w:spacing w:line="240" w:lineRule="auto"/>
              <w:ind w:firstLine="420"/>
              <w:jc w:val="center"/>
              <w:rPr>
                <w:rFonts w:ascii="仿宋_GB2312" w:hAnsi="宋体" w:eastAsia="仿宋_GB2312" w:cs="宋体"/>
                <w:kern w:val="0"/>
                <w:sz w:val="15"/>
                <w:szCs w:val="15"/>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助力实体经济</w:t>
            </w:r>
          </w:p>
        </w:tc>
        <w:tc>
          <w:tcPr>
            <w:tcW w:w="1099" w:type="dxa"/>
            <w:vAlign w:val="center"/>
          </w:tcPr>
          <w:p w14:paraId="01875392">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持续</w:t>
            </w:r>
          </w:p>
        </w:tc>
        <w:tc>
          <w:tcPr>
            <w:tcW w:w="1099" w:type="dxa"/>
            <w:vAlign w:val="center"/>
          </w:tcPr>
          <w:p w14:paraId="4101F8DE">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持续</w:t>
            </w:r>
          </w:p>
        </w:tc>
        <w:tc>
          <w:tcPr>
            <w:tcW w:w="627" w:type="dxa"/>
            <w:vAlign w:val="center"/>
          </w:tcPr>
          <w:p w14:paraId="699C14AF">
            <w:pPr>
              <w:spacing w:line="240" w:lineRule="auto"/>
              <w:ind w:firstLine="420"/>
              <w:jc w:val="center"/>
              <w:rPr>
                <w:rFonts w:ascii="仿宋_GB2312" w:hAnsi="宋体" w:eastAsia="仿宋_GB2312" w:cs="宋体"/>
                <w:kern w:val="0"/>
                <w:sz w:val="15"/>
                <w:szCs w:val="15"/>
              </w:rPr>
            </w:pPr>
          </w:p>
        </w:tc>
        <w:tc>
          <w:tcPr>
            <w:tcW w:w="725" w:type="dxa"/>
            <w:vAlign w:val="center"/>
          </w:tcPr>
          <w:p w14:paraId="0665EFF4">
            <w:pPr>
              <w:spacing w:line="240" w:lineRule="auto"/>
              <w:ind w:firstLine="420"/>
              <w:jc w:val="center"/>
              <w:rPr>
                <w:rFonts w:ascii="仿宋_GB2312" w:hAnsi="宋体" w:eastAsia="仿宋_GB2312" w:cs="宋体"/>
                <w:kern w:val="0"/>
                <w:sz w:val="15"/>
                <w:szCs w:val="15"/>
              </w:rPr>
            </w:pPr>
          </w:p>
        </w:tc>
        <w:tc>
          <w:tcPr>
            <w:tcW w:w="1689" w:type="dxa"/>
            <w:vAlign w:val="center"/>
          </w:tcPr>
          <w:p w14:paraId="27B9758C">
            <w:pPr>
              <w:spacing w:line="240" w:lineRule="auto"/>
              <w:ind w:firstLine="420"/>
              <w:jc w:val="center"/>
              <w:rPr>
                <w:rFonts w:ascii="仿宋_GB2312" w:hAnsi="宋体" w:eastAsia="仿宋_GB2312" w:cs="宋体"/>
                <w:kern w:val="0"/>
                <w:sz w:val="15"/>
                <w:szCs w:val="15"/>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spacing w:line="240" w:lineRule="auto"/>
              <w:ind w:firstLine="420" w:firstLineChars="0"/>
              <w:jc w:val="center"/>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生态环境改变状况</w:t>
            </w:r>
          </w:p>
        </w:tc>
        <w:tc>
          <w:tcPr>
            <w:tcW w:w="1099" w:type="dxa"/>
            <w:shd w:val="clear" w:color="auto" w:fill="auto"/>
            <w:vAlign w:val="center"/>
          </w:tcPr>
          <w:p w14:paraId="286C2197">
            <w:pPr>
              <w:spacing w:line="240" w:lineRule="auto"/>
              <w:ind w:firstLine="420" w:firstLineChars="0"/>
              <w:jc w:val="center"/>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有所改善</w:t>
            </w:r>
          </w:p>
        </w:tc>
        <w:tc>
          <w:tcPr>
            <w:tcW w:w="1099" w:type="dxa"/>
            <w:shd w:val="clear" w:color="auto" w:fill="auto"/>
            <w:vAlign w:val="center"/>
          </w:tcPr>
          <w:p w14:paraId="4CA75DEB">
            <w:pPr>
              <w:spacing w:line="240" w:lineRule="auto"/>
              <w:ind w:firstLine="420" w:firstLineChars="0"/>
              <w:jc w:val="center"/>
              <w:rPr>
                <w:rFonts w:ascii="仿宋_GB2312" w:hAnsi="宋体" w:eastAsia="仿宋_GB2312" w:cs="宋体"/>
                <w:snapToGrid w:val="0"/>
                <w:color w:val="000000"/>
                <w:kern w:val="0"/>
                <w:sz w:val="15"/>
                <w:szCs w:val="15"/>
                <w:lang w:val="en-US" w:eastAsia="en-US" w:bidi="ar-SA"/>
              </w:rPr>
            </w:pPr>
            <w:r>
              <w:rPr>
                <w:rFonts w:hint="eastAsia" w:ascii="仿宋_GB2312" w:hAnsi="宋体" w:eastAsia="仿宋_GB2312" w:cs="宋体"/>
                <w:kern w:val="0"/>
                <w:sz w:val="15"/>
                <w:szCs w:val="15"/>
              </w:rPr>
              <w:t>有所改善</w:t>
            </w:r>
          </w:p>
        </w:tc>
        <w:tc>
          <w:tcPr>
            <w:tcW w:w="627" w:type="dxa"/>
            <w:vAlign w:val="center"/>
          </w:tcPr>
          <w:p w14:paraId="491BA994">
            <w:pPr>
              <w:spacing w:line="240" w:lineRule="auto"/>
              <w:ind w:firstLine="420"/>
              <w:jc w:val="center"/>
              <w:rPr>
                <w:rFonts w:ascii="仿宋_GB2312" w:hAnsi="宋体" w:eastAsia="仿宋_GB2312" w:cs="宋体"/>
                <w:kern w:val="0"/>
                <w:sz w:val="15"/>
                <w:szCs w:val="15"/>
              </w:rPr>
            </w:pPr>
          </w:p>
        </w:tc>
        <w:tc>
          <w:tcPr>
            <w:tcW w:w="725" w:type="dxa"/>
            <w:vAlign w:val="center"/>
          </w:tcPr>
          <w:p w14:paraId="1BF7EB9C">
            <w:pPr>
              <w:spacing w:line="240" w:lineRule="auto"/>
              <w:ind w:firstLine="420"/>
              <w:jc w:val="center"/>
              <w:rPr>
                <w:rFonts w:ascii="仿宋_GB2312" w:hAnsi="宋体" w:eastAsia="仿宋_GB2312" w:cs="宋体"/>
                <w:kern w:val="0"/>
                <w:sz w:val="15"/>
                <w:szCs w:val="15"/>
              </w:rPr>
            </w:pPr>
          </w:p>
        </w:tc>
        <w:tc>
          <w:tcPr>
            <w:tcW w:w="1689" w:type="dxa"/>
            <w:vAlign w:val="center"/>
          </w:tcPr>
          <w:p w14:paraId="5E0A44CC">
            <w:pPr>
              <w:spacing w:line="240" w:lineRule="auto"/>
              <w:ind w:firstLine="420"/>
              <w:jc w:val="center"/>
              <w:rPr>
                <w:rFonts w:ascii="仿宋_GB2312" w:hAnsi="宋体" w:eastAsia="仿宋_GB2312" w:cs="宋体"/>
                <w:kern w:val="0"/>
                <w:sz w:val="15"/>
                <w:szCs w:val="15"/>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促进经济可持续发展</w:t>
            </w:r>
          </w:p>
        </w:tc>
        <w:tc>
          <w:tcPr>
            <w:tcW w:w="1099" w:type="dxa"/>
            <w:vAlign w:val="center"/>
          </w:tcPr>
          <w:p w14:paraId="48F3A1C5">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持续</w:t>
            </w:r>
          </w:p>
        </w:tc>
        <w:tc>
          <w:tcPr>
            <w:tcW w:w="1099" w:type="dxa"/>
            <w:vAlign w:val="center"/>
          </w:tcPr>
          <w:p w14:paraId="596F13DA">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政策的持续性</w:t>
            </w:r>
          </w:p>
        </w:tc>
        <w:tc>
          <w:tcPr>
            <w:tcW w:w="627" w:type="dxa"/>
            <w:vAlign w:val="center"/>
          </w:tcPr>
          <w:p w14:paraId="49A57C7B">
            <w:pPr>
              <w:spacing w:line="240" w:lineRule="auto"/>
              <w:ind w:firstLine="420"/>
              <w:jc w:val="center"/>
              <w:rPr>
                <w:rFonts w:ascii="仿宋_GB2312" w:hAnsi="宋体" w:eastAsia="仿宋_GB2312" w:cs="宋体"/>
                <w:kern w:val="0"/>
                <w:sz w:val="15"/>
                <w:szCs w:val="15"/>
              </w:rPr>
            </w:pPr>
          </w:p>
        </w:tc>
        <w:tc>
          <w:tcPr>
            <w:tcW w:w="725" w:type="dxa"/>
            <w:vAlign w:val="center"/>
          </w:tcPr>
          <w:p w14:paraId="044D5C88">
            <w:pPr>
              <w:spacing w:line="240" w:lineRule="auto"/>
              <w:ind w:firstLine="420"/>
              <w:jc w:val="center"/>
              <w:rPr>
                <w:rFonts w:ascii="仿宋_GB2312" w:hAnsi="宋体" w:eastAsia="仿宋_GB2312" w:cs="宋体"/>
                <w:kern w:val="0"/>
                <w:sz w:val="15"/>
                <w:szCs w:val="15"/>
              </w:rPr>
            </w:pPr>
          </w:p>
        </w:tc>
        <w:tc>
          <w:tcPr>
            <w:tcW w:w="1689" w:type="dxa"/>
            <w:vAlign w:val="center"/>
          </w:tcPr>
          <w:p w14:paraId="2463F4C6">
            <w:pPr>
              <w:spacing w:line="240" w:lineRule="auto"/>
              <w:ind w:firstLine="420"/>
              <w:jc w:val="center"/>
              <w:rPr>
                <w:rFonts w:ascii="仿宋_GB2312" w:hAnsi="宋体" w:eastAsia="仿宋_GB2312" w:cs="宋体"/>
                <w:kern w:val="0"/>
                <w:sz w:val="15"/>
                <w:szCs w:val="15"/>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门面租户满意率</w:t>
            </w:r>
          </w:p>
        </w:tc>
        <w:tc>
          <w:tcPr>
            <w:tcW w:w="1099" w:type="dxa"/>
            <w:vAlign w:val="center"/>
          </w:tcPr>
          <w:p w14:paraId="10DB725A">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1099" w:type="dxa"/>
            <w:vAlign w:val="center"/>
          </w:tcPr>
          <w:p w14:paraId="65FCC670">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w:t>
            </w:r>
            <w:r>
              <w:rPr>
                <w:rFonts w:hint="eastAsia" w:ascii="仿宋_GB2312" w:hAnsi="宋体" w:eastAsia="仿宋_GB2312" w:cs="宋体"/>
                <w:kern w:val="0"/>
                <w:sz w:val="15"/>
                <w:szCs w:val="15"/>
                <w:lang w:val="en-US" w:eastAsia="zh-CN"/>
              </w:rPr>
              <w:t>98</w:t>
            </w:r>
            <w:r>
              <w:rPr>
                <w:rFonts w:hint="eastAsia" w:ascii="仿宋_GB2312" w:hAnsi="宋体" w:eastAsia="仿宋_GB2312" w:cs="宋体"/>
                <w:kern w:val="0"/>
                <w:sz w:val="15"/>
                <w:szCs w:val="15"/>
              </w:rPr>
              <w:t>%</w:t>
            </w:r>
          </w:p>
        </w:tc>
        <w:tc>
          <w:tcPr>
            <w:tcW w:w="627" w:type="dxa"/>
            <w:vAlign w:val="center"/>
          </w:tcPr>
          <w:p w14:paraId="29FD5B5F">
            <w:pPr>
              <w:spacing w:line="240" w:lineRule="auto"/>
              <w:ind w:firstLine="150" w:firstLineChars="100"/>
              <w:jc w:val="both"/>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25" w:type="dxa"/>
            <w:vAlign w:val="center"/>
          </w:tcPr>
          <w:p w14:paraId="57CE9A58">
            <w:pPr>
              <w:spacing w:line="240" w:lineRule="auto"/>
              <w:ind w:firstLine="420"/>
              <w:jc w:val="both"/>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9</w:t>
            </w:r>
          </w:p>
        </w:tc>
        <w:tc>
          <w:tcPr>
            <w:tcW w:w="1689" w:type="dxa"/>
            <w:vAlign w:val="center"/>
          </w:tcPr>
          <w:p w14:paraId="5D35589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原因：大环境经济下行，实体经济不景气，出租率较往年有所下降。措施：根据租户诉求和市场经济的综合情况，已向市人民政府请示报告，对门面租金重新评估定价对外招租</w:t>
            </w: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全年成本控制在预算内</w:t>
            </w:r>
          </w:p>
        </w:tc>
        <w:tc>
          <w:tcPr>
            <w:tcW w:w="1099" w:type="dxa"/>
            <w:vAlign w:val="center"/>
          </w:tcPr>
          <w:p w14:paraId="7D8FEFD1">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≤70万元</w:t>
            </w:r>
          </w:p>
        </w:tc>
        <w:tc>
          <w:tcPr>
            <w:tcW w:w="1099" w:type="dxa"/>
            <w:vAlign w:val="center"/>
          </w:tcPr>
          <w:p w14:paraId="729BFD57">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全年实际预算执行为98.45万元</w:t>
            </w:r>
          </w:p>
        </w:tc>
        <w:tc>
          <w:tcPr>
            <w:tcW w:w="627" w:type="dxa"/>
            <w:vAlign w:val="center"/>
          </w:tcPr>
          <w:p w14:paraId="43443E17">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725" w:type="dxa"/>
            <w:vAlign w:val="center"/>
          </w:tcPr>
          <w:p w14:paraId="1005FDF9">
            <w:pPr>
              <w:spacing w:line="240" w:lineRule="auto"/>
              <w:ind w:firstLine="420"/>
              <w:jc w:val="both"/>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9</w:t>
            </w:r>
          </w:p>
        </w:tc>
        <w:tc>
          <w:tcPr>
            <w:tcW w:w="1689" w:type="dxa"/>
            <w:vAlign w:val="center"/>
          </w:tcPr>
          <w:p w14:paraId="2AB38FDF">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原因：一是人员调入增加，业务量增加导致预算执行多列支1.64万元；二是年初上级追加国有企业退休人员社会化管理补助专项资金26.81万元。措施：严格预算编制，预算执行。</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对社会发展可能造成的负面影响</w:t>
            </w:r>
          </w:p>
        </w:tc>
        <w:tc>
          <w:tcPr>
            <w:tcW w:w="1099" w:type="dxa"/>
            <w:vAlign w:val="center"/>
          </w:tcPr>
          <w:p w14:paraId="515A6775">
            <w:pPr>
              <w:spacing w:line="240" w:lineRule="auto"/>
              <w:ind w:firstLine="420"/>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无影响</w:t>
            </w:r>
          </w:p>
        </w:tc>
        <w:tc>
          <w:tcPr>
            <w:tcW w:w="1099" w:type="dxa"/>
            <w:vAlign w:val="center"/>
          </w:tcPr>
          <w:p w14:paraId="79BCBEC4">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无影响</w:t>
            </w:r>
          </w:p>
        </w:tc>
        <w:tc>
          <w:tcPr>
            <w:tcW w:w="627" w:type="dxa"/>
            <w:vAlign w:val="center"/>
          </w:tcPr>
          <w:p w14:paraId="7CB491CD">
            <w:pPr>
              <w:spacing w:line="240" w:lineRule="auto"/>
              <w:ind w:firstLine="420"/>
              <w:jc w:val="center"/>
              <w:rPr>
                <w:rFonts w:ascii="仿宋_GB2312" w:hAnsi="宋体" w:eastAsia="仿宋_GB2312" w:cs="宋体"/>
                <w:kern w:val="0"/>
                <w:sz w:val="15"/>
                <w:szCs w:val="15"/>
              </w:rPr>
            </w:pPr>
          </w:p>
        </w:tc>
        <w:tc>
          <w:tcPr>
            <w:tcW w:w="725" w:type="dxa"/>
            <w:vAlign w:val="center"/>
          </w:tcPr>
          <w:p w14:paraId="7D797644">
            <w:pPr>
              <w:spacing w:line="240" w:lineRule="auto"/>
              <w:ind w:firstLine="420"/>
              <w:jc w:val="center"/>
              <w:rPr>
                <w:rFonts w:ascii="仿宋_GB2312" w:hAnsi="宋体" w:eastAsia="仿宋_GB2312" w:cs="宋体"/>
                <w:kern w:val="0"/>
                <w:sz w:val="15"/>
                <w:szCs w:val="15"/>
              </w:rPr>
            </w:pPr>
          </w:p>
        </w:tc>
        <w:tc>
          <w:tcPr>
            <w:tcW w:w="1689" w:type="dxa"/>
            <w:vAlign w:val="center"/>
          </w:tcPr>
          <w:p w14:paraId="1A01EA78">
            <w:pPr>
              <w:spacing w:line="240" w:lineRule="auto"/>
              <w:ind w:firstLine="420"/>
              <w:jc w:val="center"/>
              <w:rPr>
                <w:rFonts w:ascii="仿宋_GB2312" w:hAnsi="宋体" w:eastAsia="仿宋_GB2312" w:cs="宋体"/>
                <w:kern w:val="0"/>
                <w:sz w:val="15"/>
                <w:szCs w:val="15"/>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对</w:t>
            </w:r>
            <w:r>
              <w:rPr>
                <w:rFonts w:hint="eastAsia" w:ascii="仿宋_GB2312" w:hAnsi="宋体" w:eastAsia="仿宋_GB2312" w:cs="宋体"/>
                <w:kern w:val="0"/>
                <w:sz w:val="15"/>
                <w:szCs w:val="15"/>
                <w:lang w:eastAsia="zh-CN"/>
              </w:rPr>
              <w:t>生态环境</w:t>
            </w:r>
            <w:r>
              <w:rPr>
                <w:rFonts w:hint="eastAsia" w:ascii="仿宋_GB2312" w:hAnsi="宋体" w:eastAsia="仿宋_GB2312" w:cs="宋体"/>
                <w:kern w:val="0"/>
                <w:sz w:val="15"/>
                <w:szCs w:val="15"/>
              </w:rPr>
              <w:t>可能造成的负面影响</w:t>
            </w:r>
          </w:p>
        </w:tc>
        <w:tc>
          <w:tcPr>
            <w:tcW w:w="1099" w:type="dxa"/>
            <w:vAlign w:val="center"/>
          </w:tcPr>
          <w:p w14:paraId="52AC4F9E">
            <w:pPr>
              <w:spacing w:line="240" w:lineRule="auto"/>
              <w:ind w:firstLine="420"/>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无影响</w:t>
            </w:r>
          </w:p>
        </w:tc>
        <w:tc>
          <w:tcPr>
            <w:tcW w:w="1099" w:type="dxa"/>
            <w:vAlign w:val="center"/>
          </w:tcPr>
          <w:p w14:paraId="0867BB9D">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lang w:eastAsia="zh-CN"/>
              </w:rPr>
              <w:t>无影响</w:t>
            </w:r>
          </w:p>
        </w:tc>
        <w:tc>
          <w:tcPr>
            <w:tcW w:w="627" w:type="dxa"/>
            <w:vAlign w:val="center"/>
          </w:tcPr>
          <w:p w14:paraId="640DCB80">
            <w:pPr>
              <w:spacing w:line="240" w:lineRule="auto"/>
              <w:ind w:firstLine="420"/>
              <w:jc w:val="center"/>
              <w:rPr>
                <w:rFonts w:ascii="仿宋_GB2312" w:hAnsi="宋体" w:eastAsia="仿宋_GB2312" w:cs="宋体"/>
                <w:kern w:val="0"/>
                <w:sz w:val="15"/>
                <w:szCs w:val="15"/>
              </w:rPr>
            </w:pPr>
          </w:p>
        </w:tc>
        <w:tc>
          <w:tcPr>
            <w:tcW w:w="725" w:type="dxa"/>
            <w:vAlign w:val="center"/>
          </w:tcPr>
          <w:p w14:paraId="03C9828A">
            <w:pPr>
              <w:spacing w:line="240" w:lineRule="auto"/>
              <w:ind w:firstLine="420"/>
              <w:jc w:val="center"/>
              <w:rPr>
                <w:rFonts w:ascii="仿宋_GB2312" w:hAnsi="宋体" w:eastAsia="仿宋_GB2312" w:cs="宋体"/>
                <w:kern w:val="0"/>
                <w:sz w:val="15"/>
                <w:szCs w:val="15"/>
              </w:rPr>
            </w:pPr>
          </w:p>
        </w:tc>
        <w:tc>
          <w:tcPr>
            <w:tcW w:w="1689" w:type="dxa"/>
            <w:vAlign w:val="center"/>
          </w:tcPr>
          <w:p w14:paraId="7AC32C23">
            <w:pPr>
              <w:spacing w:line="240" w:lineRule="auto"/>
              <w:ind w:firstLine="420"/>
              <w:jc w:val="center"/>
              <w:rPr>
                <w:rFonts w:ascii="仿宋_GB2312" w:hAnsi="宋体" w:eastAsia="仿宋_GB2312" w:cs="宋体"/>
                <w:kern w:val="0"/>
                <w:sz w:val="15"/>
                <w:szCs w:val="15"/>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627"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725" w:type="dxa"/>
            <w:vAlign w:val="center"/>
          </w:tcPr>
          <w:p w14:paraId="3FD2854A">
            <w:pPr>
              <w:spacing w:line="240" w:lineRule="auto"/>
              <w:ind w:firstLine="420"/>
              <w:jc w:val="center"/>
              <w:rPr>
                <w:rFonts w:ascii="仿宋_GB2312" w:hAnsi="宋体" w:eastAsia="仿宋_GB2312" w:cs="宋体"/>
                <w:kern w:val="0"/>
              </w:rPr>
            </w:pPr>
          </w:p>
        </w:tc>
        <w:tc>
          <w:tcPr>
            <w:tcW w:w="1689"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填表人：黄丹</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18173081135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单位负责人签字:许达</w:t>
      </w:r>
    </w:p>
    <w:p w14:paraId="55C30A0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3－2</w:t>
      </w:r>
    </w:p>
    <w:p w14:paraId="6A001A66">
      <w:pPr>
        <w:spacing w:before="91" w:line="219" w:lineRule="auto"/>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48B379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6390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61FF1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A532B7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经营性门面维修</w:t>
            </w:r>
          </w:p>
        </w:tc>
      </w:tr>
      <w:tr w14:paraId="2A2AE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AFC01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C6EF087">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汨罗市国有资产服务中心</w:t>
            </w:r>
          </w:p>
        </w:tc>
        <w:tc>
          <w:tcPr>
            <w:tcW w:w="1099" w:type="dxa"/>
            <w:vAlign w:val="center"/>
          </w:tcPr>
          <w:p w14:paraId="1C5F5F2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796C5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4CEDB97">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汨罗市国有资产服务中心</w:t>
            </w:r>
          </w:p>
        </w:tc>
      </w:tr>
      <w:tr w14:paraId="18868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2CD31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F9FCFC6">
            <w:pPr>
              <w:spacing w:line="240" w:lineRule="auto"/>
              <w:ind w:firstLine="420"/>
              <w:jc w:val="center"/>
              <w:rPr>
                <w:rFonts w:ascii="仿宋_GB2312" w:hAnsi="宋体" w:eastAsia="仿宋_GB2312" w:cs="宋体"/>
                <w:kern w:val="0"/>
                <w:lang w:eastAsia="zh-CN"/>
              </w:rPr>
            </w:pPr>
          </w:p>
        </w:tc>
        <w:tc>
          <w:tcPr>
            <w:tcW w:w="1020" w:type="dxa"/>
            <w:vAlign w:val="center"/>
          </w:tcPr>
          <w:p w14:paraId="79B34D5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C128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86C1D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A17FE5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7D7ADE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E6F77C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C5E44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961F2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E8DF5A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1BFF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1E49A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220AC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2359653">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766B7911">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49.92</w:t>
            </w:r>
          </w:p>
        </w:tc>
        <w:tc>
          <w:tcPr>
            <w:tcW w:w="1099" w:type="dxa"/>
            <w:vAlign w:val="center"/>
          </w:tcPr>
          <w:p w14:paraId="4D86DEBE">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49.92</w:t>
            </w:r>
          </w:p>
        </w:tc>
        <w:tc>
          <w:tcPr>
            <w:tcW w:w="809" w:type="dxa"/>
            <w:vAlign w:val="center"/>
          </w:tcPr>
          <w:p w14:paraId="35C36478">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5C236B3">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F99026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843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4DD8EA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A9EED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90FC91F">
            <w:pPr>
              <w:spacing w:line="240" w:lineRule="auto"/>
              <w:ind w:firstLine="420"/>
              <w:jc w:val="center"/>
              <w:rPr>
                <w:rFonts w:ascii="仿宋_GB2312" w:hAnsi="宋体" w:eastAsia="仿宋_GB2312" w:cs="宋体"/>
                <w:kern w:val="0"/>
                <w:lang w:eastAsia="zh-CN"/>
              </w:rPr>
            </w:pPr>
          </w:p>
        </w:tc>
        <w:tc>
          <w:tcPr>
            <w:tcW w:w="1099" w:type="dxa"/>
            <w:vAlign w:val="center"/>
          </w:tcPr>
          <w:p w14:paraId="7CD2273D">
            <w:pPr>
              <w:spacing w:line="240" w:lineRule="auto"/>
              <w:ind w:firstLine="420"/>
              <w:jc w:val="center"/>
              <w:rPr>
                <w:rFonts w:ascii="仿宋_GB2312" w:hAnsi="宋体" w:eastAsia="仿宋_GB2312" w:cs="宋体"/>
                <w:kern w:val="0"/>
                <w:lang w:eastAsia="zh-CN"/>
              </w:rPr>
            </w:pPr>
          </w:p>
        </w:tc>
        <w:tc>
          <w:tcPr>
            <w:tcW w:w="1099" w:type="dxa"/>
            <w:vAlign w:val="center"/>
          </w:tcPr>
          <w:p w14:paraId="17F85396">
            <w:pPr>
              <w:spacing w:line="240" w:lineRule="auto"/>
              <w:ind w:firstLine="420"/>
              <w:jc w:val="center"/>
              <w:rPr>
                <w:rFonts w:ascii="仿宋_GB2312" w:hAnsi="宋体" w:eastAsia="仿宋_GB2312" w:cs="宋体"/>
                <w:kern w:val="0"/>
                <w:lang w:eastAsia="zh-CN"/>
              </w:rPr>
            </w:pPr>
          </w:p>
        </w:tc>
        <w:tc>
          <w:tcPr>
            <w:tcW w:w="809" w:type="dxa"/>
            <w:vAlign w:val="center"/>
          </w:tcPr>
          <w:p w14:paraId="1021B16D">
            <w:pPr>
              <w:spacing w:line="240" w:lineRule="auto"/>
              <w:ind w:firstLine="420"/>
              <w:jc w:val="center"/>
              <w:rPr>
                <w:rFonts w:ascii="仿宋_GB2312" w:hAnsi="宋体" w:eastAsia="仿宋_GB2312" w:cs="宋体"/>
                <w:kern w:val="0"/>
                <w:lang w:eastAsia="zh-CN"/>
              </w:rPr>
            </w:pPr>
          </w:p>
        </w:tc>
        <w:tc>
          <w:tcPr>
            <w:tcW w:w="849" w:type="dxa"/>
            <w:vAlign w:val="center"/>
          </w:tcPr>
          <w:p w14:paraId="76E58EDC">
            <w:pPr>
              <w:spacing w:line="240" w:lineRule="auto"/>
              <w:ind w:firstLine="420"/>
              <w:jc w:val="center"/>
              <w:rPr>
                <w:rFonts w:ascii="仿宋_GB2312" w:hAnsi="宋体" w:eastAsia="仿宋_GB2312" w:cs="宋体"/>
                <w:kern w:val="0"/>
                <w:lang w:eastAsia="zh-CN"/>
              </w:rPr>
            </w:pPr>
          </w:p>
        </w:tc>
        <w:tc>
          <w:tcPr>
            <w:tcW w:w="1383" w:type="dxa"/>
            <w:vAlign w:val="center"/>
          </w:tcPr>
          <w:p w14:paraId="23C0693C">
            <w:pPr>
              <w:spacing w:line="240" w:lineRule="auto"/>
              <w:ind w:firstLine="420"/>
              <w:jc w:val="center"/>
              <w:rPr>
                <w:rFonts w:ascii="仿宋_GB2312" w:hAnsi="宋体" w:eastAsia="仿宋_GB2312" w:cs="宋体"/>
                <w:kern w:val="0"/>
                <w:lang w:eastAsia="zh-CN"/>
              </w:rPr>
            </w:pPr>
          </w:p>
        </w:tc>
      </w:tr>
      <w:tr w14:paraId="06A5D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C19FE9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892FA4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079A3DD">
            <w:pPr>
              <w:spacing w:line="240" w:lineRule="auto"/>
              <w:ind w:firstLine="420"/>
              <w:jc w:val="center"/>
              <w:rPr>
                <w:rFonts w:ascii="仿宋_GB2312" w:hAnsi="宋体" w:eastAsia="仿宋_GB2312" w:cs="宋体"/>
                <w:kern w:val="0"/>
                <w:lang w:eastAsia="zh-CN"/>
              </w:rPr>
            </w:pPr>
          </w:p>
        </w:tc>
        <w:tc>
          <w:tcPr>
            <w:tcW w:w="1099" w:type="dxa"/>
            <w:vAlign w:val="center"/>
          </w:tcPr>
          <w:p w14:paraId="70FEDF3B">
            <w:pPr>
              <w:spacing w:line="240" w:lineRule="auto"/>
              <w:ind w:firstLine="420"/>
              <w:jc w:val="center"/>
              <w:rPr>
                <w:rFonts w:ascii="仿宋_GB2312" w:hAnsi="宋体" w:eastAsia="仿宋_GB2312" w:cs="宋体"/>
                <w:kern w:val="0"/>
                <w:lang w:eastAsia="zh-CN"/>
              </w:rPr>
            </w:pPr>
          </w:p>
        </w:tc>
        <w:tc>
          <w:tcPr>
            <w:tcW w:w="1099" w:type="dxa"/>
            <w:vAlign w:val="center"/>
          </w:tcPr>
          <w:p w14:paraId="74951B20">
            <w:pPr>
              <w:spacing w:line="240" w:lineRule="auto"/>
              <w:ind w:firstLine="420"/>
              <w:jc w:val="center"/>
              <w:rPr>
                <w:rFonts w:ascii="仿宋_GB2312" w:hAnsi="宋体" w:eastAsia="仿宋_GB2312" w:cs="宋体"/>
                <w:kern w:val="0"/>
                <w:lang w:eastAsia="zh-CN"/>
              </w:rPr>
            </w:pPr>
          </w:p>
        </w:tc>
        <w:tc>
          <w:tcPr>
            <w:tcW w:w="809" w:type="dxa"/>
            <w:vAlign w:val="center"/>
          </w:tcPr>
          <w:p w14:paraId="7E869303">
            <w:pPr>
              <w:spacing w:line="240" w:lineRule="auto"/>
              <w:ind w:firstLine="420"/>
              <w:jc w:val="center"/>
              <w:rPr>
                <w:rFonts w:ascii="仿宋_GB2312" w:hAnsi="宋体" w:eastAsia="仿宋_GB2312" w:cs="宋体"/>
                <w:kern w:val="0"/>
                <w:lang w:eastAsia="zh-CN"/>
              </w:rPr>
            </w:pPr>
          </w:p>
        </w:tc>
        <w:tc>
          <w:tcPr>
            <w:tcW w:w="849" w:type="dxa"/>
            <w:vAlign w:val="center"/>
          </w:tcPr>
          <w:p w14:paraId="516AF752">
            <w:pPr>
              <w:spacing w:line="240" w:lineRule="auto"/>
              <w:ind w:firstLine="420"/>
              <w:jc w:val="center"/>
              <w:rPr>
                <w:rFonts w:ascii="仿宋_GB2312" w:hAnsi="宋体" w:eastAsia="仿宋_GB2312" w:cs="宋体"/>
                <w:kern w:val="0"/>
                <w:lang w:eastAsia="zh-CN"/>
              </w:rPr>
            </w:pPr>
          </w:p>
        </w:tc>
        <w:tc>
          <w:tcPr>
            <w:tcW w:w="1383" w:type="dxa"/>
            <w:vAlign w:val="center"/>
          </w:tcPr>
          <w:p w14:paraId="023B9FE0">
            <w:pPr>
              <w:spacing w:line="240" w:lineRule="auto"/>
              <w:ind w:firstLine="420"/>
              <w:jc w:val="center"/>
              <w:rPr>
                <w:rFonts w:ascii="仿宋_GB2312" w:hAnsi="宋体" w:eastAsia="仿宋_GB2312" w:cs="宋体"/>
                <w:kern w:val="0"/>
                <w:lang w:eastAsia="zh-CN"/>
              </w:rPr>
            </w:pPr>
          </w:p>
        </w:tc>
      </w:tr>
      <w:tr w14:paraId="25468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33A1E8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615C1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93463E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1418180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49.92</w:t>
            </w:r>
          </w:p>
        </w:tc>
        <w:tc>
          <w:tcPr>
            <w:tcW w:w="1099" w:type="dxa"/>
            <w:vAlign w:val="center"/>
          </w:tcPr>
          <w:p w14:paraId="163700A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49.92</w:t>
            </w:r>
          </w:p>
        </w:tc>
        <w:tc>
          <w:tcPr>
            <w:tcW w:w="809" w:type="dxa"/>
            <w:vAlign w:val="center"/>
          </w:tcPr>
          <w:p w14:paraId="0C1A4443">
            <w:pPr>
              <w:spacing w:line="240" w:lineRule="auto"/>
              <w:ind w:firstLine="420"/>
              <w:jc w:val="both"/>
              <w:rPr>
                <w:rFonts w:hint="default" w:ascii="仿宋_GB2312" w:hAnsi="宋体" w:eastAsia="仿宋_GB2312" w:cs="宋体"/>
                <w:kern w:val="0"/>
                <w:lang w:val="en-US" w:eastAsia="zh-CN"/>
              </w:rPr>
            </w:pPr>
          </w:p>
        </w:tc>
        <w:tc>
          <w:tcPr>
            <w:tcW w:w="849" w:type="dxa"/>
            <w:vAlign w:val="center"/>
          </w:tcPr>
          <w:p w14:paraId="679B2E41">
            <w:pPr>
              <w:spacing w:line="240" w:lineRule="auto"/>
              <w:ind w:firstLine="210" w:firstLineChars="100"/>
              <w:jc w:val="both"/>
              <w:rPr>
                <w:rFonts w:hint="default" w:ascii="仿宋_GB2312" w:hAnsi="宋体" w:eastAsia="仿宋_GB2312" w:cs="宋体"/>
                <w:kern w:val="0"/>
                <w:lang w:val="en-US" w:eastAsia="zh-CN"/>
              </w:rPr>
            </w:pPr>
          </w:p>
        </w:tc>
        <w:tc>
          <w:tcPr>
            <w:tcW w:w="1383" w:type="dxa"/>
            <w:vAlign w:val="center"/>
          </w:tcPr>
          <w:p w14:paraId="64844B65">
            <w:pPr>
              <w:spacing w:line="240" w:lineRule="auto"/>
              <w:ind w:firstLine="420"/>
              <w:jc w:val="center"/>
              <w:rPr>
                <w:rFonts w:hint="default" w:ascii="仿宋_GB2312" w:hAnsi="宋体" w:eastAsia="仿宋_GB2312" w:cs="宋体"/>
                <w:kern w:val="0"/>
                <w:lang w:val="en-US" w:eastAsia="zh-CN"/>
              </w:rPr>
            </w:pPr>
          </w:p>
        </w:tc>
      </w:tr>
      <w:tr w14:paraId="787FB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5C08D5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32336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CD453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7AF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6DF225A">
            <w:pPr>
              <w:spacing w:line="240" w:lineRule="auto"/>
              <w:ind w:firstLine="420"/>
              <w:jc w:val="center"/>
              <w:rPr>
                <w:rFonts w:ascii="仿宋_GB2312" w:hAnsi="宋体" w:eastAsia="仿宋_GB2312" w:cs="宋体"/>
                <w:kern w:val="0"/>
              </w:rPr>
            </w:pPr>
          </w:p>
        </w:tc>
        <w:tc>
          <w:tcPr>
            <w:tcW w:w="4396" w:type="dxa"/>
            <w:gridSpan w:val="4"/>
            <w:vAlign w:val="center"/>
          </w:tcPr>
          <w:p w14:paraId="279A8322">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国资中心肩负着全市行政事业单位经营性门面收租的任务，由于相关租赁门面年久失修，破损严重，存在安全隐患，用该笔门面维修专项资金对相关经营性门面进行修缮，改善招租环境，提高门面的出租率，确保财政非税收入的增加。</w:t>
            </w:r>
          </w:p>
        </w:tc>
        <w:tc>
          <w:tcPr>
            <w:tcW w:w="4140" w:type="dxa"/>
            <w:gridSpan w:val="4"/>
            <w:vAlign w:val="center"/>
          </w:tcPr>
          <w:p w14:paraId="137ABCFA">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国资中心肩负着全市行政事业单位经营性门面收租的任务，由于相关租赁门面年久失修，破损严重，存在安全隐患，用该笔门面维修专项资金对相关经营性门面进行修缮，改善招租环境，提高门面的出租率，确保财政非税收入的增加。</w:t>
            </w:r>
          </w:p>
        </w:tc>
      </w:tr>
      <w:tr w14:paraId="491C6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BACA852">
            <w:pPr>
              <w:spacing w:line="240" w:lineRule="auto"/>
              <w:ind w:firstLine="420"/>
              <w:jc w:val="center"/>
              <w:rPr>
                <w:rFonts w:ascii="仿宋_GB2312" w:hAnsi="宋体" w:eastAsia="仿宋_GB2312" w:cs="宋体"/>
                <w:kern w:val="0"/>
              </w:rPr>
            </w:pPr>
          </w:p>
          <w:p w14:paraId="2187922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47C031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499849">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E2F879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C1D652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3F8679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849484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C4AA7A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D431F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C0D6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99EE14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42B3C0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B8803C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590BBD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19634F8">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市属经营性所有门面</w:t>
            </w:r>
          </w:p>
        </w:tc>
        <w:tc>
          <w:tcPr>
            <w:tcW w:w="1099" w:type="dxa"/>
            <w:vAlign w:val="center"/>
          </w:tcPr>
          <w:p w14:paraId="4B1D91A1">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≥96%</w:t>
            </w:r>
          </w:p>
        </w:tc>
        <w:tc>
          <w:tcPr>
            <w:tcW w:w="1099" w:type="dxa"/>
            <w:vAlign w:val="center"/>
          </w:tcPr>
          <w:p w14:paraId="35C90C3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市属经营性所有门面修缮的98%</w:t>
            </w:r>
          </w:p>
        </w:tc>
        <w:tc>
          <w:tcPr>
            <w:tcW w:w="809" w:type="dxa"/>
            <w:vAlign w:val="center"/>
          </w:tcPr>
          <w:p w14:paraId="0CF8C623">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6310C7D2">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4F44B3FD">
            <w:pPr>
              <w:spacing w:line="240" w:lineRule="auto"/>
              <w:ind w:firstLine="420"/>
              <w:jc w:val="center"/>
              <w:rPr>
                <w:rFonts w:ascii="仿宋_GB2312" w:hAnsi="宋体" w:eastAsia="仿宋_GB2312" w:cs="宋体"/>
                <w:kern w:val="0"/>
                <w:sz w:val="15"/>
                <w:szCs w:val="15"/>
              </w:rPr>
            </w:pPr>
          </w:p>
        </w:tc>
      </w:tr>
      <w:tr w14:paraId="6E3BD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596FF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FDDBCF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60433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AB3F69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工程质量好，安全高效</w:t>
            </w:r>
          </w:p>
        </w:tc>
        <w:tc>
          <w:tcPr>
            <w:tcW w:w="1099" w:type="dxa"/>
            <w:vAlign w:val="center"/>
          </w:tcPr>
          <w:p w14:paraId="33F8F8CB">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按项目预算资金应修尽修</w:t>
            </w:r>
          </w:p>
        </w:tc>
        <w:tc>
          <w:tcPr>
            <w:tcW w:w="1099" w:type="dxa"/>
            <w:vAlign w:val="center"/>
          </w:tcPr>
          <w:p w14:paraId="62C28768">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修缮目标保质保量，无投诉。</w:t>
            </w:r>
          </w:p>
        </w:tc>
        <w:tc>
          <w:tcPr>
            <w:tcW w:w="809" w:type="dxa"/>
            <w:vAlign w:val="center"/>
          </w:tcPr>
          <w:p w14:paraId="017E7809">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5748FE01">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3DE53AC8">
            <w:pPr>
              <w:spacing w:line="240" w:lineRule="auto"/>
              <w:ind w:firstLine="420"/>
              <w:jc w:val="center"/>
              <w:rPr>
                <w:rFonts w:ascii="仿宋_GB2312" w:hAnsi="宋体" w:eastAsia="仿宋_GB2312" w:cs="宋体"/>
                <w:kern w:val="0"/>
                <w:sz w:val="15"/>
                <w:szCs w:val="15"/>
              </w:rPr>
            </w:pPr>
          </w:p>
        </w:tc>
      </w:tr>
      <w:tr w14:paraId="365C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07F73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0B6BD3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9149AE">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364AA01">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按次申请修缮</w:t>
            </w:r>
          </w:p>
        </w:tc>
        <w:tc>
          <w:tcPr>
            <w:tcW w:w="1099" w:type="dxa"/>
            <w:vAlign w:val="center"/>
          </w:tcPr>
          <w:p w14:paraId="0AB65C4B">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2024年全年</w:t>
            </w:r>
          </w:p>
        </w:tc>
        <w:tc>
          <w:tcPr>
            <w:tcW w:w="1099" w:type="dxa"/>
            <w:vAlign w:val="center"/>
          </w:tcPr>
          <w:p w14:paraId="7FCA1CA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分批次请示报告财政解冻项目资金</w:t>
            </w:r>
          </w:p>
        </w:tc>
        <w:tc>
          <w:tcPr>
            <w:tcW w:w="809" w:type="dxa"/>
            <w:vAlign w:val="center"/>
          </w:tcPr>
          <w:p w14:paraId="49DF59BE">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0FFDBC8A">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30D3F1DF">
            <w:pPr>
              <w:spacing w:line="240" w:lineRule="auto"/>
              <w:ind w:firstLine="420"/>
              <w:jc w:val="center"/>
              <w:rPr>
                <w:rFonts w:ascii="仿宋_GB2312" w:hAnsi="宋体" w:eastAsia="仿宋_GB2312" w:cs="宋体"/>
                <w:kern w:val="0"/>
                <w:sz w:val="15"/>
                <w:szCs w:val="15"/>
              </w:rPr>
            </w:pPr>
          </w:p>
        </w:tc>
      </w:tr>
      <w:tr w14:paraId="49FE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9B1EE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514E8C8">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3F61EB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D0FFF6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BA433E5">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财政创收</w:t>
            </w:r>
          </w:p>
        </w:tc>
        <w:tc>
          <w:tcPr>
            <w:tcW w:w="1099" w:type="dxa"/>
            <w:vAlign w:val="center"/>
          </w:tcPr>
          <w:p w14:paraId="298F2D08">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≥608万元</w:t>
            </w:r>
          </w:p>
        </w:tc>
        <w:tc>
          <w:tcPr>
            <w:tcW w:w="1099" w:type="dxa"/>
            <w:vAlign w:val="center"/>
          </w:tcPr>
          <w:p w14:paraId="0DEB0311">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2024年度实现租金收入653.64万元。</w:t>
            </w:r>
          </w:p>
        </w:tc>
        <w:tc>
          <w:tcPr>
            <w:tcW w:w="809" w:type="dxa"/>
            <w:vAlign w:val="center"/>
          </w:tcPr>
          <w:p w14:paraId="48CC1A43">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07355C03">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0C8F54A3">
            <w:pPr>
              <w:spacing w:line="240" w:lineRule="auto"/>
              <w:ind w:firstLine="420"/>
              <w:jc w:val="center"/>
              <w:rPr>
                <w:rFonts w:ascii="仿宋_GB2312" w:hAnsi="宋体" w:eastAsia="仿宋_GB2312" w:cs="宋体"/>
                <w:kern w:val="0"/>
                <w:sz w:val="15"/>
                <w:szCs w:val="15"/>
              </w:rPr>
            </w:pPr>
          </w:p>
        </w:tc>
      </w:tr>
      <w:tr w14:paraId="62DE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C0159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7C8B5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443B10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293DB16">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助力门面招租率</w:t>
            </w:r>
          </w:p>
        </w:tc>
        <w:tc>
          <w:tcPr>
            <w:tcW w:w="1099" w:type="dxa"/>
            <w:vAlign w:val="center"/>
          </w:tcPr>
          <w:p w14:paraId="7FA3629A">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1099" w:type="dxa"/>
            <w:vAlign w:val="center"/>
          </w:tcPr>
          <w:p w14:paraId="33DFC21E">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2024年共对外招租门面179个，达到总出租率的98%</w:t>
            </w:r>
          </w:p>
        </w:tc>
        <w:tc>
          <w:tcPr>
            <w:tcW w:w="809" w:type="dxa"/>
            <w:vAlign w:val="center"/>
          </w:tcPr>
          <w:p w14:paraId="6D73BC52">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2D127753">
            <w:pPr>
              <w:spacing w:line="240" w:lineRule="auto"/>
              <w:ind w:firstLine="420"/>
              <w:jc w:val="both"/>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9</w:t>
            </w:r>
          </w:p>
        </w:tc>
        <w:tc>
          <w:tcPr>
            <w:tcW w:w="1383" w:type="dxa"/>
            <w:vAlign w:val="center"/>
          </w:tcPr>
          <w:p w14:paraId="185CB3DF">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原因：大环境经济下行，实体经济不景气，出租率较往年有所下降。措施：根据租户诉求和市场经济的综合情况，已向市人民政府请示报告，对门面租金重新评估定价对外招租。</w:t>
            </w:r>
          </w:p>
        </w:tc>
      </w:tr>
      <w:tr w14:paraId="5485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8BCD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6F944D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BF3862F">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71BC956">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生态环境改变状况</w:t>
            </w:r>
          </w:p>
        </w:tc>
        <w:tc>
          <w:tcPr>
            <w:tcW w:w="1099" w:type="dxa"/>
            <w:vAlign w:val="center"/>
          </w:tcPr>
          <w:p w14:paraId="40C0A889">
            <w:pPr>
              <w:spacing w:line="240" w:lineRule="auto"/>
              <w:ind w:firstLine="420"/>
              <w:jc w:val="both"/>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1099" w:type="dxa"/>
            <w:vAlign w:val="center"/>
          </w:tcPr>
          <w:p w14:paraId="2C68EF88">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809" w:type="dxa"/>
            <w:vAlign w:val="center"/>
          </w:tcPr>
          <w:p w14:paraId="1A8099D4">
            <w:pPr>
              <w:spacing w:line="240" w:lineRule="auto"/>
              <w:ind w:firstLine="420"/>
              <w:jc w:val="center"/>
              <w:rPr>
                <w:rFonts w:ascii="仿宋_GB2312" w:hAnsi="宋体" w:eastAsia="仿宋_GB2312" w:cs="宋体"/>
                <w:kern w:val="0"/>
                <w:sz w:val="15"/>
                <w:szCs w:val="15"/>
              </w:rPr>
            </w:pPr>
          </w:p>
        </w:tc>
        <w:tc>
          <w:tcPr>
            <w:tcW w:w="849" w:type="dxa"/>
            <w:vAlign w:val="center"/>
          </w:tcPr>
          <w:p w14:paraId="6260D427">
            <w:pPr>
              <w:spacing w:line="240" w:lineRule="auto"/>
              <w:ind w:firstLine="420"/>
              <w:jc w:val="center"/>
              <w:rPr>
                <w:rFonts w:ascii="仿宋_GB2312" w:hAnsi="宋体" w:eastAsia="仿宋_GB2312" w:cs="宋体"/>
                <w:kern w:val="0"/>
                <w:sz w:val="15"/>
                <w:szCs w:val="15"/>
              </w:rPr>
            </w:pPr>
          </w:p>
        </w:tc>
        <w:tc>
          <w:tcPr>
            <w:tcW w:w="1383" w:type="dxa"/>
            <w:vAlign w:val="center"/>
          </w:tcPr>
          <w:p w14:paraId="13B5214E">
            <w:pPr>
              <w:spacing w:line="240" w:lineRule="auto"/>
              <w:ind w:firstLine="420"/>
              <w:jc w:val="center"/>
              <w:rPr>
                <w:rFonts w:ascii="仿宋_GB2312" w:hAnsi="宋体" w:eastAsia="仿宋_GB2312" w:cs="宋体"/>
                <w:kern w:val="0"/>
                <w:sz w:val="15"/>
                <w:szCs w:val="15"/>
              </w:rPr>
            </w:pPr>
          </w:p>
        </w:tc>
      </w:tr>
      <w:tr w14:paraId="4BB3D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6B3694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4E29B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62707E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D67FB72">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促进经济可持续发展</w:t>
            </w:r>
          </w:p>
        </w:tc>
        <w:tc>
          <w:tcPr>
            <w:tcW w:w="1099" w:type="dxa"/>
            <w:vAlign w:val="center"/>
          </w:tcPr>
          <w:p w14:paraId="456DDE46">
            <w:pPr>
              <w:spacing w:line="240" w:lineRule="auto"/>
              <w:ind w:firstLine="420"/>
              <w:jc w:val="both"/>
              <w:rPr>
                <w:rFonts w:ascii="仿宋_GB2312" w:hAnsi="宋体" w:eastAsia="仿宋_GB2312" w:cs="宋体"/>
                <w:kern w:val="0"/>
                <w:sz w:val="15"/>
                <w:szCs w:val="15"/>
              </w:rPr>
            </w:pPr>
            <w:r>
              <w:rPr>
                <w:rFonts w:hint="eastAsia" w:ascii="仿宋_GB2312" w:hAnsi="宋体" w:eastAsia="仿宋_GB2312" w:cs="宋体"/>
                <w:kern w:val="0"/>
                <w:sz w:val="15"/>
                <w:szCs w:val="15"/>
              </w:rPr>
              <w:t>持续</w:t>
            </w:r>
          </w:p>
        </w:tc>
        <w:tc>
          <w:tcPr>
            <w:tcW w:w="1099" w:type="dxa"/>
            <w:vAlign w:val="center"/>
          </w:tcPr>
          <w:p w14:paraId="4009EFC8">
            <w:pPr>
              <w:spacing w:line="240" w:lineRule="auto"/>
              <w:ind w:firstLine="420"/>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持续</w:t>
            </w:r>
          </w:p>
        </w:tc>
        <w:tc>
          <w:tcPr>
            <w:tcW w:w="809" w:type="dxa"/>
            <w:vAlign w:val="center"/>
          </w:tcPr>
          <w:p w14:paraId="11358700">
            <w:pPr>
              <w:spacing w:line="240" w:lineRule="auto"/>
              <w:ind w:firstLine="420"/>
              <w:jc w:val="center"/>
              <w:rPr>
                <w:rFonts w:ascii="仿宋_GB2312" w:hAnsi="宋体" w:eastAsia="仿宋_GB2312" w:cs="宋体"/>
                <w:kern w:val="0"/>
                <w:sz w:val="15"/>
                <w:szCs w:val="15"/>
              </w:rPr>
            </w:pPr>
          </w:p>
        </w:tc>
        <w:tc>
          <w:tcPr>
            <w:tcW w:w="849" w:type="dxa"/>
            <w:vAlign w:val="center"/>
          </w:tcPr>
          <w:p w14:paraId="02F7BA24">
            <w:pPr>
              <w:spacing w:line="240" w:lineRule="auto"/>
              <w:ind w:firstLine="420"/>
              <w:jc w:val="center"/>
              <w:rPr>
                <w:rFonts w:ascii="仿宋_GB2312" w:hAnsi="宋体" w:eastAsia="仿宋_GB2312" w:cs="宋体"/>
                <w:kern w:val="0"/>
                <w:sz w:val="15"/>
                <w:szCs w:val="15"/>
              </w:rPr>
            </w:pPr>
          </w:p>
        </w:tc>
        <w:tc>
          <w:tcPr>
            <w:tcW w:w="1383" w:type="dxa"/>
            <w:vAlign w:val="center"/>
          </w:tcPr>
          <w:p w14:paraId="2400A92F">
            <w:pPr>
              <w:spacing w:line="240" w:lineRule="auto"/>
              <w:ind w:firstLine="420"/>
              <w:jc w:val="center"/>
              <w:rPr>
                <w:rFonts w:ascii="仿宋_GB2312" w:hAnsi="宋体" w:eastAsia="仿宋_GB2312" w:cs="宋体"/>
                <w:kern w:val="0"/>
                <w:sz w:val="15"/>
                <w:szCs w:val="15"/>
              </w:rPr>
            </w:pPr>
          </w:p>
        </w:tc>
      </w:tr>
      <w:tr w14:paraId="4816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9C8976">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0B58D2F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5D2992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0FE8841">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租户满意率</w:t>
            </w:r>
          </w:p>
        </w:tc>
        <w:tc>
          <w:tcPr>
            <w:tcW w:w="1099" w:type="dxa"/>
            <w:vAlign w:val="center"/>
          </w:tcPr>
          <w:p w14:paraId="27712849">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≥100%</w:t>
            </w:r>
          </w:p>
        </w:tc>
        <w:tc>
          <w:tcPr>
            <w:tcW w:w="1099" w:type="dxa"/>
            <w:vAlign w:val="center"/>
          </w:tcPr>
          <w:p w14:paraId="472245A5">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≥98%</w:t>
            </w:r>
          </w:p>
        </w:tc>
        <w:tc>
          <w:tcPr>
            <w:tcW w:w="809" w:type="dxa"/>
            <w:vAlign w:val="center"/>
          </w:tcPr>
          <w:p w14:paraId="5A4E5764">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1EA1B124">
            <w:pPr>
              <w:spacing w:line="240" w:lineRule="auto"/>
              <w:ind w:firstLine="420"/>
              <w:jc w:val="center"/>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9</w:t>
            </w:r>
          </w:p>
        </w:tc>
        <w:tc>
          <w:tcPr>
            <w:tcW w:w="1383" w:type="dxa"/>
            <w:vAlign w:val="center"/>
          </w:tcPr>
          <w:p w14:paraId="48A0C236">
            <w:pPr>
              <w:spacing w:line="240" w:lineRule="auto"/>
              <w:ind w:firstLine="420"/>
              <w:jc w:val="center"/>
              <w:rPr>
                <w:rFonts w:ascii="仿宋_GB2312" w:hAnsi="宋体" w:eastAsia="仿宋_GB2312" w:cs="宋体"/>
                <w:kern w:val="0"/>
                <w:sz w:val="15"/>
                <w:szCs w:val="15"/>
              </w:rPr>
            </w:pPr>
          </w:p>
        </w:tc>
      </w:tr>
      <w:tr w14:paraId="7E228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874E2A9">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BD1FB8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994AC3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B92910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3F2D0BD">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全年成本控制在预算内</w:t>
            </w:r>
          </w:p>
        </w:tc>
        <w:tc>
          <w:tcPr>
            <w:tcW w:w="1099" w:type="dxa"/>
            <w:vAlign w:val="center"/>
          </w:tcPr>
          <w:p w14:paraId="5D578DEC">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≤50万元</w:t>
            </w:r>
          </w:p>
        </w:tc>
        <w:tc>
          <w:tcPr>
            <w:tcW w:w="1099" w:type="dxa"/>
            <w:vAlign w:val="center"/>
          </w:tcPr>
          <w:p w14:paraId="1AA5A484">
            <w:pPr>
              <w:spacing w:line="240" w:lineRule="auto"/>
              <w:ind w:firstLine="420"/>
              <w:jc w:val="center"/>
              <w:rPr>
                <w:rFonts w:ascii="仿宋_GB2312" w:hAnsi="宋体" w:eastAsia="仿宋_GB2312" w:cs="宋体"/>
                <w:kern w:val="0"/>
                <w:sz w:val="15"/>
                <w:szCs w:val="15"/>
              </w:rPr>
            </w:pPr>
            <w:r>
              <w:rPr>
                <w:rFonts w:hint="eastAsia" w:ascii="仿宋_GB2312" w:hAnsi="宋体" w:eastAsia="仿宋_GB2312" w:cs="宋体"/>
                <w:kern w:val="0"/>
                <w:sz w:val="15"/>
                <w:szCs w:val="15"/>
              </w:rPr>
              <w:t>全年预算实际执行49.92万元</w:t>
            </w:r>
          </w:p>
        </w:tc>
        <w:tc>
          <w:tcPr>
            <w:tcW w:w="809" w:type="dxa"/>
            <w:vAlign w:val="center"/>
          </w:tcPr>
          <w:p w14:paraId="00367B7A">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14:paraId="51593172">
            <w:pPr>
              <w:spacing w:line="240" w:lineRule="auto"/>
              <w:ind w:firstLine="420"/>
              <w:jc w:val="center"/>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14:paraId="32EA080C">
            <w:pPr>
              <w:spacing w:line="240" w:lineRule="auto"/>
              <w:ind w:firstLine="420"/>
              <w:jc w:val="center"/>
              <w:rPr>
                <w:rFonts w:ascii="仿宋_GB2312" w:hAnsi="宋体" w:eastAsia="仿宋_GB2312" w:cs="宋体"/>
                <w:kern w:val="0"/>
                <w:sz w:val="15"/>
                <w:szCs w:val="15"/>
              </w:rPr>
            </w:pPr>
          </w:p>
        </w:tc>
      </w:tr>
      <w:tr w14:paraId="7E6A7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0E3C2B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DE4027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0070CC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78403D43">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对社会发展可能造成的负面影响</w:t>
            </w:r>
          </w:p>
        </w:tc>
        <w:tc>
          <w:tcPr>
            <w:tcW w:w="1099" w:type="dxa"/>
            <w:vAlign w:val="center"/>
          </w:tcPr>
          <w:p w14:paraId="603A86CD">
            <w:pPr>
              <w:spacing w:line="240" w:lineRule="auto"/>
              <w:ind w:firstLine="420"/>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1099" w:type="dxa"/>
            <w:vAlign w:val="center"/>
          </w:tcPr>
          <w:p w14:paraId="6913B5B9">
            <w:pPr>
              <w:spacing w:line="240" w:lineRule="auto"/>
              <w:ind w:firstLine="420"/>
              <w:jc w:val="center"/>
              <w:rPr>
                <w:rFonts w:ascii="仿宋_GB2312" w:hAnsi="宋体" w:eastAsia="仿宋_GB2312" w:cs="宋体"/>
                <w:kern w:val="0"/>
                <w:sz w:val="15"/>
                <w:szCs w:val="15"/>
              </w:rPr>
            </w:pPr>
          </w:p>
        </w:tc>
        <w:tc>
          <w:tcPr>
            <w:tcW w:w="809" w:type="dxa"/>
            <w:vAlign w:val="center"/>
          </w:tcPr>
          <w:p w14:paraId="07B9F48C">
            <w:pPr>
              <w:spacing w:line="240" w:lineRule="auto"/>
              <w:ind w:firstLine="420"/>
              <w:jc w:val="center"/>
              <w:rPr>
                <w:rFonts w:ascii="仿宋_GB2312" w:hAnsi="宋体" w:eastAsia="仿宋_GB2312" w:cs="宋体"/>
                <w:kern w:val="0"/>
                <w:sz w:val="15"/>
                <w:szCs w:val="15"/>
              </w:rPr>
            </w:pPr>
          </w:p>
        </w:tc>
        <w:tc>
          <w:tcPr>
            <w:tcW w:w="849" w:type="dxa"/>
            <w:vAlign w:val="center"/>
          </w:tcPr>
          <w:p w14:paraId="6EBD5D1A">
            <w:pPr>
              <w:spacing w:line="240" w:lineRule="auto"/>
              <w:ind w:firstLine="420"/>
              <w:jc w:val="center"/>
              <w:rPr>
                <w:rFonts w:ascii="仿宋_GB2312" w:hAnsi="宋体" w:eastAsia="仿宋_GB2312" w:cs="宋体"/>
                <w:kern w:val="0"/>
                <w:sz w:val="15"/>
                <w:szCs w:val="15"/>
              </w:rPr>
            </w:pPr>
          </w:p>
        </w:tc>
        <w:tc>
          <w:tcPr>
            <w:tcW w:w="1383" w:type="dxa"/>
            <w:vAlign w:val="center"/>
          </w:tcPr>
          <w:p w14:paraId="6B6538B8">
            <w:pPr>
              <w:spacing w:line="240" w:lineRule="auto"/>
              <w:ind w:firstLine="420"/>
              <w:jc w:val="center"/>
              <w:rPr>
                <w:rFonts w:ascii="仿宋_GB2312" w:hAnsi="宋体" w:eastAsia="仿宋_GB2312" w:cs="宋体"/>
                <w:kern w:val="0"/>
                <w:sz w:val="15"/>
                <w:szCs w:val="15"/>
              </w:rPr>
            </w:pPr>
          </w:p>
        </w:tc>
      </w:tr>
      <w:tr w14:paraId="537F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D4118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5D75EC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2E17E3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3D36BED">
            <w:pPr>
              <w:spacing w:line="240" w:lineRule="auto"/>
              <w:jc w:val="both"/>
              <w:rPr>
                <w:rFonts w:ascii="仿宋_GB2312" w:hAnsi="宋体" w:eastAsia="仿宋_GB2312" w:cs="宋体"/>
                <w:kern w:val="0"/>
                <w:sz w:val="15"/>
                <w:szCs w:val="15"/>
              </w:rPr>
            </w:pPr>
            <w:r>
              <w:rPr>
                <w:rFonts w:hint="eastAsia" w:ascii="仿宋_GB2312" w:hAnsi="宋体" w:eastAsia="仿宋_GB2312" w:cs="宋体"/>
                <w:kern w:val="0"/>
                <w:sz w:val="15"/>
                <w:szCs w:val="15"/>
              </w:rPr>
              <w:t>对生态环境可能造成的负面影响</w:t>
            </w:r>
          </w:p>
        </w:tc>
        <w:tc>
          <w:tcPr>
            <w:tcW w:w="1099" w:type="dxa"/>
            <w:vAlign w:val="center"/>
          </w:tcPr>
          <w:p w14:paraId="1679AD21">
            <w:pPr>
              <w:spacing w:line="240" w:lineRule="auto"/>
              <w:ind w:firstLine="420"/>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1099" w:type="dxa"/>
            <w:vAlign w:val="center"/>
          </w:tcPr>
          <w:p w14:paraId="14740FF3">
            <w:pPr>
              <w:spacing w:line="240" w:lineRule="auto"/>
              <w:ind w:firstLine="420"/>
              <w:jc w:val="center"/>
              <w:rPr>
                <w:rFonts w:ascii="仿宋_GB2312" w:hAnsi="宋体" w:eastAsia="仿宋_GB2312" w:cs="宋体"/>
                <w:kern w:val="0"/>
                <w:sz w:val="15"/>
                <w:szCs w:val="15"/>
              </w:rPr>
            </w:pPr>
          </w:p>
        </w:tc>
        <w:tc>
          <w:tcPr>
            <w:tcW w:w="809" w:type="dxa"/>
            <w:vAlign w:val="center"/>
          </w:tcPr>
          <w:p w14:paraId="4A33E367">
            <w:pPr>
              <w:spacing w:line="240" w:lineRule="auto"/>
              <w:ind w:firstLine="420"/>
              <w:jc w:val="center"/>
              <w:rPr>
                <w:rFonts w:ascii="仿宋_GB2312" w:hAnsi="宋体" w:eastAsia="仿宋_GB2312" w:cs="宋体"/>
                <w:kern w:val="0"/>
                <w:sz w:val="15"/>
                <w:szCs w:val="15"/>
              </w:rPr>
            </w:pPr>
          </w:p>
        </w:tc>
        <w:tc>
          <w:tcPr>
            <w:tcW w:w="849" w:type="dxa"/>
            <w:vAlign w:val="center"/>
          </w:tcPr>
          <w:p w14:paraId="7FE1F59B">
            <w:pPr>
              <w:spacing w:line="240" w:lineRule="auto"/>
              <w:ind w:firstLine="420"/>
              <w:jc w:val="center"/>
              <w:rPr>
                <w:rFonts w:ascii="仿宋_GB2312" w:hAnsi="宋体" w:eastAsia="仿宋_GB2312" w:cs="宋体"/>
                <w:kern w:val="0"/>
                <w:sz w:val="15"/>
                <w:szCs w:val="15"/>
              </w:rPr>
            </w:pPr>
          </w:p>
        </w:tc>
        <w:tc>
          <w:tcPr>
            <w:tcW w:w="1383" w:type="dxa"/>
            <w:vAlign w:val="center"/>
          </w:tcPr>
          <w:p w14:paraId="6227B638">
            <w:pPr>
              <w:spacing w:line="240" w:lineRule="auto"/>
              <w:ind w:firstLine="420"/>
              <w:jc w:val="center"/>
              <w:rPr>
                <w:rFonts w:ascii="仿宋_GB2312" w:hAnsi="宋体" w:eastAsia="仿宋_GB2312" w:cs="宋体"/>
                <w:kern w:val="0"/>
                <w:sz w:val="15"/>
                <w:szCs w:val="15"/>
              </w:rPr>
            </w:pPr>
          </w:p>
        </w:tc>
      </w:tr>
      <w:tr w14:paraId="6ADD7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61BBC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7F5E73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628FC81">
            <w:pPr>
              <w:spacing w:line="240" w:lineRule="auto"/>
              <w:ind w:firstLine="420"/>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7DF81A59">
            <w:pPr>
              <w:spacing w:line="240" w:lineRule="auto"/>
              <w:ind w:firstLine="420"/>
              <w:jc w:val="center"/>
              <w:rPr>
                <w:rFonts w:ascii="仿宋_GB2312" w:hAnsi="宋体" w:eastAsia="仿宋_GB2312" w:cs="宋体"/>
                <w:kern w:val="0"/>
              </w:rPr>
            </w:pPr>
          </w:p>
        </w:tc>
      </w:tr>
    </w:tbl>
    <w:p w14:paraId="1A90A6B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4BA23B1">
      <w:pPr>
        <w:spacing w:line="240" w:lineRule="auto"/>
        <w:ind w:firstLine="420"/>
        <w:jc w:val="left"/>
        <w:rPr>
          <w:rFonts w:ascii="宋体" w:hAnsi="宋体" w:eastAsia="宋体" w:cs="宋体"/>
          <w:kern w:val="0"/>
          <w:lang w:eastAsia="zh-CN"/>
        </w:rPr>
      </w:pPr>
    </w:p>
    <w:p w14:paraId="7CAED322">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填表人：黄丹</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18173081135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单位负责人签字:许达</w:t>
      </w:r>
    </w:p>
    <w:p w14:paraId="609B562F">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4</w:t>
      </w:r>
    </w:p>
    <w:p w14:paraId="2EC3502C">
      <w:pPr>
        <w:spacing w:line="240" w:lineRule="auto"/>
        <w:ind w:firstLine="880"/>
        <w:jc w:val="center"/>
        <w:rPr>
          <w:rFonts w:hint="eastAsia" w:ascii="方正小标宋简体" w:eastAsia="方正小标宋简体"/>
          <w:kern w:val="0"/>
          <w:sz w:val="44"/>
          <w:szCs w:val="44"/>
          <w:lang w:eastAsia="zh-CN"/>
        </w:rPr>
      </w:pPr>
    </w:p>
    <w:p w14:paraId="201CD068">
      <w:pPr>
        <w:spacing w:line="240" w:lineRule="auto"/>
        <w:ind w:firstLine="880"/>
        <w:jc w:val="center"/>
        <w:rPr>
          <w:rFonts w:hint="eastAsia" w:ascii="方正小标宋简体" w:eastAsia="方正小标宋简体"/>
          <w:kern w:val="0"/>
          <w:sz w:val="44"/>
          <w:szCs w:val="44"/>
          <w:lang w:eastAsia="zh-CN"/>
        </w:rPr>
      </w:pPr>
    </w:p>
    <w:p w14:paraId="27EC0523">
      <w:pPr>
        <w:spacing w:line="240" w:lineRule="auto"/>
        <w:ind w:firstLine="880"/>
        <w:jc w:val="center"/>
        <w:rPr>
          <w:rFonts w:hint="eastAsia" w:ascii="方正小标宋简体" w:eastAsia="方正小标宋简体"/>
          <w:kern w:val="0"/>
          <w:sz w:val="44"/>
          <w:szCs w:val="44"/>
          <w:lang w:eastAsia="zh-CN"/>
        </w:rPr>
      </w:pPr>
    </w:p>
    <w:p w14:paraId="2D3C5B3B">
      <w:pPr>
        <w:spacing w:line="240" w:lineRule="auto"/>
        <w:ind w:firstLine="880"/>
        <w:jc w:val="center"/>
        <w:rPr>
          <w:rFonts w:hint="eastAsia" w:ascii="方正小标宋简体" w:eastAsia="方正小标宋简体"/>
          <w:kern w:val="0"/>
          <w:sz w:val="44"/>
          <w:szCs w:val="44"/>
          <w:lang w:eastAsia="zh-CN"/>
        </w:rPr>
      </w:pPr>
    </w:p>
    <w:p w14:paraId="4923F7C5">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汨罗市国有资产服务中心</w:t>
      </w: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部门（单位）名称：汨罗市国有资产服务中心</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17</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bookmarkStart w:id="1" w:name="_GoBack"/>
      <w:bookmarkEnd w:id="1"/>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7CF1F3AF">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汨罗市国有资产服务中心</w:t>
      </w:r>
      <w:r>
        <w:rPr>
          <w:rFonts w:ascii="黑体" w:hAnsi="黑体" w:eastAsia="黑体" w:cs="黑体"/>
          <w:spacing w:val="16"/>
          <w:sz w:val="40"/>
          <w:szCs w:val="40"/>
        </w:rPr>
        <w:t>部门</w:t>
      </w:r>
    </w:p>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整体支出绩效</w:t>
      </w:r>
    </w:p>
    <w:p w14:paraId="6A3F30B4">
      <w:pPr>
        <w:spacing w:before="130" w:line="221" w:lineRule="auto"/>
        <w:ind w:firstLine="3520" w:firstLineChars="1000"/>
        <w:jc w:val="both"/>
        <w:rPr>
          <w:rFonts w:ascii="黑体" w:hAnsi="黑体" w:eastAsia="黑体" w:cs="黑体"/>
          <w:sz w:val="40"/>
          <w:szCs w:val="40"/>
        </w:rPr>
      </w:pPr>
      <w:r>
        <w:rPr>
          <w:rFonts w:ascii="黑体" w:hAnsi="黑体" w:eastAsia="黑体" w:cs="黑体"/>
          <w:spacing w:val="-24"/>
          <w:position w:val="20"/>
          <w:sz w:val="40"/>
          <w:szCs w:val="40"/>
        </w:rPr>
        <w:t>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618732DC">
      <w:pPr>
        <w:spacing w:line="600" w:lineRule="exact"/>
        <w:ind w:firstLine="420" w:firstLineChars="200"/>
        <w:jc w:val="both"/>
        <w:rPr>
          <w:rFonts w:hint="eastAsia" w:eastAsia="仿宋_GB2312"/>
          <w:kern w:val="0"/>
          <w:sz w:val="32"/>
          <w:szCs w:val="32"/>
          <w:highlight w:val="none"/>
          <w:lang w:eastAsia="zh-CN"/>
        </w:rPr>
      </w:pPr>
      <w:r>
        <w:rPr>
          <w:rFonts w:hint="eastAsia"/>
        </w:rPr>
        <w:t xml:space="preserve"> </w:t>
      </w:r>
      <w:r>
        <w:rPr>
          <w:rFonts w:hint="eastAsia" w:eastAsia="仿宋_GB2312"/>
          <w:kern w:val="0"/>
          <w:sz w:val="32"/>
          <w:szCs w:val="32"/>
          <w:highlight w:val="none"/>
          <w:lang w:eastAsia="zh-CN"/>
        </w:rPr>
        <w:t>我单位为公益一类全额拨款事业单位，其中编制人数18人，另因机制改革并入财政差额编制11人，年末实有人数31人。设主任1人，副主任2人，内设机构6个：办公室、资产确权股、企业股、综合股、党建人事股、财务股。主要职能职责：规范和加强国有国有资产管理，维护国有资产的安全和完整，合理配置国有资产，提高国有资产使用效益。全市行政事业单位国有资产管理、代表市人民政府履行出资人职责、对市本级国有企业进行国有资产管理。</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3A548220">
      <w:pPr>
        <w:pStyle w:val="11"/>
        <w:rPr>
          <w:rFonts w:ascii="仿宋_GB2312" w:hAnsi="仿宋_GB2312" w:eastAsia="仿宋_GB2312" w:cs="仿宋_GB2312"/>
          <w:color w:val="555555"/>
          <w:sz w:val="32"/>
          <w:szCs w:val="32"/>
          <w:shd w:val="clear" w:color="auto" w:fill="FFFFFF"/>
        </w:rPr>
      </w:pPr>
      <w:r>
        <w:rPr>
          <w:rFonts w:hint="eastAsia" w:ascii="仿宋_GB2312" w:hAnsi="仿宋_GB2312" w:eastAsia="仿宋_GB2312" w:cs="仿宋_GB2312"/>
          <w:color w:val="555555"/>
          <w:sz w:val="32"/>
          <w:szCs w:val="32"/>
          <w:shd w:val="clear" w:color="auto" w:fill="FFFFFF"/>
        </w:rPr>
        <w:t xml:space="preserve"> </w:t>
      </w:r>
      <w:r>
        <w:rPr>
          <w:rFonts w:hint="eastAsia" w:ascii="仿宋_GB2312" w:hAnsi="仿宋_GB2312" w:eastAsia="仿宋_GB2312" w:cs="仿宋_GB2312"/>
          <w:color w:val="555555"/>
          <w:sz w:val="32"/>
          <w:szCs w:val="32"/>
          <w:shd w:val="clear" w:color="auto" w:fill="FFFFFF"/>
          <w:lang w:val="en-US" w:eastAsia="zh-CN"/>
        </w:rPr>
        <w:t xml:space="preserve">   </w:t>
      </w:r>
      <w:r>
        <w:rPr>
          <w:rFonts w:hint="eastAsia" w:ascii="仿宋_GB2312" w:hAnsi="仿宋_GB2312" w:eastAsia="仿宋_GB2312" w:cs="仿宋_GB2312"/>
          <w:color w:val="555555"/>
          <w:sz w:val="32"/>
          <w:szCs w:val="32"/>
          <w:shd w:val="clear" w:color="auto" w:fill="FFFFFF"/>
        </w:rPr>
        <w:t>2024年基本支出516.7万元，是指为保障单位机构正常运转、完成日常工作任务而发生的各项支出，包括用于基本工资、津贴补贴等人员经费以及办公费、印刷费、水电费、差旅费等日常公用经费。其中人员经费374.27万元，公用经费142.43万元。</w:t>
      </w:r>
    </w:p>
    <w:p w14:paraId="00657FCB">
      <w:pPr>
        <w:pStyle w:val="10"/>
        <w:numPr>
          <w:ilvl w:val="0"/>
          <w:numId w:val="2"/>
        </w:numPr>
        <w:spacing w:line="600" w:lineRule="exact"/>
        <w:ind w:left="0" w:leftChars="0" w:firstLine="640"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274C95EE">
      <w:pPr>
        <w:pStyle w:val="10"/>
        <w:numPr>
          <w:numId w:val="0"/>
        </w:numPr>
        <w:spacing w:line="600" w:lineRule="exact"/>
        <w:ind w:leftChars="200" w:firstLine="1280" w:firstLineChars="400"/>
        <w:jc w:val="both"/>
        <w:rPr>
          <w:rFonts w:hint="eastAsia" w:ascii="Times New Roman" w:hAnsi="Times New Roman" w:eastAsia="仿宋_GB2312"/>
          <w:kern w:val="0"/>
          <w:sz w:val="32"/>
          <w:szCs w:val="32"/>
          <w:highlight w:val="none"/>
          <w:lang w:eastAsia="zh-CN"/>
        </w:rPr>
      </w:pPr>
      <w:r>
        <w:rPr>
          <w:rFonts w:hint="eastAsia" w:ascii="仿宋_GB2312" w:hAnsi="仿宋_GB2312" w:eastAsia="仿宋_GB2312" w:cs="仿宋_GB2312"/>
          <w:color w:val="555555"/>
          <w:sz w:val="32"/>
          <w:szCs w:val="32"/>
          <w:shd w:val="clear" w:color="auto" w:fill="FFFFFF"/>
        </w:rPr>
        <w:t>2024年本部门一般公共预算支出无项目支出。</w:t>
      </w:r>
    </w:p>
    <w:p w14:paraId="516D3C52">
      <w:pPr>
        <w:numPr>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2637F8F8">
      <w:pPr>
        <w:numPr>
          <w:numId w:val="0"/>
        </w:numPr>
        <w:kinsoku w:val="0"/>
        <w:autoSpaceDE w:val="0"/>
        <w:autoSpaceDN w:val="0"/>
        <w:adjustRightInd w:val="0"/>
        <w:snapToGrid w:val="0"/>
        <w:spacing w:line="600" w:lineRule="exact"/>
        <w:ind w:firstLine="1600" w:firstLineChars="500"/>
        <w:jc w:val="both"/>
        <w:textAlignment w:val="baseline"/>
        <w:rPr>
          <w:rFonts w:hint="eastAsia" w:ascii="仿宋_GB2312" w:hAnsi="仿宋_GB2312" w:eastAsia="仿宋_GB2312" w:cs="仿宋_GB2312"/>
          <w:snapToGrid w:val="0"/>
          <w:color w:val="555555"/>
          <w:kern w:val="0"/>
          <w:sz w:val="32"/>
          <w:szCs w:val="32"/>
          <w:shd w:val="clear" w:color="auto" w:fill="FFFFFF"/>
          <w:lang w:val="en-US" w:eastAsia="zh-CN" w:bidi="ar-SA"/>
        </w:rPr>
      </w:pPr>
      <w:r>
        <w:rPr>
          <w:rFonts w:hint="eastAsia" w:ascii="仿宋_GB2312" w:hAnsi="仿宋_GB2312" w:eastAsia="仿宋_GB2312" w:cs="仿宋_GB2312"/>
          <w:snapToGrid w:val="0"/>
          <w:color w:val="555555"/>
          <w:kern w:val="0"/>
          <w:sz w:val="32"/>
          <w:szCs w:val="32"/>
          <w:shd w:val="clear" w:color="auto" w:fill="FFFFFF"/>
          <w:lang w:val="en-US" w:eastAsia="zh-CN" w:bidi="ar-SA"/>
        </w:rPr>
        <w:t>2024年本部门</w:t>
      </w:r>
      <w:r>
        <w:rPr>
          <w:rFonts w:hint="eastAsia" w:ascii="仿宋_GB2312" w:hAnsi="仿宋_GB2312" w:eastAsia="仿宋_GB2312" w:cs="仿宋_GB2312"/>
          <w:snapToGrid w:val="0"/>
          <w:color w:val="555555"/>
          <w:kern w:val="0"/>
          <w:sz w:val="32"/>
          <w:szCs w:val="32"/>
          <w:shd w:val="clear" w:color="auto" w:fill="FFFFFF"/>
          <w:lang w:val="en-US" w:eastAsia="en-US" w:bidi="ar-SA"/>
        </w:rPr>
        <w:t>无政府性基金预算支出。</w:t>
      </w:r>
    </w:p>
    <w:p w14:paraId="2A755169">
      <w:pPr>
        <w:numPr>
          <w:ilvl w:val="0"/>
          <w:numId w:val="3"/>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47457B3B">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方正黑体_GBK" w:eastAsia="方正黑体_GBK"/>
          <w:kern w:val="0"/>
          <w:sz w:val="32"/>
          <w:szCs w:val="32"/>
          <w:highlight w:val="none"/>
          <w:lang w:val="en-US" w:eastAsia="zh-CN"/>
        </w:rPr>
        <w:t xml:space="preserve">      </w:t>
      </w:r>
      <w:r>
        <w:rPr>
          <w:rFonts w:hint="eastAsia" w:ascii="仿宋_GB2312" w:hAnsi="仿宋_GB2312" w:eastAsia="仿宋_GB2312" w:cs="仿宋_GB2312"/>
          <w:snapToGrid/>
          <w:color w:val="555555"/>
          <w:kern w:val="0"/>
          <w:sz w:val="32"/>
          <w:szCs w:val="32"/>
          <w:shd w:val="clear" w:color="auto" w:fill="FFFFFF"/>
          <w:lang w:val="en-US" w:eastAsia="zh-CN" w:bidi="ar-SA"/>
        </w:rPr>
        <w:t xml:space="preserve">      2024年度国有资本经营预算支出合计148.37万元，其中：</w:t>
      </w:r>
    </w:p>
    <w:p w14:paraId="17256EB0">
      <w:pPr>
        <w:rPr>
          <w:rFonts w:hint="eastAsia" w:ascii="仿宋_GB2312" w:hAnsi="仿宋_GB2312" w:eastAsia="仿宋_GB2312" w:cs="仿宋_GB2312"/>
          <w:snapToGrid/>
          <w:color w:val="555555"/>
          <w:kern w:val="0"/>
          <w:sz w:val="32"/>
          <w:szCs w:val="32"/>
          <w:shd w:val="clear" w:color="auto" w:fill="FFFFFF"/>
          <w:lang w:val="en-US" w:eastAsia="zh-CN" w:bidi="ar-SA"/>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1、根据党中央、国务院关于国有企业退休人员社会化管理工作要求，对国有企业退休人员社会化管理财政补助资金26.81万元用于人事档案移交管理、党员的党组织关系转地方管理等工作经费的支出；同</w:t>
      </w:r>
      <w:r>
        <w:rPr>
          <w:rFonts w:hint="eastAsia" w:ascii="仿宋_GB2312" w:hAnsi="仿宋_GB2312" w:eastAsia="仿宋_GB2312" w:cs="仿宋_GB2312"/>
          <w:snapToGrid/>
          <w:color w:val="555555"/>
          <w:kern w:val="0"/>
          <w:sz w:val="32"/>
          <w:szCs w:val="32"/>
          <w:shd w:val="clear" w:color="auto" w:fill="FFFFFF"/>
          <w:lang w:val="en-US" w:eastAsia="zh-CN" w:bidi="ar-SA"/>
        </w:rPr>
        <w:t>时中心肩负着市属经营性租赁资产的经营管理，对取得的租赁收益如实上缴财政非税，因开展此项工作花费大量的人力物力，产生的工作经费由经营性租赁收益中返还中列支71.64万元；两项合计98.45万元。</w:t>
      </w:r>
    </w:p>
    <w:p w14:paraId="017D0F5F">
      <w:pPr>
        <w:pStyle w:val="10"/>
        <w:spacing w:line="600" w:lineRule="exact"/>
        <w:jc w:val="both"/>
        <w:rPr>
          <w:rFonts w:hint="eastAsia" w:ascii="仿宋_GB2312" w:hAnsi="仿宋_GB2312" w:eastAsia="仿宋_GB2312" w:cs="仿宋_GB2312"/>
          <w:snapToGrid/>
          <w:color w:val="555555"/>
          <w:sz w:val="32"/>
          <w:szCs w:val="32"/>
          <w:shd w:val="clear" w:color="auto" w:fill="FFFFFF"/>
          <w:lang w:val="en-US" w:eastAsia="zh-CN" w:bidi="ar-SA"/>
        </w:rPr>
      </w:pPr>
      <w:r>
        <w:rPr>
          <w:rFonts w:hint="eastAsia" w:ascii="Times New Roman" w:hAnsi="Times New Roman" w:eastAsia="仿宋_GB2312"/>
          <w:lang w:eastAsia="zh-CN"/>
        </w:rPr>
        <w:t xml:space="preserve">   </w:t>
      </w:r>
      <w:r>
        <w:rPr>
          <w:rFonts w:hint="eastAsia" w:ascii="仿宋_GB2312" w:hAnsi="仿宋_GB2312" w:eastAsia="仿宋_GB2312" w:cs="仿宋_GB2312"/>
          <w:snapToGrid/>
          <w:color w:val="555555"/>
          <w:kern w:val="0"/>
          <w:sz w:val="32"/>
          <w:szCs w:val="32"/>
          <w:shd w:val="clear" w:color="auto" w:fill="FFFFFF"/>
          <w:lang w:val="en-US" w:eastAsia="zh-CN" w:bidi="ar-SA"/>
        </w:rPr>
        <w:t xml:space="preserve"> </w:t>
      </w:r>
      <w:r>
        <w:rPr>
          <w:rFonts w:hint="eastAsia" w:ascii="仿宋_GB2312" w:hAnsi="仿宋_GB2312" w:eastAsia="仿宋_GB2312" w:cs="仿宋_GB2312"/>
          <w:snapToGrid/>
          <w:color w:val="555555"/>
          <w:sz w:val="32"/>
          <w:szCs w:val="32"/>
          <w:shd w:val="clear" w:color="auto" w:fill="FFFFFF"/>
          <w:lang w:val="en-US" w:eastAsia="zh-CN" w:bidi="ar-SA"/>
        </w:rPr>
        <w:t>2、我单位肩负着全市行政事业单位经营性门面收租的任务，由于相关租赁门面年久失修，破损严重，存在安全隐患，年初报告请示经营性门面维修专项资金49.92万元，用该笔门面维修专项资金对相关经营性门面进行修缮，改善招租环境，提高门面的出租率，确保财政非税收入的增加。</w:t>
      </w:r>
    </w:p>
    <w:p w14:paraId="07F1EBC0">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3BB5BB9C">
      <w:pPr>
        <w:ind w:firstLine="640" w:firstLineChars="200"/>
        <w:rPr>
          <w:rFonts w:hint="eastAsia" w:ascii="仿宋_GB2312" w:hAnsi="仿宋_GB2312" w:eastAsia="仿宋_GB2312" w:cs="仿宋_GB2312"/>
          <w:snapToGrid/>
          <w:color w:val="555555"/>
          <w:kern w:val="0"/>
          <w:sz w:val="32"/>
          <w:szCs w:val="32"/>
          <w:shd w:val="clear" w:color="auto" w:fill="FFFFFF"/>
          <w:lang w:val="en-US" w:eastAsia="zh-CN" w:bidi="ar-SA"/>
        </w:rPr>
      </w:pPr>
      <w:r>
        <w:rPr>
          <w:rFonts w:hint="eastAsia" w:ascii="仿宋_GB2312" w:hAnsi="仿宋_GB2312" w:eastAsia="仿宋_GB2312" w:cs="仿宋_GB2312"/>
          <w:snapToGrid/>
          <w:color w:val="555555"/>
          <w:kern w:val="0"/>
          <w:sz w:val="32"/>
          <w:szCs w:val="32"/>
          <w:shd w:val="clear" w:color="auto" w:fill="FFFFFF"/>
          <w:lang w:val="en-US" w:eastAsia="zh-CN" w:bidi="ar-SA"/>
        </w:rPr>
        <w:t>基本养老保险缴费支出29.31万元；职工基本医疗保险缴费支出15.57万元；其他社会保障缴费1.83万元；机关事业单位职业年金缴费5.68万元；住房公积金支出13.46万元。</w:t>
      </w:r>
    </w:p>
    <w:p w14:paraId="03087A41">
      <w:pPr>
        <w:numPr>
          <w:numId w:val="0"/>
        </w:numPr>
        <w:spacing w:line="600" w:lineRule="exact"/>
        <w:ind w:leftChars="200" w:firstLine="320" w:firstLineChars="1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7681A627">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w:t>
      </w:r>
      <w:bookmarkStart w:id="0" w:name="_Toc229"/>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(一) 政府部门工作目标完成情况</w:t>
      </w:r>
      <w:bookmarkEnd w:id="0"/>
    </w:p>
    <w:p w14:paraId="733BE3E9">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一、党建领航国资，聚力铸就担当</w:t>
      </w:r>
    </w:p>
    <w:p w14:paraId="1A39E7FF">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一)“铸魂补钙”强根基，理论武装入脑入心。强化理论学习，全体党员、干部认真学习贯彻习近平新时代中国特色社会主义思想、习近平总书记关于全面深化改革的一系列新思想、新观点、新论断和党的二十届三中全会精神。成功牵头组织6家单位开展学习贯彻党的二十届三中全会精神宣讲报告会，全体党员干部参宣讲会，提升了大家政治理论素养。</w:t>
      </w:r>
    </w:p>
    <w:p w14:paraId="0284860F">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二）“强基固本”筑堡垒，组织建设从严从实。机关支部结合“一月一课一片一实践”活动，严格落实“三会一课”制度，召开支部党员大会4次，每月召开支部委员会，每月组织全体党员集中观看党员教育片，组织党员干部和普通党员进行党课分享4次。赴红色教育学习基地浏阳胡耀邦故居和秋收起义纪念馆开展党日活动，领导干部以普通党员身份参加机关支部组织活动。</w:t>
      </w:r>
    </w:p>
    <w:p w14:paraId="7F8B245B">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（三）“正风肃纪”扬清风，纪律规矩挺在前面。建立健全中心廉政工作体制，狠抓中心廉政建设工作。坚持民主集中制，落实管党治党、从严治党责任，严格贯彻落实“中央</w:t>
      </w: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fldChar w:fldCharType="begin"/>
      </w: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instrText xml:space="preserve"> HYPERLINK "http://www.wenmi.org/Article/Special/baxiangguiding/Index.html" </w:instrText>
      </w: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fldChar w:fldCharType="separate"/>
      </w: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八项规定</w:t>
      </w: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fldChar w:fldCharType="end"/>
      </w: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坚持以人为本，预防为主方针，抓好党员经常性教育工作，筑牢廉洁自律防线。组织观看廉政警示教育片，坚守做人、做事、用权的底线，时刻牢记什么事可以干、什么事不能干，树立敬畏之心，提高全体党员、干部廉洁意识。结合工作实际，制定学习计划，发放《中国共产党纪律处分条例》学习书籍。组织集中学习8次，专题研讨4次，高标准开展警示教育集中观看由市纪委监委拍摄制作的《警钟四》开展警示教育，引导党员有效增强防范意识，全面查找违纪风险点，切实做到严以律己。</w:t>
      </w:r>
    </w:p>
    <w:p w14:paraId="3FB94952">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二、把稳意识航向，助推国资发展</w:t>
      </w:r>
    </w:p>
    <w:p w14:paraId="3A980721">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一）提高政治立场，加强组织领导。中心党组把意识形态工作作为党的建设重要内容，纳入领导班子和领导干部目标管理，与主责主业工作相结合。成立由党组书记为组长，分管领导为副组长的意识形态工作领导小组，领导班子成员按照“一岗双责”对职责范围内的意识形态工作负领导作用的工作机制。</w:t>
      </w:r>
    </w:p>
    <w:p w14:paraId="24EC8D86">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二）强化理论学习，夯实政治根基。深入学习贯彻习近平新时代中国特色社会主义思想，严格落实“第一议题”学习制度。党组全年召开12次理论中心组学习。组织全体党员干部重点学习党的二十大、二十届三中全会精神和《习近平关于意识形态工作的重要论述》。</w:t>
      </w:r>
    </w:p>
    <w:p w14:paraId="2884CEAB">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三）严抓举措方法，把握舆论导向。中心党组坚决维护国资国企网络意识形态安全，每年向上级专题汇报意识形态工作情况2次，定期分析研判意识形态领域形势。对干职工规范言行，防止不当网络言论的产生和扩散。坚决杜绝用QQ、微信等传递工作资料，特别是涉及平台公司的重要经济数据。建立重大突发事件舆论引导机制，自觉做到不信谣、不传谣，未发生一起涉网络舆情事件。</w:t>
      </w:r>
    </w:p>
    <w:p w14:paraId="4B13C9F0">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三、聚焦国资主业，力促稳健发展</w:t>
      </w:r>
    </w:p>
    <w:p w14:paraId="2B24E777">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（一）国有资产归集工作</w:t>
      </w:r>
    </w:p>
    <w:p w14:paraId="0CA69D94">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已归集国有资产57处，按商业用途评估预估价值约为10亿元，并将产权划拨至各平台公司。目前，各平台公司已办理调规变性资产11宗，价值约为3.11亿元，未办理调规变性资产46宗，预估价值约为6.89亿元。已启动林业资源归集工作，目前由文旅集团归集商品林权12万亩，筹备国储林项目6万亩，项目可研进入送审环节。对全市15个乡镇的49处宗教活动场所和10座小水电站依法所有或者管理、使用的房屋建筑物、土地等资产情况做了全面初核。</w:t>
      </w:r>
    </w:p>
    <w:p w14:paraId="312B67E0">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（二）经营性资产管理及处置工作</w:t>
      </w:r>
    </w:p>
    <w:p w14:paraId="158FDE08">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已完成行政事业单位204个经营性门面、住房的招租，截止2024年12月底，已收取179个门面租金，共收取租金653.64万元已上缴至财政非税；共已完成处置收入1030.18万元。预计12月底汉山矿山在建工程产生的伴生资源处置收入1948.69万元，全年共计完成处置收入2978.87万元。</w:t>
      </w:r>
    </w:p>
    <w:p w14:paraId="57AE8D07">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（三）国有企业监管工作</w:t>
      </w:r>
    </w:p>
    <w:p w14:paraId="4C49C668">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1.全面深化国企体制机制改革，加快推进经营性国有资产集中统一监管。在市委、市政府统筹领导下，配合行业主管牵头单位市交通局，对我市国有客运、公交、驾校三家国有企业实行合并重组组建汨罗市交通运输有限责任公司，推动全市公共交通事业高质量发展。对我市7家未改制党政机关和事业单位所办企业资产状况、经营发展现状、人员等情况进行深入调研和摸底，制定《汨罗市市级党政机关和事业单位所办企业脱钩移交实施方案》（草案）。为强化全市国有企业队伍建设，建立健全合规管理制度，以汨办发〔2022〕19号文件为蓝本继续完善深化国有企业体制机制改革工作，成立工作专班，召开专题会议进行调度，研究分类推进处理办法，制定《关于进一步深化国有企业体制机制改革的方案》。目前，74名体制内人员，共有14人放弃公务员、事业身份编制，调回机关事业单位4人，退休3人。</w:t>
      </w:r>
    </w:p>
    <w:p w14:paraId="0CAF8782">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2.完善出资人监督体系，健全违规责任追究工作机制，提升监督效能。以汨罗市人民政府办公室名义制定并下发《汨罗市人民政府办公室关于进一步加强市属国有企业工程建设、投融资、资产资金监督管理的通知》（汨政办函〔2024〕11号）文件，实现对市属国有企业工程建设、投融资、资产资金的全过程、全链条监督管理机制，确保管理更规范、资金更安全、资产更保值。</w:t>
      </w:r>
    </w:p>
    <w:p w14:paraId="2F6FFFFC">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3.加快推进市属国有企业转型升级，建立现代企业管理制度。依据相关文件规定，指导市产业发展公司依法依规依程序全资收购或控股经营玉池山山泉饮用水有限公司，促进国有企业高质量发展。</w:t>
      </w:r>
    </w:p>
    <w:p w14:paraId="495A22BE">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4.全面开展国有企业领域风险隐患排查及靠企吃企问题专项整治工作。制定下发《汨罗市市属国有企业领域风险隐患排查清理工作方案》《关于2024年深化市属国有企业靠企吃企问题专项整治的工作方案》，在市属国有企业开展专项整治工作，切实提高国资领域风险防控能力。</w:t>
      </w:r>
    </w:p>
    <w:p w14:paraId="2FFC229A">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5、加强融资平台公司经营性债务风险防控，防范化解债务风险。         </w:t>
      </w:r>
    </w:p>
    <w:p w14:paraId="5639A788">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一是根据市委市政府决策部署，按照“降存量、控增量、防爆雷”的总体要求，今年计划压降融资平台公司3家，分别为湖南汨之源实业集团有限公司市场化转型、汨罗经发建设有限公司注销退出、汨罗市扶贫投资开发有限责任公司注销退出。二是通过加强国有融资平台经营性债务风险监测预警，统筹各级各类资产资源，全力做好融资平台经营性债务风险防范工作。</w:t>
      </w:r>
    </w:p>
    <w:p w14:paraId="21B8DADB">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6、深化市属国有企业劳动用工制度改革，成立汨罗市人才发展有限公司。紧紧围绕汨罗市委提出的“3+4+5”改革目标抓国企改革，抓住“人”这个关键要素，牢固树立人才是第一资源的理念，对标对表省、岳阳市，成立汨罗市人才发展有限公司，该公司不以赢利为目的，主要针对目前企业存在急需紧缺人才引进难、公开招聘程序不规范，人员档案管理不规范等问题搭建平台。该公司的主要作用：一是强化国资中心关于企业人员档案管理职能，为市属国有企业劳动合同用工人事档案集中收集归档，推进档案数字化升级，形成可供档案管理系统查询调阅检索信息一体化服务；二是强化加强劳务派遣人员档案备案管理；三是为国有企业引进引进急需紧缺人才和公开招聘搭建平台。</w:t>
      </w:r>
    </w:p>
    <w:p w14:paraId="330C1374">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（四）省委巡视整改工作</w:t>
      </w:r>
    </w:p>
    <w:p w14:paraId="548AC46E">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按照市委市政府工作部署，3家整改责任企业成立专项工作组与金融机构展开降息谈判，按照市场化、法治化原则，以“一债一策”不同幅度降息方式分类处理金融机构存量贷款，推动存量债务降息。国资中心牵头负责的第46号问题任务清单6项整改措施，已阶段性完成并长期坚持；认领的7个同类同改问题，已全面完成整改任务并长期坚持。</w:t>
      </w:r>
    </w:p>
    <w:p w14:paraId="66C18991">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（五）市委巡察工作</w:t>
      </w:r>
    </w:p>
    <w:p w14:paraId="6A24DF6B">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在接受市委第二巡察组巡察期间，国资中心高度重视、全力配合。中心党组迅速成立联络小组，积极对接巡察组各项工作安排，如实提供财务账目、文件资料、会议记录等，确保巡察组全面了解情况。针对巡察组反馈的初步问题，即知即改，建立台账，明确责任人和整改期限，强化跟踪问效，以此次巡察为契机，进一步完善内部管理制度，加强党风廉政建设，规范国资监管流程，提升国资运营效益，推动国资工作高质量发展。</w:t>
      </w:r>
    </w:p>
    <w:p w14:paraId="5625C091">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（六）乡村振兴工作</w:t>
      </w:r>
    </w:p>
    <w:p w14:paraId="081BCD5B">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根据市驻村工作领导小组安排，我中心乡村振兴对口联系川山坪镇青江村，我中心党组多次到村实地调研乡村振兴工作，协调多方面力量帮助村级发展。一方面，推动产业帮扶，助力农乡村特色产业发展，促进农民增收致富；另一方面，积极开展人才支援，选派优秀干部驻村帮扶，组织专业技术培训，为乡村发展提供智力支持。同时，加强基础设施建设帮扶，改善乡村道路、水电等条件，提升乡村公共服务水平，以实际行动为乡村振兴贡献国资力量，展现国资担当，助力乡村迈向繁荣发展新征程。</w:t>
      </w:r>
    </w:p>
    <w:p w14:paraId="23C4B94C">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一是部门预算管理。包括绩效目标制定、目标完成、预算编制准确、支出控制、预算动态调整、执行进度、预算完成情况和违规记录等情况。2024年本部门的绩效目标制定、目标完成、预决算编制等均按照市财政局下达的相关文件指标进了编制，均按相关要求严格执行预算范围内开支，并完成所有预定目标，年中人员调离本单位，及时进行了预算动态调整，全年无违规记录。</w:t>
      </w:r>
    </w:p>
    <w:p w14:paraId="437560D6">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二是专项预算管理。包括专项预算项目程序严密、规划合理、结果符合、分配科学、分配及时、专项预算绩效目标完成、实施绩效、违规记录等情况。严格执行《湖南省省级财政专项资金绩效分配管理暂行办法》按照省级的专项资金管理办法，实施专款专用原则根据各项目展、完成情况，合理规划、科学分配专项资金，项目资金专项专用。完成专项预算绩效目标，无违规记录。</w:t>
      </w:r>
    </w:p>
    <w:p w14:paraId="4D33A17F">
      <w:pPr>
        <w:numPr>
          <w:numId w:val="0"/>
        </w:num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3F9EDA4">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一是部门整体绩效目标设立简单，绩效目标制定不明晰，定性指标居多，量化指标偏少。</w:t>
      </w:r>
    </w:p>
    <w:p w14:paraId="2DA83FDF">
      <w:pPr>
        <w:ind w:firstLine="64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二是固定资产管理工作不到位，固定资产管理意识尚需提高。</w:t>
      </w:r>
    </w:p>
    <w:p w14:paraId="21E6073D">
      <w:pPr>
        <w:numPr>
          <w:ilvl w:val="0"/>
          <w:numId w:val="4"/>
        </w:numPr>
        <w:ind w:firstLine="640"/>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51B17F97">
      <w:pPr>
        <w:ind w:firstLine="640" w:firstLineChars="200"/>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一是及时完善相关管理制度。结合单位实际，进一步健全完善单位内部管理制度，制定单位预算绩效、政府采购、合同管理、内部控制等管理制度，确保工作开展程序化、规范化。</w:t>
      </w:r>
    </w:p>
    <w:p w14:paraId="7084B2C2">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二是加强绩效管理工作。根据部门眩要职责、年度主要、重点为内容进一步完善、细化、量化绩效目标，强化全过程绩效管理，将绩效管理贯穿于项目实施的每一个环节，及时发现并纠正绩效管理过程中存大的问题，提高资金使用效率。</w:t>
      </w:r>
    </w:p>
    <w:p w14:paraId="37ACA1CA">
      <w:pPr>
        <w:numPr>
          <w:ilvl w:val="0"/>
          <w:numId w:val="4"/>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0D2BC722">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此次自评得分根据项目执行情况分指标进行评比，预算执行率类指标权重为10分，产出指标类指标权生重为30分，效益指标权重为30分，服务对象满意度指标类指标权重为20分，成本指标权重10分，总分100分，绩效自评结果得分为98分。</w:t>
      </w:r>
    </w:p>
    <w:p w14:paraId="0C36296A">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自评结果应用计划：一是加强资金分配监管，在资金分配方面，我们将更加注重资金分配机制，确保资金能够优先用于重点领域和关键项目。同时时加强对资金使用情况的监管，防止资金浪费和违规使用。二是提升绩效管理水平，结合自评结果，我们将进一步完善绩效评价体系，强化绩效管理意识，通过定期开展绩效培训和交流活动，提升部门员工的绩效管理能力和水平。同时建立绩效激励机制，将绩效结果与员工考核和奖惩挂钩，激发员工的工作积极性和创造性。</w:t>
      </w:r>
    </w:p>
    <w:p w14:paraId="0268045C">
      <w:pP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rPr>
        <w:t xml:space="preserve">      </w:t>
      </w:r>
      <w:r>
        <w:rPr>
          <w:rFonts w:hint="eastAsia" w:ascii="仿宋_GB2312" w:hAnsi="Calibri" w:eastAsia="仿宋_GB2312" w:cs="宋体"/>
          <w:snapToGrid/>
          <w:color w:val="000000" w:themeColor="text1"/>
          <w:kern w:val="2"/>
          <w:sz w:val="32"/>
          <w:szCs w:val="32"/>
          <w:lang w:val="en-US" w:eastAsia="zh-CN" w:bidi="ar-SA"/>
          <w14:textFill>
            <w14:solidFill>
              <w14:schemeClr w14:val="tx1"/>
            </w14:solidFill>
          </w14:textFill>
        </w:rPr>
        <w:t xml:space="preserve">  自评结果及自评报告将按要求进行公开，并将作为编制下一年度部门预算的重要依据，加强内部控制，完善项目管理。</w:t>
      </w:r>
    </w:p>
    <w:p w14:paraId="5AE21601">
      <w:pPr>
        <w:numPr>
          <w:ilvl w:val="0"/>
          <w:numId w:val="4"/>
        </w:numPr>
        <w:spacing w:line="600" w:lineRule="exact"/>
        <w:ind w:left="0" w:leftChars="0" w:firstLine="640" w:firstLineChars="0"/>
        <w:jc w:val="both"/>
        <w:rPr>
          <w:rFonts w:hint="eastAsia" w:eastAsia="黑体"/>
          <w:kern w:val="0"/>
          <w:sz w:val="32"/>
          <w:szCs w:val="32"/>
          <w:lang w:eastAsia="zh-CN"/>
        </w:rPr>
      </w:pPr>
      <w:r>
        <w:rPr>
          <w:rFonts w:hint="eastAsia" w:eastAsia="黑体"/>
          <w:kern w:val="0"/>
          <w:sz w:val="32"/>
          <w:szCs w:val="32"/>
          <w:lang w:eastAsia="zh-CN"/>
        </w:rPr>
        <w:t>其他需要说明的情况</w:t>
      </w:r>
    </w:p>
    <w:p w14:paraId="74550A2A">
      <w:pPr>
        <w:numPr>
          <w:numId w:val="0"/>
        </w:num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A7C30C8">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259BDDC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1007" w:firstLineChars="228"/>
        <w:jc w:val="center"/>
        <w:textAlignment w:val="baseline"/>
        <w:rPr>
          <w:rFonts w:hint="eastAsia" w:eastAsia="仿宋_GB2312"/>
          <w:b/>
          <w:bCs/>
          <w:kern w:val="0"/>
          <w:sz w:val="44"/>
          <w:szCs w:val="44"/>
          <w:lang w:val="en-US" w:eastAsia="en-US"/>
        </w:rPr>
      </w:pPr>
    </w:p>
    <w:p w14:paraId="09A67B7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1007" w:firstLineChars="228"/>
        <w:jc w:val="center"/>
        <w:textAlignment w:val="baseline"/>
        <w:rPr>
          <w:rFonts w:hint="eastAsia" w:eastAsia="仿宋_GB2312"/>
          <w:b/>
          <w:bCs/>
          <w:kern w:val="0"/>
          <w:sz w:val="44"/>
          <w:szCs w:val="44"/>
          <w:lang w:val="en-US" w:eastAsia="en-US"/>
        </w:rPr>
      </w:pPr>
    </w:p>
    <w:p w14:paraId="4369CF7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1007" w:firstLineChars="228"/>
        <w:jc w:val="center"/>
        <w:textAlignment w:val="baseline"/>
        <w:rPr>
          <w:rFonts w:hint="eastAsia" w:eastAsia="仿宋_GB2312"/>
          <w:b/>
          <w:bCs/>
          <w:kern w:val="0"/>
          <w:sz w:val="44"/>
          <w:szCs w:val="44"/>
          <w:lang w:val="en-US" w:eastAsia="en-US"/>
        </w:rPr>
      </w:pPr>
      <w:r>
        <w:rPr>
          <w:rFonts w:hint="eastAsia" w:eastAsia="仿宋_GB2312"/>
          <w:b/>
          <w:bCs/>
          <w:kern w:val="0"/>
          <w:sz w:val="44"/>
          <w:szCs w:val="44"/>
          <w:lang w:val="en-US" w:eastAsia="en-US"/>
        </w:rPr>
        <w:t>202</w:t>
      </w:r>
      <w:r>
        <w:rPr>
          <w:rFonts w:hint="eastAsia" w:eastAsia="仿宋_GB2312"/>
          <w:b/>
          <w:bCs/>
          <w:kern w:val="0"/>
          <w:sz w:val="44"/>
          <w:szCs w:val="44"/>
          <w:lang w:val="en-US" w:eastAsia="zh-CN"/>
        </w:rPr>
        <w:t>4</w:t>
      </w:r>
      <w:r>
        <w:rPr>
          <w:rFonts w:hint="eastAsia" w:eastAsia="仿宋_GB2312"/>
          <w:b/>
          <w:bCs/>
          <w:kern w:val="0"/>
          <w:sz w:val="44"/>
          <w:szCs w:val="44"/>
          <w:lang w:val="en-US" w:eastAsia="en-US"/>
        </w:rPr>
        <w:t>年度</w:t>
      </w:r>
      <w:r>
        <w:rPr>
          <w:rFonts w:hint="eastAsia" w:eastAsia="仿宋_GB2312"/>
          <w:b/>
          <w:bCs/>
          <w:kern w:val="0"/>
          <w:sz w:val="44"/>
          <w:szCs w:val="44"/>
          <w:lang w:val="en-US" w:eastAsia="zh-CN"/>
        </w:rPr>
        <w:t>国有资本经营</w:t>
      </w:r>
      <w:r>
        <w:rPr>
          <w:rFonts w:hint="eastAsia" w:eastAsia="仿宋_GB2312"/>
          <w:b/>
          <w:bCs/>
          <w:kern w:val="0"/>
          <w:sz w:val="44"/>
          <w:szCs w:val="44"/>
          <w:lang w:val="en-US" w:eastAsia="en-US"/>
        </w:rPr>
        <w:t>项目支出</w:t>
      </w:r>
    </w:p>
    <w:p w14:paraId="7147CBE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1007" w:firstLineChars="228"/>
        <w:jc w:val="center"/>
        <w:textAlignment w:val="baseline"/>
        <w:rPr>
          <w:rFonts w:hint="eastAsia" w:eastAsia="仿宋_GB2312"/>
          <w:b/>
          <w:bCs/>
          <w:kern w:val="0"/>
          <w:sz w:val="44"/>
          <w:szCs w:val="44"/>
          <w:lang w:val="en-US" w:eastAsia="en-US"/>
        </w:rPr>
      </w:pPr>
      <w:r>
        <w:rPr>
          <w:rFonts w:hint="eastAsia" w:eastAsia="仿宋_GB2312"/>
          <w:b/>
          <w:bCs/>
          <w:kern w:val="0"/>
          <w:sz w:val="44"/>
          <w:szCs w:val="44"/>
          <w:lang w:val="en-US" w:eastAsia="en-US"/>
        </w:rPr>
        <w:t>绩效自评报告</w:t>
      </w:r>
    </w:p>
    <w:p w14:paraId="5EBB7C16">
      <w:pPr>
        <w:spacing w:line="246" w:lineRule="auto"/>
        <w:jc w:val="both"/>
        <w:rPr>
          <w:rFonts w:ascii="Arial"/>
          <w:sz w:val="44"/>
          <w:szCs w:val="44"/>
        </w:rPr>
      </w:pPr>
    </w:p>
    <w:p w14:paraId="2EC22777">
      <w:pPr>
        <w:spacing w:before="201" w:line="578" w:lineRule="exact"/>
        <w:rPr>
          <w:rFonts w:ascii="黑体" w:hAnsi="黑体" w:eastAsia="黑体" w:cs="黑体"/>
          <w:sz w:val="42"/>
          <w:szCs w:val="42"/>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3"/>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eastAsia="zh-CN"/>
        </w:rPr>
        <w:t>汨罗市国有资产服务中心</w:t>
      </w:r>
      <w:r>
        <w:rPr>
          <w:sz w:val="27"/>
          <w:szCs w:val="27"/>
          <w:highlight w:val="none"/>
          <w:u w:val="single" w:color="auto"/>
        </w:rPr>
        <w:t xml:space="preserve"> </w:t>
      </w:r>
    </w:p>
    <w:p w14:paraId="6B80A16B">
      <w:pPr>
        <w:pStyle w:val="3"/>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17</w:t>
      </w:r>
      <w:r>
        <w:rPr>
          <w:spacing w:val="-13"/>
          <w:position w:val="26"/>
          <w:sz w:val="27"/>
          <w:szCs w:val="27"/>
        </w:rPr>
        <w:t>日</w:t>
      </w:r>
    </w:p>
    <w:p w14:paraId="540B936B">
      <w:pPr>
        <w:pStyle w:val="3"/>
        <w:spacing w:before="1" w:line="223" w:lineRule="auto"/>
        <w:ind w:left="3560"/>
        <w:rPr>
          <w:sz w:val="24"/>
          <w:szCs w:val="24"/>
        </w:rPr>
        <w:sectPr>
          <w:footerReference r:id="rId9" w:type="default"/>
          <w:pgSz w:w="11900" w:h="16820"/>
          <w:pgMar w:top="1429" w:right="1782" w:bottom="1158" w:left="1450" w:header="0" w:footer="850" w:gutter="0"/>
          <w:cols w:space="720" w:num="1"/>
        </w:sectPr>
      </w:pPr>
    </w:p>
    <w:p w14:paraId="0AFEE974">
      <w:pPr>
        <w:spacing w:before="1" w:line="220" w:lineRule="auto"/>
        <w:ind w:left="3069"/>
        <w:rPr>
          <w:rFonts w:hint="eastAsia" w:ascii="黑体" w:hAnsi="黑体" w:eastAsia="黑体" w:cs="黑体"/>
          <w:spacing w:val="10"/>
          <w:sz w:val="42"/>
          <w:szCs w:val="42"/>
        </w:rPr>
      </w:pPr>
    </w:p>
    <w:p w14:paraId="1444014F">
      <w:pPr>
        <w:spacing w:before="137"/>
        <w:ind w:left="2155"/>
        <w:rPr>
          <w:rFonts w:ascii="仿宋" w:hAnsi="仿宋" w:eastAsia="仿宋" w:cs="黑体"/>
          <w:sz w:val="42"/>
          <w:szCs w:val="42"/>
          <w:lang w:eastAsia="zh-CN"/>
        </w:rPr>
      </w:pPr>
      <w:r>
        <w:rPr>
          <w:rFonts w:hint="eastAsia" w:ascii="仿宋" w:hAnsi="仿宋" w:eastAsia="仿宋" w:cs="黑体"/>
          <w:b/>
          <w:bCs/>
          <w:spacing w:val="6"/>
          <w:sz w:val="42"/>
          <w:szCs w:val="42"/>
          <w:lang w:eastAsia="zh-CN"/>
        </w:rPr>
        <w:t>国有资本经营</w:t>
      </w:r>
      <w:r>
        <w:rPr>
          <w:rFonts w:ascii="仿宋" w:hAnsi="仿宋" w:eastAsia="仿宋" w:cs="黑体"/>
          <w:b/>
          <w:bCs/>
          <w:spacing w:val="6"/>
          <w:sz w:val="42"/>
          <w:szCs w:val="42"/>
          <w:lang w:eastAsia="zh-CN"/>
        </w:rPr>
        <w:t>项目支出绩效评价报告</w:t>
      </w:r>
      <w:r>
        <w:rPr>
          <w:rFonts w:hint="eastAsia" w:ascii="仿宋" w:hAnsi="仿宋" w:eastAsia="仿宋" w:cs="黑体"/>
          <w:b/>
          <w:bCs/>
          <w:spacing w:val="6"/>
          <w:sz w:val="42"/>
          <w:szCs w:val="42"/>
          <w:lang w:eastAsia="zh-CN"/>
        </w:rPr>
        <w:t xml:space="preserve"> </w:t>
      </w:r>
    </w:p>
    <w:p w14:paraId="1E1D827B">
      <w:pPr>
        <w:spacing w:before="190" w:line="227" w:lineRule="auto"/>
        <w:ind w:left="3670"/>
        <w:rPr>
          <w:rFonts w:ascii="楷体" w:hAnsi="楷体" w:eastAsia="楷体" w:cs="楷体"/>
          <w:sz w:val="31"/>
          <w:szCs w:val="31"/>
          <w:lang w:eastAsia="zh-CN"/>
        </w:rPr>
      </w:pPr>
    </w:p>
    <w:p w14:paraId="0713DCF7">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w:t>
      </w:r>
      <w:r>
        <w:rPr>
          <w:rFonts w:ascii="黑体" w:hAnsi="黑体" w:eastAsia="黑体" w:cs="黑体"/>
          <w:spacing w:val="-15"/>
          <w:sz w:val="31"/>
          <w:szCs w:val="31"/>
          <w:lang w:eastAsia="zh-CN"/>
        </w:rPr>
        <w:t xml:space="preserve"> </w:t>
      </w:r>
      <w:r>
        <w:rPr>
          <w:rFonts w:ascii="黑体" w:hAnsi="黑体" w:eastAsia="黑体" w:cs="黑体"/>
          <w:b/>
          <w:bCs/>
          <w:spacing w:val="-15"/>
          <w:sz w:val="31"/>
          <w:szCs w:val="31"/>
          <w:lang w:eastAsia="zh-CN"/>
        </w:rPr>
        <w:t>、项目支出基本情况</w:t>
      </w:r>
    </w:p>
    <w:p w14:paraId="67759487">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(一)项目支出概况。</w:t>
      </w:r>
    </w:p>
    <w:p w14:paraId="4CACD10A">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规范国有资产的管理工作，加强国有企业的监管，确保国有资产安全、完整，确保国有资产保值、增值。同时做好国有企业退休人员社会化管理工作。</w:t>
      </w:r>
    </w:p>
    <w:p w14:paraId="6F838350">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 xml:space="preserve"> (二)项目资金使用管理情况。</w:t>
      </w:r>
    </w:p>
    <w:p w14:paraId="04208E24">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在项目管理过程中，资金使用的管理是非常重要的一环，合理有效的资金使用不仅可以保证项目的进展和成果的实现，也能提高项目管理的效率和信誉度。一是设立专门在的资金管理小组。二是制定详细的预算计划。三是实行三级审批制度。对于资金支出的第一个环节，都应当设置审核、审批和监督等环节，并做好相应的记录和备案。</w:t>
      </w:r>
    </w:p>
    <w:p w14:paraId="610CD4F1">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 xml:space="preserve"> (三)项目支出绩效目标完成程度</w:t>
      </w:r>
      <w:r>
        <w:rPr>
          <w:rFonts w:ascii="楷体" w:hAnsi="楷体" w:eastAsia="楷体" w:cs="楷体"/>
          <w:b/>
          <w:bCs/>
          <w:spacing w:val="6"/>
          <w:position w:val="16"/>
          <w:sz w:val="31"/>
          <w:szCs w:val="31"/>
          <w:lang w:eastAsia="zh-CN"/>
        </w:rPr>
        <w:t>。</w:t>
      </w:r>
    </w:p>
    <w:p w14:paraId="23D497A7">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规范国有资产的管理工作，加强国有企业的监管，确保国有资产安全、完整，确保国有资产保值、增值。国有资本经营预算支出98.45万元，其中：一是根据党中央、国务院关于国有企业退休人员社会化管理工作要求，对国有企业退休人员社会化管理财政补助资金26.81万元用于人事档案移交管理、党员的党组织关系转地方管理等工作经费的支出。二是我中心肩负着市属经营性租赁资产的经营管理，对取得的租赁收益如实上缴财政非税，因开展此项工作花费大量的人力物力，产生的工作经费由经营性租赁收益中返还中列支71.64万元。以确保单位的正常运转。</w:t>
      </w:r>
    </w:p>
    <w:p w14:paraId="009D1D80">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3756561B">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一是绩效评价目的、对象和范围。严格督促项目实施和资金使用，切实发挥好财政资金使用效益，确保财政资金使用依法、规范、安全、高效，严格落实常政同责、一岗双责，认真履行安全监管职责。二是遵循的基本原则：科学规范、公正公开、分级分类、绩效相关等原则。</w:t>
      </w:r>
    </w:p>
    <w:p w14:paraId="221313D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286A900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按照2024年度部门预算项目支出绩效自评工作的要求，国资中心对项目支出预算资金的经济性、效率性、有效性和可持性进行客观、公正的评价。通过自查，项目绩效目标合理，管理制度健全，项目质量控制达标，资金使用合理合规，没有发生专项资金的挤占、挪用、截流等违规现象。此次自评得分根据项目执行情况分指标进行评比，预算执行率类指标权重为10分，产出指标类指标权生重为30分，效益指标权重为40分，服务对象满意度指标类指标权重为10分，成本指标权重10分，总分100分，2024年度此专项绩效自评得分98分。</w:t>
      </w:r>
    </w:p>
    <w:p w14:paraId="3EF093A1">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63703B8C">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0C13CFFA">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为了更好的履行单位的职能职责，确保资产归集、资产处置以及经营性资产的保值增值，同时确保单位的正常运转，按惯列以报告形式申报，申报、批复程序符合相关管理办法。</w:t>
      </w:r>
    </w:p>
    <w:p w14:paraId="38947E9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14:paraId="16A17643">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严格按照项目管理办法和资金使用制度，做到项目资金专款专用、按项目独立核算、无截留、挤占、挪用、虚列支出等情况发生。</w:t>
      </w:r>
    </w:p>
    <w:p w14:paraId="76CF55A3">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(三)项目支出产出情况</w:t>
      </w:r>
    </w:p>
    <w:p w14:paraId="1CFDF70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项目产发按照数量、质量、时效、成本等四个方面，根据项目各自情况，设置符合项目特点的三级产出指标、用于指导和跟踪项目工作开展。</w:t>
      </w:r>
    </w:p>
    <w:p w14:paraId="16151B7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14:paraId="08394C2C">
      <w:pPr>
        <w:spacing w:beforeLines="50" w:line="396" w:lineRule="auto"/>
        <w:ind w:left="15" w:leftChars="7" w:right="11" w:firstLine="640" w:firstLineChars="200"/>
        <w:rPr>
          <w:rFonts w:eastAsia="仿宋_GB2312"/>
          <w:sz w:val="32"/>
          <w:szCs w:val="32"/>
          <w:lang w:eastAsia="zh-CN"/>
        </w:rPr>
      </w:pPr>
      <w:r>
        <w:rPr>
          <w:rFonts w:hint="eastAsia" w:eastAsia="仿宋_GB2312"/>
          <w:sz w:val="32"/>
          <w:szCs w:val="32"/>
          <w:lang w:eastAsia="zh-CN"/>
        </w:rPr>
        <w:t xml:space="preserve">项目效益按照经济效益、社会效益、生态效益、可持续影响等四个方面，设置符合各项目际情况和特点的三级效益指标，用于指导和跟踪项目工作开展。一是高效处置闲置资产。按流程办理好各行政事业单位移交的处置资产，做好资产登记、管理。截止目前，共上缴非税处置资金2978.87万元。 </w:t>
      </w:r>
      <w:r>
        <w:rPr>
          <w:rFonts w:hint="eastAsia" w:ascii="仿宋" w:hAnsi="仿宋" w:eastAsia="仿宋" w:cs="仿宋"/>
          <w:spacing w:val="6"/>
          <w:sz w:val="29"/>
          <w:szCs w:val="29"/>
          <w:lang w:eastAsia="zh-CN"/>
        </w:rPr>
        <w:t xml:space="preserve">二是做活经营性资产。已完成行政事业单位179个经营性门面、住房的招租工作，共收取门面租金653.64万元。 </w:t>
      </w:r>
    </w:p>
    <w:p w14:paraId="1405F07E">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7B684328">
      <w:pPr>
        <w:pStyle w:val="3"/>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 xml:space="preserve">           一是细化预算编制工作，认真做好预算的编制。进一步加强内部预算管理意识，严格执照预算编制的相关制度和要求进行预算编制，全面编制预算项目，进一步提高预算编制的科学性、严谨性和可控性。</w:t>
      </w:r>
    </w:p>
    <w:p w14:paraId="61BFC706">
      <w:pPr>
        <w:pStyle w:val="3"/>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二是加强财务管理，严格财务审核。按照专款专用列支，杜绝超支现象的发生。</w:t>
      </w:r>
    </w:p>
    <w:p w14:paraId="3C8E943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52E6D41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今后，我单位将完善预算绩效管理相关制度，特别落实好部门好项目管理的责任，加强项目管理，不断提高预算项目绩效目标设置的科学性，并加大绩效运行监控的国度，及时调整绩效目标设定的偏差，客观公正对绩效结果进行评价，对绩效结果出现的问题及时整改，切实提高项目预算资金的管理水平和能力。</w:t>
      </w:r>
    </w:p>
    <w:p w14:paraId="314A8DE1">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3EFE0963">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 xml:space="preserve">   </w:t>
      </w:r>
      <w:r>
        <w:rPr>
          <w:rFonts w:hint="eastAsia" w:eastAsia="仿宋_GB2312"/>
          <w:sz w:val="32"/>
          <w:szCs w:val="32"/>
          <w:lang w:eastAsia="zh-CN"/>
        </w:rPr>
        <w:t>无</w:t>
      </w:r>
    </w:p>
    <w:p w14:paraId="76427E10">
      <w:pPr>
        <w:spacing w:before="1" w:line="220" w:lineRule="auto"/>
        <w:ind w:left="3069"/>
        <w:rPr>
          <w:rFonts w:hint="eastAsia" w:ascii="黑体" w:hAnsi="黑体" w:eastAsia="黑体" w:cs="黑体"/>
          <w:spacing w:val="10"/>
          <w:sz w:val="42"/>
          <w:szCs w:val="42"/>
        </w:rPr>
      </w:pPr>
    </w:p>
    <w:p w14:paraId="0E1EDD5E">
      <w:pPr>
        <w:spacing w:before="1" w:line="220" w:lineRule="auto"/>
        <w:ind w:left="3069"/>
        <w:rPr>
          <w:rFonts w:hint="eastAsia" w:ascii="黑体" w:hAnsi="黑体" w:eastAsia="黑体" w:cs="黑体"/>
          <w:spacing w:val="10"/>
          <w:sz w:val="42"/>
          <w:szCs w:val="42"/>
        </w:rPr>
      </w:pPr>
    </w:p>
    <w:p w14:paraId="43C76897">
      <w:pPr>
        <w:spacing w:before="1" w:line="220" w:lineRule="auto"/>
        <w:ind w:left="3069"/>
        <w:rPr>
          <w:rFonts w:hint="eastAsia" w:ascii="黑体" w:hAnsi="黑体" w:eastAsia="黑体" w:cs="黑体"/>
          <w:spacing w:val="10"/>
          <w:sz w:val="42"/>
          <w:szCs w:val="42"/>
        </w:rPr>
      </w:pPr>
    </w:p>
    <w:p w14:paraId="0517058D">
      <w:pPr>
        <w:spacing w:before="1" w:line="220" w:lineRule="auto"/>
        <w:ind w:left="3069"/>
        <w:rPr>
          <w:rFonts w:hint="eastAsia" w:ascii="黑体" w:hAnsi="黑体" w:eastAsia="黑体" w:cs="黑体"/>
          <w:spacing w:val="10"/>
          <w:sz w:val="42"/>
          <w:szCs w:val="42"/>
        </w:rPr>
      </w:pPr>
    </w:p>
    <w:p w14:paraId="2F3C462C">
      <w:pPr>
        <w:spacing w:before="1" w:line="220" w:lineRule="auto"/>
        <w:ind w:left="3069"/>
        <w:rPr>
          <w:rFonts w:hint="eastAsia" w:ascii="黑体" w:hAnsi="黑体" w:eastAsia="黑体" w:cs="黑体"/>
          <w:spacing w:val="10"/>
          <w:sz w:val="42"/>
          <w:szCs w:val="42"/>
        </w:rPr>
      </w:pPr>
    </w:p>
    <w:p w14:paraId="781F79A1">
      <w:pPr>
        <w:spacing w:before="1" w:line="220" w:lineRule="auto"/>
        <w:ind w:left="3069"/>
        <w:rPr>
          <w:rFonts w:hint="eastAsia" w:ascii="黑体" w:hAnsi="黑体" w:eastAsia="黑体" w:cs="黑体"/>
          <w:spacing w:val="10"/>
          <w:sz w:val="42"/>
          <w:szCs w:val="42"/>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BA795B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FC79BE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25D69A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B2A4CF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DA030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88A10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AD7E91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E36D9B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08FC06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5DB8F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D5A283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704675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AB9B399">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08F9FAA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1007" w:firstLineChars="228"/>
        <w:jc w:val="center"/>
        <w:textAlignment w:val="baseline"/>
        <w:rPr>
          <w:rFonts w:hint="eastAsia" w:eastAsia="仿宋_GB2312"/>
          <w:b/>
          <w:bCs/>
          <w:kern w:val="0"/>
          <w:sz w:val="44"/>
          <w:szCs w:val="44"/>
          <w:lang w:val="en-US" w:eastAsia="en-US"/>
        </w:rPr>
      </w:pPr>
    </w:p>
    <w:p w14:paraId="236E24E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1007" w:firstLineChars="228"/>
        <w:jc w:val="center"/>
        <w:textAlignment w:val="baseline"/>
        <w:rPr>
          <w:rFonts w:hint="eastAsia" w:eastAsia="仿宋_GB2312"/>
          <w:b/>
          <w:bCs/>
          <w:kern w:val="0"/>
          <w:sz w:val="44"/>
          <w:szCs w:val="44"/>
          <w:lang w:val="en-US" w:eastAsia="en-US"/>
        </w:rPr>
      </w:pPr>
    </w:p>
    <w:p w14:paraId="0A6CACF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1007" w:firstLineChars="228"/>
        <w:jc w:val="center"/>
        <w:textAlignment w:val="baseline"/>
        <w:rPr>
          <w:rFonts w:hint="eastAsia" w:eastAsia="仿宋_GB2312"/>
          <w:b/>
          <w:bCs/>
          <w:kern w:val="0"/>
          <w:sz w:val="44"/>
          <w:szCs w:val="44"/>
          <w:lang w:val="en-US" w:eastAsia="en-US"/>
        </w:rPr>
      </w:pPr>
      <w:r>
        <w:rPr>
          <w:rFonts w:hint="eastAsia" w:eastAsia="仿宋_GB2312"/>
          <w:b/>
          <w:bCs/>
          <w:kern w:val="0"/>
          <w:sz w:val="44"/>
          <w:szCs w:val="44"/>
          <w:lang w:val="en-US" w:eastAsia="en-US"/>
        </w:rPr>
        <w:t>202</w:t>
      </w:r>
      <w:r>
        <w:rPr>
          <w:rFonts w:hint="eastAsia" w:eastAsia="仿宋_GB2312"/>
          <w:b/>
          <w:bCs/>
          <w:kern w:val="0"/>
          <w:sz w:val="44"/>
          <w:szCs w:val="44"/>
          <w:lang w:val="en-US" w:eastAsia="zh-CN"/>
        </w:rPr>
        <w:t>4</w:t>
      </w:r>
      <w:r>
        <w:rPr>
          <w:rFonts w:hint="eastAsia" w:eastAsia="仿宋_GB2312"/>
          <w:b/>
          <w:bCs/>
          <w:kern w:val="0"/>
          <w:sz w:val="44"/>
          <w:szCs w:val="44"/>
          <w:lang w:val="en-US" w:eastAsia="en-US"/>
        </w:rPr>
        <w:t>年度</w:t>
      </w:r>
      <w:r>
        <w:rPr>
          <w:rFonts w:hint="eastAsia" w:eastAsia="仿宋_GB2312"/>
          <w:b/>
          <w:bCs/>
          <w:kern w:val="0"/>
          <w:sz w:val="44"/>
          <w:szCs w:val="44"/>
          <w:lang w:val="en-US" w:eastAsia="zh-CN"/>
        </w:rPr>
        <w:t>经营性门面维修</w:t>
      </w:r>
      <w:r>
        <w:rPr>
          <w:rFonts w:hint="eastAsia" w:eastAsia="仿宋_GB2312"/>
          <w:b/>
          <w:bCs/>
          <w:kern w:val="0"/>
          <w:sz w:val="44"/>
          <w:szCs w:val="44"/>
          <w:lang w:val="en-US" w:eastAsia="en-US"/>
        </w:rPr>
        <w:t>项目支出</w:t>
      </w:r>
    </w:p>
    <w:p w14:paraId="545D093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1007" w:firstLineChars="228"/>
        <w:jc w:val="center"/>
        <w:textAlignment w:val="baseline"/>
        <w:rPr>
          <w:rFonts w:hint="eastAsia" w:eastAsia="仿宋_GB2312"/>
          <w:b/>
          <w:bCs/>
          <w:kern w:val="0"/>
          <w:sz w:val="44"/>
          <w:szCs w:val="44"/>
          <w:lang w:val="en-US" w:eastAsia="en-US"/>
        </w:rPr>
      </w:pPr>
      <w:r>
        <w:rPr>
          <w:rFonts w:hint="eastAsia" w:eastAsia="仿宋_GB2312"/>
          <w:b/>
          <w:bCs/>
          <w:kern w:val="0"/>
          <w:sz w:val="44"/>
          <w:szCs w:val="44"/>
          <w:lang w:val="en-US" w:eastAsia="en-US"/>
        </w:rPr>
        <w:t>绩效自评报告</w:t>
      </w:r>
    </w:p>
    <w:p w14:paraId="1FEE14F6">
      <w:pPr>
        <w:spacing w:line="246" w:lineRule="auto"/>
        <w:jc w:val="both"/>
        <w:rPr>
          <w:rFonts w:ascii="Arial"/>
          <w:sz w:val="44"/>
          <w:szCs w:val="44"/>
        </w:rPr>
      </w:pPr>
    </w:p>
    <w:p w14:paraId="42F217E2">
      <w:pPr>
        <w:spacing w:before="201" w:line="578" w:lineRule="exact"/>
        <w:rPr>
          <w:rFonts w:ascii="黑体" w:hAnsi="黑体" w:eastAsia="黑体" w:cs="黑体"/>
          <w:sz w:val="42"/>
          <w:szCs w:val="42"/>
        </w:rPr>
      </w:pPr>
    </w:p>
    <w:p w14:paraId="5D7C5040">
      <w:pPr>
        <w:spacing w:line="246" w:lineRule="auto"/>
        <w:rPr>
          <w:rFonts w:ascii="Arial"/>
          <w:sz w:val="21"/>
        </w:rPr>
      </w:pPr>
    </w:p>
    <w:p w14:paraId="4B67291C">
      <w:pPr>
        <w:spacing w:line="246" w:lineRule="auto"/>
        <w:rPr>
          <w:rFonts w:ascii="Arial"/>
          <w:sz w:val="21"/>
        </w:rPr>
      </w:pPr>
    </w:p>
    <w:p w14:paraId="2A5B7417">
      <w:pPr>
        <w:spacing w:line="246" w:lineRule="auto"/>
        <w:rPr>
          <w:rFonts w:ascii="Arial"/>
          <w:sz w:val="21"/>
        </w:rPr>
      </w:pPr>
    </w:p>
    <w:p w14:paraId="4728596A">
      <w:pPr>
        <w:spacing w:line="246" w:lineRule="auto"/>
        <w:rPr>
          <w:rFonts w:ascii="Arial"/>
          <w:sz w:val="21"/>
        </w:rPr>
      </w:pPr>
    </w:p>
    <w:p w14:paraId="23AEB770">
      <w:pPr>
        <w:spacing w:line="246" w:lineRule="auto"/>
        <w:rPr>
          <w:rFonts w:ascii="Arial"/>
          <w:sz w:val="21"/>
        </w:rPr>
      </w:pPr>
    </w:p>
    <w:p w14:paraId="222A9F76">
      <w:pPr>
        <w:spacing w:line="246" w:lineRule="auto"/>
        <w:rPr>
          <w:rFonts w:ascii="Arial"/>
          <w:sz w:val="21"/>
        </w:rPr>
      </w:pPr>
    </w:p>
    <w:p w14:paraId="07C73B96">
      <w:pPr>
        <w:spacing w:line="246" w:lineRule="auto"/>
        <w:rPr>
          <w:rFonts w:ascii="Arial"/>
          <w:sz w:val="21"/>
        </w:rPr>
      </w:pPr>
    </w:p>
    <w:p w14:paraId="06878BF3">
      <w:pPr>
        <w:spacing w:line="246" w:lineRule="auto"/>
        <w:rPr>
          <w:rFonts w:ascii="Arial"/>
          <w:sz w:val="21"/>
        </w:rPr>
      </w:pPr>
    </w:p>
    <w:p w14:paraId="31B171E3">
      <w:pPr>
        <w:spacing w:line="246" w:lineRule="auto"/>
        <w:rPr>
          <w:rFonts w:ascii="Arial"/>
          <w:sz w:val="21"/>
        </w:rPr>
      </w:pPr>
    </w:p>
    <w:p w14:paraId="68248AA4">
      <w:pPr>
        <w:spacing w:line="246" w:lineRule="auto"/>
        <w:rPr>
          <w:rFonts w:ascii="Arial"/>
          <w:sz w:val="21"/>
        </w:rPr>
      </w:pPr>
    </w:p>
    <w:p w14:paraId="2C5EA81E">
      <w:pPr>
        <w:spacing w:line="246" w:lineRule="auto"/>
        <w:rPr>
          <w:rFonts w:ascii="Arial"/>
          <w:sz w:val="21"/>
        </w:rPr>
      </w:pPr>
    </w:p>
    <w:p w14:paraId="419381A3">
      <w:pPr>
        <w:spacing w:line="246" w:lineRule="auto"/>
        <w:rPr>
          <w:rFonts w:ascii="Arial"/>
          <w:sz w:val="21"/>
        </w:rPr>
      </w:pPr>
    </w:p>
    <w:p w14:paraId="686826CB">
      <w:pPr>
        <w:spacing w:line="246" w:lineRule="auto"/>
        <w:rPr>
          <w:rFonts w:ascii="Arial"/>
          <w:sz w:val="21"/>
        </w:rPr>
      </w:pPr>
    </w:p>
    <w:p w14:paraId="38D1EB59">
      <w:pPr>
        <w:spacing w:line="246" w:lineRule="auto"/>
        <w:rPr>
          <w:rFonts w:ascii="Arial"/>
          <w:sz w:val="21"/>
        </w:rPr>
      </w:pPr>
    </w:p>
    <w:p w14:paraId="7B998028">
      <w:pPr>
        <w:spacing w:line="246" w:lineRule="auto"/>
        <w:rPr>
          <w:rFonts w:ascii="Arial"/>
          <w:sz w:val="21"/>
        </w:rPr>
      </w:pPr>
    </w:p>
    <w:p w14:paraId="72054032">
      <w:pPr>
        <w:spacing w:line="246" w:lineRule="auto"/>
        <w:rPr>
          <w:rFonts w:ascii="Arial"/>
          <w:sz w:val="21"/>
        </w:rPr>
      </w:pPr>
    </w:p>
    <w:p w14:paraId="1DC408D5">
      <w:pPr>
        <w:spacing w:line="247" w:lineRule="auto"/>
        <w:rPr>
          <w:rFonts w:ascii="Arial"/>
          <w:sz w:val="21"/>
        </w:rPr>
      </w:pPr>
    </w:p>
    <w:p w14:paraId="6DA5C058">
      <w:pPr>
        <w:spacing w:line="247" w:lineRule="auto"/>
        <w:rPr>
          <w:rFonts w:ascii="Arial"/>
          <w:sz w:val="21"/>
        </w:rPr>
      </w:pPr>
    </w:p>
    <w:p w14:paraId="5F23ACFA">
      <w:pPr>
        <w:spacing w:line="247" w:lineRule="auto"/>
        <w:rPr>
          <w:rFonts w:ascii="Arial"/>
          <w:sz w:val="21"/>
        </w:rPr>
      </w:pPr>
    </w:p>
    <w:p w14:paraId="16874564">
      <w:pPr>
        <w:spacing w:line="247" w:lineRule="auto"/>
        <w:rPr>
          <w:rFonts w:ascii="Arial"/>
          <w:sz w:val="21"/>
        </w:rPr>
      </w:pPr>
    </w:p>
    <w:p w14:paraId="0709D2B2">
      <w:pPr>
        <w:spacing w:line="247" w:lineRule="auto"/>
        <w:rPr>
          <w:rFonts w:ascii="Arial"/>
          <w:sz w:val="21"/>
        </w:rPr>
      </w:pPr>
    </w:p>
    <w:p w14:paraId="6A65DF4D">
      <w:pPr>
        <w:spacing w:line="247" w:lineRule="auto"/>
        <w:rPr>
          <w:rFonts w:ascii="Arial"/>
          <w:sz w:val="21"/>
        </w:rPr>
      </w:pPr>
    </w:p>
    <w:p w14:paraId="0C493BEE">
      <w:pPr>
        <w:spacing w:line="247" w:lineRule="auto"/>
        <w:rPr>
          <w:rFonts w:ascii="Arial"/>
          <w:sz w:val="21"/>
        </w:rPr>
      </w:pPr>
    </w:p>
    <w:p w14:paraId="04CA6D90">
      <w:pPr>
        <w:spacing w:line="247" w:lineRule="auto"/>
        <w:rPr>
          <w:rFonts w:ascii="Arial"/>
          <w:sz w:val="21"/>
        </w:rPr>
      </w:pPr>
    </w:p>
    <w:p w14:paraId="54777B69">
      <w:pPr>
        <w:spacing w:line="247" w:lineRule="auto"/>
        <w:rPr>
          <w:rFonts w:ascii="Arial"/>
          <w:sz w:val="21"/>
        </w:rPr>
      </w:pPr>
    </w:p>
    <w:p w14:paraId="5BA2BE98">
      <w:pPr>
        <w:spacing w:line="247" w:lineRule="auto"/>
        <w:rPr>
          <w:rFonts w:ascii="Arial"/>
          <w:sz w:val="21"/>
        </w:rPr>
      </w:pPr>
    </w:p>
    <w:p w14:paraId="5839564E">
      <w:pPr>
        <w:spacing w:line="247" w:lineRule="auto"/>
        <w:rPr>
          <w:rFonts w:ascii="Arial"/>
          <w:sz w:val="21"/>
        </w:rPr>
      </w:pPr>
    </w:p>
    <w:p w14:paraId="13A700B6">
      <w:pPr>
        <w:pStyle w:val="3"/>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spacing w:val="-22"/>
          <w:sz w:val="27"/>
          <w:szCs w:val="27"/>
          <w:highlight w:val="none"/>
          <w:u w:val="single" w:color="auto"/>
          <w:lang w:eastAsia="zh-CN"/>
        </w:rPr>
        <w:t>汨罗市国有资产服务中心</w:t>
      </w:r>
      <w:r>
        <w:rPr>
          <w:sz w:val="27"/>
          <w:szCs w:val="27"/>
          <w:highlight w:val="none"/>
          <w:u w:val="single" w:color="auto"/>
        </w:rPr>
        <w:t xml:space="preserve"> </w:t>
      </w:r>
    </w:p>
    <w:p w14:paraId="32EB9389">
      <w:pPr>
        <w:pStyle w:val="3"/>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17</w:t>
      </w:r>
      <w:r>
        <w:rPr>
          <w:spacing w:val="-13"/>
          <w:position w:val="26"/>
          <w:sz w:val="27"/>
          <w:szCs w:val="27"/>
        </w:rPr>
        <w:t>日</w:t>
      </w:r>
    </w:p>
    <w:p w14:paraId="7A4AAF45">
      <w:pPr>
        <w:pStyle w:val="3"/>
        <w:spacing w:before="1" w:line="223" w:lineRule="auto"/>
        <w:ind w:left="3560"/>
        <w:rPr>
          <w:sz w:val="24"/>
          <w:szCs w:val="24"/>
        </w:rPr>
        <w:sectPr>
          <w:footerReference r:id="rId10" w:type="default"/>
          <w:pgSz w:w="11900" w:h="16820"/>
          <w:pgMar w:top="1429" w:right="1782" w:bottom="1158" w:left="1450" w:header="0" w:footer="850" w:gutter="0"/>
          <w:cols w:space="720" w:num="1"/>
        </w:sectPr>
      </w:pPr>
    </w:p>
    <w:p w14:paraId="470DE5F6">
      <w:pPr>
        <w:spacing w:before="137"/>
        <w:ind w:firstLine="1301" w:firstLineChars="300"/>
        <w:jc w:val="both"/>
        <w:rPr>
          <w:rFonts w:ascii="仿宋" w:hAnsi="仿宋" w:eastAsia="仿宋" w:cs="黑体"/>
          <w:sz w:val="42"/>
          <w:szCs w:val="42"/>
          <w:lang w:eastAsia="zh-CN"/>
        </w:rPr>
      </w:pPr>
      <w:r>
        <w:rPr>
          <w:rFonts w:hint="eastAsia" w:ascii="仿宋" w:hAnsi="仿宋" w:eastAsia="仿宋" w:cs="黑体"/>
          <w:b/>
          <w:bCs/>
          <w:spacing w:val="6"/>
          <w:sz w:val="42"/>
          <w:szCs w:val="42"/>
          <w:lang w:eastAsia="zh-CN"/>
        </w:rPr>
        <w:t>经营性门面维修</w:t>
      </w:r>
      <w:r>
        <w:rPr>
          <w:rFonts w:ascii="仿宋" w:hAnsi="仿宋" w:eastAsia="仿宋" w:cs="黑体"/>
          <w:b/>
          <w:bCs/>
          <w:spacing w:val="6"/>
          <w:sz w:val="42"/>
          <w:szCs w:val="42"/>
          <w:lang w:eastAsia="zh-CN"/>
        </w:rPr>
        <w:t>项目支出绩效评价报告</w:t>
      </w:r>
    </w:p>
    <w:p w14:paraId="48BDD427">
      <w:pPr>
        <w:spacing w:before="190" w:line="227" w:lineRule="auto"/>
        <w:ind w:left="3670" w:firstLine="590"/>
        <w:rPr>
          <w:rFonts w:ascii="楷体" w:hAnsi="楷体" w:eastAsia="楷体" w:cs="楷体"/>
          <w:sz w:val="31"/>
          <w:szCs w:val="31"/>
          <w:lang w:eastAsia="zh-CN"/>
        </w:rPr>
      </w:pPr>
    </w:p>
    <w:p w14:paraId="77172576">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w:t>
      </w:r>
      <w:r>
        <w:rPr>
          <w:rFonts w:ascii="黑体" w:hAnsi="黑体" w:eastAsia="黑体" w:cs="黑体"/>
          <w:spacing w:val="-15"/>
          <w:sz w:val="31"/>
          <w:szCs w:val="31"/>
          <w:lang w:eastAsia="zh-CN"/>
        </w:rPr>
        <w:t xml:space="preserve"> </w:t>
      </w:r>
      <w:r>
        <w:rPr>
          <w:rFonts w:ascii="黑体" w:hAnsi="黑体" w:eastAsia="黑体" w:cs="黑体"/>
          <w:b/>
          <w:bCs/>
          <w:spacing w:val="-15"/>
          <w:sz w:val="31"/>
          <w:szCs w:val="31"/>
          <w:lang w:eastAsia="zh-CN"/>
        </w:rPr>
        <w:t>、项目支出基本情况</w:t>
      </w:r>
    </w:p>
    <w:p w14:paraId="370FD3B1">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(一)项目支出概况。</w:t>
      </w:r>
    </w:p>
    <w:p w14:paraId="7EEE15C0">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国资中心肩负着全市行政事业单位经营性门面收租的任务，由于相关租赁门面年久失修，破损严重，存在安全隐患，用该笔门面维修专项资金49.92万元，对相关经营性门面进行修缮，改善招租环境，提高门面的出租率，确保财政非税收入的增加。</w:t>
      </w:r>
    </w:p>
    <w:p w14:paraId="27F582AE">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14:paraId="5B0C4C54">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在项目管理过程中，资金使用的管理是非常重要的一环，合理有效的资金使用不仅可以保证项目的进展和成果的实现，也能提高项目管理的效率和信誉度。一是设立专门在的资金管理小组。二是制定详细的预算计划。三是实行三级审批制度。对于资金支出的第一个环节，都应当设置审核、审批和监督等环节，并做好相应的记录和备案。</w:t>
      </w:r>
    </w:p>
    <w:p w14:paraId="63C5A14A">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 xml:space="preserve"> (三)项目支出绩效目标完成程度</w:t>
      </w:r>
      <w:r>
        <w:rPr>
          <w:rFonts w:ascii="楷体" w:hAnsi="楷体" w:eastAsia="楷体" w:cs="楷体"/>
          <w:b/>
          <w:bCs/>
          <w:spacing w:val="6"/>
          <w:position w:val="16"/>
          <w:sz w:val="31"/>
          <w:szCs w:val="31"/>
          <w:lang w:eastAsia="zh-CN"/>
        </w:rPr>
        <w:t>。</w:t>
      </w:r>
    </w:p>
    <w:p w14:paraId="3CAD36F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规范国有资产的管理工作，加强国有企业的监管，确保国有资产安全、完整，确保国有资产保值、增值。市属机关事业单位经营性门面收租工作是国有资产保值、增值中的重要组成部分，经营性门面的修缮工作是提高收租率的重要保证。2024年全年以来，分别对军干所、原影剧院、教体局、体校、高泉小学、畜牧水产局等机关事业单位经营性门面零星修缮共计列支49.92万元，有效的提高了经营性门面的安全性和招租率，增强了租户的满意度，为完成全年的收入目标打下了坚实的基础。</w:t>
      </w:r>
    </w:p>
    <w:p w14:paraId="4FD14300">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051F4382">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一是绩效评价目的、对象和范围。严格督促项目实施和资金使用，切实发挥好财政资金使用效益，确保财政资金使用依法、规范、安全、高效，严格落实常政同责、一岗双责，认真履行安全监管职责。二是遵循的基本原则：科学规范、公正公开、分级分类、绩效相关等原则。</w:t>
      </w:r>
    </w:p>
    <w:p w14:paraId="75EFD7DC">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1A97D93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按照2024年度部门预算项目支出绩效自评工作的要求，国资中心对项目支出预算资金的经济性、效率性、有效性和可持性进行客观、公正的评价。通过自查，项目绩效目标合理，管理制度健全，项目质量控制达标，资金使用合理合规，没有发生专项资金的挤占、挪用、截流等违规现象。此次自评得分根据项目执行情况分指标进行评比，预算执行率类指标权重为10分，产出指标类指标权生重为30分，效益指标权重为40分，服务对象满意度指标类指标权重为10分，成本指标权重10分，总分100分，2024年度此专项绩效自评得分98分。</w:t>
      </w:r>
    </w:p>
    <w:p w14:paraId="1402E769">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2A55AE2C">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(一)项目支出决策情况</w:t>
      </w:r>
    </w:p>
    <w:p w14:paraId="6B584A2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为了更好的履行单位的职能职责，确保资产归集、资产处置以及经营性资产的保值增值，同时确保单位的正常运转，按惯列以报告形式申报，申报、批复程序符合相关管理办法。</w:t>
      </w:r>
    </w:p>
    <w:p w14:paraId="19FF5C57">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(二)项目执行过程情况</w:t>
      </w:r>
    </w:p>
    <w:p w14:paraId="73A69D94">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严格按照项目管理办法和资金使用制度，做到项目资金专款专用、按项目独立核算、无截留、挤占、挪用、虚列支出等情况发生。</w:t>
      </w:r>
    </w:p>
    <w:p w14:paraId="0E2ADD98">
      <w:pPr>
        <w:numPr>
          <w:ilvl w:val="0"/>
          <w:numId w:val="5"/>
        </w:num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项目支出产出情况</w:t>
      </w:r>
    </w:p>
    <w:p w14:paraId="70051D80">
      <w:pPr>
        <w:numPr>
          <w:numId w:val="0"/>
        </w:num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项目产发按照数量、质量、时效、成本等四个方面，根据项目各自情况，设置符合项目特点的三级产出指标、用于指导和跟踪项目工作开展。</w:t>
      </w:r>
    </w:p>
    <w:p w14:paraId="3B5FF66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(四)项目支出效益情况</w:t>
      </w:r>
    </w:p>
    <w:p w14:paraId="7C5D3A9F">
      <w:pPr>
        <w:spacing w:beforeLines="50" w:line="396" w:lineRule="auto"/>
        <w:ind w:left="15" w:leftChars="7" w:right="11" w:firstLine="640" w:firstLineChars="200"/>
        <w:rPr>
          <w:rFonts w:eastAsia="仿宋_GB2312"/>
          <w:sz w:val="32"/>
          <w:szCs w:val="32"/>
          <w:lang w:eastAsia="zh-CN"/>
        </w:rPr>
      </w:pPr>
      <w:r>
        <w:rPr>
          <w:rFonts w:hint="eastAsia" w:eastAsia="仿宋_GB2312"/>
          <w:sz w:val="32"/>
          <w:szCs w:val="32"/>
          <w:lang w:eastAsia="zh-CN"/>
        </w:rPr>
        <w:t>项目效益按照经济效益、社会效益、生态效益、可持续影响等四个方面，设置符合各项目际情况和特点的三级效益指标，用于指导和跟踪项目工作开展。</w:t>
      </w:r>
      <w:r>
        <w:rPr>
          <w:rFonts w:hint="eastAsia" w:ascii="仿宋" w:hAnsi="仿宋" w:eastAsia="仿宋" w:cs="仿宋"/>
          <w:spacing w:val="6"/>
          <w:sz w:val="29"/>
          <w:szCs w:val="29"/>
          <w:lang w:eastAsia="zh-CN"/>
        </w:rPr>
        <w:t xml:space="preserve">同时也做活了经营性资产，截止2024年12月底已完成机关事业单位179个经营性门面、住房的招租工作，共收取门面租金653.64万元。 </w:t>
      </w:r>
    </w:p>
    <w:p w14:paraId="27986210">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5AC99BD1">
      <w:pPr>
        <w:pStyle w:val="3"/>
        <w:spacing w:line="560" w:lineRule="exact"/>
        <w:ind w:firstLine="610"/>
        <w:rPr>
          <w:rFonts w:ascii="Arial" w:hAnsi="Arial" w:eastAsia="仿宋_GB2312" w:cs="Arial"/>
          <w:sz w:val="32"/>
          <w:szCs w:val="32"/>
          <w:lang w:eastAsia="zh-CN"/>
        </w:rPr>
      </w:pPr>
      <w:r>
        <w:rPr>
          <w:rFonts w:hint="eastAsia" w:ascii="Arial" w:hAnsi="Arial" w:eastAsia="仿宋_GB2312" w:cs="Arial"/>
          <w:sz w:val="32"/>
          <w:szCs w:val="32"/>
          <w:lang w:eastAsia="zh-CN"/>
        </w:rPr>
        <w:t xml:space="preserve">  一是细化预算编制工作，认真做好预算的编制。进一步加强内部预算管理意识，严格执照预算编制的相关制度和要求进行预算编制，全面编制预算项目，进一步提高预算编制的科学性、严谨性和可控性。</w:t>
      </w:r>
    </w:p>
    <w:p w14:paraId="5E58008C">
      <w:pPr>
        <w:pStyle w:val="3"/>
        <w:spacing w:line="560" w:lineRule="exact"/>
        <w:ind w:firstLine="610"/>
        <w:rPr>
          <w:rFonts w:ascii="Arial" w:hAnsi="Arial" w:eastAsia="仿宋_GB2312" w:cs="Arial"/>
          <w:sz w:val="32"/>
          <w:szCs w:val="32"/>
          <w:lang w:eastAsia="zh-CN"/>
        </w:rPr>
      </w:pPr>
      <w:r>
        <w:rPr>
          <w:rFonts w:hint="eastAsia" w:ascii="Arial" w:hAnsi="Arial" w:eastAsia="仿宋_GB2312" w:cs="Arial"/>
          <w:sz w:val="32"/>
          <w:szCs w:val="32"/>
          <w:lang w:eastAsia="zh-CN"/>
        </w:rPr>
        <w:t>二是加强财务管理，严格财务审核。按照专款专用列支，严格“三重一大”制度，对每笔项目的列支做到支前有研讨，杜绝超支现象的发生。</w:t>
      </w:r>
    </w:p>
    <w:p w14:paraId="74153FD6">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5AF2C19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今后，我单位将完善预算绩效管理相关制度，特别落实好部门好项目管理的责任，加强项目管理，不断提高预算项目绩效目标设置的科学性，并加大绩效运行监控的国度，及时调整绩效目标设定的偏差，客观公正对绩效结果进行评价，对绩效结果出现的问题及时整改，切实提高项目预算资金的管理水平和能力。</w:t>
      </w:r>
    </w:p>
    <w:p w14:paraId="422EFAA2">
      <w:pPr>
        <w:spacing w:line="560" w:lineRule="exact"/>
        <w:ind w:firstLine="562" w:firstLineChars="200"/>
        <w:outlineLvl w:val="0"/>
        <w:rPr>
          <w:rFonts w:hint="eastAsia" w:eastAsia="仿宋_GB2312"/>
          <w:sz w:val="32"/>
          <w:szCs w:val="32"/>
          <w:lang w:eastAsia="zh-CN"/>
        </w:rPr>
      </w:pPr>
      <w:r>
        <w:rPr>
          <w:rFonts w:ascii="黑体" w:hAnsi="黑体" w:eastAsia="黑体" w:cs="黑体"/>
          <w:b/>
          <w:bCs/>
          <w:spacing w:val="-15"/>
          <w:sz w:val="31"/>
          <w:szCs w:val="31"/>
          <w:lang w:eastAsia="zh-CN"/>
        </w:rPr>
        <w:t>七、其他需要说明的问题</w:t>
      </w: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 xml:space="preserve">   </w:t>
      </w:r>
      <w:r>
        <w:rPr>
          <w:rFonts w:hint="eastAsia" w:eastAsia="仿宋_GB2312"/>
          <w:sz w:val="32"/>
          <w:szCs w:val="32"/>
          <w:lang w:val="en-US" w:eastAsia="zh-CN"/>
        </w:rPr>
        <w:t>无</w:t>
      </w:r>
    </w:p>
    <w:sectPr>
      <w:footerReference r:id="rId11"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4"/>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952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5CAF36E">
        <w:pPr>
          <w:pStyle w:val="4"/>
          <w:jc w:val="right"/>
          <w:rPr>
            <w:rFonts w:asciiTheme="minorEastAsia" w:hAnsiTheme="minorEastAsia" w:eastAsiaTheme="minorEastAsia"/>
            <w:kern w:val="0"/>
          </w:rPr>
        </w:pPr>
      </w:p>
    </w:sdtContent>
  </w:sdt>
  <w:p w14:paraId="0898C1DD">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783E">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58A9">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019A5"/>
    <w:multiLevelType w:val="singleLevel"/>
    <w:tmpl w:val="931019A5"/>
    <w:lvl w:ilvl="0" w:tentative="0">
      <w:start w:val="2"/>
      <w:numFmt w:val="chineseCounting"/>
      <w:suff w:val="nothing"/>
      <w:lvlText w:val="（%1）"/>
      <w:lvlJc w:val="left"/>
      <w:rPr>
        <w:rFonts w:hint="eastAsia"/>
      </w:rPr>
    </w:lvl>
  </w:abstractNum>
  <w:abstractNum w:abstractNumId="1">
    <w:nsid w:val="E22CD133"/>
    <w:multiLevelType w:val="singleLevel"/>
    <w:tmpl w:val="E22CD133"/>
    <w:lvl w:ilvl="0" w:tentative="0">
      <w:start w:val="3"/>
      <w:numFmt w:val="chineseCounting"/>
      <w:lvlText w:val="(%1)"/>
      <w:lvlJc w:val="left"/>
      <w:pPr>
        <w:tabs>
          <w:tab w:val="left" w:pos="312"/>
        </w:tabs>
      </w:pPr>
      <w:rPr>
        <w:rFonts w:hint="eastAsia"/>
      </w:rPr>
    </w:lvl>
  </w:abstractNum>
  <w:abstractNum w:abstractNumId="2">
    <w:nsid w:val="E95E99DA"/>
    <w:multiLevelType w:val="singleLevel"/>
    <w:tmpl w:val="E95E99DA"/>
    <w:lvl w:ilvl="0" w:tentative="0">
      <w:start w:val="4"/>
      <w:numFmt w:val="chineseCounting"/>
      <w:suff w:val="nothing"/>
      <w:lvlText w:val="%1、"/>
      <w:lvlJc w:val="left"/>
      <w:rPr>
        <w:rFonts w:hint="eastAsia"/>
      </w:rPr>
    </w:lvl>
  </w:abstractNum>
  <w:abstractNum w:abstractNumId="3">
    <w:nsid w:val="FA3F9803"/>
    <w:multiLevelType w:val="singleLevel"/>
    <w:tmpl w:val="FA3F9803"/>
    <w:lvl w:ilvl="0" w:tentative="0">
      <w:start w:val="1"/>
      <w:numFmt w:val="chineseCounting"/>
      <w:suff w:val="nothing"/>
      <w:lvlText w:val="%1、"/>
      <w:lvlJc w:val="left"/>
      <w:rPr>
        <w:rFonts w:hint="eastAsia"/>
      </w:rPr>
    </w:lvl>
  </w:abstractNum>
  <w:abstractNum w:abstractNumId="4">
    <w:nsid w:val="4F22163A"/>
    <w:multiLevelType w:val="singleLevel"/>
    <w:tmpl w:val="4F22163A"/>
    <w:lvl w:ilvl="0" w:tentative="0">
      <w:start w:val="8"/>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09E6FDE"/>
    <w:rsid w:val="01966AF1"/>
    <w:rsid w:val="01AF3811"/>
    <w:rsid w:val="029872F3"/>
    <w:rsid w:val="03795BF7"/>
    <w:rsid w:val="03A90F48"/>
    <w:rsid w:val="04EC334C"/>
    <w:rsid w:val="086E756B"/>
    <w:rsid w:val="08B1198F"/>
    <w:rsid w:val="0ACF37E5"/>
    <w:rsid w:val="0B400BC6"/>
    <w:rsid w:val="0BDF05C2"/>
    <w:rsid w:val="0C2F3B02"/>
    <w:rsid w:val="0D8E2899"/>
    <w:rsid w:val="0E68228D"/>
    <w:rsid w:val="0EA6787F"/>
    <w:rsid w:val="0F5E3299"/>
    <w:rsid w:val="15276E52"/>
    <w:rsid w:val="178B0954"/>
    <w:rsid w:val="1806208F"/>
    <w:rsid w:val="185F1F41"/>
    <w:rsid w:val="18965C8F"/>
    <w:rsid w:val="19D32FBC"/>
    <w:rsid w:val="1B481CDF"/>
    <w:rsid w:val="1D907CC1"/>
    <w:rsid w:val="1DBD59E6"/>
    <w:rsid w:val="1DFE29B1"/>
    <w:rsid w:val="1E6A4395"/>
    <w:rsid w:val="20FA5C7A"/>
    <w:rsid w:val="22340741"/>
    <w:rsid w:val="22486A69"/>
    <w:rsid w:val="25557A3D"/>
    <w:rsid w:val="25F0369F"/>
    <w:rsid w:val="266A3452"/>
    <w:rsid w:val="26EA5ED7"/>
    <w:rsid w:val="272158EB"/>
    <w:rsid w:val="27A93B82"/>
    <w:rsid w:val="28E45203"/>
    <w:rsid w:val="2AE00186"/>
    <w:rsid w:val="2AF05EF0"/>
    <w:rsid w:val="2D130FEA"/>
    <w:rsid w:val="2EB23BE8"/>
    <w:rsid w:val="308216BE"/>
    <w:rsid w:val="318B0720"/>
    <w:rsid w:val="34FE1149"/>
    <w:rsid w:val="35EE6609"/>
    <w:rsid w:val="36145E52"/>
    <w:rsid w:val="36BD4AD5"/>
    <w:rsid w:val="38ED6470"/>
    <w:rsid w:val="399028AB"/>
    <w:rsid w:val="3A550786"/>
    <w:rsid w:val="3A816B64"/>
    <w:rsid w:val="3AEA70D7"/>
    <w:rsid w:val="3B7A130F"/>
    <w:rsid w:val="3F623CE6"/>
    <w:rsid w:val="40050F5F"/>
    <w:rsid w:val="40221B4A"/>
    <w:rsid w:val="41A65150"/>
    <w:rsid w:val="42337E48"/>
    <w:rsid w:val="42BD2703"/>
    <w:rsid w:val="44C45EDD"/>
    <w:rsid w:val="493D789B"/>
    <w:rsid w:val="494A1329"/>
    <w:rsid w:val="497A2972"/>
    <w:rsid w:val="4C0A26D1"/>
    <w:rsid w:val="4D787A11"/>
    <w:rsid w:val="4D907392"/>
    <w:rsid w:val="4F8B6063"/>
    <w:rsid w:val="50F25C6E"/>
    <w:rsid w:val="515E26B4"/>
    <w:rsid w:val="52FA3F96"/>
    <w:rsid w:val="55850F17"/>
    <w:rsid w:val="572F7DB5"/>
    <w:rsid w:val="57634F9C"/>
    <w:rsid w:val="57AE6D93"/>
    <w:rsid w:val="58E04635"/>
    <w:rsid w:val="59883613"/>
    <w:rsid w:val="5E3C4FFE"/>
    <w:rsid w:val="5FB623A7"/>
    <w:rsid w:val="6162474A"/>
    <w:rsid w:val="65842EE1"/>
    <w:rsid w:val="67A2714F"/>
    <w:rsid w:val="6BB1387F"/>
    <w:rsid w:val="6D075A1F"/>
    <w:rsid w:val="6E3851B0"/>
    <w:rsid w:val="6F03131A"/>
    <w:rsid w:val="6F81313D"/>
    <w:rsid w:val="700E61C9"/>
    <w:rsid w:val="72CF29B8"/>
    <w:rsid w:val="74A21596"/>
    <w:rsid w:val="74DB1CF1"/>
    <w:rsid w:val="7544268D"/>
    <w:rsid w:val="76E539FB"/>
    <w:rsid w:val="770976EA"/>
    <w:rsid w:val="773A5AF5"/>
    <w:rsid w:val="784167CA"/>
    <w:rsid w:val="795F7B03"/>
    <w:rsid w:val="796E5F2A"/>
    <w:rsid w:val="7CD26410"/>
    <w:rsid w:val="7CFA7150"/>
    <w:rsid w:val="7ED54355"/>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widowControl w:val="0"/>
      <w:kinsoku/>
      <w:autoSpaceDE/>
      <w:autoSpaceDN/>
      <w:adjustRightInd/>
      <w:snapToGrid/>
      <w:spacing w:line="560" w:lineRule="exact"/>
      <w:ind w:firstLine="880" w:firstLineChars="200"/>
      <w:textAlignment w:val="auto"/>
      <w:outlineLvl w:val="2"/>
    </w:pPr>
    <w:rPr>
      <w:rFonts w:ascii="Times New Roman" w:hAnsi="Times New Roman" w:eastAsia="楷体_GB2312" w:cstheme="minorBidi"/>
      <w:snapToGrid/>
      <w:color w:val="auto"/>
      <w:kern w:val="2"/>
      <w:sz w:val="21"/>
      <w:szCs w:val="2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
    <w:name w:val="正文1"/>
    <w:basedOn w:val="1"/>
    <w:qFormat/>
    <w:uiPriority w:val="0"/>
    <w:pPr>
      <w:kinsoku/>
      <w:autoSpaceDE/>
      <w:autoSpaceDN/>
      <w:adjustRightInd/>
      <w:snapToGrid/>
      <w:spacing w:line="240" w:lineRule="auto"/>
      <w:textAlignment w:val="auto"/>
    </w:pPr>
    <w:rPr>
      <w:rFonts w:ascii="Calibri" w:hAnsi="Calibri" w:eastAsia="宋体" w:cs="宋体"/>
      <w:snapToGrid/>
      <w:color w:val="auto"/>
      <w:kern w:val="2"/>
      <w:sz w:val="21"/>
      <w:szCs w:val="21"/>
    </w:rPr>
  </w:style>
  <w:style w:type="character" w:customStyle="1" w:styleId="13">
    <w:name w:val="15"/>
    <w:basedOn w:val="7"/>
    <w:qFormat/>
    <w:uiPriority w:val="0"/>
    <w:rPr>
      <w:rFonts w:hint="default" w:ascii="Calibri" w:hAnsi="Calibri"/>
      <w: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3768</Words>
  <Characters>4309</Characters>
  <TotalTime>1</TotalTime>
  <ScaleCrop>false</ScaleCrop>
  <LinksUpToDate>false</LinksUpToDate>
  <CharactersWithSpaces>4366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喻红辉</cp:lastModifiedBy>
  <cp:lastPrinted>2024-05-21T14:05:00Z</cp:lastPrinted>
  <dcterms:modified xsi:type="dcterms:W3CDTF">2025-09-19T02:54:07Z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eyJoZGlkIjoiNmM3NTFmZTZhNzhjY2MxYzMwZTU2YTg1YjFhZTJlMDMiLCJ1c2VySWQiOiIzMjExNTE1NjgifQ==</vt:lpwstr>
  </property>
</Properties>
</file>