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0.32</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0.29</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0.32</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0.29</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r>
              <w:rPr>
                <w:rFonts w:hint="eastAsia" w:ascii="仿宋_GB2312" w:eastAsia="仿宋_GB2312"/>
                <w:kern w:val="0"/>
                <w:lang w:val="en-US" w:eastAsia="zh-CN"/>
              </w:rPr>
              <w:t>3297</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1501.46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79.74</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64.34</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62.88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vAlign w:val="center"/>
          </w:tcPr>
          <w:p w14:paraId="2C631A9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63.88</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vAlign w:val="center"/>
          </w:tcPr>
          <w:p w14:paraId="7BF1871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11.61</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vAlign w:val="center"/>
          </w:tcPr>
          <w:p w14:paraId="228A6C5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3.93</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vAlign w:val="center"/>
          </w:tcPr>
          <w:p w14:paraId="0BB04A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6.84</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lang w:eastAsia="zh-CN"/>
              </w:rPr>
              <w:t>落实八项规定，厉行勤俭节约，严格控制各项费用支出</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汨罗市农业综合技术推广中心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507.14</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1997.83</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1997.83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1705.83</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496.37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292</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1501.46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left"/>
              <w:rPr>
                <w:rFonts w:ascii="仿宋_GB2312" w:eastAsia="仿宋_GB2312"/>
                <w:kern w:val="0"/>
              </w:rPr>
            </w:pPr>
            <w:r>
              <w:rPr>
                <w:rFonts w:hint="eastAsia" w:ascii="仿宋_GB2312" w:eastAsia="仿宋_GB2312"/>
                <w:kern w:val="0"/>
              </w:rPr>
              <w:t>1、年内补贴农机具</w:t>
            </w:r>
            <w:r>
              <w:rPr>
                <w:rFonts w:hint="eastAsia" w:ascii="仿宋_GB2312" w:eastAsia="仿宋_GB2312"/>
                <w:kern w:val="0"/>
                <w:lang w:val="en-US" w:eastAsia="zh-CN"/>
              </w:rPr>
              <w:t>910</w:t>
            </w:r>
            <w:r>
              <w:rPr>
                <w:rFonts w:hint="eastAsia" w:ascii="仿宋_GB2312" w:eastAsia="仿宋_GB2312"/>
                <w:kern w:val="0"/>
              </w:rPr>
              <w:t>台（套）。                                                                                                                                                      2、年内水稻生产全程机械化水平提高</w:t>
            </w:r>
            <w:r>
              <w:rPr>
                <w:rFonts w:hint="eastAsia" w:ascii="仿宋_GB2312" w:eastAsia="仿宋_GB2312"/>
                <w:kern w:val="0"/>
                <w:lang w:val="en-US" w:eastAsia="zh-CN"/>
              </w:rPr>
              <w:t>1.9</w:t>
            </w:r>
            <w:r>
              <w:rPr>
                <w:rFonts w:hint="eastAsia" w:ascii="仿宋_GB2312" w:eastAsia="仿宋_GB2312"/>
                <w:kern w:val="0"/>
              </w:rPr>
              <w:t>%。                                                                                                                                                                                                                                                                                           3、创建省级平安农机示范乡镇</w:t>
            </w:r>
            <w:r>
              <w:rPr>
                <w:rFonts w:hint="eastAsia" w:ascii="仿宋_GB2312" w:eastAsia="仿宋_GB2312"/>
                <w:kern w:val="0"/>
                <w:lang w:val="en-US" w:eastAsia="zh-CN"/>
              </w:rPr>
              <w:t>3</w:t>
            </w:r>
            <w:r>
              <w:rPr>
                <w:rFonts w:hint="eastAsia" w:ascii="仿宋_GB2312" w:eastAsia="仿宋_GB2312"/>
                <w:kern w:val="0"/>
              </w:rPr>
              <w:t>个。                                                                                                                                               4、</w:t>
            </w:r>
            <w:r>
              <w:rPr>
                <w:rFonts w:hint="eastAsia" w:ascii="仿宋_GB2312" w:eastAsia="仿宋_GB2312"/>
                <w:kern w:val="0"/>
                <w:lang w:val="en-US" w:eastAsia="zh-CN"/>
              </w:rPr>
              <w:t xml:space="preserve"> </w:t>
            </w:r>
            <w:r>
              <w:rPr>
                <w:rFonts w:hint="eastAsia" w:ascii="仿宋_GB2312" w:eastAsia="仿宋_GB2312"/>
                <w:kern w:val="0"/>
              </w:rPr>
              <w:t>完成省农业农村厅下达水稻机插机抛作业任务</w:t>
            </w:r>
            <w:r>
              <w:rPr>
                <w:rFonts w:hint="eastAsia" w:ascii="仿宋_GB2312" w:eastAsia="仿宋_GB2312"/>
                <w:kern w:val="0"/>
                <w:lang w:val="en-US" w:eastAsia="zh-CN"/>
              </w:rPr>
              <w:t xml:space="preserve">6.5 </w:t>
            </w:r>
            <w:r>
              <w:rPr>
                <w:rFonts w:hint="eastAsia" w:ascii="仿宋_GB2312" w:eastAsia="仿宋_GB2312"/>
                <w:kern w:val="0"/>
              </w:rPr>
              <w:t>万亩 。                                                                                                                        5、年内完成农机安全年检5</w:t>
            </w:r>
            <w:r>
              <w:rPr>
                <w:rFonts w:hint="eastAsia" w:ascii="仿宋_GB2312" w:eastAsia="仿宋_GB2312"/>
                <w:kern w:val="0"/>
                <w:lang w:val="en-US" w:eastAsia="zh-CN"/>
              </w:rPr>
              <w:t>95</w:t>
            </w:r>
            <w:r>
              <w:rPr>
                <w:rFonts w:hint="eastAsia" w:ascii="仿宋_GB2312" w:eastAsia="仿宋_GB2312"/>
                <w:kern w:val="0"/>
              </w:rPr>
              <w:t>台。</w:t>
            </w:r>
          </w:p>
        </w:tc>
        <w:tc>
          <w:tcPr>
            <w:tcW w:w="4260" w:type="dxa"/>
            <w:gridSpan w:val="4"/>
            <w:vAlign w:val="center"/>
          </w:tcPr>
          <w:p w14:paraId="156E0DC0">
            <w:pPr>
              <w:spacing w:line="240" w:lineRule="auto"/>
              <w:jc w:val="left"/>
              <w:rPr>
                <w:rFonts w:ascii="仿宋_GB2312" w:eastAsia="仿宋_GB2312"/>
                <w:kern w:val="0"/>
              </w:rPr>
            </w:pPr>
            <w:r>
              <w:rPr>
                <w:rFonts w:hint="eastAsia" w:ascii="仿宋_GB2312" w:eastAsia="仿宋_GB2312"/>
                <w:kern w:val="0"/>
              </w:rPr>
              <w:t>1、年内补贴农机具 10</w:t>
            </w:r>
            <w:r>
              <w:rPr>
                <w:rFonts w:hint="eastAsia" w:ascii="仿宋_GB2312" w:eastAsia="仿宋_GB2312"/>
                <w:kern w:val="0"/>
                <w:lang w:val="en-US" w:eastAsia="zh-CN"/>
              </w:rPr>
              <w:t>12</w:t>
            </w:r>
            <w:r>
              <w:rPr>
                <w:rFonts w:hint="eastAsia" w:ascii="仿宋_GB2312" w:eastAsia="仿宋_GB2312"/>
                <w:kern w:val="0"/>
              </w:rPr>
              <w:t>台（套）。                                                                                             2、年内水稻生产全程机械化水平提高2.</w:t>
            </w:r>
            <w:r>
              <w:rPr>
                <w:rFonts w:hint="eastAsia" w:ascii="仿宋_GB2312" w:eastAsia="仿宋_GB2312"/>
                <w:kern w:val="0"/>
                <w:lang w:val="en-US" w:eastAsia="zh-CN"/>
              </w:rPr>
              <w:t>1</w:t>
            </w:r>
            <w:r>
              <w:rPr>
                <w:rFonts w:hint="eastAsia" w:ascii="仿宋_GB2312" w:eastAsia="仿宋_GB2312"/>
                <w:kern w:val="0"/>
              </w:rPr>
              <w:t>%。                                                                                                                                                                                 3、创建省级平安农机示范乡镇</w:t>
            </w:r>
            <w:r>
              <w:rPr>
                <w:rFonts w:hint="eastAsia" w:ascii="仿宋_GB2312" w:eastAsia="仿宋_GB2312"/>
                <w:kern w:val="0"/>
                <w:lang w:val="en-US" w:eastAsia="zh-CN"/>
              </w:rPr>
              <w:t>3</w:t>
            </w:r>
            <w:r>
              <w:rPr>
                <w:rFonts w:hint="eastAsia" w:ascii="仿宋_GB2312" w:eastAsia="仿宋_GB2312"/>
                <w:kern w:val="0"/>
              </w:rPr>
              <w:t>个。                                                                                        4、完成机抛机插作业</w:t>
            </w:r>
            <w:r>
              <w:rPr>
                <w:rFonts w:hint="eastAsia" w:ascii="仿宋_GB2312" w:eastAsia="仿宋_GB2312"/>
                <w:kern w:val="0"/>
                <w:lang w:val="en-US" w:eastAsia="zh-CN"/>
              </w:rPr>
              <w:t>10.3</w:t>
            </w:r>
            <w:r>
              <w:rPr>
                <w:rFonts w:hint="eastAsia" w:ascii="仿宋_GB2312" w:eastAsia="仿宋_GB2312"/>
                <w:kern w:val="0"/>
              </w:rPr>
              <w:t>万亩  。                                                                                                   5、年内完成农机安全年检</w:t>
            </w:r>
            <w:r>
              <w:rPr>
                <w:rFonts w:hint="eastAsia" w:ascii="仿宋_GB2312" w:eastAsia="仿宋_GB2312"/>
                <w:kern w:val="0"/>
                <w:lang w:val="en-US" w:eastAsia="zh-CN"/>
              </w:rPr>
              <w:t>606</w:t>
            </w:r>
            <w:r>
              <w:rPr>
                <w:rFonts w:hint="eastAsia" w:ascii="仿宋_GB2312" w:eastAsia="仿宋_GB2312"/>
                <w:kern w:val="0"/>
              </w:rPr>
              <w:t>台。</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vAlign w:val="center"/>
          </w:tcPr>
          <w:p w14:paraId="785EE4B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年内补贴农机具</w:t>
            </w:r>
          </w:p>
        </w:tc>
        <w:tc>
          <w:tcPr>
            <w:tcW w:w="1298" w:type="dxa"/>
            <w:shd w:val="clear"/>
            <w:vAlign w:val="center"/>
          </w:tcPr>
          <w:p w14:paraId="2A37482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 xml:space="preserve"> 910台（套）</w:t>
            </w:r>
          </w:p>
        </w:tc>
        <w:tc>
          <w:tcPr>
            <w:tcW w:w="1269" w:type="dxa"/>
            <w:shd w:val="clear"/>
            <w:vAlign w:val="center"/>
          </w:tcPr>
          <w:p w14:paraId="708D788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 xml:space="preserve">  1012台（套）</w:t>
            </w:r>
          </w:p>
        </w:tc>
        <w:tc>
          <w:tcPr>
            <w:tcW w:w="699" w:type="dxa"/>
            <w:shd w:val="clear" w:color="auto" w:fill="auto"/>
            <w:vAlign w:val="center"/>
          </w:tcPr>
          <w:p w14:paraId="567F5E5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2717B7C4">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7CF9B18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vAlign w:val="center"/>
          </w:tcPr>
          <w:p w14:paraId="35E485C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农机安全年检</w:t>
            </w:r>
          </w:p>
        </w:tc>
        <w:tc>
          <w:tcPr>
            <w:tcW w:w="1298" w:type="dxa"/>
            <w:shd w:val="clear"/>
            <w:vAlign w:val="center"/>
          </w:tcPr>
          <w:p w14:paraId="15CE1D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595台</w:t>
            </w:r>
          </w:p>
        </w:tc>
        <w:tc>
          <w:tcPr>
            <w:tcW w:w="1269" w:type="dxa"/>
            <w:shd w:val="clear"/>
            <w:vAlign w:val="center"/>
          </w:tcPr>
          <w:p w14:paraId="346D111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606台</w:t>
            </w:r>
          </w:p>
        </w:tc>
        <w:tc>
          <w:tcPr>
            <w:tcW w:w="699" w:type="dxa"/>
            <w:shd w:val="clear" w:color="auto" w:fill="auto"/>
            <w:vAlign w:val="center"/>
          </w:tcPr>
          <w:p w14:paraId="4812C5E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4266548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01001FE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vAlign w:val="center"/>
          </w:tcPr>
          <w:p w14:paraId="10423A4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2024年12月30日前完成</w:t>
            </w:r>
          </w:p>
        </w:tc>
        <w:tc>
          <w:tcPr>
            <w:tcW w:w="1298" w:type="dxa"/>
            <w:shd w:val="clear" w:color="auto" w:fill="auto"/>
            <w:vAlign w:val="center"/>
          </w:tcPr>
          <w:p w14:paraId="1A5ADA3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按时完成</w:t>
            </w:r>
          </w:p>
        </w:tc>
        <w:tc>
          <w:tcPr>
            <w:tcW w:w="1269" w:type="dxa"/>
            <w:shd w:val="clear" w:color="auto" w:fill="auto"/>
            <w:vAlign w:val="center"/>
          </w:tcPr>
          <w:p w14:paraId="54075F0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699" w:type="dxa"/>
            <w:shd w:val="clear" w:color="auto" w:fill="auto"/>
            <w:vAlign w:val="center"/>
          </w:tcPr>
          <w:p w14:paraId="5580FC8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0982B11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09E0DC5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水稻机插机抛节省成本</w:t>
            </w:r>
          </w:p>
        </w:tc>
        <w:tc>
          <w:tcPr>
            <w:tcW w:w="1298" w:type="dxa"/>
            <w:shd w:val="clear" w:color="auto" w:fill="auto"/>
            <w:vAlign w:val="center"/>
          </w:tcPr>
          <w:p w14:paraId="33DF5A2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每亩80元</w:t>
            </w:r>
          </w:p>
        </w:tc>
        <w:tc>
          <w:tcPr>
            <w:tcW w:w="1269" w:type="dxa"/>
            <w:shd w:val="clear" w:color="auto" w:fill="auto"/>
            <w:vAlign w:val="center"/>
          </w:tcPr>
          <w:p w14:paraId="4F080A0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每亩60元</w:t>
            </w:r>
          </w:p>
        </w:tc>
        <w:tc>
          <w:tcPr>
            <w:tcW w:w="699" w:type="dxa"/>
            <w:shd w:val="clear" w:color="auto" w:fill="auto"/>
            <w:vAlign w:val="center"/>
          </w:tcPr>
          <w:p w14:paraId="155F4AE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2A22618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3D7116F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年内完成水稻机插机抛作业任务</w:t>
            </w:r>
          </w:p>
        </w:tc>
        <w:tc>
          <w:tcPr>
            <w:tcW w:w="1298" w:type="dxa"/>
            <w:shd w:val="clear" w:color="auto" w:fill="auto"/>
            <w:vAlign w:val="center"/>
          </w:tcPr>
          <w:p w14:paraId="479FA5D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6万亩</w:t>
            </w:r>
          </w:p>
        </w:tc>
        <w:tc>
          <w:tcPr>
            <w:tcW w:w="1269" w:type="dxa"/>
            <w:shd w:val="clear" w:color="auto" w:fill="auto"/>
            <w:vAlign w:val="center"/>
          </w:tcPr>
          <w:p w14:paraId="5C1B340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10.5万亩</w:t>
            </w:r>
          </w:p>
        </w:tc>
        <w:tc>
          <w:tcPr>
            <w:tcW w:w="699" w:type="dxa"/>
            <w:shd w:val="clear" w:color="auto" w:fill="auto"/>
            <w:vAlign w:val="center"/>
          </w:tcPr>
          <w:p w14:paraId="4C56B99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5DA3483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7BF8C6A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农机作业减少农药化肥施用</w:t>
            </w:r>
          </w:p>
        </w:tc>
        <w:tc>
          <w:tcPr>
            <w:tcW w:w="1298" w:type="dxa"/>
            <w:shd w:val="clear" w:color="auto" w:fill="auto"/>
            <w:vAlign w:val="center"/>
          </w:tcPr>
          <w:p w14:paraId="7A000B2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2.5%</w:t>
            </w:r>
          </w:p>
        </w:tc>
        <w:tc>
          <w:tcPr>
            <w:tcW w:w="1269" w:type="dxa"/>
            <w:shd w:val="clear" w:color="auto" w:fill="auto"/>
            <w:vAlign w:val="center"/>
          </w:tcPr>
          <w:p w14:paraId="494C6CF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3.2%</w:t>
            </w:r>
          </w:p>
        </w:tc>
        <w:tc>
          <w:tcPr>
            <w:tcW w:w="699" w:type="dxa"/>
            <w:shd w:val="clear" w:color="auto" w:fill="auto"/>
            <w:vAlign w:val="center"/>
          </w:tcPr>
          <w:p w14:paraId="37EBC3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0E73072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5672D5D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水稻生产全程机械化水平提高</w:t>
            </w:r>
          </w:p>
        </w:tc>
        <w:tc>
          <w:tcPr>
            <w:tcW w:w="1298" w:type="dxa"/>
            <w:shd w:val="clear" w:color="auto" w:fill="auto"/>
            <w:vAlign w:val="center"/>
          </w:tcPr>
          <w:p w14:paraId="078289F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1.8%</w:t>
            </w:r>
          </w:p>
        </w:tc>
        <w:tc>
          <w:tcPr>
            <w:tcW w:w="1269" w:type="dxa"/>
            <w:shd w:val="clear" w:color="auto" w:fill="auto"/>
            <w:vAlign w:val="center"/>
          </w:tcPr>
          <w:p w14:paraId="7A453B8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2.2%</w:t>
            </w:r>
          </w:p>
        </w:tc>
        <w:tc>
          <w:tcPr>
            <w:tcW w:w="699" w:type="dxa"/>
            <w:shd w:val="clear" w:color="auto" w:fill="auto"/>
            <w:vAlign w:val="center"/>
          </w:tcPr>
          <w:p w14:paraId="415A3F6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2AC58B9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63D4399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农民群众满意度</w:t>
            </w:r>
          </w:p>
        </w:tc>
        <w:tc>
          <w:tcPr>
            <w:tcW w:w="1298" w:type="dxa"/>
            <w:shd w:val="clear" w:color="auto" w:fill="auto"/>
            <w:vAlign w:val="center"/>
          </w:tcPr>
          <w:p w14:paraId="54DB100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95%</w:t>
            </w:r>
          </w:p>
        </w:tc>
        <w:tc>
          <w:tcPr>
            <w:tcW w:w="1269" w:type="dxa"/>
            <w:shd w:val="clear" w:color="auto" w:fill="auto"/>
            <w:vAlign w:val="center"/>
          </w:tcPr>
          <w:p w14:paraId="40D8D42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98%</w:t>
            </w:r>
          </w:p>
        </w:tc>
        <w:tc>
          <w:tcPr>
            <w:tcW w:w="699" w:type="dxa"/>
            <w:shd w:val="clear" w:color="auto" w:fill="auto"/>
            <w:vAlign w:val="center"/>
          </w:tcPr>
          <w:p w14:paraId="12404D4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6DE220A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6004A8B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农机安全年检减少农机维修成本</w:t>
            </w:r>
          </w:p>
        </w:tc>
        <w:tc>
          <w:tcPr>
            <w:tcW w:w="1298" w:type="dxa"/>
            <w:shd w:val="clear" w:color="auto" w:fill="auto"/>
            <w:vAlign w:val="center"/>
          </w:tcPr>
          <w:p w14:paraId="6E8C487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8万元</w:t>
            </w:r>
          </w:p>
        </w:tc>
        <w:tc>
          <w:tcPr>
            <w:tcW w:w="1269" w:type="dxa"/>
            <w:shd w:val="clear" w:color="auto" w:fill="auto"/>
            <w:vAlign w:val="center"/>
          </w:tcPr>
          <w:p w14:paraId="4886005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10万元</w:t>
            </w:r>
          </w:p>
        </w:tc>
        <w:tc>
          <w:tcPr>
            <w:tcW w:w="699" w:type="dxa"/>
            <w:shd w:val="clear" w:color="auto" w:fill="auto"/>
            <w:vAlign w:val="center"/>
          </w:tcPr>
          <w:p w14:paraId="75FAE41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3309901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w:t>
            </w:r>
          </w:p>
        </w:tc>
        <w:tc>
          <w:tcPr>
            <w:tcW w:w="1423" w:type="dxa"/>
            <w:shd w:val="clear" w:color="auto" w:fill="auto"/>
            <w:vAlign w:val="center"/>
          </w:tcPr>
          <w:p w14:paraId="4D65F26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耕种收机械化单季作业成本</w:t>
            </w:r>
          </w:p>
        </w:tc>
        <w:tc>
          <w:tcPr>
            <w:tcW w:w="1298" w:type="dxa"/>
            <w:shd w:val="clear" w:color="auto" w:fill="auto"/>
            <w:vAlign w:val="center"/>
          </w:tcPr>
          <w:p w14:paraId="610F1A2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每亩300元</w:t>
            </w:r>
          </w:p>
        </w:tc>
        <w:tc>
          <w:tcPr>
            <w:tcW w:w="1269" w:type="dxa"/>
            <w:shd w:val="clear" w:color="auto" w:fill="auto"/>
            <w:vAlign w:val="center"/>
          </w:tcPr>
          <w:p w14:paraId="4AC0299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每亩320元</w:t>
            </w:r>
          </w:p>
        </w:tc>
        <w:tc>
          <w:tcPr>
            <w:tcW w:w="699" w:type="dxa"/>
            <w:shd w:val="clear" w:color="auto" w:fill="auto"/>
            <w:vAlign w:val="center"/>
          </w:tcPr>
          <w:p w14:paraId="56C66ED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14AC289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759B9D1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农机报废更新减少农民新购农机成本</w:t>
            </w:r>
          </w:p>
        </w:tc>
        <w:tc>
          <w:tcPr>
            <w:tcW w:w="1298" w:type="dxa"/>
            <w:shd w:val="clear" w:color="auto" w:fill="auto"/>
            <w:vAlign w:val="center"/>
          </w:tcPr>
          <w:p w14:paraId="45B96CB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120万元</w:t>
            </w:r>
          </w:p>
        </w:tc>
        <w:tc>
          <w:tcPr>
            <w:tcW w:w="1269" w:type="dxa"/>
            <w:shd w:val="clear" w:color="auto" w:fill="auto"/>
            <w:vAlign w:val="center"/>
          </w:tcPr>
          <w:p w14:paraId="35C3564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135万元</w:t>
            </w:r>
          </w:p>
        </w:tc>
        <w:tc>
          <w:tcPr>
            <w:tcW w:w="699" w:type="dxa"/>
            <w:shd w:val="clear" w:color="auto" w:fill="auto"/>
            <w:vAlign w:val="center"/>
          </w:tcPr>
          <w:p w14:paraId="6A82224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73C931F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0E6767B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年内补贴农机具</w:t>
            </w:r>
          </w:p>
        </w:tc>
        <w:tc>
          <w:tcPr>
            <w:tcW w:w="1298" w:type="dxa"/>
            <w:shd w:val="clear" w:color="auto" w:fill="auto"/>
            <w:vAlign w:val="center"/>
          </w:tcPr>
          <w:p w14:paraId="1F4912D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 xml:space="preserve"> 900台（套）</w:t>
            </w:r>
          </w:p>
        </w:tc>
        <w:tc>
          <w:tcPr>
            <w:tcW w:w="1269" w:type="dxa"/>
            <w:shd w:val="clear" w:color="auto" w:fill="auto"/>
            <w:vAlign w:val="center"/>
          </w:tcPr>
          <w:p w14:paraId="53DC032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 xml:space="preserve">    1001台（套）</w:t>
            </w:r>
          </w:p>
        </w:tc>
        <w:tc>
          <w:tcPr>
            <w:tcW w:w="699" w:type="dxa"/>
            <w:shd w:val="clear" w:color="auto" w:fill="auto"/>
            <w:vAlign w:val="center"/>
          </w:tcPr>
          <w:p w14:paraId="5664813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44C2501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3B6320B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农机安全年检</w:t>
            </w:r>
          </w:p>
        </w:tc>
        <w:tc>
          <w:tcPr>
            <w:tcW w:w="1298" w:type="dxa"/>
            <w:shd w:val="clear" w:color="auto" w:fill="auto"/>
            <w:vAlign w:val="center"/>
          </w:tcPr>
          <w:p w14:paraId="055B34E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586台</w:t>
            </w:r>
          </w:p>
        </w:tc>
        <w:tc>
          <w:tcPr>
            <w:tcW w:w="1269" w:type="dxa"/>
            <w:shd w:val="clear" w:color="auto" w:fill="auto"/>
            <w:vAlign w:val="center"/>
          </w:tcPr>
          <w:p w14:paraId="46B4146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603台</w:t>
            </w:r>
          </w:p>
        </w:tc>
        <w:tc>
          <w:tcPr>
            <w:tcW w:w="699" w:type="dxa"/>
            <w:shd w:val="clear" w:color="auto" w:fill="auto"/>
            <w:vAlign w:val="center"/>
          </w:tcPr>
          <w:p w14:paraId="447C4D9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71C7C72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4</w:t>
            </w:r>
          </w:p>
        </w:tc>
        <w:tc>
          <w:tcPr>
            <w:tcW w:w="1423" w:type="dxa"/>
            <w:shd w:val="clear" w:color="auto" w:fill="auto"/>
            <w:vAlign w:val="center"/>
          </w:tcPr>
          <w:p w14:paraId="04D49FF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2024年12月30日前完成</w:t>
            </w:r>
          </w:p>
        </w:tc>
        <w:tc>
          <w:tcPr>
            <w:tcW w:w="1298" w:type="dxa"/>
            <w:shd w:val="clear" w:color="auto" w:fill="auto"/>
            <w:vAlign w:val="center"/>
          </w:tcPr>
          <w:p w14:paraId="5BB249F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按时完成</w:t>
            </w:r>
          </w:p>
        </w:tc>
        <w:tc>
          <w:tcPr>
            <w:tcW w:w="1269" w:type="dxa"/>
            <w:shd w:val="clear" w:color="auto" w:fill="auto"/>
            <w:vAlign w:val="center"/>
          </w:tcPr>
          <w:p w14:paraId="54B7E67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699" w:type="dxa"/>
            <w:shd w:val="clear" w:color="auto" w:fill="auto"/>
            <w:vAlign w:val="center"/>
          </w:tcPr>
          <w:p w14:paraId="5CB64A1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006A718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w:t>
            </w:r>
          </w:p>
        </w:tc>
        <w:tc>
          <w:tcPr>
            <w:tcW w:w="1423" w:type="dxa"/>
            <w:shd w:val="clear" w:color="auto" w:fill="auto"/>
            <w:vAlign w:val="center"/>
          </w:tcPr>
          <w:p w14:paraId="04C6D29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水稻机插机抛节省成本</w:t>
            </w:r>
          </w:p>
        </w:tc>
        <w:tc>
          <w:tcPr>
            <w:tcW w:w="1298" w:type="dxa"/>
            <w:shd w:val="clear" w:color="auto" w:fill="auto"/>
            <w:vAlign w:val="center"/>
          </w:tcPr>
          <w:p w14:paraId="6ABEB3E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每亩80元</w:t>
            </w:r>
          </w:p>
        </w:tc>
        <w:tc>
          <w:tcPr>
            <w:tcW w:w="1269" w:type="dxa"/>
            <w:shd w:val="clear" w:color="auto" w:fill="auto"/>
            <w:vAlign w:val="center"/>
          </w:tcPr>
          <w:p w14:paraId="31B5B32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每亩60元</w:t>
            </w:r>
          </w:p>
        </w:tc>
        <w:tc>
          <w:tcPr>
            <w:tcW w:w="699" w:type="dxa"/>
            <w:shd w:val="clear" w:color="auto" w:fill="auto"/>
            <w:vAlign w:val="center"/>
          </w:tcPr>
          <w:p w14:paraId="41D3F37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19FFC8C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423" w:type="dxa"/>
            <w:shd w:val="clear" w:color="auto" w:fill="auto"/>
            <w:vAlign w:val="center"/>
          </w:tcPr>
          <w:p w14:paraId="0412303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年内完成水稻机插机抛作业任务</w:t>
            </w:r>
          </w:p>
        </w:tc>
        <w:tc>
          <w:tcPr>
            <w:tcW w:w="1298" w:type="dxa"/>
            <w:shd w:val="clear" w:color="auto" w:fill="auto"/>
            <w:vAlign w:val="center"/>
          </w:tcPr>
          <w:p w14:paraId="5D1571F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6万亩</w:t>
            </w:r>
          </w:p>
        </w:tc>
        <w:tc>
          <w:tcPr>
            <w:tcW w:w="1269" w:type="dxa"/>
            <w:shd w:val="clear" w:color="auto" w:fill="auto"/>
            <w:vAlign w:val="center"/>
          </w:tcPr>
          <w:p w14:paraId="14AA98D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10.5万亩</w:t>
            </w:r>
          </w:p>
        </w:tc>
        <w:tc>
          <w:tcPr>
            <w:tcW w:w="699" w:type="dxa"/>
            <w:shd w:val="clear" w:color="auto" w:fill="auto"/>
            <w:vAlign w:val="center"/>
          </w:tcPr>
          <w:p w14:paraId="45F3183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69" w:type="dxa"/>
            <w:shd w:val="clear" w:color="auto" w:fill="auto"/>
            <w:vAlign w:val="center"/>
          </w:tcPr>
          <w:p w14:paraId="3D62FDE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w:t>
            </w:r>
          </w:p>
        </w:tc>
        <w:tc>
          <w:tcPr>
            <w:tcW w:w="1423" w:type="dxa"/>
            <w:shd w:val="clear" w:color="auto" w:fill="auto"/>
            <w:vAlign w:val="center"/>
          </w:tcPr>
          <w:p w14:paraId="57DECFD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农机作业减少农药化肥施用</w:t>
            </w:r>
          </w:p>
        </w:tc>
        <w:tc>
          <w:tcPr>
            <w:tcW w:w="1298" w:type="dxa"/>
            <w:shd w:val="clear" w:color="auto" w:fill="auto"/>
            <w:vAlign w:val="center"/>
          </w:tcPr>
          <w:p w14:paraId="3D4C98A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2.5%</w:t>
            </w:r>
          </w:p>
        </w:tc>
        <w:tc>
          <w:tcPr>
            <w:tcW w:w="1269" w:type="dxa"/>
            <w:shd w:val="clear" w:color="auto" w:fill="auto"/>
            <w:vAlign w:val="center"/>
          </w:tcPr>
          <w:p w14:paraId="2FC22B0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3.2%</w:t>
            </w:r>
          </w:p>
        </w:tc>
        <w:tc>
          <w:tcPr>
            <w:tcW w:w="699" w:type="dxa"/>
            <w:shd w:val="clear" w:color="auto" w:fill="auto"/>
            <w:vAlign w:val="center"/>
          </w:tcPr>
          <w:p w14:paraId="2971108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w:t>
            </w:r>
          </w:p>
        </w:tc>
        <w:tc>
          <w:tcPr>
            <w:tcW w:w="869" w:type="dxa"/>
            <w:shd w:val="clear" w:color="auto" w:fill="auto"/>
            <w:vAlign w:val="center"/>
          </w:tcPr>
          <w:p w14:paraId="7760B7D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w:t>
            </w:r>
          </w:p>
        </w:tc>
        <w:tc>
          <w:tcPr>
            <w:tcW w:w="1423" w:type="dxa"/>
            <w:shd w:val="clear" w:color="auto" w:fill="auto"/>
            <w:vAlign w:val="center"/>
          </w:tcPr>
          <w:p w14:paraId="340A98D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水稻生产全程机械化水平提高</w:t>
            </w:r>
          </w:p>
        </w:tc>
        <w:tc>
          <w:tcPr>
            <w:tcW w:w="1298" w:type="dxa"/>
            <w:shd w:val="clear" w:color="auto" w:fill="auto"/>
            <w:vAlign w:val="center"/>
          </w:tcPr>
          <w:p w14:paraId="15ECA8D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1.8%</w:t>
            </w:r>
          </w:p>
        </w:tc>
        <w:tc>
          <w:tcPr>
            <w:tcW w:w="1269" w:type="dxa"/>
            <w:shd w:val="clear" w:color="auto" w:fill="auto"/>
            <w:vAlign w:val="center"/>
          </w:tcPr>
          <w:p w14:paraId="3C32824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2.2%</w:t>
            </w:r>
          </w:p>
        </w:tc>
        <w:tc>
          <w:tcPr>
            <w:tcW w:w="699" w:type="dxa"/>
            <w:shd w:val="clear" w:color="auto" w:fill="auto"/>
            <w:vAlign w:val="center"/>
          </w:tcPr>
          <w:p w14:paraId="42BD2B9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w:t>
            </w:r>
          </w:p>
        </w:tc>
        <w:tc>
          <w:tcPr>
            <w:tcW w:w="869" w:type="dxa"/>
            <w:shd w:val="clear" w:color="auto" w:fill="auto"/>
            <w:vAlign w:val="center"/>
          </w:tcPr>
          <w:p w14:paraId="786F430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w:t>
            </w:r>
          </w:p>
        </w:tc>
        <w:tc>
          <w:tcPr>
            <w:tcW w:w="1423" w:type="dxa"/>
            <w:shd w:val="clear" w:color="auto" w:fill="auto"/>
            <w:vAlign w:val="center"/>
          </w:tcPr>
          <w:p w14:paraId="0F79A5E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农民群众满意度</w:t>
            </w:r>
          </w:p>
        </w:tc>
        <w:tc>
          <w:tcPr>
            <w:tcW w:w="1298" w:type="dxa"/>
            <w:shd w:val="clear" w:color="auto" w:fill="auto"/>
            <w:vAlign w:val="center"/>
          </w:tcPr>
          <w:p w14:paraId="09361E4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95%</w:t>
            </w:r>
          </w:p>
        </w:tc>
        <w:tc>
          <w:tcPr>
            <w:tcW w:w="1269" w:type="dxa"/>
            <w:shd w:val="clear" w:color="auto" w:fill="auto"/>
            <w:vAlign w:val="center"/>
          </w:tcPr>
          <w:p w14:paraId="32DCD30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98%</w:t>
            </w:r>
          </w:p>
        </w:tc>
        <w:tc>
          <w:tcPr>
            <w:tcW w:w="699" w:type="dxa"/>
            <w:shd w:val="clear" w:color="auto" w:fill="auto"/>
            <w:vAlign w:val="center"/>
          </w:tcPr>
          <w:p w14:paraId="765229A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w:t>
            </w:r>
          </w:p>
        </w:tc>
        <w:tc>
          <w:tcPr>
            <w:tcW w:w="869" w:type="dxa"/>
            <w:shd w:val="clear" w:color="auto" w:fill="auto"/>
            <w:vAlign w:val="center"/>
          </w:tcPr>
          <w:p w14:paraId="4012A71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w:t>
            </w:r>
          </w:p>
        </w:tc>
        <w:tc>
          <w:tcPr>
            <w:tcW w:w="1423" w:type="dxa"/>
            <w:shd w:val="clear" w:color="auto" w:fill="auto"/>
            <w:vAlign w:val="center"/>
          </w:tcPr>
          <w:p w14:paraId="6A85C03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耕种收机械化单季作业成本</w:t>
            </w:r>
          </w:p>
        </w:tc>
        <w:tc>
          <w:tcPr>
            <w:tcW w:w="1298" w:type="dxa"/>
            <w:shd w:val="clear" w:color="auto" w:fill="auto"/>
            <w:vAlign w:val="center"/>
          </w:tcPr>
          <w:p w14:paraId="789CDCB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每亩300元</w:t>
            </w:r>
          </w:p>
        </w:tc>
        <w:tc>
          <w:tcPr>
            <w:tcW w:w="1269" w:type="dxa"/>
            <w:shd w:val="clear" w:color="auto" w:fill="auto"/>
            <w:vAlign w:val="center"/>
          </w:tcPr>
          <w:p w14:paraId="4E354EE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每亩320元</w:t>
            </w:r>
          </w:p>
        </w:tc>
        <w:tc>
          <w:tcPr>
            <w:tcW w:w="699" w:type="dxa"/>
            <w:shd w:val="clear" w:color="auto" w:fill="auto"/>
            <w:vAlign w:val="center"/>
          </w:tcPr>
          <w:p w14:paraId="6C36DE6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w:t>
            </w:r>
          </w:p>
        </w:tc>
        <w:tc>
          <w:tcPr>
            <w:tcW w:w="869" w:type="dxa"/>
            <w:shd w:val="clear" w:color="auto" w:fill="auto"/>
            <w:vAlign w:val="center"/>
          </w:tcPr>
          <w:p w14:paraId="6B31F2AB">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3</w:t>
            </w:r>
          </w:p>
        </w:tc>
        <w:tc>
          <w:tcPr>
            <w:tcW w:w="1423" w:type="dxa"/>
            <w:shd w:val="clear" w:color="auto" w:fill="auto"/>
            <w:vAlign w:val="center"/>
          </w:tcPr>
          <w:p w14:paraId="14ED7F2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1D4E157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C2868F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31A3EA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9B5FE4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CBBC37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85B892">
      <w:pPr>
        <w:spacing w:line="267" w:lineRule="auto"/>
        <w:ind w:firstLine="552"/>
        <w:jc w:val="both"/>
        <w:rPr>
          <w:rFonts w:hint="eastAsia" w:ascii="宋体" w:hAnsi="宋体" w:eastAsia="宋体" w:cs="宋体"/>
          <w:bCs/>
          <w:spacing w:val="-4"/>
          <w:kern w:val="0"/>
          <w:sz w:val="28"/>
          <w:szCs w:val="28"/>
          <w:lang w:eastAsia="zh-CN"/>
        </w:rPr>
      </w:pPr>
    </w:p>
    <w:p w14:paraId="4F54C568">
      <w:pPr>
        <w:spacing w:line="267" w:lineRule="auto"/>
        <w:ind w:firstLine="552"/>
        <w:jc w:val="both"/>
        <w:rPr>
          <w:rFonts w:hint="eastAsia" w:ascii="宋体" w:hAnsi="宋体" w:eastAsia="宋体" w:cs="宋体"/>
          <w:bCs/>
          <w:spacing w:val="-4"/>
          <w:kern w:val="0"/>
          <w:sz w:val="28"/>
          <w:szCs w:val="28"/>
          <w:lang w:eastAsia="zh-CN"/>
        </w:rPr>
      </w:pPr>
    </w:p>
    <w:p w14:paraId="137C9F06">
      <w:pPr>
        <w:spacing w:line="267" w:lineRule="auto"/>
        <w:ind w:firstLine="552"/>
        <w:jc w:val="both"/>
        <w:rPr>
          <w:rFonts w:hint="eastAsia" w:ascii="宋体" w:hAnsi="宋体" w:eastAsia="宋体" w:cs="宋体"/>
          <w:bCs/>
          <w:spacing w:val="-4"/>
          <w:kern w:val="0"/>
          <w:sz w:val="28"/>
          <w:szCs w:val="28"/>
          <w:lang w:eastAsia="zh-CN"/>
        </w:rPr>
      </w:pPr>
    </w:p>
    <w:p w14:paraId="504A751F">
      <w:pPr>
        <w:spacing w:line="267" w:lineRule="auto"/>
        <w:ind w:firstLine="552"/>
        <w:jc w:val="both"/>
        <w:rPr>
          <w:rFonts w:hint="eastAsia" w:ascii="宋体" w:hAnsi="宋体" w:eastAsia="宋体" w:cs="宋体"/>
          <w:bCs/>
          <w:spacing w:val="-4"/>
          <w:kern w:val="0"/>
          <w:sz w:val="28"/>
          <w:szCs w:val="28"/>
          <w:lang w:eastAsia="zh-CN"/>
        </w:rPr>
      </w:pPr>
    </w:p>
    <w:p w14:paraId="03D06C70">
      <w:pPr>
        <w:spacing w:line="267" w:lineRule="auto"/>
        <w:ind w:firstLine="552"/>
        <w:jc w:val="both"/>
        <w:rPr>
          <w:rFonts w:hint="eastAsia" w:ascii="宋体" w:hAnsi="宋体" w:eastAsia="宋体" w:cs="宋体"/>
          <w:bCs/>
          <w:spacing w:val="-4"/>
          <w:kern w:val="0"/>
          <w:sz w:val="28"/>
          <w:szCs w:val="28"/>
          <w:lang w:eastAsia="zh-CN"/>
        </w:rPr>
      </w:pPr>
    </w:p>
    <w:p w14:paraId="3661441E">
      <w:pPr>
        <w:spacing w:line="267" w:lineRule="auto"/>
        <w:ind w:firstLine="552"/>
        <w:jc w:val="both"/>
        <w:rPr>
          <w:rFonts w:hint="eastAsia" w:ascii="宋体" w:hAnsi="宋体" w:eastAsia="宋体" w:cs="宋体"/>
          <w:bCs/>
          <w:spacing w:val="-4"/>
          <w:kern w:val="0"/>
          <w:sz w:val="28"/>
          <w:szCs w:val="28"/>
          <w:lang w:eastAsia="zh-CN"/>
        </w:rPr>
      </w:pPr>
    </w:p>
    <w:p w14:paraId="1BC6BCBD">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3</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汨罗市农业综合技术推广中心</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汨罗市农业综合技术推广中心</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5"/>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汨罗市农业综合技术推广中心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7DE8C380">
      <w:pPr>
        <w:spacing w:line="560" w:lineRule="exact"/>
        <w:ind w:firstLine="315" w:firstLineChars="150"/>
        <w:rPr>
          <w:rFonts w:hint="eastAsia" w:ascii="仿宋_GB2312" w:hAnsi="新宋体" w:eastAsia="仿宋_GB2312"/>
          <w:sz w:val="32"/>
          <w:szCs w:val="32"/>
          <w:lang w:val="en-US" w:eastAsia="zh-CN"/>
        </w:rPr>
      </w:pPr>
      <w:r>
        <w:rPr>
          <w:rFonts w:hint="eastAsia" w:ascii="Arial" w:hAnsi="Arial" w:eastAsia="仿宋_GB2312" w:cs="Arial"/>
          <w:snapToGrid w:val="0"/>
          <w:color w:val="000000"/>
          <w:kern w:val="0"/>
          <w:szCs w:val="32"/>
          <w:highlight w:val="none"/>
          <w:lang w:val="en-US" w:eastAsia="zh-CN" w:bidi="ar-SA"/>
        </w:rPr>
        <w:t xml:space="preserve"> </w:t>
      </w:r>
      <w:r>
        <w:rPr>
          <w:rFonts w:hint="eastAsia" w:eastAsia="仿宋_GB2312" w:cs="Arial"/>
          <w:snapToGrid w:val="0"/>
          <w:color w:val="000000"/>
          <w:kern w:val="0"/>
          <w:szCs w:val="32"/>
          <w:highlight w:val="none"/>
          <w:lang w:val="en-US" w:eastAsia="zh-CN" w:bidi="ar-SA"/>
        </w:rPr>
        <w:t xml:space="preserve">     </w:t>
      </w:r>
      <w:r>
        <w:rPr>
          <w:rFonts w:hint="eastAsia" w:ascii="仿宋_GB2312" w:hAnsi="新宋体" w:eastAsia="仿宋_GB2312"/>
          <w:sz w:val="32"/>
          <w:szCs w:val="32"/>
          <w:lang w:val="en-US" w:eastAsia="zh-CN"/>
        </w:rPr>
        <w:t>汨罗市农业综合技术推广中心是汨罗市农业农村局下属二级机构，主要职责是：</w:t>
      </w:r>
    </w:p>
    <w:p w14:paraId="4792966A">
      <w:pPr>
        <w:spacing w:line="560" w:lineRule="exac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1、为全市农业机械化生产、农机社会化服务、农机维修、抗灾救灾、农机安全生产监管等相关工作提供技术支持，服务保障和相关公益服务。承担农业机械从业人员教育培训和职业技能开发工作；</w:t>
      </w:r>
    </w:p>
    <w:p w14:paraId="3546356F">
      <w:pPr>
        <w:spacing w:line="560" w:lineRule="exac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2、承担农业机械补贴政策施相关事务性工作；</w:t>
      </w:r>
    </w:p>
    <w:p w14:paraId="3541D256">
      <w:pPr>
        <w:spacing w:line="560" w:lineRule="exac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3、承担农业机械化生产信息统计工作；</w:t>
      </w:r>
    </w:p>
    <w:p w14:paraId="1D3B1FFF">
      <w:pPr>
        <w:spacing w:line="560" w:lineRule="exac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4、承担农业机械新机具、新技术的引进和示范推广等相关技术性、事务性工作；</w:t>
      </w:r>
    </w:p>
    <w:p w14:paraId="30CE06E9">
      <w:pPr>
        <w:spacing w:line="560" w:lineRule="exac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5、助省农机事务中心开展农业机械实验鉴定相关技术性工作；</w:t>
      </w:r>
    </w:p>
    <w:p w14:paraId="01EEA0E9">
      <w:pPr>
        <w:spacing w:line="560" w:lineRule="exac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6、对乡镇开展农机业务和技术指导。联系农机行业学会、协会；</w:t>
      </w:r>
    </w:p>
    <w:p w14:paraId="002D4C40">
      <w:pPr>
        <w:spacing w:line="560" w:lineRule="exac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7、完成市农业农村局交办的其他工作</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2"/>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5CC96326">
      <w:pPr>
        <w:pStyle w:val="12"/>
        <w:spacing w:line="600" w:lineRule="exact"/>
        <w:ind w:firstLine="643"/>
        <w:jc w:val="both"/>
        <w:rPr>
          <w:rFonts w:hint="eastAsia"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基本支出</w:t>
      </w:r>
      <w:r>
        <w:rPr>
          <w:rFonts w:hint="eastAsia" w:eastAsia="仿宋_GB2312" w:cs="Arial"/>
          <w:snapToGrid w:val="0"/>
          <w:color w:val="000000"/>
          <w:kern w:val="0"/>
          <w:sz w:val="32"/>
          <w:szCs w:val="32"/>
          <w:highlight w:val="none"/>
          <w:lang w:val="en-US" w:eastAsia="zh-CN" w:bidi="ar-SA"/>
        </w:rPr>
        <w:t>496.37</w:t>
      </w:r>
      <w:r>
        <w:rPr>
          <w:rFonts w:hint="eastAsia" w:ascii="Arial" w:hAnsi="Arial" w:eastAsia="仿宋_GB2312" w:cs="Arial"/>
          <w:snapToGrid w:val="0"/>
          <w:color w:val="000000"/>
          <w:kern w:val="0"/>
          <w:sz w:val="32"/>
          <w:szCs w:val="32"/>
          <w:highlight w:val="none"/>
          <w:lang w:val="en-US" w:eastAsia="zh-CN" w:bidi="ar-SA"/>
        </w:rPr>
        <w:t>万元：工资福利支出</w:t>
      </w:r>
      <w:r>
        <w:rPr>
          <w:rFonts w:hint="eastAsia" w:eastAsia="仿宋_GB2312" w:cs="Arial"/>
          <w:snapToGrid w:val="0"/>
          <w:color w:val="000000"/>
          <w:kern w:val="0"/>
          <w:sz w:val="32"/>
          <w:szCs w:val="32"/>
          <w:highlight w:val="none"/>
          <w:lang w:val="en-US" w:eastAsia="zh-CN" w:bidi="ar-SA"/>
        </w:rPr>
        <w:t>419.94</w:t>
      </w:r>
      <w:r>
        <w:rPr>
          <w:rFonts w:hint="eastAsia" w:ascii="Arial" w:hAnsi="Arial" w:eastAsia="仿宋_GB2312" w:cs="Arial"/>
          <w:snapToGrid w:val="0"/>
          <w:color w:val="000000"/>
          <w:kern w:val="0"/>
          <w:sz w:val="32"/>
          <w:szCs w:val="32"/>
          <w:highlight w:val="none"/>
          <w:lang w:val="en-US" w:eastAsia="zh-CN" w:bidi="ar-SA"/>
        </w:rPr>
        <w:t>万元、一般商品和服务支</w:t>
      </w:r>
      <w:r>
        <w:rPr>
          <w:rFonts w:hint="eastAsia" w:eastAsia="仿宋_GB2312" w:cs="Arial"/>
          <w:snapToGrid w:val="0"/>
          <w:color w:val="000000"/>
          <w:kern w:val="0"/>
          <w:sz w:val="32"/>
          <w:szCs w:val="32"/>
          <w:highlight w:val="none"/>
          <w:lang w:val="en-US" w:eastAsia="zh-CN" w:bidi="ar-SA"/>
        </w:rPr>
        <w:t>62.88</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、对个人和家庭的补助13.54。</w:t>
      </w:r>
    </w:p>
    <w:p w14:paraId="45CF8244">
      <w:pPr>
        <w:pStyle w:val="12"/>
        <w:spacing w:line="600" w:lineRule="exact"/>
        <w:ind w:firstLine="643"/>
        <w:jc w:val="both"/>
        <w:rPr>
          <w:rFonts w:hint="default" w:eastAsia="仿宋_GB2312" w:cs="Arial"/>
          <w:snapToGrid w:val="0"/>
          <w:color w:val="000000"/>
          <w:kern w:val="0"/>
          <w:sz w:val="32"/>
          <w:szCs w:val="32"/>
          <w:highlight w:val="none"/>
          <w:lang w:val="en-US" w:eastAsia="zh-CN" w:bidi="ar-SA"/>
        </w:rPr>
      </w:pPr>
      <w:r>
        <w:rPr>
          <w:rFonts w:hint="eastAsia" w:eastAsia="仿宋_GB2312" w:cs="Arial"/>
          <w:snapToGrid w:val="0"/>
          <w:color w:val="000000"/>
          <w:kern w:val="0"/>
          <w:sz w:val="32"/>
          <w:szCs w:val="32"/>
          <w:highlight w:val="none"/>
          <w:lang w:val="en-US" w:eastAsia="zh-CN" w:bidi="ar-SA"/>
        </w:rPr>
        <w:t>2024年三公经费年初预算1万元，其中公务接待费1万元，公车运行维护费0万元，实际支出0.29万元，其中公务接待费0.29万元，公车运行维护费0万元。</w:t>
      </w:r>
    </w:p>
    <w:p w14:paraId="7BC36BEA">
      <w:pPr>
        <w:pStyle w:val="12"/>
        <w:numPr>
          <w:ilvl w:val="0"/>
          <w:numId w:val="2"/>
        </w:numPr>
        <w:spacing w:line="600" w:lineRule="exact"/>
        <w:ind w:left="728" w:leftChars="0" w:firstLine="0" w:firstLineChars="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4E133D3D">
      <w:pPr>
        <w:pStyle w:val="12"/>
        <w:spacing w:line="600" w:lineRule="exact"/>
        <w:ind w:left="0" w:leftChars="0"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专项支出</w:t>
      </w:r>
      <w:r>
        <w:rPr>
          <w:rFonts w:hint="eastAsia" w:eastAsia="仿宋_GB2312" w:cs="Arial"/>
          <w:snapToGrid w:val="0"/>
          <w:color w:val="000000"/>
          <w:kern w:val="0"/>
          <w:sz w:val="32"/>
          <w:szCs w:val="32"/>
          <w:highlight w:val="none"/>
          <w:lang w:val="en-US" w:eastAsia="zh-CN" w:bidi="ar-SA"/>
        </w:rPr>
        <w:t>1501.46</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（含上级专项资金）,其中一般行政管理事务31.01万元，农业生产发展1083.45万元，其他农业农村支出95万元，超长期特别国债安排的支出292万元。其中本级专项</w:t>
      </w:r>
      <w:r>
        <w:rPr>
          <w:rFonts w:hint="eastAsia" w:ascii="Arial" w:hAnsi="Arial" w:eastAsia="仿宋_GB2312" w:cs="Arial"/>
          <w:snapToGrid w:val="0"/>
          <w:color w:val="000000"/>
          <w:kern w:val="0"/>
          <w:sz w:val="32"/>
          <w:szCs w:val="32"/>
          <w:highlight w:val="none"/>
          <w:lang w:val="en-US" w:eastAsia="zh-CN" w:bidi="ar-SA"/>
        </w:rPr>
        <w:t>明细</w:t>
      </w:r>
      <w:r>
        <w:rPr>
          <w:rFonts w:hint="eastAsia" w:eastAsia="仿宋_GB2312" w:cs="Arial"/>
          <w:snapToGrid w:val="0"/>
          <w:color w:val="000000"/>
          <w:kern w:val="0"/>
          <w:sz w:val="32"/>
          <w:szCs w:val="32"/>
          <w:highlight w:val="none"/>
          <w:lang w:val="en-US" w:eastAsia="zh-CN" w:bidi="ar-SA"/>
        </w:rPr>
        <w:t>如下</w:t>
      </w:r>
      <w:r>
        <w:rPr>
          <w:rFonts w:hint="eastAsia" w:ascii="Arial" w:hAnsi="Arial" w:eastAsia="仿宋_GB2312" w:cs="Arial"/>
          <w:snapToGrid w:val="0"/>
          <w:color w:val="000000"/>
          <w:kern w:val="0"/>
          <w:sz w:val="32"/>
          <w:szCs w:val="32"/>
          <w:highlight w:val="none"/>
          <w:lang w:val="en-US" w:eastAsia="zh-CN" w:bidi="ar-SA"/>
        </w:rPr>
        <w:t>：</w:t>
      </w:r>
    </w:p>
    <w:p w14:paraId="7E683DCD">
      <w:pPr>
        <w:pStyle w:val="12"/>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Times New Roman" w:hAnsi="Times New Roman" w:eastAsia="仿宋_GB2312"/>
          <w:kern w:val="0"/>
          <w:sz w:val="32"/>
          <w:szCs w:val="32"/>
          <w:highlight w:val="none"/>
          <w:lang w:eastAsia="zh-CN"/>
        </w:rPr>
      </w:pPr>
      <w:r>
        <w:rPr>
          <w:rFonts w:hint="eastAsia" w:ascii="Arial" w:hAnsi="Arial" w:eastAsia="仿宋_GB2312" w:cs="Arial"/>
          <w:snapToGrid w:val="0"/>
          <w:color w:val="000000"/>
          <w:kern w:val="0"/>
          <w:sz w:val="32"/>
          <w:szCs w:val="32"/>
          <w:highlight w:val="none"/>
          <w:lang w:val="en-US" w:eastAsia="zh-CN" w:bidi="ar-SA"/>
        </w:rPr>
        <w:t>集中育秧设施建设项目5万元，农机购置补贴配套工作经费项目5</w:t>
      </w:r>
      <w:r>
        <w:rPr>
          <w:rFonts w:hint="eastAsia" w:eastAsia="仿宋_GB2312" w:cs="Arial"/>
          <w:snapToGrid w:val="0"/>
          <w:color w:val="000000"/>
          <w:kern w:val="0"/>
          <w:sz w:val="32"/>
          <w:szCs w:val="32"/>
          <w:highlight w:val="none"/>
          <w:lang w:val="en-US" w:eastAsia="zh-CN" w:bidi="ar-SA"/>
        </w:rPr>
        <w:t>.01</w:t>
      </w:r>
      <w:r>
        <w:rPr>
          <w:rFonts w:hint="eastAsia" w:ascii="Arial" w:hAnsi="Arial" w:eastAsia="仿宋_GB2312" w:cs="Arial"/>
          <w:snapToGrid w:val="0"/>
          <w:color w:val="000000"/>
          <w:kern w:val="0"/>
          <w:sz w:val="32"/>
          <w:szCs w:val="32"/>
          <w:highlight w:val="none"/>
          <w:lang w:val="en-US" w:eastAsia="zh-CN" w:bidi="ar-SA"/>
        </w:rPr>
        <w:t>万元，农机作业补贴配套工作经费项目5万元，农业机械报废更新补贴项目5万元，平安农机创建及免费农机监理项目</w:t>
      </w:r>
      <w:bookmarkStart w:id="0" w:name="_GoBack"/>
      <w:bookmarkEnd w:id="0"/>
      <w:r>
        <w:rPr>
          <w:rFonts w:hint="eastAsia" w:ascii="Arial" w:hAnsi="Arial" w:eastAsia="仿宋_GB2312" w:cs="Arial"/>
          <w:snapToGrid w:val="0"/>
          <w:color w:val="000000"/>
          <w:kern w:val="0"/>
          <w:sz w:val="32"/>
          <w:szCs w:val="32"/>
          <w:highlight w:val="none"/>
          <w:lang w:val="en-US" w:eastAsia="zh-CN" w:bidi="ar-SA"/>
        </w:rPr>
        <w:t>10万元（</w:t>
      </w:r>
      <w:r>
        <w:rPr>
          <w:rFonts w:hint="eastAsia" w:eastAsia="仿宋_GB2312" w:cs="Arial"/>
          <w:snapToGrid w:val="0"/>
          <w:color w:val="000000"/>
          <w:kern w:val="0"/>
          <w:sz w:val="32"/>
          <w:szCs w:val="32"/>
          <w:highlight w:val="none"/>
          <w:lang w:val="en-US" w:eastAsia="zh-CN" w:bidi="ar-SA"/>
        </w:rPr>
        <w:t>2024年度无</w:t>
      </w:r>
      <w:r>
        <w:rPr>
          <w:rFonts w:hint="eastAsia" w:ascii="Arial" w:hAnsi="Arial" w:eastAsia="仿宋_GB2312" w:cs="Arial"/>
          <w:snapToGrid w:val="0"/>
          <w:color w:val="000000"/>
          <w:kern w:val="0"/>
          <w:sz w:val="32"/>
          <w:szCs w:val="32"/>
          <w:highlight w:val="none"/>
          <w:lang w:val="en-US" w:eastAsia="zh-CN" w:bidi="ar-SA"/>
        </w:rPr>
        <w:t>本级</w:t>
      </w:r>
      <w:r>
        <w:rPr>
          <w:rFonts w:hint="eastAsia" w:eastAsia="仿宋_GB2312" w:cs="Arial"/>
          <w:snapToGrid w:val="0"/>
          <w:color w:val="000000"/>
          <w:kern w:val="0"/>
          <w:sz w:val="32"/>
          <w:szCs w:val="32"/>
          <w:highlight w:val="none"/>
          <w:lang w:val="en-US" w:eastAsia="zh-CN" w:bidi="ar-SA"/>
        </w:rPr>
        <w:t>30万以上</w:t>
      </w:r>
      <w:r>
        <w:rPr>
          <w:rFonts w:hint="eastAsia" w:ascii="Arial" w:hAnsi="Arial" w:eastAsia="仿宋_GB2312" w:cs="Arial"/>
          <w:snapToGrid w:val="0"/>
          <w:color w:val="000000"/>
          <w:kern w:val="0"/>
          <w:sz w:val="32"/>
          <w:szCs w:val="32"/>
          <w:highlight w:val="none"/>
          <w:lang w:val="en-US" w:eastAsia="zh-CN" w:bidi="ar-SA"/>
        </w:rPr>
        <w:t>专项）</w:t>
      </w:r>
    </w:p>
    <w:p w14:paraId="516D3C52">
      <w:pPr>
        <w:keepNext w:val="0"/>
        <w:keepLines w:val="0"/>
        <w:pageBreakBefore w:val="0"/>
        <w:widowControl/>
        <w:numPr>
          <w:numId w:val="0"/>
        </w:numPr>
        <w:kinsoku w:val="0"/>
        <w:wordWrap/>
        <w:overflowPunct/>
        <w:topLinePunct w:val="0"/>
        <w:autoSpaceDE w:val="0"/>
        <w:autoSpaceDN w:val="0"/>
        <w:bidi w:val="0"/>
        <w:adjustRightInd w:val="0"/>
        <w:snapToGrid w:val="0"/>
        <w:spacing w:line="600" w:lineRule="exact"/>
        <w:ind w:left="640" w:leftChars="0"/>
        <w:jc w:val="both"/>
        <w:textAlignment w:val="baseline"/>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三、</w:t>
      </w:r>
      <w:r>
        <w:rPr>
          <w:rFonts w:hint="eastAsia" w:ascii="方正黑体_GBK" w:eastAsia="方正黑体_GBK"/>
          <w:kern w:val="0"/>
          <w:sz w:val="32"/>
          <w:szCs w:val="32"/>
          <w:highlight w:val="none"/>
          <w:lang w:eastAsia="zh-CN"/>
        </w:rPr>
        <w:t>政府性基金预算财政拨款支出情况</w:t>
      </w:r>
    </w:p>
    <w:p w14:paraId="65044336">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政府性基金预算292万元，全部属于超长期特别国债安排的农机购置补贴支出</w:t>
      </w:r>
    </w:p>
    <w:p w14:paraId="2A755169">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632A70A0">
      <w:pPr>
        <w:pStyle w:val="2"/>
        <w:rPr>
          <w:rFonts w:hint="default"/>
          <w:lang w:val="en-US" w:eastAsia="zh-CN"/>
        </w:rPr>
      </w:pPr>
      <w:r>
        <w:rPr>
          <w:rFonts w:hint="eastAsia" w:ascii="方正黑体_GBK" w:eastAsia="方正黑体_GBK"/>
          <w:kern w:val="0"/>
          <w:sz w:val="32"/>
          <w:szCs w:val="32"/>
          <w:highlight w:val="none"/>
          <w:lang w:val="en-US" w:eastAsia="zh-CN"/>
        </w:rPr>
        <w:t xml:space="preserve">    </w:t>
      </w:r>
      <w:r>
        <w:rPr>
          <w:rFonts w:hint="eastAsia" w:ascii="仿宋_GB2312" w:hAnsi="新宋体" w:eastAsia="仿宋_GB2312" w:cs="Arial"/>
          <w:snapToGrid w:val="0"/>
          <w:color w:val="000000"/>
          <w:kern w:val="0"/>
          <w:sz w:val="32"/>
          <w:szCs w:val="32"/>
          <w:lang w:val="en-US" w:eastAsia="zh-CN" w:bidi="ar-SA"/>
        </w:rPr>
        <w:t xml:space="preserve"> 无</w:t>
      </w:r>
    </w:p>
    <w:p w14:paraId="07F1EBC0">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550AB07F">
      <w:pPr>
        <w:pStyle w:val="2"/>
        <w:numPr>
          <w:numId w:val="0"/>
        </w:numPr>
        <w:rPr>
          <w:rFonts w:hint="default"/>
          <w:lang w:val="en-US" w:eastAsia="zh-CN"/>
        </w:rPr>
      </w:pPr>
      <w:r>
        <w:rPr>
          <w:rFonts w:hint="eastAsia"/>
          <w:lang w:val="en-US" w:eastAsia="zh-CN"/>
        </w:rPr>
        <w:t xml:space="preserve">   无</w:t>
      </w:r>
    </w:p>
    <w:p w14:paraId="03087A41">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574D4D8">
      <w:pPr>
        <w:spacing w:line="560" w:lineRule="exact"/>
        <w:ind w:firstLine="480" w:firstLineChars="150"/>
        <w:rPr>
          <w:rFonts w:hint="eastAsia" w:ascii="仿宋_GB2312" w:hAnsi="新宋体" w:eastAsia="仿宋_GB2312"/>
          <w:sz w:val="32"/>
          <w:szCs w:val="32"/>
          <w:lang w:eastAsia="zh-CN"/>
        </w:rPr>
      </w:pPr>
      <w:r>
        <w:rPr>
          <w:rFonts w:hint="eastAsia" w:ascii="仿宋_GB2312" w:hAnsi="新宋体" w:eastAsia="仿宋_GB2312"/>
          <w:sz w:val="32"/>
          <w:szCs w:val="32"/>
          <w:lang w:val="en-US" w:eastAsia="zh-CN"/>
        </w:rPr>
        <w:t>本年度</w:t>
      </w:r>
      <w:r>
        <w:rPr>
          <w:rFonts w:hint="eastAsia" w:ascii="仿宋_GB2312" w:hAnsi="新宋体" w:eastAsia="仿宋_GB2312"/>
          <w:sz w:val="32"/>
          <w:szCs w:val="32"/>
          <w:lang w:eastAsia="zh-CN"/>
        </w:rPr>
        <w:t>，在市委市政府的正确领导和市农业农村局的精心指导下，我中心积极推进农机化工作，形成了行政推动、政策带动、社会参与的工作格局，加速补齐农机化短板，不断提升农机社会化服务水平，扎实抓好水稻机械化种植、农机购置与应用补贴、设施农业项目建设、农机安全生产、农机社会化服务等各项工作，取得了一定成效。</w:t>
      </w:r>
    </w:p>
    <w:p w14:paraId="7209963D">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全面推进机插机抛秧工作</w:t>
      </w:r>
    </w:p>
    <w:p w14:paraId="31E0A94C">
      <w:pPr>
        <w:spacing w:line="560" w:lineRule="exact"/>
        <w:ind w:firstLine="480" w:firstLineChars="15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2024年我市核实育秧主体807个，完成早稻集中育秧面积</w:t>
      </w:r>
      <w:r>
        <w:rPr>
          <w:rFonts w:hint="eastAsia" w:ascii="仿宋_GB2312" w:hAnsi="新宋体" w:eastAsia="仿宋_GB2312"/>
          <w:sz w:val="32"/>
          <w:szCs w:val="32"/>
          <w:lang w:val="en-US" w:eastAsia="zh-CN"/>
        </w:rPr>
        <w:t>25.6</w:t>
      </w:r>
      <w:r>
        <w:rPr>
          <w:rFonts w:hint="eastAsia" w:ascii="仿宋_GB2312" w:hAnsi="新宋体" w:eastAsia="仿宋_GB2312"/>
          <w:sz w:val="32"/>
          <w:szCs w:val="32"/>
          <w:lang w:eastAsia="zh-CN"/>
        </w:rPr>
        <w:t>万亩，其中机插机抛专业化集中育秧面积10.5万亩。全年完成水稻机械化种植面积14.72万亩，（机插秧作业面积11万亩，机抛秧作业面积3.7万亩），栽植面积排岳阳地区第一名。整合涉农资金，重点支持早稻集中育秧、机抛机插作业、农业社会化服务，推进水稻全程机械化生产，降低生产成本。按照机插机抛42元/亩，实行作业补贴。整合专项资金80万元对机插机抛作业评优评先奖励，鼓励引导乡镇开展插（抛）秧机镇级累加补贴，通过多种形式充分调动了合作组织、农机大户、种粮大户运用新农机、推广新技术的积极性和主动性。加强作业数据监测管理，申报实施机插机抛作业服务主体的作业机具都安装了作业监测设备，同步将相关数据传入县级平台。协调各农机经销商和平台企业组织技术人员对作业数据监测设备进行检测维护，保障设备作业数据采集及时准确。为了压实机插机抛秧工作责任，农业农村局成立了由局联镇干部组成的机插机抛秧工作督导小组，实时掌握全市机插机抛秧作业信息，指导开展机插秧和有序机抛秧育秧工作。我中心贴近农业生产实际，先后组织举办了汨罗市水稻机抛秧技术培训班和现场示范活动6场，培训对象主要为农机专干、机抛机插项目实施主体、合作社理事长、种粮大户、农机大户，共培训620人次，印发培训资料1000余份。举办基层农技人员培训班1期，承办岳阳市农业农村局、省农业农村厅水稻机插机抛技术培训班4期。组织农机专干、经营主体、农机大户着重对育秧流水线操作流程、大棚集中育秧、抛秧机和插秧机操作技能进行面对面、一对一、手把手培训，取得了较好的培训效果。</w:t>
      </w:r>
    </w:p>
    <w:p w14:paraId="164BE1D6">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抓实农机购置补贴政策实施</w:t>
      </w:r>
    </w:p>
    <w:p w14:paraId="4E02E04E">
      <w:pPr>
        <w:spacing w:line="560" w:lineRule="exact"/>
        <w:ind w:firstLine="480" w:firstLineChars="15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2024年我市下达中央和省级农机购置与应用补贴资金为1678.9万元，下达2024年中央和省级超长期特别国债支持农机报废更新资金324万元。全年实际完成农机购置补贴1082万元，机具736台套。已发放农机报废国债资金295.6265万元，补贴报废机具305台套。组织召开全市农机化工作会议，会上认真部署了农机购置与应用补贴工作。着重强调了工作纪律，要求补贴机具经销商规范经营管理。健全部门联合工作机制，共同推动农机补贴政策实施，切实提升政策实施管理工作能力水平。突出抓好了机具核查工作，不断充实补贴机具核查力量，在见人见机的基础上，实时追踪机具下田作业情况，核查机具作业数据，确保每一台补贴机具真实、可溯，每一笔补贴资金精准安全，全年共开展机具核查工作6 次42天，抽查核验补贴机具519台套。对报废企业进行了提质整改，严格按程序抓实农机报废工作，安排4名工作人员进驻报废企业，全过程监管农机拆解报废，落实谁签字谁负责的责任追究制。</w:t>
      </w:r>
    </w:p>
    <w:p w14:paraId="45821C53">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抓牢压实农机安全生产</w:t>
      </w:r>
    </w:p>
    <w:p w14:paraId="0C649C85">
      <w:pPr>
        <w:spacing w:line="560" w:lineRule="exact"/>
        <w:ind w:firstLine="480" w:firstLineChars="15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农机安全工作是农机化底线工作，我们一是加强农机安全培训教育。今年我市共举办市级农机安全生产知识培训班五期，共培训农机手680人;举办村级农机安全生产培训一期，培训农机手60人;举办驾驶员培训四期，共培训农机驾驶员200余人，其中120人取得农机操作资格。二是加大农机安全政策宣传。全年共发放农机安全宣传图册和各类资料6000余份、横幅120条、张贴宣传标语450张，每个乡镇通过村村通广播每月播放农机安全警示语录两次。在安全宣传月期间开展安全宣传专场四次，并出动宣传车下到各个乡镇场进行广播宣传和发放宣传资料。三是推进拖拉机安全顽瘴痼疾整治。今年我市变型拖拉机存量34台，应报废注销20台，通过我们进村入户跟机主进行多次政策宣传，与乡干部多次上门做思想工作，圆满完成了省市下达的任务，全年共报废注销21台。四是持续农机安全执法检查。全年与汨罗市交警支队开展了27次联合执法，立案44起，罚款4700元，简易程序41个，一般程序3个，强制报废拖拉机10台。五是落实农机安全生产责任险。2024年我市共完成农机安全生产责任险38万余元。六是抓实拖拉机和联合收割机牌证管理。全年共注册登记拖拉机和联合收割机109台，年检656台，报废注销3137台，办理驾驶证62个，增驾69个。七是强化农机合作社安全管理。今年联合局安全办、农机执法中队，对全市66家农机合作社开展安全隐患大排查，对发现的20余家存在安全隐患的农机合作社下发了整改通知书并已全面整改到位。同时在农忙时节对作业的农机具进行安全检查，发现一起整改一起，确保农机合作社安全生产有序平稳，全年农机安全生产零亡人事故发生。</w:t>
      </w:r>
    </w:p>
    <w:p w14:paraId="2354F1EB">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 xml:space="preserve">  加速集中育秧设施建设</w:t>
      </w:r>
    </w:p>
    <w:p w14:paraId="01BA7C9B">
      <w:pPr>
        <w:pStyle w:val="7"/>
        <w:shd w:val="clear" w:color="auto" w:fill="FFFFFF"/>
        <w:spacing w:beforeAutospacing="0" w:afterAutospacing="0" w:line="560" w:lineRule="exact"/>
        <w:ind w:firstLine="480" w:firstLineChars="150"/>
        <w:rPr>
          <w:rFonts w:hint="eastAsia" w:ascii="仿宋_GB2312" w:hAnsi="新宋体" w:eastAsia="仿宋_GB2312" w:cs="Arial"/>
          <w:snapToGrid w:val="0"/>
          <w:color w:val="000000"/>
          <w:kern w:val="0"/>
          <w:sz w:val="32"/>
          <w:szCs w:val="32"/>
          <w:lang w:val="en-US" w:eastAsia="zh-CN" w:bidi="ar-SA"/>
        </w:rPr>
      </w:pPr>
      <w:r>
        <w:rPr>
          <w:rFonts w:hint="eastAsia" w:ascii="仿宋_GB2312" w:hAnsi="新宋体" w:eastAsia="仿宋_GB2312" w:cs="Arial"/>
          <w:snapToGrid w:val="0"/>
          <w:color w:val="000000"/>
          <w:kern w:val="0"/>
          <w:sz w:val="32"/>
          <w:szCs w:val="32"/>
          <w:lang w:val="en-US" w:eastAsia="zh-CN" w:bidi="ar-SA"/>
        </w:rPr>
        <w:t>加快推进集中育秧设施建设，推动粮食稳面增产，双季稻集中育秧需求得到有效满足，粮食综合生产能力明显提升。2024年计划建设标准钢架集中育秧大棚94.95万平方米，已建81.36万平方米，待建13.58万平方米。预计至2025年3月底前，全市将完成新改建成钢架集中育秧大棚100万平方米以上。严格遴选集中育秧设施建设实施主体，让集中育秧设施基础良好、年服务大田面积达标的主体承担建设任务，确保集中育秧设施建设的稳定性和长效利用。集中育秧农业设施建设按照自愿申报、审核批准、自主建设、先建后补的程序，实行申请、审核、公示到补助发放全过程跟踪管理，确保公开公平公正。农机事务中心组成专班，扎实跟进集中育秧设施建设工作，分为五个工作小组下到15个镇，召集有建设意愿的主体召开座谈会，开展专项摸底调查、政策宣讲，明确了建设标准、验收条件，并进行了成本测算和大棚建设跟踪服务。加强部门协调和工作调度，为集中育秧农业设施建设扫清障碍，市农业农村局、财政局、自然资源局加强协作，在项目申报、建设用地选址、项目资金审批上靠前指导、跟进服务。联合市农商行开通金融服务通道，为67个建设主体办理“补贴贷”贷款3965万元，有效解决了主体建设前期资金困难问题。目前已经对23个建设主体进行了项目验收，拨付中央、省级补贴资金800万元。</w:t>
      </w:r>
    </w:p>
    <w:p w14:paraId="076DFD77">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加强农机技术推广和应急调度</w:t>
      </w:r>
    </w:p>
    <w:p w14:paraId="766AB352">
      <w:pPr>
        <w:spacing w:line="600" w:lineRule="exact"/>
        <w:ind w:firstLine="640" w:firstLineChars="200"/>
        <w:jc w:val="both"/>
        <w:rPr>
          <w:rFonts w:hint="eastAsia" w:ascii="仿宋_GB2312" w:hAnsi="Calibri" w:eastAsia="仿宋_GB2312" w:cs="Times New Roman"/>
          <w:kern w:val="0"/>
          <w:sz w:val="32"/>
          <w:szCs w:val="32"/>
          <w:lang w:val="en-US" w:eastAsia="zh-CN" w:bidi="ar-SA"/>
        </w:rPr>
      </w:pPr>
      <w:r>
        <w:rPr>
          <w:rFonts w:hint="eastAsia" w:ascii="仿宋_GB2312" w:hAnsi="新宋体" w:eastAsia="仿宋_GB2312" w:cs="Arial"/>
          <w:snapToGrid w:val="0"/>
          <w:color w:val="000000"/>
          <w:kern w:val="0"/>
          <w:sz w:val="32"/>
          <w:szCs w:val="32"/>
          <w:lang w:val="en-US" w:eastAsia="zh-CN" w:bidi="ar-SA"/>
        </w:rPr>
        <w:t>深入开展农机技术试验示范推广活动,在罗江镇石仑山村建设了一个水稻、油菜全程机械化示范基地。承办了全国集中育秧技术培训会现场演示活动、岳阳市稻再油机艺融合高产高效技术模式现场会等现场观摩活动。积极推进省级区域农机服务中心建设，今年7月全市2家农机专业合作社列入省级区域农机服务中心培育名单。争取上级设施农业资金119万元，建设一个高标准玻璃温室育苗中心，目前正在进行主体施工。2024年我市水稻耕种收综合机械化率为87.9，比上一年度增长2.9%，其中机耕达99.9%、机收达到99.9%，机插机抛达到59.8%，机械化植保达到88.1%，粮食烘干达到78.2%</w:t>
      </w:r>
      <w:r>
        <w:rPr>
          <w:rFonts w:hint="eastAsia" w:ascii="仿宋_GB2312" w:hAnsi="Calibri" w:eastAsia="仿宋_GB2312" w:cs="Times New Roman"/>
          <w:kern w:val="0"/>
          <w:sz w:val="32"/>
          <w:szCs w:val="32"/>
          <w:lang w:val="en-US" w:eastAsia="zh-CN" w:bidi="ar-SA"/>
        </w:rPr>
        <w:t>。</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141CEC6">
      <w:pPr>
        <w:numPr>
          <w:numId w:val="0"/>
        </w:numPr>
        <w:spacing w:line="600" w:lineRule="exact"/>
        <w:ind w:firstLine="640" w:firstLineChars="200"/>
        <w:jc w:val="both"/>
        <w:rPr>
          <w:rFonts w:hint="eastAsia" w:ascii="Arial" w:hAnsi="Arial" w:eastAsia="仿宋_GB2312" w:cs="Arial"/>
          <w:sz w:val="32"/>
          <w:szCs w:val="32"/>
          <w:lang w:eastAsia="zh-CN"/>
        </w:rPr>
      </w:pPr>
      <w:r>
        <w:rPr>
          <w:rFonts w:hint="eastAsia" w:eastAsia="仿宋_GB2312" w:cs="Arial"/>
          <w:sz w:val="32"/>
          <w:szCs w:val="32"/>
          <w:lang w:val="en-US" w:eastAsia="zh-CN"/>
        </w:rPr>
        <w:t>主要存在</w:t>
      </w:r>
      <w:r>
        <w:rPr>
          <w:rFonts w:hint="eastAsia" w:ascii="Arial" w:hAnsi="Arial" w:eastAsia="仿宋_GB2312" w:cs="Arial"/>
          <w:sz w:val="32"/>
          <w:szCs w:val="32"/>
          <w:lang w:eastAsia="zh-CN"/>
        </w:rPr>
        <w:t>资金缺口大</w:t>
      </w:r>
      <w:r>
        <w:rPr>
          <w:rFonts w:hint="eastAsia" w:eastAsia="仿宋_GB2312" w:cs="Arial"/>
          <w:sz w:val="32"/>
          <w:szCs w:val="32"/>
          <w:lang w:eastAsia="zh-CN"/>
        </w:rPr>
        <w:t>。</w:t>
      </w:r>
      <w:r>
        <w:rPr>
          <w:rFonts w:hint="eastAsia" w:eastAsia="仿宋_GB2312" w:cs="Arial"/>
          <w:sz w:val="32"/>
          <w:szCs w:val="32"/>
          <w:lang w:val="en-US" w:eastAsia="zh-CN"/>
        </w:rPr>
        <w:t>由于省级项目资金未配套项目经费，工作任务重，</w:t>
      </w:r>
      <w:r>
        <w:rPr>
          <w:rFonts w:hint="eastAsia" w:ascii="Arial" w:hAnsi="Arial" w:eastAsia="仿宋_GB2312" w:cs="Arial"/>
          <w:sz w:val="32"/>
          <w:szCs w:val="32"/>
          <w:lang w:eastAsia="zh-CN"/>
        </w:rPr>
        <w:t>需要</w:t>
      </w:r>
      <w:r>
        <w:rPr>
          <w:rFonts w:hint="eastAsia" w:eastAsia="仿宋_GB2312" w:cs="Arial"/>
          <w:sz w:val="32"/>
          <w:szCs w:val="32"/>
          <w:lang w:val="en-US" w:eastAsia="zh-CN"/>
        </w:rPr>
        <w:t>配套项目工作经费</w:t>
      </w:r>
      <w:r>
        <w:rPr>
          <w:rFonts w:hint="eastAsia" w:ascii="Arial" w:hAnsi="Arial" w:eastAsia="仿宋_GB2312" w:cs="Arial"/>
          <w:sz w:val="32"/>
          <w:szCs w:val="32"/>
          <w:lang w:eastAsia="zh-CN"/>
        </w:rPr>
        <w:t>资金缺口大。</w:t>
      </w:r>
    </w:p>
    <w:p w14:paraId="21E6073D">
      <w:pPr>
        <w:numPr>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八、</w:t>
      </w:r>
      <w:r>
        <w:rPr>
          <w:rFonts w:hint="eastAsia" w:ascii="方正黑体_GBK" w:eastAsia="方正黑体_GBK"/>
          <w:kern w:val="0"/>
          <w:sz w:val="32"/>
          <w:szCs w:val="32"/>
          <w:lang w:eastAsia="zh-CN"/>
        </w:rPr>
        <w:t>下一步改进措施</w:t>
      </w:r>
    </w:p>
    <w:p w14:paraId="1858062B">
      <w:pPr>
        <w:numPr>
          <w:numId w:val="0"/>
        </w:numPr>
        <w:spacing w:line="600" w:lineRule="exact"/>
        <w:jc w:val="both"/>
        <w:rPr>
          <w:rFonts w:hint="default" w:ascii="方正黑体_GBK" w:eastAsia="方正黑体_GBK"/>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ascii="仿宋" w:hAnsi="仿宋" w:eastAsia="仿宋" w:cs="仿宋"/>
          <w:spacing w:val="-14"/>
          <w:sz w:val="32"/>
          <w:szCs w:val="32"/>
          <w:lang w:val="en-US" w:eastAsia="zh-CN"/>
        </w:rPr>
        <w:t>进一步建立健全绩效评价机制，加强绩效管理水平。</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97264E5">
      <w:pPr>
        <w:spacing w:line="600" w:lineRule="exact"/>
        <w:ind w:firstLine="572" w:firstLineChars="200"/>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绩效自评结果将在相关网站公开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6BBCD639">
      <w:pPr>
        <w:spacing w:line="267" w:lineRule="auto"/>
        <w:ind w:firstLine="552"/>
        <w:jc w:val="both"/>
        <w:rPr>
          <w:rFonts w:hint="eastAsia" w:ascii="宋体" w:hAnsi="宋体" w:eastAsia="宋体" w:cs="宋体"/>
          <w:bCs/>
          <w:spacing w:val="-4"/>
          <w:kern w:val="0"/>
          <w:sz w:val="28"/>
          <w:szCs w:val="28"/>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5"/>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EBF02"/>
    <w:multiLevelType w:val="singleLevel"/>
    <w:tmpl w:val="A7DEBF02"/>
    <w:lvl w:ilvl="0" w:tentative="0">
      <w:start w:val="1"/>
      <w:numFmt w:val="chineseCounting"/>
      <w:suff w:val="nothing"/>
      <w:lvlText w:val="（%1）"/>
      <w:lvlJc w:val="left"/>
      <w:rPr>
        <w:rFonts w:hint="eastAsia"/>
      </w:rPr>
    </w:lvl>
  </w:abstractNum>
  <w:abstractNum w:abstractNumId="1">
    <w:nsid w:val="CA4DF9F6"/>
    <w:multiLevelType w:val="singleLevel"/>
    <w:tmpl w:val="CA4DF9F6"/>
    <w:lvl w:ilvl="0" w:tentative="0">
      <w:start w:val="5"/>
      <w:numFmt w:val="chineseCounting"/>
      <w:suff w:val="nothing"/>
      <w:lvlText w:val="%1、"/>
      <w:lvlJc w:val="left"/>
      <w:rPr>
        <w:rFonts w:hint="eastAsia"/>
      </w:rPr>
    </w:lvl>
  </w:abstractNum>
  <w:abstractNum w:abstractNumId="2">
    <w:nsid w:val="269D2B1F"/>
    <w:multiLevelType w:val="singleLevel"/>
    <w:tmpl w:val="269D2B1F"/>
    <w:lvl w:ilvl="0" w:tentative="0">
      <w:start w:val="2"/>
      <w:numFmt w:val="chineseCounting"/>
      <w:suff w:val="nothing"/>
      <w:lvlText w:val="（%1）"/>
      <w:lvlJc w:val="left"/>
      <w:pPr>
        <w:ind w:left="728" w:leftChars="0" w:firstLine="0" w:firstLineChars="0"/>
      </w:pPr>
      <w:rPr>
        <w:rFonts w:hint="eastAsia"/>
      </w:rPr>
    </w:lvl>
  </w:abstractNum>
  <w:abstractNum w:abstractNumId="3">
    <w:nsid w:val="53826E62"/>
    <w:multiLevelType w:val="singleLevel"/>
    <w:tmpl w:val="53826E62"/>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132CD5"/>
    <w:rsid w:val="0ACF37E5"/>
    <w:rsid w:val="0B400BC6"/>
    <w:rsid w:val="0CF21530"/>
    <w:rsid w:val="0DC65730"/>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9FF5F07"/>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仿宋" w:hAnsi="仿宋" w:eastAsia="仿宋" w:cs="仿宋"/>
      <w:sz w:val="34"/>
      <w:szCs w:val="34"/>
      <w:lang w:val="en-US" w:eastAsia="en-US" w:bidi="ar-SA"/>
    </w:rPr>
  </w:style>
  <w:style w:type="paragraph" w:customStyle="1" w:styleId="3">
    <w:name w:val="Body Text 21"/>
    <w:qFormat/>
    <w:uiPriority w:val="0"/>
    <w:pPr>
      <w:widowControl w:val="0"/>
      <w:spacing w:after="120" w:line="480" w:lineRule="auto"/>
      <w:jc w:val="both"/>
    </w:pPr>
    <w:rPr>
      <w:rFonts w:ascii="Arial" w:hAnsi="Arial" w:eastAsia="仿宋_GB2312" w:cs="Times New Roman"/>
      <w:kern w:val="2"/>
      <w:sz w:val="32"/>
      <w:szCs w:val="22"/>
      <w:lang w:val="en-US" w:eastAsia="zh-CN" w:bidi="ar-SA"/>
    </w:rPr>
  </w:style>
  <w:style w:type="paragraph" w:styleId="4">
    <w:name w:val="Normal Indent"/>
    <w:basedOn w:val="1"/>
    <w:qFormat/>
    <w:uiPriority w:val="99"/>
    <w:pPr>
      <w:ind w:firstLine="420" w:firstLineChars="200"/>
    </w:p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3">
    <w:name w:val="NormalCharacter"/>
    <w:qFormat/>
    <w:uiPriority w:val="0"/>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1917</Words>
  <Characters>1979</Characters>
  <TotalTime>7</TotalTime>
  <ScaleCrop>false</ScaleCrop>
  <LinksUpToDate>false</LinksUpToDate>
  <CharactersWithSpaces>2134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细细</cp:lastModifiedBy>
  <cp:lastPrinted>2024-05-21T14:05:00Z</cp:lastPrinted>
  <dcterms:modified xsi:type="dcterms:W3CDTF">2025-09-22T09:34:14Z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eyJoZGlkIjoiNmZlZDBmZjZiODhiZWY1MzFhNDI4NzkwZGM2MjBjM2QiLCJ1c2VySWQiOiI0Nzg3NjU1NjAifQ==</vt:lpwstr>
  </property>
</Properties>
</file>