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437.35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54.66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52.11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16.57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8.45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2966.2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汨罗市三江镇三江初级中学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2966.2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其中：一般公共预算：2966.2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其中：基本支出：2966.2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  <w:p w14:paraId="1EB43F2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2.按季度开展</w:t>
            </w:r>
            <w:r>
              <w:rPr>
                <w:rFonts w:hint="eastAsia" w:ascii="仿宋_GB2312" w:eastAsia="仿宋_GB2312"/>
                <w:kern w:val="0"/>
              </w:rPr>
              <w:t>教师培训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  <w:p w14:paraId="33402320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3.持续提高</w:t>
            </w:r>
            <w:r>
              <w:rPr>
                <w:rFonts w:hint="eastAsia" w:ascii="仿宋_GB2312" w:eastAsia="仿宋_GB2312"/>
                <w:kern w:val="0"/>
              </w:rPr>
              <w:t>教育教学质量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  <w:p w14:paraId="10BC4EE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4.全年无学生安全事故。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在校学生数2700人，无学生辍学情况。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在校学生数2652达标，无学生辍学情况。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出生人口减少，学生进城上学。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教师培训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4次以上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教育督导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12次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稳步提升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提升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资金发放及时率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及时率100%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4E46C1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均衡发展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DA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AAEA0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606F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1A2F96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107033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98" w:type="dxa"/>
            <w:vAlign w:val="center"/>
          </w:tcPr>
          <w:p w14:paraId="5B2F3CE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69" w:type="dxa"/>
            <w:vAlign w:val="center"/>
          </w:tcPr>
          <w:p w14:paraId="050783B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699" w:type="dxa"/>
            <w:vAlign w:val="center"/>
          </w:tcPr>
          <w:p w14:paraId="7E980A4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A352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2D584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F185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校园生态环境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持续提升教育教学质量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坚持安全教育，杜绝安全事故发生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坚持安全教育，无安全事故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师生及群众满意度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  <w:r>
              <w:rPr>
                <w:rFonts w:hint="eastAsia" w:ascii="宋体" w:hAnsi="宋体" w:eastAsia="宋体" w:cs="宋体"/>
                <w:sz w:val="14"/>
                <w:szCs w:val="14"/>
                <w:lang w:val="en-US" w:eastAsia="zh-CN"/>
              </w:rPr>
              <w:t>满意度98%以上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严格按预算执行各项经济活动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严格按预算执行，坚持无预算不支出。无偏差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78AF144">
      <w:pP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br w:type="page"/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620A9CC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汨罗市三江镇三江初级中学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6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7F349401">
      <w:pPr>
        <w:spacing w:before="130" w:line="221" w:lineRule="auto"/>
        <w:jc w:val="center"/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汨罗市三江镇三江初级中学</w:t>
      </w: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 xml:space="preserve"> 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C8B515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部门职责</w:t>
      </w:r>
    </w:p>
    <w:p w14:paraId="73500E28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教育政策执行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宣传并执行国家、地方的教育方针政策及法律法规，制定辖区教育发展规划，确保义务教育普及，如控辍保学、扫盲工作等。</w:t>
      </w:r>
    </w:p>
    <w:p w14:paraId="5A46FD71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教育教学管理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组织教学科研与改革，指导课程实施、学籍管理及教师培训，促进学生德智体美劳全面发展。</w:t>
      </w:r>
    </w:p>
    <w:p w14:paraId="712C81F0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师资与经费管理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负责教职工聘任、考核、薪酬发放及教育经费的预算与使用监督，保障学校正常运转。</w:t>
      </w:r>
    </w:p>
    <w:p w14:paraId="240FF111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校园安全与综合治理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统筹校园安全、周边环境整治、应急事件处理，维护教育环境稳定。</w:t>
      </w:r>
    </w:p>
    <w:p w14:paraId="59F43276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 社会服务职能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配合政府开展成人教育、社区培训，协调教育资源分配，推动教育公平</w:t>
      </w:r>
    </w:p>
    <w:p w14:paraId="70FAA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机构设置</w:t>
      </w:r>
    </w:p>
    <w:p w14:paraId="2C0569F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汨罗市三江镇三江初级中学内设机构包括：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办公室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总务处、教务处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教科室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4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79CC5AB3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2966.2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76F72B08">
      <w:pPr>
        <w:pStyle w:val="15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2528.85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85.26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绩效工资、机关事业单位基本养老保险缴费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、职工基本医疗保险缴费、其他社会保障缴费、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住房公积金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A4A7855">
      <w:pPr>
        <w:pStyle w:val="15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i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437.35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14.74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印刷费、手续费、水费、电费、差旅费、维修（护）费、培训费、劳务费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657FCB">
      <w:pPr>
        <w:pStyle w:val="14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0DFE6559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2024年项目支出为0万元，是指单位为完成特定行政工作任务或事业发展目标而发生的支出，包括有关业务工作经费等。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443C92D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FB779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25D2B4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会保险基金预算支出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CC4E764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 w14:paraId="13B9EC47"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　对照绩效自评相关文件要求，我校从预算执行、预算管理、履职效能、社会效应等方面对2024年部门整体支出绩效开展了评价。绩效自评综合得分为98分，评价等级为“优”。</w:t>
      </w:r>
    </w:p>
    <w:p w14:paraId="5D77FD8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年度绩效目标完成情况</w:t>
      </w:r>
    </w:p>
    <w:p w14:paraId="71C13875">
      <w:pPr>
        <w:pStyle w:val="3"/>
        <w:spacing w:before="42" w:line="560" w:lineRule="exact"/>
        <w:ind w:right="13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（1）推进加强未成年人保护 ，“不让一个孩子掉队”工程。常态化开展防性侵、 防欺凌、 防自杀工作，对 8 类重点关注学生动态摸排、主动对接政府和部门单位进行对口帮扶等途径，切实筑牢 “未成年保护”防线。</w:t>
      </w:r>
    </w:p>
    <w:p w14:paraId="4448AE04">
      <w:pPr>
        <w:pStyle w:val="3"/>
        <w:spacing w:before="42" w:line="560" w:lineRule="exact"/>
        <w:ind w:right="13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（2）切实加强学生心理健康教育。对每一类学生做到 信息准、底子清，早预防，早发现，早处理，切实保护未成年人健康成长。全期开展各类讲座教育10余次，覆盖3000多人次。去年暑假，镇学校、派出所也安排了教师、公安干警走进课堂，这样既加强安全管理又实时辅导，真正让每一个孩子感受了温情、温暖，促进其健康成长。</w:t>
      </w:r>
    </w:p>
    <w:p w14:paraId="0AB93B58">
      <w:pPr>
        <w:pStyle w:val="3"/>
        <w:spacing w:before="42" w:line="560" w:lineRule="exact"/>
        <w:ind w:right="13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（3）关注 “舌尖上的安全”。大力开展校园食品安全隐患排查整治和食堂问题整治专项行动，为学生健康成长保驾护航。</w:t>
      </w:r>
    </w:p>
    <w:p w14:paraId="0FB7CDD8">
      <w:pPr>
        <w:pStyle w:val="3"/>
        <w:spacing w:before="42" w:line="560" w:lineRule="exact"/>
        <w:ind w:right="13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（4）全面落实学生资助工作。 全 年资助学生600余人次、资助金全部发放到位，减免家庭困难学生生活费、课后延时费等费用，努力践行了“绝不让一个学生因家庭经济困难失学” 的庄严承诺。</w:t>
      </w:r>
    </w:p>
    <w:p w14:paraId="19609D88">
      <w:pPr>
        <w:spacing w:before="53" w:line="560" w:lineRule="exact"/>
        <w:outlineLvl w:val="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学生五育多元发展。突出德育实效。 将立德树人根本任务贯彻融入课堂教学全过程，确保德育工作有效推进。组织好每周一升旗仪式，建国75周年歌咏比赛，参加市教体局组织的爱国教育主题征文活动等，一系列德育工作，拓宽了德育教育渠道、更新教育模式、提升教育实效。全程参与罗城教育集团系列活动，与各集团联手全力做好我市全国基础教育综合改革实验区各项工作。加强体育锻炼。推行 “体育强校计划”，通过课程设置和活动开展，实现“天天有锻炼，周周有活动，月月有比赛，期期有节会”目标。全年组织学生开展了班级篮球、拔河、跳绳体操、长跑等比赛，举办了校园第三届体育节，开展跳绳、篮球、足球、羽毛球、武术、围棋社团活动，组织参加市教体局第五十三届体育节系列活动，三江小学获甲组团体总分第三名，。强化美育浸润 推动美育校园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建设，打造昂扬向上、文明高雅、充满活力的校园文化氛围。开展好书推荐，诵读经典书籍、读书会交流等活动，成立了阅读兴趣小组，借助多样化阅读活动，引领师生与知识为友，让读书成为习惯，让书香溢满校园，为学生终身阅读习惯打好基础。深化“非遗进校园，楚辞进课堂”工作，举行校园艺术节、书法作品展等活动，多途径、多渠道宣传展示校园优秀展演节目和作品，进一步提升学生发现美、表现美、鉴赏美、创造美的能力。创新劳动教育。学校始终秉承以劳树德、以劳增智、以劳健体、以劳育美的教育理念，将其作为素质教育体系的价值基础。秋季，重新建设了劳动实践基地。在老师的指导下，学生参加劳动实践，体验劳动的意义，感受劳动乐趣，促进了学生劳动素养的全面提升，为德智体美劳全面发展奠定了坚实的基础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49BFEC2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1"/>
        <w:textAlignment w:val="baseline"/>
        <w:rPr>
          <w:rFonts w:eastAsia="仿宋"/>
          <w:color w:val="333333"/>
          <w:sz w:val="30"/>
          <w:szCs w:val="30"/>
        </w:rPr>
      </w:pP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val="en-US" w:eastAsia="zh-CN"/>
        </w:rPr>
        <w:t>一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</w:rPr>
        <w:t>预算编制工作有待细化。预算编制不够明确和细化，预算编制的合理性需要提高。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</w:rPr>
        <w:t>人员分工及实施方面有待加强，分工要合理明确及提高执行效率。</w:t>
      </w:r>
    </w:p>
    <w:p w14:paraId="3323B29B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1"/>
        <w:textAlignment w:val="baseline"/>
        <w:rPr>
          <w:rFonts w:eastAsia="仿宋"/>
          <w:color w:val="333333"/>
          <w:sz w:val="30"/>
          <w:szCs w:val="30"/>
        </w:rPr>
      </w:pP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二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eastAsia="仿宋" w:cs="仿宋"/>
          <w:sz w:val="30"/>
          <w:szCs w:val="30"/>
        </w:rPr>
        <w:t>项目支出绩效评价指标体系不完善，给考核评价及评分工作带来一定的困难。</w:t>
      </w:r>
    </w:p>
    <w:p w14:paraId="0238A2A6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1"/>
        <w:textAlignment w:val="baseline"/>
        <w:rPr>
          <w:rFonts w:hint="eastAsia" w:eastAsia="仿宋"/>
          <w:color w:val="333333"/>
          <w:sz w:val="30"/>
          <w:szCs w:val="30"/>
          <w:lang w:eastAsia="zh-CN"/>
        </w:rPr>
      </w:pP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eastAsia="仿宋" w:cs="仿宋"/>
          <w:sz w:val="30"/>
          <w:szCs w:val="30"/>
        </w:rPr>
        <w:t>各相关部门处室对绩效评价工作的重要性认识有待进一步提高</w:t>
      </w:r>
      <w:r>
        <w:rPr>
          <w:rFonts w:hint="eastAsia" w:eastAsia="仿宋" w:cs="仿宋"/>
          <w:sz w:val="30"/>
          <w:szCs w:val="30"/>
          <w:lang w:eastAsia="zh-CN"/>
        </w:rPr>
        <w:t>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640A4655">
      <w:pPr>
        <w:adjustRightInd w:val="0"/>
        <w:snapToGrid w:val="0"/>
        <w:spacing w:line="360" w:lineRule="auto"/>
        <w:ind w:firstLine="600" w:firstLineChars="200"/>
        <w:rPr>
          <w:rFonts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 w14:paraId="2BE72B2A">
      <w:pPr>
        <w:adjustRightInd w:val="0"/>
        <w:snapToGrid w:val="0"/>
        <w:spacing w:line="360" w:lineRule="auto"/>
        <w:ind w:firstLine="600" w:firstLineChars="200"/>
        <w:rPr>
          <w:rFonts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（二）加强财务管理，严格财务审核。在费用报账支付时，按照预算编制时的金额和用途进行资金使用审核、列报支付、财务核算，杜绝超支现象的发生。</w:t>
      </w:r>
    </w:p>
    <w:p w14:paraId="791F854E">
      <w:pPr>
        <w:adjustRightInd w:val="0"/>
        <w:snapToGrid w:val="0"/>
        <w:spacing w:line="360" w:lineRule="auto"/>
        <w:ind w:firstLine="600" w:firstLineChars="200"/>
        <w:rPr>
          <w:rFonts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（三）加强绩效评价结果的应用，促进预算项目规范有序开展。将绩效评价结果及时通报承担工作任务的处室，对于评价结果较好的项目予以支持，激励其更好地开展工作；对评价发现问题、达不到绩效目标或评价结果较差的项目予以纠正，充分发挥财政资金使用效益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1EB7387D">
      <w:pPr>
        <w:spacing w:line="600" w:lineRule="exact"/>
        <w:ind w:firstLine="600" w:firstLineChars="200"/>
        <w:jc w:val="both"/>
        <w:rPr>
          <w:rFonts w:hint="eastAsia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根据预算绩效评价的有关规定，</w:t>
      </w:r>
      <w:r>
        <w:rPr>
          <w:rFonts w:hint="eastAsia" w:eastAsia="仿宋" w:cs="仿宋"/>
          <w:sz w:val="30"/>
          <w:szCs w:val="30"/>
          <w:lang w:val="en-US" w:eastAsia="zh-CN"/>
        </w:rPr>
        <w:t>我校</w:t>
      </w:r>
      <w:r>
        <w:rPr>
          <w:rFonts w:hint="eastAsia" w:eastAsia="仿宋" w:cs="仿宋"/>
          <w:sz w:val="30"/>
          <w:szCs w:val="30"/>
        </w:rPr>
        <w:t>将在</w:t>
      </w:r>
      <w:r>
        <w:rPr>
          <w:rFonts w:hint="eastAsia" w:eastAsia="仿宋" w:cs="仿宋"/>
          <w:sz w:val="30"/>
          <w:szCs w:val="30"/>
          <w:lang w:val="en-US" w:eastAsia="zh-CN"/>
        </w:rPr>
        <w:t>市</w:t>
      </w:r>
      <w:r>
        <w:rPr>
          <w:rFonts w:hint="eastAsia" w:eastAsia="仿宋" w:cs="仿宋"/>
          <w:sz w:val="30"/>
          <w:szCs w:val="30"/>
        </w:rPr>
        <w:t>政府门户网站</w:t>
      </w:r>
      <w:r>
        <w:rPr>
          <w:rFonts w:hint="eastAsia" w:eastAsia="仿宋" w:cs="仿宋"/>
          <w:sz w:val="30"/>
          <w:szCs w:val="30"/>
          <w:lang w:val="en-US" w:eastAsia="zh-CN"/>
        </w:rPr>
        <w:t>按财政要求</w:t>
      </w:r>
      <w:r>
        <w:rPr>
          <w:rFonts w:hint="eastAsia" w:eastAsia="仿宋" w:cs="仿宋"/>
          <w:sz w:val="30"/>
          <w:szCs w:val="30"/>
        </w:rPr>
        <w:t>公开绩效自评报告。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6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6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6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6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3C6F34F9"/>
    <w:rsid w:val="466D3567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9A69B9"/>
    <w:rsid w:val="7CFA7150"/>
    <w:rsid w:val="7ED67756"/>
    <w:rsid w:val="7F857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965</Words>
  <Characters>1066</Characters>
  <TotalTime>1</TotalTime>
  <ScaleCrop>false</ScaleCrop>
  <LinksUpToDate>false</LinksUpToDate>
  <CharactersWithSpaces>1113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杨奇</cp:lastModifiedBy>
  <cp:lastPrinted>2024-05-21T14:05:00Z</cp:lastPrinted>
  <dcterms:modified xsi:type="dcterms:W3CDTF">2025-09-28T07:32:08Z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eyJoZGlkIjoiNWQ2YWUxYzNjZmQyY2FkYTcyNTQ5MDJjYmFkMTU4OWEiLCJ1c2VySWQiOiI3ODU3MzgzNTcifQ==</vt:lpwstr>
  </property>
</Properties>
</file>