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140</w:t>
            </w:r>
          </w:p>
        </w:tc>
        <w:tc>
          <w:tcPr>
            <w:tcW w:w="1983" w:type="dxa"/>
            <w:gridSpan w:val="2"/>
            <w:vAlign w:val="center"/>
          </w:tcPr>
          <w:p w14:paraId="06F2846E">
            <w:pPr>
              <w:spacing w:line="240" w:lineRule="auto"/>
              <w:ind w:firstLine="420"/>
              <w:jc w:val="center"/>
              <w:rPr>
                <w:rFonts w:ascii="仿宋_GB2312" w:eastAsia="仿宋_GB2312"/>
                <w:kern w:val="0"/>
              </w:rPr>
            </w:pPr>
            <w:r>
              <w:rPr>
                <w:rFonts w:hint="eastAsia" w:ascii="仿宋_GB2312" w:eastAsia="仿宋_GB2312"/>
                <w:kern w:val="0"/>
              </w:rPr>
              <w:t>92.11%</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r>
              <w:rPr>
                <w:rFonts w:hint="eastAsia" w:ascii="仿宋_GB2312" w:eastAsia="仿宋_GB2312"/>
                <w:kern w:val="0"/>
              </w:rPr>
              <w:t>78.93</w:t>
            </w:r>
          </w:p>
        </w:tc>
        <w:tc>
          <w:tcPr>
            <w:tcW w:w="2039" w:type="dxa"/>
            <w:gridSpan w:val="2"/>
            <w:vAlign w:val="center"/>
          </w:tcPr>
          <w:p w14:paraId="56A401C1">
            <w:pPr>
              <w:spacing w:line="240" w:lineRule="auto"/>
              <w:ind w:firstLine="420"/>
              <w:jc w:val="center"/>
              <w:rPr>
                <w:rFonts w:ascii="仿宋_GB2312" w:eastAsia="仿宋_GB2312"/>
                <w:kern w:val="0"/>
              </w:rPr>
            </w:pPr>
            <w:r>
              <w:rPr>
                <w:rFonts w:hint="eastAsia" w:ascii="仿宋_GB2312" w:eastAsia="仿宋_GB2312"/>
                <w:kern w:val="0"/>
              </w:rPr>
              <w:t>95</w:t>
            </w:r>
          </w:p>
        </w:tc>
        <w:tc>
          <w:tcPr>
            <w:tcW w:w="1983" w:type="dxa"/>
            <w:gridSpan w:val="2"/>
            <w:vAlign w:val="center"/>
          </w:tcPr>
          <w:p w14:paraId="7E496EB6">
            <w:pPr>
              <w:spacing w:line="240" w:lineRule="auto"/>
              <w:ind w:firstLine="420"/>
              <w:jc w:val="center"/>
              <w:rPr>
                <w:rFonts w:ascii="仿宋_GB2312" w:eastAsia="仿宋_GB2312"/>
                <w:kern w:val="0"/>
              </w:rPr>
            </w:pPr>
            <w:r>
              <w:rPr>
                <w:rFonts w:hint="eastAsia" w:ascii="仿宋_GB2312" w:eastAsia="仿宋_GB2312"/>
                <w:kern w:val="0"/>
              </w:rPr>
              <w:t>120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 xml:space="preserve">78.93      </w:t>
            </w:r>
          </w:p>
        </w:tc>
        <w:tc>
          <w:tcPr>
            <w:tcW w:w="2039" w:type="dxa"/>
            <w:gridSpan w:val="2"/>
            <w:vAlign w:val="center"/>
          </w:tcPr>
          <w:p w14:paraId="18F75CD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95</w:t>
            </w:r>
          </w:p>
        </w:tc>
        <w:tc>
          <w:tcPr>
            <w:tcW w:w="1983" w:type="dxa"/>
            <w:gridSpan w:val="2"/>
            <w:vAlign w:val="center"/>
          </w:tcPr>
          <w:p w14:paraId="4D19413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120</w:t>
            </w:r>
          </w:p>
        </w:tc>
      </w:tr>
      <w:tr w14:paraId="43EC3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AF3533C">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综合整治管理费用</w:t>
            </w:r>
          </w:p>
        </w:tc>
        <w:tc>
          <w:tcPr>
            <w:tcW w:w="2116" w:type="dxa"/>
            <w:gridSpan w:val="2"/>
            <w:shd w:val="clear"/>
            <w:vAlign w:val="center"/>
          </w:tcPr>
          <w:p w14:paraId="14CD17AA">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 xml:space="preserve">78.93      </w:t>
            </w:r>
          </w:p>
        </w:tc>
        <w:tc>
          <w:tcPr>
            <w:tcW w:w="2039" w:type="dxa"/>
            <w:gridSpan w:val="2"/>
            <w:shd w:val="clear"/>
            <w:vAlign w:val="center"/>
          </w:tcPr>
          <w:p w14:paraId="59F27853">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95</w:t>
            </w:r>
          </w:p>
        </w:tc>
        <w:tc>
          <w:tcPr>
            <w:tcW w:w="1983" w:type="dxa"/>
            <w:gridSpan w:val="2"/>
            <w:shd w:val="clear"/>
            <w:vAlign w:val="center"/>
          </w:tcPr>
          <w:p w14:paraId="71346B28">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120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ascii="仿宋_GB2312" w:eastAsia="仿宋_GB2312"/>
                <w:kern w:val="0"/>
              </w:rPr>
            </w:pPr>
            <w:r>
              <w:rPr>
                <w:rFonts w:hint="eastAsia" w:ascii="仿宋_GB2312" w:eastAsia="仿宋_GB2312"/>
                <w:kern w:val="0"/>
              </w:rPr>
              <w:t>187.52</w:t>
            </w:r>
          </w:p>
        </w:tc>
        <w:tc>
          <w:tcPr>
            <w:tcW w:w="2039" w:type="dxa"/>
            <w:gridSpan w:val="2"/>
            <w:vAlign w:val="center"/>
          </w:tcPr>
          <w:p w14:paraId="050E075D">
            <w:pPr>
              <w:spacing w:line="240" w:lineRule="auto"/>
              <w:ind w:firstLine="420"/>
              <w:jc w:val="center"/>
              <w:rPr>
                <w:rFonts w:ascii="仿宋_GB2312" w:eastAsia="仿宋_GB2312"/>
                <w:kern w:val="0"/>
              </w:rPr>
            </w:pPr>
            <w:r>
              <w:rPr>
                <w:rFonts w:hint="eastAsia" w:ascii="仿宋_GB2312" w:eastAsia="仿宋_GB2312"/>
                <w:kern w:val="0"/>
              </w:rPr>
              <w:t>236.54</w:t>
            </w:r>
          </w:p>
        </w:tc>
        <w:tc>
          <w:tcPr>
            <w:tcW w:w="1983" w:type="dxa"/>
            <w:gridSpan w:val="2"/>
            <w:vAlign w:val="center"/>
          </w:tcPr>
          <w:p w14:paraId="7357305D">
            <w:pPr>
              <w:spacing w:line="240" w:lineRule="auto"/>
              <w:ind w:firstLine="420"/>
              <w:jc w:val="center"/>
              <w:rPr>
                <w:rFonts w:ascii="仿宋_GB2312" w:eastAsia="仿宋_GB2312"/>
                <w:kern w:val="0"/>
              </w:rPr>
            </w:pPr>
            <w:r>
              <w:rPr>
                <w:rFonts w:hint="eastAsia" w:ascii="仿宋_GB2312" w:eastAsia="仿宋_GB2312"/>
                <w:kern w:val="0"/>
              </w:rPr>
              <w:t>247.49</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ascii="仿宋_GB2312" w:eastAsia="仿宋_GB2312"/>
                <w:kern w:val="0"/>
              </w:rPr>
            </w:pPr>
            <w:r>
              <w:rPr>
                <w:rFonts w:hint="eastAsia" w:ascii="仿宋_GB2312" w:eastAsia="仿宋_GB2312"/>
                <w:kern w:val="0"/>
              </w:rPr>
              <w:t>6.87</w:t>
            </w:r>
          </w:p>
        </w:tc>
        <w:tc>
          <w:tcPr>
            <w:tcW w:w="2039" w:type="dxa"/>
            <w:gridSpan w:val="2"/>
            <w:vAlign w:val="center"/>
          </w:tcPr>
          <w:p w14:paraId="7BB02F1D">
            <w:pPr>
              <w:spacing w:line="240" w:lineRule="auto"/>
              <w:ind w:firstLine="420"/>
              <w:jc w:val="center"/>
              <w:rPr>
                <w:rFonts w:ascii="仿宋_GB2312" w:eastAsia="仿宋_GB2312"/>
                <w:kern w:val="0"/>
              </w:rPr>
            </w:pPr>
            <w:r>
              <w:rPr>
                <w:rFonts w:hint="eastAsia" w:ascii="仿宋_GB2312" w:eastAsia="仿宋_GB2312"/>
                <w:kern w:val="0"/>
              </w:rPr>
              <w:t>12.04</w:t>
            </w:r>
          </w:p>
        </w:tc>
        <w:tc>
          <w:tcPr>
            <w:tcW w:w="1983" w:type="dxa"/>
            <w:gridSpan w:val="2"/>
            <w:vAlign w:val="center"/>
          </w:tcPr>
          <w:p w14:paraId="087A3549">
            <w:pPr>
              <w:spacing w:line="240" w:lineRule="auto"/>
              <w:ind w:firstLine="420"/>
              <w:jc w:val="center"/>
              <w:rPr>
                <w:rFonts w:ascii="仿宋_GB2312" w:eastAsia="仿宋_GB2312"/>
                <w:kern w:val="0"/>
              </w:rPr>
            </w:pPr>
            <w:r>
              <w:rPr>
                <w:rFonts w:hint="eastAsia" w:ascii="仿宋_GB2312" w:eastAsia="仿宋_GB2312"/>
                <w:kern w:val="0"/>
              </w:rPr>
              <w:t>3.43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ascii="仿宋_GB2312" w:eastAsia="仿宋_GB2312"/>
                <w:kern w:val="0"/>
              </w:rPr>
            </w:pPr>
            <w:r>
              <w:rPr>
                <w:rFonts w:hint="eastAsia" w:ascii="仿宋_GB2312" w:eastAsia="仿宋_GB2312"/>
                <w:kern w:val="0"/>
              </w:rPr>
              <w:t>9.21</w:t>
            </w:r>
          </w:p>
        </w:tc>
        <w:tc>
          <w:tcPr>
            <w:tcW w:w="2039" w:type="dxa"/>
            <w:gridSpan w:val="2"/>
            <w:vAlign w:val="center"/>
          </w:tcPr>
          <w:p w14:paraId="31E21FE8">
            <w:pPr>
              <w:spacing w:line="240" w:lineRule="auto"/>
              <w:ind w:firstLine="420"/>
              <w:jc w:val="center"/>
              <w:rPr>
                <w:rFonts w:ascii="仿宋_GB2312" w:eastAsia="仿宋_GB2312"/>
                <w:kern w:val="0"/>
              </w:rPr>
            </w:pPr>
            <w:r>
              <w:rPr>
                <w:rFonts w:hint="eastAsia" w:ascii="仿宋_GB2312" w:eastAsia="仿宋_GB2312"/>
                <w:kern w:val="0"/>
              </w:rPr>
              <w:t>27.96</w:t>
            </w:r>
          </w:p>
        </w:tc>
        <w:tc>
          <w:tcPr>
            <w:tcW w:w="1983" w:type="dxa"/>
            <w:gridSpan w:val="2"/>
            <w:vAlign w:val="center"/>
          </w:tcPr>
          <w:p w14:paraId="4FD74531">
            <w:pPr>
              <w:spacing w:line="240" w:lineRule="auto"/>
              <w:ind w:firstLine="420"/>
              <w:jc w:val="center"/>
              <w:rPr>
                <w:rFonts w:ascii="仿宋_GB2312" w:eastAsia="仿宋_GB2312"/>
                <w:kern w:val="0"/>
              </w:rPr>
            </w:pPr>
            <w:r>
              <w:rPr>
                <w:rFonts w:hint="eastAsia" w:ascii="仿宋_GB2312" w:eastAsia="仿宋_GB2312"/>
                <w:kern w:val="0"/>
              </w:rPr>
              <w:t>3.544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ascii="仿宋_GB2312" w:eastAsia="仿宋_GB2312"/>
                <w:kern w:val="0"/>
              </w:rPr>
            </w:pPr>
            <w:r>
              <w:rPr>
                <w:rFonts w:hint="eastAsia" w:ascii="仿宋_GB2312" w:eastAsia="仿宋_GB2312"/>
                <w:kern w:val="0"/>
              </w:rPr>
              <w:t>4.26</w:t>
            </w:r>
          </w:p>
        </w:tc>
        <w:tc>
          <w:tcPr>
            <w:tcW w:w="2039" w:type="dxa"/>
            <w:gridSpan w:val="2"/>
            <w:vAlign w:val="center"/>
          </w:tcPr>
          <w:p w14:paraId="467174B3">
            <w:pPr>
              <w:spacing w:line="240" w:lineRule="auto"/>
              <w:ind w:firstLine="420"/>
              <w:jc w:val="center"/>
              <w:rPr>
                <w:rFonts w:ascii="仿宋_GB2312" w:eastAsia="仿宋_GB2312"/>
                <w:kern w:val="0"/>
              </w:rPr>
            </w:pPr>
            <w:r>
              <w:rPr>
                <w:rFonts w:hint="eastAsia" w:ascii="仿宋_GB2312" w:eastAsia="仿宋_GB2312"/>
                <w:kern w:val="0"/>
              </w:rPr>
              <w:t>4.2</w:t>
            </w:r>
          </w:p>
        </w:tc>
        <w:tc>
          <w:tcPr>
            <w:tcW w:w="1983" w:type="dxa"/>
            <w:gridSpan w:val="2"/>
            <w:vAlign w:val="center"/>
          </w:tcPr>
          <w:p w14:paraId="550E4F9D">
            <w:pPr>
              <w:spacing w:line="240" w:lineRule="auto"/>
              <w:ind w:firstLine="420"/>
              <w:jc w:val="center"/>
              <w:rPr>
                <w:rFonts w:ascii="仿宋_GB2312" w:eastAsia="仿宋_GB2312"/>
                <w:kern w:val="0"/>
              </w:rPr>
            </w:pPr>
            <w:r>
              <w:rPr>
                <w:rFonts w:hint="eastAsia" w:ascii="仿宋_GB2312" w:eastAsia="仿宋_GB2312"/>
                <w:kern w:val="0"/>
              </w:rPr>
              <w:t>11.29</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仿宋_GB2312" w:eastAsia="仿宋_GB2312"/>
                <w:kern w:val="0"/>
              </w:rPr>
              <w:t>157.6</w:t>
            </w:r>
          </w:p>
        </w:tc>
        <w:tc>
          <w:tcPr>
            <w:tcW w:w="2039" w:type="dxa"/>
            <w:gridSpan w:val="2"/>
            <w:vAlign w:val="center"/>
          </w:tcPr>
          <w:p w14:paraId="18AD1802">
            <w:pPr>
              <w:spacing w:line="240" w:lineRule="auto"/>
              <w:ind w:firstLine="420"/>
              <w:jc w:val="center"/>
              <w:rPr>
                <w:rFonts w:ascii="仿宋_GB2312" w:eastAsia="仿宋_GB2312"/>
                <w:kern w:val="0"/>
              </w:rPr>
            </w:pPr>
            <w:r>
              <w:rPr>
                <w:rFonts w:hint="eastAsia" w:ascii="仿宋_GB2312" w:eastAsia="仿宋_GB2312"/>
                <w:kern w:val="0"/>
              </w:rPr>
              <w:t>130.2</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25</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tabs>
                <w:tab w:val="left" w:pos="1979"/>
              </w:tabs>
              <w:kinsoku w:val="0"/>
              <w:autoSpaceDE w:val="0"/>
              <w:autoSpaceDN w:val="0"/>
              <w:adjustRightInd w:val="0"/>
              <w:snapToGrid w:val="0"/>
              <w:jc w:val="left"/>
              <w:textAlignment w:val="baseline"/>
              <w:rPr>
                <w:rFonts w:hint="eastAsia" w:ascii="Arial" w:hAnsi="Arial" w:eastAsia="宋体" w:cs="Arial"/>
                <w:snapToGrid w:val="0"/>
                <w:color w:val="000000"/>
                <w:sz w:val="21"/>
                <w:szCs w:val="21"/>
                <w:lang w:val="en-US" w:eastAsia="zh-CN" w:bidi="ar-SA"/>
              </w:rPr>
            </w:pPr>
            <w:r>
              <w:rPr>
                <w:rFonts w:hint="eastAsia" w:ascii="仿宋_GB2312" w:hAnsi="宋体" w:eastAsia="仿宋_GB2312" w:cs="宋体"/>
                <w:kern w:val="0"/>
                <w:sz w:val="20"/>
                <w:szCs w:val="20"/>
                <w:lang w:val="en-US" w:eastAsia="zh-CN"/>
              </w:rPr>
              <w:t>严控办公经费，厉行勤俭节约，及时关闭办公设备电源，节约办公用水；严控三公经费，加强执法车辆的维护与管理；严控差旅费管理，严格执行差旅费审批制度，严格把控差旅费预算管理和报销审核。</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29C46B5F">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rPr>
              <w:t>汨罗市城市管理综合行政执法大队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ascii="仿宋_GB2312" w:eastAsia="仿宋_GB2312"/>
                <w:kern w:val="0"/>
              </w:rPr>
            </w:pPr>
            <w:r>
              <w:rPr>
                <w:rFonts w:hint="eastAsia" w:ascii="仿宋_GB2312" w:eastAsia="仿宋_GB2312"/>
                <w:kern w:val="0"/>
              </w:rPr>
              <w:t>1639.13</w:t>
            </w:r>
          </w:p>
        </w:tc>
        <w:tc>
          <w:tcPr>
            <w:tcW w:w="1298" w:type="dxa"/>
            <w:vAlign w:val="center"/>
          </w:tcPr>
          <w:p w14:paraId="78350D28">
            <w:pPr>
              <w:spacing w:line="240" w:lineRule="auto"/>
              <w:ind w:firstLine="420"/>
              <w:jc w:val="center"/>
              <w:rPr>
                <w:rFonts w:ascii="仿宋_GB2312" w:eastAsia="仿宋_GB2312"/>
                <w:kern w:val="0"/>
              </w:rPr>
            </w:pPr>
            <w:r>
              <w:rPr>
                <w:rFonts w:hint="eastAsia" w:ascii="仿宋_GB2312" w:eastAsia="仿宋_GB2312"/>
                <w:kern w:val="0"/>
              </w:rPr>
              <w:t>1793.60</w:t>
            </w:r>
          </w:p>
        </w:tc>
        <w:tc>
          <w:tcPr>
            <w:tcW w:w="1269" w:type="dxa"/>
            <w:vAlign w:val="center"/>
          </w:tcPr>
          <w:p w14:paraId="5FDA3D24">
            <w:pPr>
              <w:spacing w:line="240" w:lineRule="auto"/>
              <w:ind w:firstLine="420"/>
              <w:jc w:val="center"/>
              <w:rPr>
                <w:rFonts w:ascii="仿宋_GB2312" w:eastAsia="仿宋_GB2312"/>
                <w:kern w:val="0"/>
              </w:rPr>
            </w:pPr>
            <w:r>
              <w:rPr>
                <w:rFonts w:hint="eastAsia" w:ascii="仿宋_GB2312" w:eastAsia="仿宋_GB2312"/>
                <w:kern w:val="0"/>
              </w:rPr>
              <w:t>1793.60</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both"/>
              <w:rPr>
                <w:rFonts w:ascii="仿宋_GB2312" w:eastAsia="仿宋_GB2312"/>
                <w:kern w:val="0"/>
              </w:rPr>
            </w:pPr>
            <w:r>
              <w:rPr>
                <w:rFonts w:hint="eastAsia" w:ascii="仿宋_GB2312" w:eastAsia="仿宋_GB2312"/>
                <w:kern w:val="0"/>
              </w:rPr>
              <w:t>100.00%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其中：一般公共预算：1793.60</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其中：基本支出：1673.60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项目支出：120.00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2"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tabs>
                <w:tab w:val="left" w:pos="1676"/>
              </w:tabs>
              <w:spacing w:line="240" w:lineRule="auto"/>
              <w:jc w:val="left"/>
              <w:rPr>
                <w:rFonts w:hint="eastAsia" w:ascii="仿宋_GB2312" w:eastAsia="仿宋_GB2312"/>
                <w:kern w:val="0"/>
                <w:lang w:eastAsia="zh-CN"/>
              </w:rPr>
            </w:pPr>
            <w:r>
              <w:rPr>
                <w:rFonts w:hint="eastAsia" w:ascii="仿宋_GB2312" w:eastAsia="仿宋_GB2312"/>
                <w:kern w:val="0"/>
                <w:lang w:eastAsia="zh-CN"/>
              </w:rPr>
              <w:t>加强城市市容市貌管理；加强城市河道和水域领域倾倒废弃物和垃圾及违规取土管理；创建文明卫生园林城市；加强生活噪声及建筑施工噪声污染、建筑施工扬尘污染、餐饮服务业油烟污染、露天烧烤污染等管理；城区禁炮管理及城区、京广高铁站片区范围内“牛皮癣”的治理；违规建筑管理；加强京广高铁东站范围内户外广告、生态环境保护等方面的管理</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sz w:val="18"/>
                <w:szCs w:val="18"/>
              </w:rPr>
              <w:t>全年来在归义坊设立“夜市潮汐摊位“26个，友谊河公园鲁狮坝段设立了早晚时间段“潮汐市场摊位”18个，罗城学校设立“潮汐摊位”5个。全年共处理12345热线520余起，来电来访1200余起，回复率100%，满意率95%；对店外占道经营和夜市门店商户送达限期整改通知书50余份，劝导流动商贩3500余人次；现场阻止张贴牛皮癣行为200余起，没收散发传单1.5万余张。劝导人行道违停车辆7000余台，开出违停告知单5600余台（次），规范摆放自行车、电动车、摩托车6000余台次。共拆除存在安全隐患门店招牌和违规设置的“天际线”广告共计61块，拆除校外培训机构及影响消防通道违规设置的户外广告牌10余块。规范广告招牌审批、设置，勘察行政审批715项（次），设置大型户外广告未按规定办理审批手续行政立案6起，行政处罚800元。共开展燃气领域执法检查32次，行政立案39起，共计行政罚112870元，移送公安机关1人。全年来共计摸排城区餐饮门店712家，建立大中型餐饮企业防控台账79家,督促整改小型餐饮企业进店经营、安装简易油烟设备162家，对城区3个灶台以上已安装油烟净化设备的餐饮门店和被投诉的其他餐饮门店、夜宵门店开展油烟检测56家，下达限期整改通知80余份。出动执法人员2600余人次，巡查管控办事对象1085起，成功劝阻有意向燃放对象90余起，查处违规燃放烟花鞭炮办事对象10起，处罚10起，共处罚3400元。集中开展中心城区乱停乱放专项整治行动，通过严格执法、热情劝导等形式激发市民自觉参与城市管理的热情，进一步巩固城区市容市貌常态化治理成效。</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both"/>
              <w:rPr>
                <w:rFonts w:ascii="仿宋_GB2312" w:eastAsia="仿宋_GB2312"/>
                <w:kern w:val="0"/>
              </w:rPr>
            </w:pPr>
            <w:r>
              <w:rPr>
                <w:rFonts w:hint="eastAsia" w:ascii="仿宋_GB2312" w:eastAsia="仿宋_GB2312"/>
                <w:kern w:val="0"/>
                <w:sz w:val="20"/>
                <w:szCs w:val="20"/>
              </w:rPr>
              <w:t>及时处理违规行为，强化行政管理，案件办结达50起</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50</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60</w:t>
            </w:r>
          </w:p>
        </w:tc>
        <w:tc>
          <w:tcPr>
            <w:tcW w:w="699" w:type="dxa"/>
            <w:vAlign w:val="center"/>
          </w:tcPr>
          <w:p w14:paraId="567F5E54">
            <w:pPr>
              <w:spacing w:line="240" w:lineRule="auto"/>
              <w:ind w:firstLine="420"/>
              <w:jc w:val="center"/>
              <w:rPr>
                <w:rFonts w:ascii="仿宋_GB2312" w:eastAsia="仿宋_GB2312"/>
                <w:kern w:val="0"/>
              </w:rPr>
            </w:pPr>
            <w:r>
              <w:rPr>
                <w:rFonts w:hint="eastAsia" w:ascii="仿宋_GB2312" w:eastAsia="仿宋_GB2312"/>
                <w:kern w:val="0"/>
              </w:rPr>
              <w:t>10</w:t>
            </w:r>
          </w:p>
        </w:tc>
        <w:tc>
          <w:tcPr>
            <w:tcW w:w="869" w:type="dxa"/>
            <w:vAlign w:val="center"/>
          </w:tcPr>
          <w:p w14:paraId="2717B7C4">
            <w:pPr>
              <w:spacing w:line="240" w:lineRule="auto"/>
              <w:ind w:firstLine="420"/>
              <w:jc w:val="center"/>
              <w:rPr>
                <w:rFonts w:ascii="仿宋_GB2312" w:eastAsia="仿宋_GB2312"/>
                <w:kern w:val="0"/>
              </w:rPr>
            </w:pPr>
            <w:r>
              <w:rPr>
                <w:rFonts w:hint="eastAsia" w:ascii="仿宋_GB2312" w:eastAsia="仿宋_GB2312"/>
                <w:kern w:val="0"/>
              </w:rPr>
              <w:t>10</w:t>
            </w:r>
          </w:p>
        </w:tc>
        <w:tc>
          <w:tcPr>
            <w:tcW w:w="1423" w:type="dxa"/>
            <w:tcBorders/>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both"/>
              <w:rPr>
                <w:rFonts w:ascii="仿宋_GB2312" w:eastAsia="仿宋_GB2312"/>
                <w:kern w:val="0"/>
              </w:rPr>
            </w:pPr>
            <w:r>
              <w:rPr>
                <w:rFonts w:hint="eastAsia" w:ascii="仿宋_GB2312" w:eastAsia="仿宋_GB2312"/>
                <w:kern w:val="0"/>
                <w:sz w:val="20"/>
                <w:szCs w:val="20"/>
              </w:rPr>
              <w:t>行政执法程序合法、依据合理，以事实为依据，以法律为准绳</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shd w:val="clear"/>
            <w:vAlign w:val="center"/>
          </w:tcPr>
          <w:p w14:paraId="5580FC8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vAlign w:val="center"/>
          </w:tcPr>
          <w:p w14:paraId="0982B11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1423" w:type="dxa"/>
            <w:tcBorders/>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both"/>
              <w:rPr>
                <w:rFonts w:ascii="仿宋_GB2312" w:eastAsia="仿宋_GB2312"/>
                <w:kern w:val="0"/>
                <w:sz w:val="20"/>
                <w:szCs w:val="20"/>
              </w:rPr>
            </w:pPr>
            <w:r>
              <w:rPr>
                <w:rFonts w:hint="eastAsia" w:ascii="仿宋_GB2312" w:eastAsia="仿宋_GB2312"/>
                <w:kern w:val="0"/>
                <w:sz w:val="20"/>
                <w:szCs w:val="20"/>
              </w:rPr>
              <w:t>完成时间</w:t>
            </w:r>
          </w:p>
        </w:tc>
        <w:tc>
          <w:tcPr>
            <w:tcW w:w="1298" w:type="dxa"/>
            <w:vAlign w:val="center"/>
          </w:tcPr>
          <w:p w14:paraId="479FA5D5">
            <w:pPr>
              <w:spacing w:line="240" w:lineRule="auto"/>
              <w:jc w:val="both"/>
              <w:rPr>
                <w:rFonts w:ascii="仿宋_GB2312" w:eastAsia="仿宋_GB2312"/>
                <w:kern w:val="0"/>
              </w:rPr>
            </w:pPr>
            <w:r>
              <w:rPr>
                <w:rFonts w:hint="eastAsia" w:ascii="仿宋_GB2312" w:eastAsia="仿宋_GB2312"/>
                <w:kern w:val="0"/>
              </w:rPr>
              <w:t>2024年全年</w:t>
            </w:r>
          </w:p>
        </w:tc>
        <w:tc>
          <w:tcPr>
            <w:tcW w:w="1269" w:type="dxa"/>
            <w:vAlign w:val="center"/>
          </w:tcPr>
          <w:p w14:paraId="5C1B3402">
            <w:pPr>
              <w:spacing w:line="240" w:lineRule="auto"/>
              <w:jc w:val="both"/>
              <w:rPr>
                <w:rFonts w:ascii="仿宋_GB2312" w:eastAsia="仿宋_GB2312"/>
                <w:kern w:val="0"/>
              </w:rPr>
            </w:pPr>
            <w:r>
              <w:rPr>
                <w:rFonts w:hint="eastAsia" w:ascii="仿宋_GB2312" w:eastAsia="仿宋_GB2312"/>
                <w:kern w:val="0"/>
              </w:rPr>
              <w:t>2024年全年</w:t>
            </w:r>
          </w:p>
        </w:tc>
        <w:tc>
          <w:tcPr>
            <w:tcW w:w="699" w:type="dxa"/>
            <w:shd w:val="clear" w:color="auto" w:fill="auto"/>
            <w:vAlign w:val="center"/>
          </w:tcPr>
          <w:p w14:paraId="4C56B99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color="auto" w:fill="auto"/>
            <w:vAlign w:val="center"/>
          </w:tcPr>
          <w:p w14:paraId="5DA3483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1423" w:type="dxa"/>
            <w:tcBorders/>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both"/>
              <w:rPr>
                <w:rFonts w:ascii="仿宋_GB2312" w:eastAsia="仿宋_GB2312"/>
                <w:kern w:val="0"/>
                <w:sz w:val="20"/>
                <w:szCs w:val="20"/>
              </w:rPr>
            </w:pPr>
            <w:r>
              <w:rPr>
                <w:rFonts w:hint="eastAsia" w:ascii="仿宋_GB2312" w:eastAsia="仿宋_GB2312"/>
                <w:kern w:val="0"/>
                <w:sz w:val="20"/>
                <w:szCs w:val="20"/>
              </w:rPr>
              <w:t>确保市容秩序，为我市城市管理打下坚实基础，为城市美化提供市容管理保障，促进我市经济发展</w:t>
            </w:r>
          </w:p>
        </w:tc>
        <w:tc>
          <w:tcPr>
            <w:tcW w:w="1298" w:type="dxa"/>
            <w:vAlign w:val="center"/>
          </w:tcPr>
          <w:p w14:paraId="078289F3">
            <w:pPr>
              <w:spacing w:line="240" w:lineRule="auto"/>
              <w:jc w:val="both"/>
              <w:rPr>
                <w:rFonts w:ascii="仿宋_GB2312" w:eastAsia="仿宋_GB2312"/>
                <w:kern w:val="0"/>
              </w:rPr>
            </w:pPr>
            <w:r>
              <w:rPr>
                <w:rFonts w:hint="eastAsia" w:ascii="仿宋_GB2312" w:eastAsia="仿宋_GB2312"/>
                <w:kern w:val="0"/>
              </w:rPr>
              <w:t>间接效益</w:t>
            </w:r>
          </w:p>
        </w:tc>
        <w:tc>
          <w:tcPr>
            <w:tcW w:w="1269" w:type="dxa"/>
            <w:vAlign w:val="center"/>
          </w:tcPr>
          <w:p w14:paraId="7A453B87">
            <w:pPr>
              <w:spacing w:line="240" w:lineRule="auto"/>
              <w:jc w:val="both"/>
              <w:rPr>
                <w:rFonts w:ascii="仿宋_GB2312" w:eastAsia="仿宋_GB2312"/>
                <w:kern w:val="0"/>
              </w:rPr>
            </w:pPr>
            <w:r>
              <w:rPr>
                <w:rFonts w:hint="eastAsia" w:ascii="仿宋_GB2312" w:eastAsia="仿宋_GB2312"/>
                <w:kern w:val="0"/>
              </w:rPr>
              <w:t>间接效益</w:t>
            </w:r>
          </w:p>
        </w:tc>
        <w:tc>
          <w:tcPr>
            <w:tcW w:w="699" w:type="dxa"/>
            <w:shd w:val="clear" w:color="auto" w:fill="auto"/>
            <w:vAlign w:val="center"/>
          </w:tcPr>
          <w:p w14:paraId="415A3F6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color="auto" w:fill="auto"/>
            <w:vAlign w:val="center"/>
          </w:tcPr>
          <w:p w14:paraId="2AC58B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1423" w:type="dxa"/>
            <w:tcBorders/>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both"/>
              <w:rPr>
                <w:rFonts w:ascii="仿宋_GB2312" w:eastAsia="仿宋_GB2312"/>
                <w:kern w:val="0"/>
                <w:sz w:val="20"/>
                <w:szCs w:val="20"/>
              </w:rPr>
            </w:pPr>
            <w:r>
              <w:rPr>
                <w:rFonts w:hint="eastAsia" w:ascii="仿宋_GB2312" w:eastAsia="仿宋_GB2312"/>
                <w:kern w:val="0"/>
                <w:sz w:val="20"/>
                <w:szCs w:val="20"/>
              </w:rPr>
              <w:t>依法行政、文明执法，管理和服务相结合，提升执法形象</w:t>
            </w:r>
          </w:p>
        </w:tc>
        <w:tc>
          <w:tcPr>
            <w:tcW w:w="1298" w:type="dxa"/>
            <w:vAlign w:val="center"/>
          </w:tcPr>
          <w:p w14:paraId="6E8C4873">
            <w:pPr>
              <w:spacing w:line="240" w:lineRule="auto"/>
              <w:ind w:firstLine="420"/>
              <w:jc w:val="both"/>
              <w:rPr>
                <w:rFonts w:ascii="仿宋_GB2312" w:eastAsia="仿宋_GB2312"/>
                <w:kern w:val="0"/>
              </w:rPr>
            </w:pPr>
            <w:r>
              <w:rPr>
                <w:rFonts w:hint="eastAsia" w:ascii="仿宋_GB2312" w:eastAsia="仿宋_GB2312"/>
                <w:kern w:val="0"/>
              </w:rPr>
              <w:t>提升</w:t>
            </w:r>
          </w:p>
        </w:tc>
        <w:tc>
          <w:tcPr>
            <w:tcW w:w="1269" w:type="dxa"/>
            <w:vAlign w:val="center"/>
          </w:tcPr>
          <w:p w14:paraId="4886005B">
            <w:pPr>
              <w:spacing w:line="240" w:lineRule="auto"/>
              <w:ind w:firstLine="420"/>
              <w:jc w:val="both"/>
              <w:rPr>
                <w:rFonts w:ascii="仿宋_GB2312" w:eastAsia="仿宋_GB2312"/>
                <w:kern w:val="0"/>
              </w:rPr>
            </w:pPr>
            <w:r>
              <w:rPr>
                <w:rFonts w:hint="eastAsia" w:ascii="仿宋_GB2312" w:eastAsia="仿宋_GB2312"/>
                <w:kern w:val="0"/>
              </w:rPr>
              <w:t>提升</w:t>
            </w:r>
          </w:p>
        </w:tc>
        <w:tc>
          <w:tcPr>
            <w:tcW w:w="699" w:type="dxa"/>
            <w:shd w:val="clear" w:color="auto" w:fill="auto"/>
            <w:vAlign w:val="center"/>
          </w:tcPr>
          <w:p w14:paraId="75FAE41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color="auto" w:fill="auto"/>
            <w:vAlign w:val="center"/>
          </w:tcPr>
          <w:p w14:paraId="3309901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1423" w:type="dxa"/>
            <w:tcBorders/>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both"/>
              <w:rPr>
                <w:rFonts w:ascii="仿宋_GB2312" w:eastAsia="仿宋_GB2312"/>
                <w:kern w:val="0"/>
                <w:sz w:val="20"/>
                <w:szCs w:val="20"/>
              </w:rPr>
            </w:pPr>
            <w:r>
              <w:rPr>
                <w:rFonts w:hint="eastAsia" w:ascii="仿宋_GB2312" w:eastAsia="仿宋_GB2312"/>
                <w:kern w:val="0"/>
                <w:sz w:val="20"/>
                <w:szCs w:val="20"/>
              </w:rPr>
              <w:t>市容秩序整洁、城区环境优美</w:t>
            </w:r>
          </w:p>
        </w:tc>
        <w:tc>
          <w:tcPr>
            <w:tcW w:w="1298" w:type="dxa"/>
            <w:vAlign w:val="center"/>
          </w:tcPr>
          <w:p w14:paraId="45B96CBB">
            <w:pPr>
              <w:spacing w:line="240" w:lineRule="auto"/>
              <w:ind w:firstLine="420"/>
              <w:jc w:val="both"/>
              <w:rPr>
                <w:rFonts w:ascii="仿宋_GB2312" w:eastAsia="仿宋_GB2312"/>
                <w:kern w:val="0"/>
              </w:rPr>
            </w:pPr>
            <w:r>
              <w:rPr>
                <w:rFonts w:hint="eastAsia" w:ascii="仿宋_GB2312" w:eastAsia="仿宋_GB2312"/>
                <w:kern w:val="0"/>
              </w:rPr>
              <w:t>良好</w:t>
            </w:r>
          </w:p>
        </w:tc>
        <w:tc>
          <w:tcPr>
            <w:tcW w:w="1269" w:type="dxa"/>
            <w:vAlign w:val="center"/>
          </w:tcPr>
          <w:p w14:paraId="35C3564D">
            <w:pPr>
              <w:spacing w:line="240" w:lineRule="auto"/>
              <w:ind w:firstLine="420"/>
              <w:jc w:val="both"/>
              <w:rPr>
                <w:rFonts w:ascii="仿宋_GB2312" w:eastAsia="仿宋_GB2312"/>
                <w:kern w:val="0"/>
              </w:rPr>
            </w:pPr>
            <w:r>
              <w:rPr>
                <w:rFonts w:hint="eastAsia" w:ascii="仿宋_GB2312" w:eastAsia="仿宋_GB2312"/>
                <w:kern w:val="0"/>
              </w:rPr>
              <w:t>良好</w:t>
            </w:r>
          </w:p>
        </w:tc>
        <w:tc>
          <w:tcPr>
            <w:tcW w:w="699" w:type="dxa"/>
            <w:vAlign w:val="center"/>
          </w:tcPr>
          <w:p w14:paraId="6A822248">
            <w:pPr>
              <w:spacing w:line="240" w:lineRule="auto"/>
              <w:ind w:firstLine="420"/>
              <w:jc w:val="center"/>
              <w:rPr>
                <w:rFonts w:ascii="仿宋_GB2312" w:eastAsia="仿宋_GB2312"/>
                <w:kern w:val="0"/>
              </w:rPr>
            </w:pPr>
            <w:r>
              <w:rPr>
                <w:rFonts w:hint="eastAsia" w:ascii="仿宋_GB2312" w:eastAsia="仿宋_GB2312"/>
                <w:kern w:val="0"/>
              </w:rPr>
              <w:t>5</w:t>
            </w:r>
          </w:p>
        </w:tc>
        <w:tc>
          <w:tcPr>
            <w:tcW w:w="869" w:type="dxa"/>
            <w:vAlign w:val="center"/>
          </w:tcPr>
          <w:p w14:paraId="73C931F8">
            <w:pPr>
              <w:spacing w:line="240" w:lineRule="auto"/>
              <w:ind w:firstLine="420"/>
              <w:jc w:val="center"/>
              <w:rPr>
                <w:rFonts w:ascii="仿宋_GB2312" w:eastAsia="仿宋_GB2312"/>
                <w:kern w:val="0"/>
              </w:rPr>
            </w:pPr>
            <w:r>
              <w:rPr>
                <w:rFonts w:hint="eastAsia" w:ascii="仿宋_GB2312" w:eastAsia="仿宋_GB2312"/>
                <w:kern w:val="0"/>
              </w:rPr>
              <w:t>5</w:t>
            </w:r>
          </w:p>
        </w:tc>
        <w:tc>
          <w:tcPr>
            <w:tcW w:w="1423" w:type="dxa"/>
            <w:tcBorders/>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both"/>
              <w:rPr>
                <w:rFonts w:ascii="仿宋_GB2312" w:eastAsia="仿宋_GB2312"/>
                <w:kern w:val="0"/>
                <w:sz w:val="20"/>
                <w:szCs w:val="20"/>
              </w:rPr>
            </w:pPr>
            <w:r>
              <w:rPr>
                <w:rFonts w:hint="eastAsia" w:ascii="仿宋_GB2312" w:eastAsia="仿宋_GB2312"/>
                <w:kern w:val="0"/>
                <w:sz w:val="20"/>
                <w:szCs w:val="20"/>
              </w:rPr>
              <w:t>深化全国文明城市、国家卫生城市、国家园林城市建设，顺利保牌</w:t>
            </w:r>
          </w:p>
        </w:tc>
        <w:tc>
          <w:tcPr>
            <w:tcW w:w="1298" w:type="dxa"/>
            <w:vAlign w:val="center"/>
          </w:tcPr>
          <w:p w14:paraId="055B34ED">
            <w:pPr>
              <w:spacing w:line="240" w:lineRule="auto"/>
              <w:ind w:firstLine="420" w:firstLineChars="200"/>
              <w:jc w:val="both"/>
              <w:rPr>
                <w:rFonts w:ascii="仿宋_GB2312" w:eastAsia="仿宋_GB2312"/>
                <w:kern w:val="0"/>
              </w:rPr>
            </w:pPr>
            <w:r>
              <w:rPr>
                <w:rFonts w:hint="eastAsia" w:ascii="仿宋_GB2312" w:eastAsia="仿宋_GB2312"/>
                <w:kern w:val="0"/>
              </w:rPr>
              <w:t>长效化</w:t>
            </w:r>
          </w:p>
        </w:tc>
        <w:tc>
          <w:tcPr>
            <w:tcW w:w="1269" w:type="dxa"/>
            <w:vAlign w:val="center"/>
          </w:tcPr>
          <w:p w14:paraId="46B41467">
            <w:pPr>
              <w:spacing w:line="240" w:lineRule="auto"/>
              <w:ind w:firstLine="420"/>
              <w:jc w:val="both"/>
              <w:rPr>
                <w:rFonts w:ascii="仿宋_GB2312" w:eastAsia="仿宋_GB2312"/>
                <w:kern w:val="0"/>
              </w:rPr>
            </w:pPr>
            <w:r>
              <w:rPr>
                <w:rFonts w:hint="eastAsia" w:ascii="仿宋_GB2312" w:eastAsia="仿宋_GB2312"/>
                <w:kern w:val="0"/>
              </w:rPr>
              <w:t>长效化</w:t>
            </w:r>
          </w:p>
        </w:tc>
        <w:tc>
          <w:tcPr>
            <w:tcW w:w="699" w:type="dxa"/>
            <w:shd w:val="clear"/>
            <w:vAlign w:val="center"/>
          </w:tcPr>
          <w:p w14:paraId="447C4D9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869" w:type="dxa"/>
            <w:shd w:val="clear"/>
            <w:vAlign w:val="center"/>
          </w:tcPr>
          <w:p w14:paraId="71C7C72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1423" w:type="dxa"/>
            <w:tcBorders/>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both"/>
              <w:rPr>
                <w:rFonts w:ascii="仿宋_GB2312" w:eastAsia="仿宋_GB2312"/>
                <w:kern w:val="0"/>
                <w:sz w:val="20"/>
                <w:szCs w:val="20"/>
              </w:rPr>
            </w:pPr>
            <w:r>
              <w:rPr>
                <w:rFonts w:hint="eastAsia" w:ascii="仿宋_GB2312" w:eastAsia="仿宋_GB2312"/>
                <w:kern w:val="0"/>
                <w:sz w:val="20"/>
                <w:szCs w:val="20"/>
              </w:rPr>
              <w:t>社会公众满意度</w:t>
            </w:r>
          </w:p>
        </w:tc>
        <w:tc>
          <w:tcPr>
            <w:tcW w:w="1298" w:type="dxa"/>
            <w:vAlign w:val="center"/>
          </w:tcPr>
          <w:p w14:paraId="6ABEB3E2">
            <w:pPr>
              <w:spacing w:line="240" w:lineRule="auto"/>
              <w:ind w:firstLine="420"/>
              <w:jc w:val="both"/>
              <w:rPr>
                <w:rFonts w:ascii="仿宋_GB2312" w:eastAsia="仿宋_GB2312"/>
                <w:kern w:val="0"/>
              </w:rPr>
            </w:pPr>
            <w:r>
              <w:rPr>
                <w:rFonts w:hint="eastAsia" w:ascii="仿宋_GB2312" w:eastAsia="仿宋_GB2312"/>
                <w:kern w:val="0"/>
              </w:rPr>
              <w:t>95</w:t>
            </w:r>
          </w:p>
        </w:tc>
        <w:tc>
          <w:tcPr>
            <w:tcW w:w="1269" w:type="dxa"/>
            <w:vAlign w:val="center"/>
          </w:tcPr>
          <w:p w14:paraId="31B5B329">
            <w:pPr>
              <w:spacing w:line="240" w:lineRule="auto"/>
              <w:ind w:firstLine="420"/>
              <w:jc w:val="both"/>
              <w:rPr>
                <w:rFonts w:ascii="仿宋_GB2312" w:eastAsia="仿宋_GB2312"/>
                <w:kern w:val="0"/>
              </w:rPr>
            </w:pPr>
            <w:r>
              <w:rPr>
                <w:rFonts w:hint="eastAsia" w:ascii="仿宋_GB2312" w:eastAsia="仿宋_GB2312"/>
                <w:kern w:val="0"/>
              </w:rPr>
              <w:t>95</w:t>
            </w:r>
          </w:p>
        </w:tc>
        <w:tc>
          <w:tcPr>
            <w:tcW w:w="699" w:type="dxa"/>
            <w:shd w:val="clear" w:color="auto" w:fill="auto"/>
            <w:vAlign w:val="center"/>
          </w:tcPr>
          <w:p w14:paraId="41D3F37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869" w:type="dxa"/>
            <w:shd w:val="clear" w:color="auto" w:fill="auto"/>
            <w:vAlign w:val="center"/>
          </w:tcPr>
          <w:p w14:paraId="19FFC8C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w:t>
            </w:r>
          </w:p>
        </w:tc>
        <w:tc>
          <w:tcPr>
            <w:tcW w:w="1423" w:type="dxa"/>
            <w:tcBorders/>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both"/>
              <w:rPr>
                <w:rFonts w:ascii="仿宋_GB2312" w:eastAsia="仿宋_GB2312"/>
                <w:kern w:val="0"/>
                <w:sz w:val="20"/>
                <w:szCs w:val="20"/>
              </w:rPr>
            </w:pPr>
            <w:r>
              <w:rPr>
                <w:rFonts w:hint="eastAsia" w:ascii="仿宋_GB2312" w:eastAsia="仿宋_GB2312"/>
                <w:kern w:val="0"/>
                <w:sz w:val="20"/>
                <w:szCs w:val="20"/>
              </w:rPr>
              <w:t>预算批复金额</w:t>
            </w:r>
          </w:p>
        </w:tc>
        <w:tc>
          <w:tcPr>
            <w:tcW w:w="1298" w:type="dxa"/>
            <w:vAlign w:val="center"/>
          </w:tcPr>
          <w:p w14:paraId="15ECA8D3">
            <w:pPr>
              <w:spacing w:line="240" w:lineRule="auto"/>
              <w:ind w:firstLine="210" w:firstLineChars="100"/>
              <w:jc w:val="both"/>
              <w:rPr>
                <w:rFonts w:ascii="仿宋_GB2312" w:eastAsia="仿宋_GB2312"/>
                <w:kern w:val="0"/>
              </w:rPr>
            </w:pPr>
            <w:r>
              <w:rPr>
                <w:rFonts w:hint="eastAsia" w:ascii="仿宋_GB2312" w:eastAsia="仿宋_GB2312"/>
                <w:kern w:val="0"/>
              </w:rPr>
              <w:t>1639.13</w:t>
            </w:r>
          </w:p>
        </w:tc>
        <w:tc>
          <w:tcPr>
            <w:tcW w:w="1269" w:type="dxa"/>
            <w:vAlign w:val="center"/>
          </w:tcPr>
          <w:p w14:paraId="3C328246">
            <w:pPr>
              <w:spacing w:line="240" w:lineRule="auto"/>
              <w:ind w:firstLine="420"/>
              <w:jc w:val="both"/>
              <w:rPr>
                <w:rFonts w:ascii="仿宋_GB2312" w:eastAsia="仿宋_GB2312"/>
                <w:kern w:val="0"/>
              </w:rPr>
            </w:pPr>
            <w:r>
              <w:rPr>
                <w:rFonts w:hint="eastAsia" w:ascii="仿宋_GB2312" w:eastAsia="仿宋_GB2312"/>
                <w:kern w:val="0"/>
              </w:rPr>
              <w:t>1793.6</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w:t>
            </w:r>
          </w:p>
        </w:tc>
        <w:tc>
          <w:tcPr>
            <w:tcW w:w="1423" w:type="dxa"/>
            <w:vAlign w:val="center"/>
          </w:tcPr>
          <w:p w14:paraId="0F79A5E1">
            <w:pPr>
              <w:spacing w:line="240" w:lineRule="auto"/>
              <w:jc w:val="both"/>
              <w:rPr>
                <w:rFonts w:ascii="仿宋_GB2312" w:eastAsia="仿宋_GB2312"/>
                <w:kern w:val="0"/>
              </w:rPr>
            </w:pPr>
            <w:r>
              <w:rPr>
                <w:rFonts w:hint="eastAsia" w:ascii="仿宋_GB2312" w:eastAsia="仿宋_GB2312"/>
                <w:kern w:val="0"/>
                <w:sz w:val="18"/>
                <w:szCs w:val="18"/>
              </w:rPr>
              <w:t>城市综合整治管理经费预算不足，不能满足各种保障任务正常费用支出的需要</w:t>
            </w: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both"/>
              <w:rPr>
                <w:rFonts w:ascii="仿宋_GB2312" w:eastAsia="仿宋_GB2312"/>
                <w:kern w:val="0"/>
                <w:sz w:val="20"/>
                <w:szCs w:val="20"/>
              </w:rPr>
            </w:pPr>
            <w:r>
              <w:rPr>
                <w:rFonts w:hint="eastAsia" w:ascii="仿宋_GB2312" w:eastAsia="仿宋_GB2312"/>
                <w:kern w:val="0"/>
                <w:sz w:val="20"/>
                <w:szCs w:val="20"/>
              </w:rPr>
              <w:t>对社会发展可能造成的负面影响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无</w:t>
            </w:r>
          </w:p>
        </w:tc>
        <w:tc>
          <w:tcPr>
            <w:tcW w:w="1269"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无</w:t>
            </w:r>
          </w:p>
        </w:tc>
        <w:tc>
          <w:tcPr>
            <w:tcW w:w="699" w:type="dxa"/>
            <w:shd w:val="clear" w:color="auto" w:fill="auto"/>
            <w:vAlign w:val="center"/>
          </w:tcPr>
          <w:p w14:paraId="765229A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869" w:type="dxa"/>
            <w:shd w:val="clear" w:color="auto" w:fill="auto"/>
            <w:vAlign w:val="center"/>
          </w:tcPr>
          <w:p w14:paraId="4012A7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both"/>
              <w:rPr>
                <w:rFonts w:ascii="仿宋_GB2312" w:eastAsia="仿宋_GB2312"/>
                <w:kern w:val="0"/>
                <w:sz w:val="20"/>
                <w:szCs w:val="20"/>
              </w:rPr>
            </w:pPr>
            <w:r>
              <w:rPr>
                <w:rFonts w:hint="eastAsia" w:ascii="仿宋_GB2312" w:eastAsia="仿宋_GB2312"/>
                <w:kern w:val="0"/>
                <w:sz w:val="20"/>
                <w:szCs w:val="20"/>
              </w:rPr>
              <w:t>对自然生态环境造成的负面影响</w:t>
            </w:r>
          </w:p>
        </w:tc>
        <w:tc>
          <w:tcPr>
            <w:tcW w:w="1298" w:type="dxa"/>
            <w:shd w:val="clear"/>
            <w:vAlign w:val="center"/>
          </w:tcPr>
          <w:p w14:paraId="789CDCB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1269" w:type="dxa"/>
            <w:shd w:val="clear"/>
            <w:vAlign w:val="center"/>
          </w:tcPr>
          <w:p w14:paraId="4E354EE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无</w:t>
            </w:r>
          </w:p>
        </w:tc>
        <w:tc>
          <w:tcPr>
            <w:tcW w:w="699" w:type="dxa"/>
            <w:shd w:val="clear" w:color="auto" w:fill="auto"/>
            <w:vAlign w:val="center"/>
          </w:tcPr>
          <w:p w14:paraId="6C36DE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869" w:type="dxa"/>
            <w:shd w:val="clear" w:color="auto" w:fill="auto"/>
            <w:vAlign w:val="center"/>
          </w:tcPr>
          <w:p w14:paraId="6B31F2A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5F325CA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综合整治管理费用</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汨罗市城市管理综合行政执法大队</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95</w:t>
            </w:r>
          </w:p>
        </w:tc>
        <w:tc>
          <w:tcPr>
            <w:tcW w:w="1099" w:type="dxa"/>
            <w:vAlign w:val="center"/>
          </w:tcPr>
          <w:p w14:paraId="54320D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120</w:t>
            </w:r>
          </w:p>
        </w:tc>
        <w:tc>
          <w:tcPr>
            <w:tcW w:w="1099" w:type="dxa"/>
            <w:vAlign w:val="center"/>
          </w:tcPr>
          <w:p w14:paraId="0C9E823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120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vAlign w:val="center"/>
          </w:tcPr>
          <w:p w14:paraId="75F04A75">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95</w:t>
            </w:r>
          </w:p>
        </w:tc>
        <w:tc>
          <w:tcPr>
            <w:tcW w:w="1099" w:type="dxa"/>
            <w:shd w:val="clear"/>
            <w:vAlign w:val="center"/>
          </w:tcPr>
          <w:p w14:paraId="5536407E">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120</w:t>
            </w:r>
          </w:p>
        </w:tc>
        <w:tc>
          <w:tcPr>
            <w:tcW w:w="1099" w:type="dxa"/>
            <w:shd w:val="clear"/>
            <w:vAlign w:val="center"/>
          </w:tcPr>
          <w:p w14:paraId="0401DF6C">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120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5"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jc w:val="both"/>
              <w:rPr>
                <w:rFonts w:ascii="仿宋_GB2312" w:hAnsi="宋体" w:eastAsia="仿宋_GB2312" w:cs="宋体"/>
                <w:kern w:val="0"/>
              </w:rPr>
            </w:pPr>
            <w:r>
              <w:rPr>
                <w:rFonts w:hint="eastAsia" w:ascii="仿宋_GB2312" w:hAnsi="宋体" w:eastAsia="仿宋_GB2312" w:cs="宋体"/>
                <w:kern w:val="0"/>
              </w:rPr>
              <w:t>保证城区各项综合整治任务顺利完成，创造良好的市容管理秩序，创建文明卫生园林城市</w:t>
            </w:r>
          </w:p>
        </w:tc>
        <w:tc>
          <w:tcPr>
            <w:tcW w:w="4140" w:type="dxa"/>
            <w:gridSpan w:val="4"/>
            <w:vAlign w:val="center"/>
          </w:tcPr>
          <w:p w14:paraId="309F7763">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sz w:val="20"/>
                <w:szCs w:val="20"/>
              </w:rPr>
              <w:t>全年来在归义坊设立“夜市潮汐摊位“26个，友谊河公园鲁狮坝段设立了早晚时间段“潮汐市场摊位”18个，罗城学校设立“潮汐摊位”5个。全年共处理12345热线520余起，来电来访1200余起，回复率100%，满意率95%；对店外占道经营和夜市门店商户送达限期整改通知书50余份，劝导流动商贩3500余人次；现场阻止张贴牛皮癣行为200余起，没收散发传单1.5万余张。劝导人行道违停车辆7000余台，开出违停告知单5600余台（次），规范摆放自行车、电动车、摩托车6000余台次。共拆除存在安全隐患门店招牌和违规设置的“天际线”广告共计61块，拆除校外培训机构及影响消防通道违规设置的户外广告牌10余块。规范广告招牌审批、设置，勘察行政审批715项（次），设置大型户外广告未按规定办理审批手续行政立案6起，行政处罚800元。共开展燃气领域执法检查32次，行政立案39起，共计行政罚112870元，移送公安机关1人。全年来共计摸排城区餐饮门店712家，建立大中型餐饮企业防控台账79家,督促整改小型餐饮企业进店经营、安装简易油烟设备162家，对城区3个灶台以上已安装油烟净化设备的餐饮门店和被投诉的其他餐饮门</w:t>
            </w:r>
            <w:r>
              <w:rPr>
                <w:rFonts w:hint="eastAsia" w:ascii="仿宋_GB2312" w:hAnsi="宋体" w:eastAsia="仿宋_GB2312" w:cs="宋体"/>
                <w:kern w:val="0"/>
                <w:sz w:val="20"/>
                <w:szCs w:val="20"/>
                <w:lang w:val="en-US" w:eastAsia="zh-CN"/>
              </w:rPr>
              <w:t>店</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及时处理违规行为，强化行政管理，案件办结达50起</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50%</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60</w:t>
            </w:r>
          </w:p>
        </w:tc>
        <w:tc>
          <w:tcPr>
            <w:tcW w:w="809" w:type="dxa"/>
            <w:vAlign w:val="center"/>
          </w:tcPr>
          <w:p w14:paraId="450DEC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F7B7A4C">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tcBorders/>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行政执法程序合法、依据合理，以事实为依据，以法律为准绳</w:t>
            </w:r>
          </w:p>
        </w:tc>
        <w:tc>
          <w:tcPr>
            <w:tcW w:w="1099" w:type="dxa"/>
            <w:vAlign w:val="center"/>
          </w:tcPr>
          <w:p w14:paraId="2D69FB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03BC31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5DC861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25177C64">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tcBorders/>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按照计划和进度完成全年工作</w:t>
            </w:r>
          </w:p>
        </w:tc>
        <w:tc>
          <w:tcPr>
            <w:tcW w:w="1099" w:type="dxa"/>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94C7D5E">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tcBorders/>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确保市容秩序，为我市城市管理打下坚实基础，为城市美化提供市容管理保障，促进我市经济发展</w:t>
            </w:r>
          </w:p>
        </w:tc>
        <w:tc>
          <w:tcPr>
            <w:tcW w:w="1099" w:type="dxa"/>
            <w:vAlign w:val="center"/>
          </w:tcPr>
          <w:p w14:paraId="53928C31">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6D883DDF">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间接效益</w:t>
            </w:r>
          </w:p>
        </w:tc>
        <w:tc>
          <w:tcPr>
            <w:tcW w:w="809" w:type="dxa"/>
            <w:shd w:val="clear"/>
            <w:vAlign w:val="center"/>
          </w:tcPr>
          <w:p w14:paraId="29584852">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vAlign w:val="center"/>
          </w:tcPr>
          <w:p w14:paraId="41D412C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tcBorders/>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依法行政、文明执法，管理和服务相结合，提升执法形象</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809" w:type="dxa"/>
            <w:shd w:val="clear" w:color="auto" w:fill="auto"/>
            <w:vAlign w:val="center"/>
          </w:tcPr>
          <w:p w14:paraId="699C14A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0665EFF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tcBorders/>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市容秩序整洁、城区环境优美</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4CA75D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shd w:val="clear" w:color="auto" w:fill="auto"/>
            <w:vAlign w:val="center"/>
          </w:tcPr>
          <w:p w14:paraId="491BA99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1BF7EB9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tcBorders/>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加强城市市容市貌管理；违规建筑管理；城区禁炮管理；城区噪声、油烟及扬尘污染管理</w:t>
            </w:r>
          </w:p>
        </w:tc>
        <w:tc>
          <w:tcPr>
            <w:tcW w:w="1099" w:type="dxa"/>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1099" w:type="dxa"/>
            <w:vAlign w:val="center"/>
          </w:tcPr>
          <w:p w14:paraId="596F13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809" w:type="dxa"/>
            <w:shd w:val="clear" w:color="auto" w:fill="auto"/>
            <w:vAlign w:val="center"/>
          </w:tcPr>
          <w:p w14:paraId="49A57C7B">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tcBorders/>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市民满意率</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shd w:val="clear" w:color="auto" w:fill="auto"/>
            <w:vAlign w:val="center"/>
          </w:tcPr>
          <w:p w14:paraId="29FD5B5F">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7CE9A58">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tcBorders/>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预算批复金额</w:t>
            </w:r>
          </w:p>
        </w:tc>
        <w:tc>
          <w:tcPr>
            <w:tcW w:w="1099" w:type="dxa"/>
            <w:vAlign w:val="center"/>
          </w:tcPr>
          <w:p w14:paraId="7D8FEFD1">
            <w:pPr>
              <w:spacing w:line="240" w:lineRule="auto"/>
              <w:jc w:val="both"/>
              <w:rPr>
                <w:rFonts w:ascii="仿宋_GB2312" w:hAnsi="宋体" w:eastAsia="仿宋_GB2312" w:cs="宋体"/>
                <w:kern w:val="0"/>
              </w:rPr>
            </w:pPr>
            <w:r>
              <w:rPr>
                <w:rFonts w:hint="eastAsia" w:ascii="仿宋_GB2312" w:hAnsi="宋体" w:eastAsia="仿宋_GB2312" w:cs="宋体"/>
                <w:kern w:val="0"/>
              </w:rPr>
              <w:t>不超过95万元</w:t>
            </w:r>
          </w:p>
        </w:tc>
        <w:tc>
          <w:tcPr>
            <w:tcW w:w="1099" w:type="dxa"/>
            <w:vAlign w:val="center"/>
          </w:tcPr>
          <w:p w14:paraId="729BFD5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超预算</w:t>
            </w:r>
          </w:p>
        </w:tc>
        <w:tc>
          <w:tcPr>
            <w:tcW w:w="809" w:type="dxa"/>
            <w:vAlign w:val="center"/>
          </w:tcPr>
          <w:p w14:paraId="43443E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1005FDF9">
            <w:pPr>
              <w:spacing w:line="240" w:lineRule="auto"/>
              <w:jc w:val="both"/>
              <w:rPr>
                <w:rFonts w:ascii="仿宋_GB2312" w:hAnsi="宋体" w:eastAsia="仿宋_GB2312" w:cs="宋体"/>
                <w:kern w:val="0"/>
              </w:rPr>
            </w:pPr>
            <w:r>
              <w:rPr>
                <w:rFonts w:hint="eastAsia" w:ascii="仿宋_GB2312" w:hAnsi="宋体" w:eastAsia="仿宋_GB2312" w:cs="宋体"/>
                <w:kern w:val="0"/>
              </w:rPr>
              <w:t>7.00</w:t>
            </w:r>
          </w:p>
        </w:tc>
        <w:tc>
          <w:tcPr>
            <w:tcW w:w="1383" w:type="dxa"/>
            <w:vAlign w:val="center"/>
          </w:tcPr>
          <w:p w14:paraId="2AB38FDF">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城市综合整治管理经费预算不足，不能满足各种保障任务正常费用支出的需要</w:t>
            </w: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对社会发展可能造成的负面影响</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14:paraId="7CB491CD">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D79764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对自然生态环境造成的负面影响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14:paraId="640DCB8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3C9828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651D35E0">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7D52732F">
      <w:pPr>
        <w:spacing w:line="240" w:lineRule="auto"/>
        <w:ind w:firstLine="880"/>
        <w:jc w:val="center"/>
        <w:rPr>
          <w:rFonts w:hint="eastAsia" w:ascii="方正小标宋简体" w:eastAsia="方正小标宋简体"/>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sz w:val="44"/>
          <w:szCs w:val="44"/>
          <w:lang w:eastAsia="zh-CN"/>
        </w:rPr>
        <w:t>城市管理综合行政执法大队</w:t>
      </w: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12410731">
      <w:pPr>
        <w:spacing w:before="130" w:line="221" w:lineRule="auto"/>
        <w:jc w:val="center"/>
        <w:rPr>
          <w:rFonts w:hint="eastAsia" w:ascii="黑体" w:hAnsi="黑体" w:eastAsia="黑体" w:cs="黑体"/>
          <w:spacing w:val="16"/>
          <w:sz w:val="40"/>
          <w:szCs w:val="40"/>
          <w:lang w:eastAsia="zh-CN"/>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城市管理综合行政执法大队</w:t>
      </w:r>
    </w:p>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73F88AF1">
      <w:pPr>
        <w:pStyle w:val="9"/>
        <w:spacing w:line="600" w:lineRule="exact"/>
        <w:ind w:firstLine="640"/>
        <w:jc w:val="both"/>
        <w:rPr>
          <w:rFonts w:hint="eastAsia" w:ascii="方正黑体_GBK" w:eastAsia="方正黑体_GBK"/>
          <w:kern w:val="0"/>
          <w:sz w:val="32"/>
          <w:szCs w:val="32"/>
          <w:highlight w:val="none"/>
          <w:lang w:eastAsia="zh-CN"/>
        </w:rPr>
      </w:pPr>
      <w:r>
        <w:rPr>
          <w:rFonts w:hint="eastAsia" w:eastAsia="仿宋_GB2312"/>
          <w:sz w:val="32"/>
          <w:szCs w:val="32"/>
          <w:lang w:eastAsia="zh-CN"/>
        </w:rPr>
        <w:t>城市管理综合行政执法大队属于汨罗市城市管理和综合执法局下设的二级机构，为财政全额拨款单位，我大队在职人数140人，退休人员14人，遗属2人。</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9"/>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473A8F9C">
      <w:pPr>
        <w:pStyle w:val="9"/>
        <w:spacing w:line="600" w:lineRule="exact"/>
        <w:ind w:firstLine="640"/>
        <w:jc w:val="both"/>
        <w:rPr>
          <w:rFonts w:hint="eastAsia" w:ascii="Times New Roman" w:hAnsi="Times New Roman" w:eastAsia="楷体_GB2312"/>
          <w:b/>
          <w:kern w:val="0"/>
          <w:sz w:val="32"/>
          <w:szCs w:val="32"/>
          <w:highlight w:val="none"/>
          <w:lang w:eastAsia="zh-CN"/>
        </w:rPr>
      </w:pPr>
      <w:r>
        <w:rPr>
          <w:rFonts w:hint="eastAsia" w:eastAsia="仿宋_GB2312"/>
          <w:sz w:val="32"/>
          <w:szCs w:val="32"/>
          <w:lang w:eastAsia="zh-CN"/>
        </w:rPr>
        <w:t>本年支出合计1793.6万元，其中：基本支出1673.6万元，占93.31%。</w:t>
      </w:r>
    </w:p>
    <w:p w14:paraId="00657FCB">
      <w:pPr>
        <w:pStyle w:val="9"/>
        <w:spacing w:line="600" w:lineRule="exact"/>
        <w:ind w:firstLine="643"/>
        <w:jc w:val="both"/>
        <w:rPr>
          <w:rFonts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7B64162F">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1、专项资金安排落实、总投入等情况分析</w:t>
      </w:r>
    </w:p>
    <w:p w14:paraId="453E4C22">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城市管理综合整治管理费用经2024年初申报，经批复，预算为95万元，到位资金95万元。</w:t>
      </w:r>
    </w:p>
    <w:p w14:paraId="27CE0AF0">
      <w:pPr>
        <w:pStyle w:val="9"/>
        <w:spacing w:line="600" w:lineRule="exact"/>
        <w:ind w:firstLine="640"/>
        <w:jc w:val="both"/>
        <w:rPr>
          <w:rFonts w:eastAsia="仿宋_GB2312"/>
          <w:sz w:val="32"/>
          <w:szCs w:val="32"/>
          <w:lang w:eastAsia="zh-CN"/>
        </w:rPr>
      </w:pPr>
      <w:r>
        <w:rPr>
          <w:rFonts w:hint="eastAsia" w:eastAsia="仿宋_GB2312"/>
          <w:sz w:val="32"/>
          <w:szCs w:val="32"/>
          <w:lang w:eastAsia="zh-CN"/>
        </w:rPr>
        <w:t>2、专项资金实际使用情况分析</w:t>
      </w:r>
    </w:p>
    <w:p w14:paraId="7CAA8665">
      <w:pPr>
        <w:pStyle w:val="9"/>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根据实际工作情况，汨罗市城市管理综合整治管理费用总计支出120万元，此项目主要用于城市管理专项整治、牛皮癣清理、警察大队费用、广告牌拆除及冰冻雨雪除冰工作</w:t>
      </w:r>
      <w:r>
        <w:rPr>
          <w:rFonts w:hint="eastAsia" w:ascii="宋体" w:hAnsi="宋体" w:eastAsia="宋体" w:cs="宋体"/>
          <w:sz w:val="32"/>
          <w:szCs w:val="32"/>
          <w:lang w:eastAsia="zh-CN"/>
        </w:rPr>
        <w:t>、</w:t>
      </w:r>
      <w:r>
        <w:rPr>
          <w:rFonts w:hint="eastAsia" w:eastAsia="仿宋_GB2312"/>
          <w:sz w:val="32"/>
          <w:szCs w:val="32"/>
          <w:lang w:eastAsia="zh-CN"/>
        </w:rPr>
        <w:t>执法服装购置、行政执法第三方检测、京广高铁汨罗东站广场片区管理维护等支出。</w:t>
      </w:r>
    </w:p>
    <w:p w14:paraId="4BDFBEFF">
      <w:pPr>
        <w:pStyle w:val="9"/>
        <w:spacing w:line="600" w:lineRule="exact"/>
        <w:ind w:firstLine="640"/>
        <w:jc w:val="both"/>
        <w:rPr>
          <w:rFonts w:eastAsia="仿宋_GB2312"/>
          <w:sz w:val="32"/>
          <w:szCs w:val="32"/>
          <w:lang w:eastAsia="zh-CN"/>
        </w:rPr>
      </w:pPr>
      <w:r>
        <w:rPr>
          <w:rFonts w:hint="eastAsia" w:eastAsia="仿宋_GB2312"/>
          <w:sz w:val="32"/>
          <w:szCs w:val="32"/>
          <w:lang w:eastAsia="zh-CN"/>
        </w:rPr>
        <w:t>3、专项资金管理情况分析</w:t>
      </w:r>
    </w:p>
    <w:p w14:paraId="304E0E34">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sz w:val="32"/>
          <w:szCs w:val="32"/>
          <w:lang w:eastAsia="zh-CN"/>
        </w:rPr>
        <w:t>专项资金本着专款专用原则，严格执行项目资金批准的使用计划和项目批复内容，不擅自调项、扩项、缩项、不拆借、挪用、挤占，对每笔专项资金的支付，严格执行财务制度，落实专项资金审核程序。</w:t>
      </w:r>
    </w:p>
    <w:p w14:paraId="516D3C52">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39B76B05">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sz w:val="32"/>
          <w:szCs w:val="32"/>
          <w:lang w:eastAsia="zh-CN"/>
        </w:rPr>
        <w:t>2024年我单位没有政府性基金预算支出。</w:t>
      </w:r>
    </w:p>
    <w:p w14:paraId="2A755169">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0581C45B">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sz w:val="32"/>
          <w:szCs w:val="32"/>
          <w:lang w:eastAsia="zh-CN"/>
        </w:rPr>
        <w:t xml:space="preserve"> 2024年我单位没有国有资本经营预算支出。</w:t>
      </w:r>
    </w:p>
    <w:p w14:paraId="07F1EBC0">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540EDE8D">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eastAsia="仿宋_GB2312"/>
          <w:sz w:val="32"/>
          <w:szCs w:val="32"/>
          <w:lang w:eastAsia="zh-CN"/>
        </w:rPr>
        <w:t>2024年我单位没有社会保险基金预算支出。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2A55C780">
      <w:pPr>
        <w:spacing w:line="600" w:lineRule="exact"/>
        <w:ind w:firstLine="640" w:firstLineChars="200"/>
        <w:jc w:val="both"/>
        <w:rPr>
          <w:rFonts w:hint="eastAsia" w:eastAsia="仿宋_GB2312"/>
          <w:sz w:val="32"/>
          <w:szCs w:val="32"/>
          <w:lang w:eastAsia="zh-CN"/>
        </w:rPr>
      </w:pPr>
      <w:r>
        <w:rPr>
          <w:rFonts w:hint="eastAsia" w:eastAsia="仿宋_GB2312"/>
          <w:sz w:val="32"/>
          <w:szCs w:val="32"/>
          <w:lang w:eastAsia="zh-CN"/>
        </w:rPr>
        <w:t>在进行城市综合整治管理中，全年来在归义坊设立“夜市潮汐摊位“26个，友谊河公园鲁狮坝段设立了早晚时间段“潮汐市场摊位”18个，罗城学校设立“潮汐摊位”5个。针对居民停车难问题，在荣家路（大众路路口至小汨新路路口）、人民东路（建民路路口至楚天路路口）自建房门前设置了“潮汐车位”。全年共处理12345热线520余起，来电来访1200余起，回复率100%，满意率95%；对店外占道经营和夜市门店商户送达限期整改通知书50余份，劝导流动商贩3500余人次；现场阻止张贴牛皮癣行为200余起，没收散发传单1.5万余张。劝导人行道违停车辆7000余台，开出违停告知单5600余台（次），规范摆放自行车、电动车、摩托车6000余台次。通过这些行之有效的手段，提升了城市品味，取得良好的社会效果。围绕“721”工作法，打造服务型综合执法队伍，同时强化执法监督考核，全面推进严格规范、公正文明执法，锻造一支城市管理执法铁军，以专业的业务能力、严格的队伍管理、文明的执法行为，提升城市管理能力。</w:t>
      </w:r>
    </w:p>
    <w:p w14:paraId="58038BA9">
      <w:pPr>
        <w:spacing w:line="600" w:lineRule="exact"/>
        <w:ind w:firstLine="640" w:firstLineChars="200"/>
        <w:jc w:val="both"/>
        <w:rPr>
          <w:rFonts w:eastAsia="仿宋_GB2312"/>
          <w:kern w:val="0"/>
          <w:sz w:val="32"/>
          <w:szCs w:val="32"/>
          <w:lang w:eastAsia="zh-CN"/>
        </w:rPr>
      </w:pPr>
      <w:r>
        <w:rPr>
          <w:rFonts w:hint="eastAsia" w:eastAsia="仿宋_GB2312"/>
          <w:sz w:val="32"/>
          <w:szCs w:val="32"/>
          <w:lang w:eastAsia="zh-CN"/>
        </w:rPr>
        <w:t>对排查中发现违法设置、设置不规范、陈旧破损、影响市容和存在安全隐患的户外广告和路牌、指示牌等采取限期整改、清理、拆除等管控措施。联合市教育局、市消防大队共拆除存在安全隐患门店招牌和违规设置的“天际线”广告共计61块，拆除校外培训机构及影响消防通道违规设置的户外广告牌10余块。规范广告招牌审批、设置，勘察行政审批715项（次），设置大型户外广告未按规定办理审批手续行政立案6起，行政处罚800元。进一步加强燃气安全监管，切实保障人民生命财产安全。合燃气事务中心查处液化气站，今年共开展燃气领域执法检查32次，行政立案39起。全年来共计摸排城区餐饮门店712家，建立大中型餐饮企业防控台账79家,督促整改小型餐饮企业进店经营、安装简易油烟设备162家，对城区3个灶台以上已安装油烟净化设备的餐饮门店和被投诉的其他餐饮门店、夜宵门店开展油烟检测56家，下达限期整改通知80余份。出动执法人员2600余人次，巡查管控办事对象1085起，成功劝阻有意向燃放对象90余起，查处违规燃放烟花鞭炮办事对象10起，处罚10起，共处罚3400元，通过强化责任落实，城区餐饮油烟管控、禁燃禁放工作取得了良好效果。我大队坚持管理与创建并行，市容与繁荣并举，执法与服务并重，锐意进取、团结奋斗，各项执法管理及保障工作取得了较好的成绩。</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4307642">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（1）城市综合整治管理经费预算不足，难以保障正常费用支出；</w:t>
      </w:r>
    </w:p>
    <w:p w14:paraId="18CDC6EA">
      <w:pPr>
        <w:spacing w:line="600" w:lineRule="exact"/>
        <w:ind w:firstLine="640" w:firstLineChars="200"/>
        <w:jc w:val="both"/>
        <w:rPr>
          <w:rFonts w:ascii="仿宋" w:hAnsi="仿宋" w:eastAsia="仿宋" w:cs="仿宋"/>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21E6073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43D7543">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37ACA1C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3233F62">
      <w:pPr>
        <w:spacing w:line="600" w:lineRule="exact"/>
        <w:ind w:firstLine="640" w:firstLineChars="200"/>
        <w:jc w:val="both"/>
        <w:rPr>
          <w:rFonts w:hint="eastAsia" w:eastAsia="黑体"/>
          <w:kern w:val="0"/>
          <w:sz w:val="32"/>
          <w:szCs w:val="32"/>
          <w:lang w:eastAsia="zh-CN"/>
        </w:rPr>
      </w:pPr>
      <w:r>
        <w:rPr>
          <w:rFonts w:hint="eastAsia" w:eastAsia="仿宋_GB2312"/>
          <w:sz w:val="32"/>
          <w:szCs w:val="32"/>
          <w:lang w:eastAsia="zh-CN"/>
        </w:rPr>
        <w:t>根据市财政相关部门统一部署，我单位2024年部门整体支出绩效自评情况将在汨罗市政府门户网站公开，接受社会监督。对绩效自评工作中发现的问题及时整改，解决好绩效评价管理中存在的问题，提高工作效能。根据部门整体支出绩效评价指标评分标准，2024年我单位部门整体绩效评价自评分为97分。</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5EEA82F6">
      <w:pPr>
        <w:spacing w:line="600" w:lineRule="exact"/>
        <w:jc w:val="both"/>
        <w:rPr>
          <w:rFonts w:hint="default" w:eastAsia="仿宋_GB2312"/>
          <w:kern w:val="0"/>
          <w:sz w:val="32"/>
          <w:szCs w:val="32"/>
          <w:lang w:val="en-US" w:eastAsia="zh-CN"/>
        </w:rPr>
      </w:pPr>
      <w:r>
        <w:rPr>
          <w:rFonts w:hint="eastAsia" w:eastAsia="仿宋_GB2312"/>
          <w:kern w:val="0"/>
          <w:sz w:val="32"/>
          <w:szCs w:val="32"/>
          <w:lang w:val="en-US" w:eastAsia="zh-CN"/>
        </w:rPr>
        <w:t xml:space="preserve">      无</w:t>
      </w:r>
    </w:p>
    <w:p w14:paraId="48DFE380">
      <w:pPr>
        <w:spacing w:line="600" w:lineRule="exact"/>
        <w:ind w:firstLine="640" w:firstLineChars="200"/>
        <w:jc w:val="both"/>
        <w:rPr>
          <w:rFonts w:hint="eastAsia"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1B4E8EBC">
      <w:pPr>
        <w:spacing w:line="600" w:lineRule="exact"/>
        <w:ind w:firstLine="640" w:firstLineChars="200"/>
        <w:jc w:val="both"/>
        <w:rPr>
          <w:rFonts w:hint="eastAsia" w:eastAsia="仿宋_GB2312"/>
          <w:kern w:val="0"/>
          <w:sz w:val="32"/>
          <w:szCs w:val="32"/>
          <w:lang w:eastAsia="zh-CN"/>
        </w:rPr>
      </w:pPr>
    </w:p>
    <w:p w14:paraId="700B95A5">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3067" w:leftChars="1032" w:hanging="900" w:hanging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综合整治管理费用</w:t>
      </w:r>
      <w:r>
        <w:rPr>
          <w:rFonts w:ascii="黑体" w:hAnsi="黑体" w:eastAsia="黑体" w:cs="黑体"/>
          <w:spacing w:val="15"/>
          <w:position w:val="10"/>
          <w:sz w:val="42"/>
          <w:szCs w:val="42"/>
        </w:rPr>
        <w:t>项目</w:t>
      </w:r>
      <w:r>
        <w:rPr>
          <w:rFonts w:ascii="黑体" w:hAnsi="黑体" w:eastAsia="黑体" w:cs="黑体"/>
          <w:spacing w:val="10"/>
          <w:sz w:val="42"/>
          <w:szCs w:val="42"/>
          <w:lang w:eastAsia="zh-CN"/>
        </w:rPr>
        <w:t>支出绩效自评报告</w:t>
      </w:r>
    </w:p>
    <w:p w14:paraId="7DC60CD8">
      <w:pPr>
        <w:spacing w:before="201" w:line="578" w:lineRule="exact"/>
        <w:ind w:left="2169"/>
        <w:rPr>
          <w:rFonts w:ascii="黑体" w:hAnsi="黑体" w:eastAsia="黑体" w:cs="黑体"/>
          <w:sz w:val="42"/>
          <w:szCs w:val="42"/>
        </w:rPr>
      </w:pP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65DA9A30">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2F37D0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D625D02">
      <w:pPr>
        <w:numPr>
          <w:numId w:val="0"/>
        </w:numPr>
        <w:spacing w:line="560" w:lineRule="exact"/>
        <w:ind w:firstLine="562" w:firstLineChars="200"/>
        <w:jc w:val="both"/>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sz w:val="32"/>
          <w:szCs w:val="32"/>
          <w:lang w:eastAsia="zh-CN"/>
        </w:rPr>
        <w:t>负责拟定城区城市管理专项整治、集中执法行动方案并组织实施；负责市城区市政公用设施、市容环境卫生、园林绿化、城市公园、城市燃气等方面法律法规、规章规定的行政执法工作，行使市住房城乡建设领域法律法规规章的全部行政处罚权；负责行使本市城区范围内向城市河道和水域倾倒废弃物和垃圾及违规取土、城市河道和水域违法建（构）筑物拆除等水利管理方面的行政处罚权及相应的行政强制权；负责市城区及京广高铁东站范围内的户外宣传、广告、促销活动监管，查处擅自设置户外广告牌行为；负责夜宵市场整治；负责行使本市城区及京广高铁站片区范围生态环境保护管理方面对在商业经营活动中使用高音喇叭或高噪声物品、露天焚烧枯枝落叶等产生烟尘污染等行政处罚权；负责餐饮油烟污染防治工作；负责城区内涝应急处置及全市各项应急处突任务；负责城区烟花爆竹禁放管理处罚工作等。</w:t>
      </w:r>
    </w:p>
    <w:p w14:paraId="45D317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081B1CB2">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1、资金到位情况：汨罗市城市管理综合整治管理费用经2024年初申报，经批复，预算为95万元，到位资金95万元。</w:t>
      </w:r>
    </w:p>
    <w:p w14:paraId="2C8ED2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2、项目资金执行情况：根据实际工作情况，汨罗市城市管理综合整治管理费用总计支出120万元，此项目主要用于城市管理专项整治、广告牌拆除、牛皮癣清理、警察大队费用</w:t>
      </w:r>
      <w:r>
        <w:rPr>
          <w:rFonts w:hint="eastAsia" w:ascii="宋体" w:hAnsi="宋体" w:eastAsia="宋体" w:cs="宋体"/>
          <w:sz w:val="32"/>
          <w:szCs w:val="32"/>
          <w:lang w:eastAsia="zh-CN"/>
        </w:rPr>
        <w:t>、</w:t>
      </w:r>
      <w:r>
        <w:rPr>
          <w:rFonts w:hint="eastAsia" w:eastAsia="仿宋_GB2312"/>
          <w:sz w:val="32"/>
          <w:szCs w:val="32"/>
          <w:lang w:eastAsia="zh-CN"/>
        </w:rPr>
        <w:t>执法服装购置</w:t>
      </w:r>
      <w:r>
        <w:rPr>
          <w:rFonts w:hint="eastAsia" w:ascii="宋体" w:hAnsi="宋体" w:eastAsia="宋体" w:cs="宋体"/>
          <w:sz w:val="32"/>
          <w:szCs w:val="32"/>
          <w:lang w:eastAsia="zh-CN"/>
        </w:rPr>
        <w:t>、</w:t>
      </w:r>
      <w:r>
        <w:rPr>
          <w:rFonts w:hint="eastAsia" w:eastAsia="仿宋_GB2312"/>
          <w:sz w:val="32"/>
          <w:szCs w:val="32"/>
          <w:lang w:eastAsia="zh-CN"/>
        </w:rPr>
        <w:t>行政执法第三方检测、京广高铁汨罗东站广场片区管理维护等支出。</w:t>
      </w:r>
    </w:p>
    <w:p w14:paraId="0683A084">
      <w:pPr>
        <w:spacing w:line="560" w:lineRule="exact"/>
        <w:ind w:firstLine="640" w:firstLineChars="200"/>
        <w:jc w:val="both"/>
        <w:rPr>
          <w:rFonts w:hint="eastAsia" w:eastAsia="仿宋_GB2312"/>
          <w:kern w:val="0"/>
          <w:sz w:val="32"/>
          <w:szCs w:val="32"/>
          <w:lang w:val="en-US" w:eastAsia="en-US"/>
        </w:rPr>
      </w:pPr>
      <w:r>
        <w:rPr>
          <w:rFonts w:hint="eastAsia" w:eastAsia="仿宋_GB2312"/>
          <w:sz w:val="32"/>
          <w:szCs w:val="32"/>
          <w:lang w:eastAsia="zh-CN"/>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093A692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5DACAFD">
      <w:pPr>
        <w:pStyle w:val="2"/>
        <w:spacing w:line="560" w:lineRule="exact"/>
        <w:ind w:firstLine="640"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z w:val="32"/>
          <w:szCs w:val="32"/>
          <w:lang w:eastAsia="zh-CN"/>
        </w:rPr>
        <w:t>完满完成了各项整治保障任务，为城市美化提供市容管理保障；</w:t>
      </w:r>
      <w:r>
        <w:rPr>
          <w:rFonts w:hint="eastAsia" w:eastAsia="仿宋_GB2312" w:cs="Arial"/>
          <w:sz w:val="32"/>
          <w:szCs w:val="32"/>
          <w:lang w:eastAsia="zh-CN"/>
        </w:rPr>
        <w:t>保证了</w:t>
      </w:r>
      <w:r>
        <w:rPr>
          <w:rFonts w:hint="eastAsia" w:ascii="Arial" w:hAnsi="Arial" w:eastAsia="仿宋_GB2312" w:cs="Arial"/>
          <w:sz w:val="32"/>
          <w:szCs w:val="32"/>
          <w:lang w:eastAsia="zh-CN"/>
        </w:rPr>
        <w:t>建筑物外观管理、户外广告设置与外观管理、道路容貌管理、城区噪声、油烟及扬尘污染管理、文明施工管理、城区牛皮癣清理等保障与整治工作、京广高铁东站范围内相关职责管理工作</w:t>
      </w:r>
      <w:r>
        <w:rPr>
          <w:rFonts w:hint="eastAsia" w:eastAsia="仿宋_GB2312" w:cs="Arial"/>
          <w:sz w:val="32"/>
          <w:szCs w:val="32"/>
          <w:lang w:eastAsia="zh-CN"/>
        </w:rPr>
        <w:t>等各项工作的顺利进行，为创造良好的市容管理秩序，创建文明卫生园林城市保驾护航。</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4D6663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1、综合评价情况</w:t>
      </w:r>
    </w:p>
    <w:p w14:paraId="1C55890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344736C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2、评价结论</w:t>
      </w:r>
    </w:p>
    <w:p w14:paraId="4A77E9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sz w:val="32"/>
          <w:szCs w:val="32"/>
          <w:lang w:eastAsia="zh-CN"/>
        </w:rPr>
        <w:t>2024年度城市管理综合整治管理费用，达到了预期目标要求，项目管理规范，资金管理安全，资金拨付及时到位，社会效益显著，市民满意率较高。</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6CC43E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sz w:val="32"/>
          <w:szCs w:val="32"/>
          <w:lang w:eastAsia="zh-CN"/>
        </w:rPr>
        <w:t>2024年，全年在归义坊设立“夜市潮汐摊位“</w:t>
      </w:r>
      <w:r>
        <w:rPr>
          <w:rFonts w:eastAsia="仿宋_GB2312"/>
          <w:sz w:val="32"/>
          <w:szCs w:val="32"/>
          <w:lang w:eastAsia="zh-CN"/>
        </w:rPr>
        <w:t>26</w:t>
      </w:r>
      <w:r>
        <w:rPr>
          <w:rFonts w:hint="eastAsia" w:eastAsia="仿宋_GB2312"/>
          <w:sz w:val="32"/>
          <w:szCs w:val="32"/>
          <w:lang w:eastAsia="zh-CN"/>
        </w:rPr>
        <w:t>个，友谊河公园鲁狮坝段设立了早晚时间段“潮汐市场摊位”</w:t>
      </w:r>
      <w:r>
        <w:rPr>
          <w:rFonts w:eastAsia="仿宋_GB2312"/>
          <w:sz w:val="32"/>
          <w:szCs w:val="32"/>
          <w:lang w:eastAsia="zh-CN"/>
        </w:rPr>
        <w:t>18</w:t>
      </w:r>
      <w:r>
        <w:rPr>
          <w:rFonts w:hint="eastAsia" w:eastAsia="仿宋_GB2312"/>
          <w:sz w:val="32"/>
          <w:szCs w:val="32"/>
          <w:lang w:eastAsia="zh-CN"/>
        </w:rPr>
        <w:t>个，罗城学校设立“潮汐摊位”</w:t>
      </w:r>
      <w:r>
        <w:rPr>
          <w:rFonts w:eastAsia="仿宋_GB2312"/>
          <w:sz w:val="32"/>
          <w:szCs w:val="32"/>
          <w:lang w:eastAsia="zh-CN"/>
        </w:rPr>
        <w:t>5</w:t>
      </w:r>
      <w:r>
        <w:rPr>
          <w:rFonts w:hint="eastAsia" w:eastAsia="仿宋_GB2312"/>
          <w:sz w:val="32"/>
          <w:szCs w:val="32"/>
          <w:lang w:eastAsia="zh-CN"/>
        </w:rPr>
        <w:t>个。全年共处理</w:t>
      </w:r>
      <w:r>
        <w:rPr>
          <w:rFonts w:eastAsia="仿宋_GB2312"/>
          <w:sz w:val="32"/>
          <w:szCs w:val="32"/>
          <w:lang w:eastAsia="zh-CN"/>
        </w:rPr>
        <w:t>12345</w:t>
      </w:r>
      <w:r>
        <w:rPr>
          <w:rFonts w:hint="eastAsia" w:eastAsia="仿宋_GB2312"/>
          <w:sz w:val="32"/>
          <w:szCs w:val="32"/>
          <w:lang w:eastAsia="zh-CN"/>
        </w:rPr>
        <w:t>热线</w:t>
      </w:r>
      <w:r>
        <w:rPr>
          <w:rFonts w:eastAsia="仿宋_GB2312"/>
          <w:sz w:val="32"/>
          <w:szCs w:val="32"/>
          <w:lang w:eastAsia="zh-CN"/>
        </w:rPr>
        <w:t>520</w:t>
      </w:r>
      <w:r>
        <w:rPr>
          <w:rFonts w:hint="eastAsia" w:eastAsia="仿宋_GB2312"/>
          <w:sz w:val="32"/>
          <w:szCs w:val="32"/>
          <w:lang w:eastAsia="zh-CN"/>
        </w:rPr>
        <w:t>余起，来电来访</w:t>
      </w:r>
      <w:r>
        <w:rPr>
          <w:rFonts w:eastAsia="仿宋_GB2312"/>
          <w:sz w:val="32"/>
          <w:szCs w:val="32"/>
          <w:lang w:eastAsia="zh-CN"/>
        </w:rPr>
        <w:t>1200</w:t>
      </w:r>
      <w:r>
        <w:rPr>
          <w:rFonts w:hint="eastAsia" w:eastAsia="仿宋_GB2312"/>
          <w:sz w:val="32"/>
          <w:szCs w:val="32"/>
          <w:lang w:eastAsia="zh-CN"/>
        </w:rPr>
        <w:t>余起，回复率</w:t>
      </w:r>
      <w:r>
        <w:rPr>
          <w:rFonts w:eastAsia="仿宋_GB2312"/>
          <w:sz w:val="32"/>
          <w:szCs w:val="32"/>
          <w:lang w:eastAsia="zh-CN"/>
        </w:rPr>
        <w:t>100%</w:t>
      </w:r>
      <w:r>
        <w:rPr>
          <w:rFonts w:hint="eastAsia" w:eastAsia="仿宋_GB2312"/>
          <w:sz w:val="32"/>
          <w:szCs w:val="32"/>
          <w:lang w:eastAsia="zh-CN"/>
        </w:rPr>
        <w:t>，满意率</w:t>
      </w:r>
      <w:r>
        <w:rPr>
          <w:rFonts w:eastAsia="仿宋_GB2312"/>
          <w:sz w:val="32"/>
          <w:szCs w:val="32"/>
          <w:lang w:eastAsia="zh-CN"/>
        </w:rPr>
        <w:t>95%</w:t>
      </w:r>
      <w:r>
        <w:rPr>
          <w:rFonts w:hint="eastAsia" w:eastAsia="仿宋_GB2312"/>
          <w:sz w:val="32"/>
          <w:szCs w:val="32"/>
          <w:lang w:eastAsia="zh-CN"/>
        </w:rPr>
        <w:t>；对店外占道经营和夜市门店商户送达限期整改通知书</w:t>
      </w:r>
      <w:r>
        <w:rPr>
          <w:rFonts w:eastAsia="仿宋_GB2312"/>
          <w:sz w:val="32"/>
          <w:szCs w:val="32"/>
          <w:lang w:eastAsia="zh-CN"/>
        </w:rPr>
        <w:t>50</w:t>
      </w:r>
      <w:r>
        <w:rPr>
          <w:rFonts w:hint="eastAsia" w:eastAsia="仿宋_GB2312"/>
          <w:sz w:val="32"/>
          <w:szCs w:val="32"/>
          <w:lang w:eastAsia="zh-CN"/>
        </w:rPr>
        <w:t>余份，劝导流动商贩</w:t>
      </w:r>
      <w:r>
        <w:rPr>
          <w:rFonts w:eastAsia="仿宋_GB2312"/>
          <w:sz w:val="32"/>
          <w:szCs w:val="32"/>
          <w:lang w:eastAsia="zh-CN"/>
        </w:rPr>
        <w:t>3500</w:t>
      </w:r>
      <w:r>
        <w:rPr>
          <w:rFonts w:hint="eastAsia" w:eastAsia="仿宋_GB2312"/>
          <w:sz w:val="32"/>
          <w:szCs w:val="32"/>
          <w:lang w:eastAsia="zh-CN"/>
        </w:rPr>
        <w:t>余人次；现场阻止张贴牛皮癣行为</w:t>
      </w:r>
      <w:r>
        <w:rPr>
          <w:rFonts w:eastAsia="仿宋_GB2312"/>
          <w:sz w:val="32"/>
          <w:szCs w:val="32"/>
          <w:lang w:eastAsia="zh-CN"/>
        </w:rPr>
        <w:t>200</w:t>
      </w:r>
      <w:r>
        <w:rPr>
          <w:rFonts w:hint="eastAsia" w:eastAsia="仿宋_GB2312"/>
          <w:sz w:val="32"/>
          <w:szCs w:val="32"/>
          <w:lang w:eastAsia="zh-CN"/>
        </w:rPr>
        <w:t>余起，没收散发传单</w:t>
      </w:r>
      <w:r>
        <w:rPr>
          <w:rFonts w:eastAsia="仿宋_GB2312"/>
          <w:sz w:val="32"/>
          <w:szCs w:val="32"/>
          <w:lang w:eastAsia="zh-CN"/>
        </w:rPr>
        <w:t>1.5</w:t>
      </w:r>
      <w:r>
        <w:rPr>
          <w:rFonts w:hint="eastAsia" w:eastAsia="仿宋_GB2312"/>
          <w:sz w:val="32"/>
          <w:szCs w:val="32"/>
          <w:lang w:eastAsia="zh-CN"/>
        </w:rPr>
        <w:t>万余张。劝导人行道违停车辆</w:t>
      </w:r>
      <w:r>
        <w:rPr>
          <w:rFonts w:eastAsia="仿宋_GB2312"/>
          <w:sz w:val="32"/>
          <w:szCs w:val="32"/>
          <w:lang w:eastAsia="zh-CN"/>
        </w:rPr>
        <w:t>7000</w:t>
      </w:r>
      <w:r>
        <w:rPr>
          <w:rFonts w:hint="eastAsia" w:eastAsia="仿宋_GB2312"/>
          <w:sz w:val="32"/>
          <w:szCs w:val="32"/>
          <w:lang w:eastAsia="zh-CN"/>
        </w:rPr>
        <w:t>余台，开出违停告知单</w:t>
      </w:r>
      <w:r>
        <w:rPr>
          <w:rFonts w:eastAsia="仿宋_GB2312"/>
          <w:sz w:val="32"/>
          <w:szCs w:val="32"/>
          <w:lang w:eastAsia="zh-CN"/>
        </w:rPr>
        <w:t>5600</w:t>
      </w:r>
      <w:r>
        <w:rPr>
          <w:rFonts w:hint="eastAsia" w:eastAsia="仿宋_GB2312"/>
          <w:sz w:val="32"/>
          <w:szCs w:val="32"/>
          <w:lang w:eastAsia="zh-CN"/>
        </w:rPr>
        <w:t>余台（次），规范摆放自行车、电动车、摩托车</w:t>
      </w:r>
      <w:r>
        <w:rPr>
          <w:rFonts w:eastAsia="仿宋_GB2312"/>
          <w:sz w:val="32"/>
          <w:szCs w:val="32"/>
          <w:lang w:eastAsia="zh-CN"/>
        </w:rPr>
        <w:t>6000</w:t>
      </w:r>
      <w:r>
        <w:rPr>
          <w:rFonts w:hint="eastAsia" w:eastAsia="仿宋_GB2312"/>
          <w:sz w:val="32"/>
          <w:szCs w:val="32"/>
          <w:lang w:eastAsia="zh-CN"/>
        </w:rPr>
        <w:t>余台次。共拆除存在安全隐患门店招牌和违规设置的</w:t>
      </w:r>
      <w:r>
        <w:rPr>
          <w:rFonts w:eastAsia="仿宋_GB2312"/>
          <w:sz w:val="32"/>
          <w:szCs w:val="32"/>
          <w:lang w:eastAsia="zh-CN"/>
        </w:rPr>
        <w:t>“</w:t>
      </w:r>
      <w:r>
        <w:rPr>
          <w:rFonts w:hint="eastAsia" w:eastAsia="仿宋_GB2312"/>
          <w:sz w:val="32"/>
          <w:szCs w:val="32"/>
          <w:lang w:eastAsia="zh-CN"/>
        </w:rPr>
        <w:t>天际线”广告共计</w:t>
      </w:r>
      <w:r>
        <w:rPr>
          <w:rFonts w:eastAsia="仿宋_GB2312"/>
          <w:sz w:val="32"/>
          <w:szCs w:val="32"/>
          <w:lang w:eastAsia="zh-CN"/>
        </w:rPr>
        <w:t>61</w:t>
      </w:r>
      <w:r>
        <w:rPr>
          <w:rFonts w:hint="eastAsia" w:eastAsia="仿宋_GB2312"/>
          <w:sz w:val="32"/>
          <w:szCs w:val="32"/>
          <w:lang w:eastAsia="zh-CN"/>
        </w:rPr>
        <w:t>块，拆除校外培训机构及影响消防通道违规设置的户外广告牌</w:t>
      </w:r>
      <w:r>
        <w:rPr>
          <w:rFonts w:eastAsia="仿宋_GB2312"/>
          <w:sz w:val="32"/>
          <w:szCs w:val="32"/>
          <w:lang w:eastAsia="zh-CN"/>
        </w:rPr>
        <w:t>10</w:t>
      </w:r>
      <w:r>
        <w:rPr>
          <w:rFonts w:hint="eastAsia" w:eastAsia="仿宋_GB2312"/>
          <w:sz w:val="32"/>
          <w:szCs w:val="32"/>
          <w:lang w:eastAsia="zh-CN"/>
        </w:rPr>
        <w:t>余块。规范广告招牌审批、设置，勘察行政审批</w:t>
      </w:r>
      <w:r>
        <w:rPr>
          <w:rFonts w:eastAsia="仿宋_GB2312"/>
          <w:sz w:val="32"/>
          <w:szCs w:val="32"/>
          <w:lang w:eastAsia="zh-CN"/>
        </w:rPr>
        <w:t>715</w:t>
      </w:r>
      <w:r>
        <w:rPr>
          <w:rFonts w:hint="eastAsia" w:eastAsia="仿宋_GB2312"/>
          <w:sz w:val="32"/>
          <w:szCs w:val="32"/>
          <w:lang w:eastAsia="zh-CN"/>
        </w:rPr>
        <w:t>项（次），设置大型户外广告未按规定办理审批手续行政立案</w:t>
      </w:r>
      <w:r>
        <w:rPr>
          <w:rFonts w:eastAsia="仿宋_GB2312"/>
          <w:sz w:val="32"/>
          <w:szCs w:val="32"/>
          <w:lang w:eastAsia="zh-CN"/>
        </w:rPr>
        <w:t>6</w:t>
      </w:r>
      <w:r>
        <w:rPr>
          <w:rFonts w:hint="eastAsia" w:eastAsia="仿宋_GB2312"/>
          <w:sz w:val="32"/>
          <w:szCs w:val="32"/>
          <w:lang w:eastAsia="zh-CN"/>
        </w:rPr>
        <w:t>起，行政处罚</w:t>
      </w:r>
      <w:r>
        <w:rPr>
          <w:rFonts w:eastAsia="仿宋_GB2312"/>
          <w:sz w:val="32"/>
          <w:szCs w:val="32"/>
          <w:lang w:eastAsia="zh-CN"/>
        </w:rPr>
        <w:t>800</w:t>
      </w:r>
      <w:r>
        <w:rPr>
          <w:rFonts w:hint="eastAsia" w:eastAsia="仿宋_GB2312"/>
          <w:sz w:val="32"/>
          <w:szCs w:val="32"/>
          <w:lang w:eastAsia="zh-CN"/>
        </w:rPr>
        <w:t>元。共开展燃气领域执法检查</w:t>
      </w:r>
      <w:r>
        <w:rPr>
          <w:rFonts w:eastAsia="仿宋_GB2312"/>
          <w:sz w:val="32"/>
          <w:szCs w:val="32"/>
          <w:lang w:eastAsia="zh-CN"/>
        </w:rPr>
        <w:t>32</w:t>
      </w:r>
      <w:r>
        <w:rPr>
          <w:rFonts w:hint="eastAsia" w:eastAsia="仿宋_GB2312"/>
          <w:sz w:val="32"/>
          <w:szCs w:val="32"/>
          <w:lang w:eastAsia="zh-CN"/>
        </w:rPr>
        <w:t>次，行政立案</w:t>
      </w:r>
      <w:r>
        <w:rPr>
          <w:rFonts w:eastAsia="仿宋_GB2312"/>
          <w:sz w:val="32"/>
          <w:szCs w:val="32"/>
          <w:lang w:eastAsia="zh-CN"/>
        </w:rPr>
        <w:t>39</w:t>
      </w:r>
      <w:r>
        <w:rPr>
          <w:rFonts w:hint="eastAsia" w:eastAsia="仿宋_GB2312"/>
          <w:sz w:val="32"/>
          <w:szCs w:val="32"/>
          <w:lang w:eastAsia="zh-CN"/>
        </w:rPr>
        <w:t>起，共计行政罚</w:t>
      </w:r>
      <w:r>
        <w:rPr>
          <w:rFonts w:eastAsia="仿宋_GB2312"/>
          <w:sz w:val="32"/>
          <w:szCs w:val="32"/>
          <w:lang w:eastAsia="zh-CN"/>
        </w:rPr>
        <w:t>112870</w:t>
      </w:r>
      <w:r>
        <w:rPr>
          <w:rFonts w:hint="eastAsia" w:eastAsia="仿宋_GB2312"/>
          <w:sz w:val="32"/>
          <w:szCs w:val="32"/>
          <w:lang w:eastAsia="zh-CN"/>
        </w:rPr>
        <w:t>元，移送公安机关</w:t>
      </w:r>
      <w:r>
        <w:rPr>
          <w:rFonts w:eastAsia="仿宋_GB2312"/>
          <w:sz w:val="32"/>
          <w:szCs w:val="32"/>
          <w:lang w:eastAsia="zh-CN"/>
        </w:rPr>
        <w:t>1</w:t>
      </w:r>
      <w:r>
        <w:rPr>
          <w:rFonts w:hint="eastAsia" w:eastAsia="仿宋_GB2312"/>
          <w:sz w:val="32"/>
          <w:szCs w:val="32"/>
          <w:lang w:eastAsia="zh-CN"/>
        </w:rPr>
        <w:t>人。全年来共计摸排城区餐饮门店</w:t>
      </w:r>
      <w:r>
        <w:rPr>
          <w:rFonts w:eastAsia="仿宋_GB2312"/>
          <w:sz w:val="32"/>
          <w:szCs w:val="32"/>
          <w:lang w:eastAsia="zh-CN"/>
        </w:rPr>
        <w:t>712</w:t>
      </w:r>
      <w:r>
        <w:rPr>
          <w:rFonts w:hint="eastAsia" w:eastAsia="仿宋_GB2312"/>
          <w:sz w:val="32"/>
          <w:szCs w:val="32"/>
          <w:lang w:eastAsia="zh-CN"/>
        </w:rPr>
        <w:t>家，建立大中型餐饮企业防控台账</w:t>
      </w:r>
      <w:r>
        <w:rPr>
          <w:rFonts w:eastAsia="仿宋_GB2312"/>
          <w:sz w:val="32"/>
          <w:szCs w:val="32"/>
          <w:lang w:eastAsia="zh-CN"/>
        </w:rPr>
        <w:t>79</w:t>
      </w:r>
      <w:r>
        <w:rPr>
          <w:rFonts w:hint="eastAsia" w:eastAsia="仿宋_GB2312"/>
          <w:sz w:val="32"/>
          <w:szCs w:val="32"/>
          <w:lang w:eastAsia="zh-CN"/>
        </w:rPr>
        <w:t>家</w:t>
      </w:r>
      <w:r>
        <w:rPr>
          <w:rFonts w:eastAsia="仿宋_GB2312"/>
          <w:sz w:val="32"/>
          <w:szCs w:val="32"/>
          <w:lang w:eastAsia="zh-CN"/>
        </w:rPr>
        <w:t>,</w:t>
      </w:r>
      <w:r>
        <w:rPr>
          <w:rFonts w:hint="eastAsia" w:eastAsia="仿宋_GB2312"/>
          <w:sz w:val="32"/>
          <w:szCs w:val="32"/>
          <w:lang w:eastAsia="zh-CN"/>
        </w:rPr>
        <w:t>督促整改小型餐饮企业进店经营、安装简易油烟设备</w:t>
      </w:r>
      <w:r>
        <w:rPr>
          <w:rFonts w:eastAsia="仿宋_GB2312"/>
          <w:sz w:val="32"/>
          <w:szCs w:val="32"/>
          <w:lang w:eastAsia="zh-CN"/>
        </w:rPr>
        <w:t>162</w:t>
      </w:r>
      <w:r>
        <w:rPr>
          <w:rFonts w:hint="eastAsia" w:eastAsia="仿宋_GB2312"/>
          <w:sz w:val="32"/>
          <w:szCs w:val="32"/>
          <w:lang w:eastAsia="zh-CN"/>
        </w:rPr>
        <w:t>家，对城区</w:t>
      </w:r>
      <w:r>
        <w:rPr>
          <w:rFonts w:eastAsia="仿宋_GB2312"/>
          <w:sz w:val="32"/>
          <w:szCs w:val="32"/>
          <w:lang w:eastAsia="zh-CN"/>
        </w:rPr>
        <w:t>3</w:t>
      </w:r>
      <w:r>
        <w:rPr>
          <w:rFonts w:hint="eastAsia" w:eastAsia="仿宋_GB2312"/>
          <w:sz w:val="32"/>
          <w:szCs w:val="32"/>
          <w:lang w:eastAsia="zh-CN"/>
        </w:rPr>
        <w:t>个灶台以上已安装油烟净化设备的餐饮门店和被投诉的其他餐饮门店、夜宵门店开展油烟检测</w:t>
      </w:r>
      <w:r>
        <w:rPr>
          <w:rFonts w:eastAsia="仿宋_GB2312"/>
          <w:sz w:val="32"/>
          <w:szCs w:val="32"/>
          <w:lang w:eastAsia="zh-CN"/>
        </w:rPr>
        <w:t>56</w:t>
      </w:r>
      <w:r>
        <w:rPr>
          <w:rFonts w:hint="eastAsia" w:eastAsia="仿宋_GB2312"/>
          <w:sz w:val="32"/>
          <w:szCs w:val="32"/>
          <w:lang w:eastAsia="zh-CN"/>
        </w:rPr>
        <w:t>家，下达限期整改通知</w:t>
      </w:r>
      <w:r>
        <w:rPr>
          <w:rFonts w:eastAsia="仿宋_GB2312"/>
          <w:sz w:val="32"/>
          <w:szCs w:val="32"/>
          <w:lang w:eastAsia="zh-CN"/>
        </w:rPr>
        <w:t>80</w:t>
      </w:r>
      <w:r>
        <w:rPr>
          <w:rFonts w:hint="eastAsia" w:eastAsia="仿宋_GB2312"/>
          <w:sz w:val="32"/>
          <w:szCs w:val="32"/>
          <w:lang w:eastAsia="zh-CN"/>
        </w:rPr>
        <w:t>余份。出动执法人员</w:t>
      </w:r>
      <w:r>
        <w:rPr>
          <w:rFonts w:eastAsia="仿宋_GB2312"/>
          <w:sz w:val="32"/>
          <w:szCs w:val="32"/>
          <w:lang w:eastAsia="zh-CN"/>
        </w:rPr>
        <w:t>2600</w:t>
      </w:r>
      <w:r>
        <w:rPr>
          <w:rFonts w:hint="eastAsia" w:eastAsia="仿宋_GB2312"/>
          <w:sz w:val="32"/>
          <w:szCs w:val="32"/>
          <w:lang w:eastAsia="zh-CN"/>
        </w:rPr>
        <w:t>余人次，巡查管控办事对象</w:t>
      </w:r>
      <w:r>
        <w:rPr>
          <w:rFonts w:eastAsia="仿宋_GB2312"/>
          <w:sz w:val="32"/>
          <w:szCs w:val="32"/>
          <w:lang w:eastAsia="zh-CN"/>
        </w:rPr>
        <w:t>1085</w:t>
      </w:r>
      <w:r>
        <w:rPr>
          <w:rFonts w:hint="eastAsia" w:eastAsia="仿宋_GB2312"/>
          <w:sz w:val="32"/>
          <w:szCs w:val="32"/>
          <w:lang w:eastAsia="zh-CN"/>
        </w:rPr>
        <w:t>起，成功劝阻有意向燃放对象</w:t>
      </w:r>
      <w:r>
        <w:rPr>
          <w:rFonts w:eastAsia="仿宋_GB2312"/>
          <w:sz w:val="32"/>
          <w:szCs w:val="32"/>
          <w:lang w:eastAsia="zh-CN"/>
        </w:rPr>
        <w:t>90</w:t>
      </w:r>
      <w:r>
        <w:rPr>
          <w:rFonts w:hint="eastAsia" w:eastAsia="仿宋_GB2312"/>
          <w:sz w:val="32"/>
          <w:szCs w:val="32"/>
          <w:lang w:eastAsia="zh-CN"/>
        </w:rPr>
        <w:t>余起，查处违规燃放烟花鞭炮办事对象</w:t>
      </w:r>
      <w:r>
        <w:rPr>
          <w:rFonts w:eastAsia="仿宋_GB2312"/>
          <w:sz w:val="32"/>
          <w:szCs w:val="32"/>
          <w:lang w:eastAsia="zh-CN"/>
        </w:rPr>
        <w:t>10</w:t>
      </w:r>
      <w:r>
        <w:rPr>
          <w:rFonts w:hint="eastAsia" w:eastAsia="仿宋_GB2312"/>
          <w:sz w:val="32"/>
          <w:szCs w:val="32"/>
          <w:lang w:eastAsia="zh-CN"/>
        </w:rPr>
        <w:t>起，处罚</w:t>
      </w:r>
      <w:r>
        <w:rPr>
          <w:rFonts w:eastAsia="仿宋_GB2312"/>
          <w:sz w:val="32"/>
          <w:szCs w:val="32"/>
          <w:lang w:eastAsia="zh-CN"/>
        </w:rPr>
        <w:t>10</w:t>
      </w:r>
      <w:r>
        <w:rPr>
          <w:rFonts w:hint="eastAsia" w:eastAsia="仿宋_GB2312"/>
          <w:sz w:val="32"/>
          <w:szCs w:val="32"/>
          <w:lang w:eastAsia="zh-CN"/>
        </w:rPr>
        <w:t>起，共处罚</w:t>
      </w:r>
      <w:r>
        <w:rPr>
          <w:rFonts w:eastAsia="仿宋_GB2312"/>
          <w:sz w:val="32"/>
          <w:szCs w:val="32"/>
          <w:lang w:eastAsia="zh-CN"/>
        </w:rPr>
        <w:t>3400</w:t>
      </w:r>
      <w:r>
        <w:rPr>
          <w:rFonts w:hint="eastAsia" w:eastAsia="仿宋_GB2312"/>
          <w:sz w:val="32"/>
          <w:szCs w:val="32"/>
          <w:lang w:eastAsia="zh-CN"/>
        </w:rPr>
        <w:t>元。集中开展中心城区乱停乱放专项整治行动，通过严格执法、热情劝导等形式激发市民自觉参与城市管理的热情，进一步了巩固城区市容市貌常态化治理成效。</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513852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（1）立项依据</w:t>
      </w:r>
    </w:p>
    <w:p w14:paraId="10F1903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根据汨编字【2021】2号、汨编办字【2022】123号文件精神及我单位工作需要。</w:t>
      </w:r>
    </w:p>
    <w:p w14:paraId="5FD1336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（2）绩效目标</w:t>
      </w:r>
    </w:p>
    <w:p w14:paraId="6329DCF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长期绩效目标明确，为城市美化提供市容管理保障，</w:t>
      </w:r>
      <w:r>
        <w:rPr>
          <w:rFonts w:hint="eastAsia" w:cs="仿宋"/>
          <w:sz w:val="32"/>
          <w:szCs w:val="32"/>
          <w:lang w:eastAsia="zh-CN"/>
        </w:rPr>
        <w:t>进一步提升市民的幸福感和获得感，</w:t>
      </w:r>
      <w:r>
        <w:rPr>
          <w:rFonts w:hint="eastAsia" w:eastAsia="仿宋_GB2312"/>
          <w:sz w:val="32"/>
          <w:szCs w:val="32"/>
          <w:lang w:eastAsia="zh-CN"/>
        </w:rPr>
        <w:t>为推进汨罗经济社会高质量发展贡献城管力量。</w:t>
      </w:r>
    </w:p>
    <w:p w14:paraId="52524D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年度绩效目标明确，不断提升服务水平，坚持管理与创建并行，市容与繁荣并举，执法与服务并重，锐意进取、团结奋斗，各项执法管理及保障工作取得了较好的成绩。</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4AFFE9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320685C6">
      <w:pPr>
        <w:spacing w:line="560" w:lineRule="exact"/>
        <w:ind w:firstLine="640"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根据每月实际需求申报计划并及时到位，该项目严格按照相关财务制度执行，完成了目标任务。</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455B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sz w:val="32"/>
          <w:szCs w:val="32"/>
          <w:lang w:eastAsia="zh-CN"/>
        </w:rPr>
        <w:t>全面工作从严、从紧，专项资金落实到位，充分发挥了监督保障执行、促进完善发展作用，工作质量进一步得到提升。</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9EB695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023D586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进行城市综合整治管理中，抓好理顺影响城市管理工作的问题，健全责任机制，积极构建大城管工作格局，重拳推进严管重罚。将始终对城市“十乱”等问题常态化开展市容整治，突出做好城区市容市貌的整治工作，推进城市美化工程，联动执法，拓展城市建设面，确保城区经营秩序文明规范，市容环境整洁亮丽。持续强化户外广告、燃气专项整治，防范安全事故，坚决守护好人民群众生命财产安全。遵循科学管理，精准施策，提质增效的原则，大力推进生态文明城市管理工作，为创建全国文明城市助力。</w:t>
      </w:r>
    </w:p>
    <w:p w14:paraId="3121DF7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5F57B0A6">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（1）城市综合整治管理经费预算不足，不能满足各种保障任务正常费用支出的需要；</w:t>
      </w:r>
    </w:p>
    <w:p w14:paraId="4F4FFF1E">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C142853">
      <w:pPr>
        <w:spacing w:line="560" w:lineRule="exact"/>
        <w:ind w:firstLine="640" w:firstLineChars="200"/>
        <w:outlineLvl w:val="0"/>
        <w:rPr>
          <w:rFonts w:ascii="黑体" w:hAnsi="黑体" w:eastAsia="黑体" w:cs="黑体"/>
          <w:b/>
          <w:bCs/>
          <w:spacing w:val="-15"/>
          <w:sz w:val="31"/>
          <w:szCs w:val="31"/>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6BBCD639">
      <w:pPr>
        <w:keepNext w:val="0"/>
        <w:keepLines w:val="0"/>
        <w:pageBreakBefore w:val="0"/>
        <w:widowControl/>
        <w:numPr>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002FE5B">
      <w:pPr>
        <w:spacing w:line="560" w:lineRule="exact"/>
        <w:ind w:firstLine="640" w:firstLineChars="200"/>
        <w:outlineLvl w:val="0"/>
        <w:rPr>
          <w:rFonts w:hint="default" w:eastAsia="仿宋_GB2312"/>
          <w:sz w:val="32"/>
          <w:szCs w:val="32"/>
          <w:lang w:val="en-US" w:eastAsia="zh-CN"/>
        </w:rPr>
      </w:pPr>
      <w:bookmarkStart w:id="0" w:name="_GoBack"/>
      <w:r>
        <w:rPr>
          <w:rFonts w:hint="eastAsia" w:eastAsia="仿宋_GB2312"/>
          <w:sz w:val="32"/>
          <w:szCs w:val="32"/>
          <w:lang w:val="en-US" w:eastAsia="zh-CN"/>
        </w:rPr>
        <w:t>无</w:t>
      </w:r>
    </w:p>
    <w:bookmarkEnd w:id="0"/>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CF5002E-35E4-4790-8E8D-420294325C7C}"/>
  </w:font>
  <w:font w:name="黑体">
    <w:panose1 w:val="02010609060101010101"/>
    <w:charset w:val="86"/>
    <w:family w:val="auto"/>
    <w:pitch w:val="default"/>
    <w:sig w:usb0="800002BF" w:usb1="38CF7CFA" w:usb2="00000016" w:usb3="00000000" w:csb0="00040001" w:csb1="00000000"/>
    <w:embedRegular r:id="rId2" w:fontKey="{295C35FF-76F7-43D2-9ECD-AA00CCA844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01400C8D-EFEC-4BCF-9E31-82647AEE032D}"/>
  </w:font>
  <w:font w:name="仿宋_GB2312">
    <w:altName w:val="仿宋"/>
    <w:panose1 w:val="02010609030101010101"/>
    <w:charset w:val="86"/>
    <w:family w:val="modern"/>
    <w:pitch w:val="default"/>
    <w:sig w:usb0="00000000" w:usb1="00000000" w:usb2="00000000" w:usb3="00000000" w:csb0="00040000" w:csb1="00000000"/>
    <w:embedRegular r:id="rId4" w:fontKey="{951DE481-1DDC-4F27-9B9A-8FAC7289807D}"/>
  </w:font>
  <w:font w:name="方正小标宋简体">
    <w:panose1 w:val="02000000000000000000"/>
    <w:charset w:val="86"/>
    <w:family w:val="script"/>
    <w:pitch w:val="default"/>
    <w:sig w:usb0="00000001" w:usb1="08000000" w:usb2="00000000" w:usb3="00000000" w:csb0="00040000" w:csb1="00000000"/>
    <w:embedRegular r:id="rId5" w:fontKey="{CC780BB6-FA9D-41BB-8349-47CC731D6DB7}"/>
  </w:font>
  <w:font w:name="楷体_GB2312">
    <w:altName w:val="楷体"/>
    <w:panose1 w:val="02010609030101010101"/>
    <w:charset w:val="86"/>
    <w:family w:val="modern"/>
    <w:pitch w:val="default"/>
    <w:sig w:usb0="00000000" w:usb1="00000000" w:usb2="00000000" w:usb3="00000000" w:csb0="00040000" w:csb1="00000000"/>
    <w:embedRegular r:id="rId6" w:fontKey="{912B5E72-F396-4797-9303-7AA2F90B031C}"/>
  </w:font>
  <w:font w:name="楷体">
    <w:panose1 w:val="02010609060101010101"/>
    <w:charset w:val="86"/>
    <w:family w:val="auto"/>
    <w:pitch w:val="default"/>
    <w:sig w:usb0="800002BF" w:usb1="38CF7CFA" w:usb2="00000016" w:usb3="00000000" w:csb0="00040001" w:csb1="00000000"/>
    <w:embedRegular r:id="rId7" w:fontKey="{8B2EEFB7-FB1C-40CE-9BFF-61097282CCAE}"/>
  </w:font>
  <w:font w:name="方正黑体_GBK">
    <w:altName w:val="微软雅黑"/>
    <w:panose1 w:val="03000509000000000000"/>
    <w:charset w:val="86"/>
    <w:family w:val="script"/>
    <w:pitch w:val="default"/>
    <w:sig w:usb0="00000000" w:usb1="00000000" w:usb2="00000000" w:usb3="00000000" w:csb0="00040000" w:csb1="00000000"/>
    <w:embedRegular r:id="rId8" w:fontKey="{77DCE442-F256-4350-8467-DE92A3AC33AF}"/>
  </w:font>
  <w:font w:name="微软雅黑">
    <w:panose1 w:val="020B0503020204020204"/>
    <w:charset w:val="86"/>
    <w:family w:val="auto"/>
    <w:pitch w:val="default"/>
    <w:sig w:usb0="80000287" w:usb1="2ACF3C50" w:usb2="00000016" w:usb3="00000000" w:csb0="0004001F" w:csb1="00000000"/>
  </w:font>
  <w:font w:name="___WRD_EMBED_SUB_47">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5F64EA3"/>
    <w:rsid w:val="061136A7"/>
    <w:rsid w:val="086E756B"/>
    <w:rsid w:val="0ACF37E5"/>
    <w:rsid w:val="0B400BC6"/>
    <w:rsid w:val="0E68228D"/>
    <w:rsid w:val="0EA6787F"/>
    <w:rsid w:val="110D43BF"/>
    <w:rsid w:val="15276E52"/>
    <w:rsid w:val="178B0954"/>
    <w:rsid w:val="19C205A4"/>
    <w:rsid w:val="19D32FBC"/>
    <w:rsid w:val="1B010554"/>
    <w:rsid w:val="1E6A4395"/>
    <w:rsid w:val="22AC00E4"/>
    <w:rsid w:val="25557A3D"/>
    <w:rsid w:val="26EA5ED7"/>
    <w:rsid w:val="27A93B82"/>
    <w:rsid w:val="2AE00186"/>
    <w:rsid w:val="308216BE"/>
    <w:rsid w:val="343E12A6"/>
    <w:rsid w:val="34FE1149"/>
    <w:rsid w:val="3A550786"/>
    <w:rsid w:val="3AEA70D7"/>
    <w:rsid w:val="3B7A130F"/>
    <w:rsid w:val="3CCA7C35"/>
    <w:rsid w:val="3E666C41"/>
    <w:rsid w:val="405C5913"/>
    <w:rsid w:val="4073793A"/>
    <w:rsid w:val="494A1329"/>
    <w:rsid w:val="49DA4360"/>
    <w:rsid w:val="4F8B6063"/>
    <w:rsid w:val="521A58B8"/>
    <w:rsid w:val="52FA3F96"/>
    <w:rsid w:val="55850F17"/>
    <w:rsid w:val="57AE6D93"/>
    <w:rsid w:val="58E04635"/>
    <w:rsid w:val="5E3C4FFE"/>
    <w:rsid w:val="5FB623A7"/>
    <w:rsid w:val="62A34060"/>
    <w:rsid w:val="64594F7D"/>
    <w:rsid w:val="6BB1387F"/>
    <w:rsid w:val="6D075A1F"/>
    <w:rsid w:val="6E3851B0"/>
    <w:rsid w:val="75E90405"/>
    <w:rsid w:val="76E539FB"/>
    <w:rsid w:val="784167CA"/>
    <w:rsid w:val="795F7B03"/>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1917</Words>
  <Characters>1979</Characters>
  <TotalTime>0</TotalTime>
  <ScaleCrop>false</ScaleCrop>
  <LinksUpToDate>false</LinksUpToDate>
  <CharactersWithSpaces>2134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湛婷</cp:lastModifiedBy>
  <cp:lastPrinted>2024-05-21T14:05:00Z</cp:lastPrinted>
  <dcterms:modified xsi:type="dcterms:W3CDTF">2025-09-17T09:06:20Z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A1E9AC54BF58440288AD196632C2A254_12</vt:lpwstr>
  </property>
  <property fmtid="{D5CDD505-2E9C-101B-9397-08002B2CF9AE}" pid="7" name="KSOTemplateDocerSaveRecord">
    <vt:lpwstr>eyJoZGlkIjoiMTFmOWEwYmViYmJmZTZmMTc4M2Q0OGExMTNhNzEyYTAiLCJ1c2VySWQiOiIxNjM0NDYwMDI5In0=</vt:lpwstr>
  </property>
</Properties>
</file>