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3.43</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2.33</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0.57</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1.19</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0.57</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1.19</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2.86</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3E68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5AE386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项目概算评审工作经费</w:t>
            </w:r>
          </w:p>
        </w:tc>
        <w:tc>
          <w:tcPr>
            <w:tcW w:w="2116" w:type="dxa"/>
            <w:gridSpan w:val="2"/>
            <w:vAlign w:val="center"/>
          </w:tcPr>
          <w:p w14:paraId="5933C8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2ACBA32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292936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18.89</w:t>
            </w:r>
          </w:p>
        </w:tc>
        <w:tc>
          <w:tcPr>
            <w:tcW w:w="2039" w:type="dxa"/>
            <w:gridSpan w:val="2"/>
            <w:vAlign w:val="center"/>
          </w:tcPr>
          <w:p w14:paraId="7BB02F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25.57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41.08</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33.13</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2.43</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13.6</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3D6A9D1D">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1.加强宣传教育。宣传节约光荣、浪费可耻的消费理念，引导干部职工争做勤俭节约的践行者。</w:t>
            </w:r>
          </w:p>
          <w:p w14:paraId="5CB7C33C">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2.加强食堂管理。在机关食堂实现精准化备餐，减少食材浪费;加强公务接待管理。</w:t>
            </w:r>
          </w:p>
          <w:p w14:paraId="26B320C4">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3.压实主体责任。各部门需将厉行节约、反对浪费作为重要政治任务。</w:t>
            </w:r>
          </w:p>
          <w:p w14:paraId="17B59E8E">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4.强化追责问责。加大监督执纪力度，查处违规违纪违法使用财政资金的行为。</w:t>
            </w:r>
          </w:p>
          <w:p w14:paraId="63B600D1">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5.改进设施和设备。推进电子政务、节能改造，如节水节电改造、垃圾分类、节能宣传等;加强办公耗材、用水用电、车辆管理。</w:t>
            </w:r>
          </w:p>
          <w:p w14:paraId="3B9CC58F">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5.加强节能管理。定期检查电器、灯具、冷(暖)气关闭情况，杜绝长明灯、长流水。</w:t>
            </w:r>
          </w:p>
          <w:p w14:paraId="60DD977F">
            <w:pPr>
              <w:kinsoku w:val="0"/>
              <w:autoSpaceDE w:val="0"/>
              <w:autoSpaceDN w:val="0"/>
              <w:adjustRightInd w:val="0"/>
              <w:snapToGrid w:val="0"/>
              <w:ind w:firstLine="420"/>
              <w:jc w:val="left"/>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6.加强资产管理。严格资产配置处置、提升资产保障能力、强化计划预算控制。</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     填报日期：</w:t>
      </w:r>
      <w:r>
        <w:rPr>
          <w:rFonts w:hint="eastAsia" w:ascii="仿宋_GB2312" w:hAnsi="宋体" w:eastAsia="仿宋_GB2312" w:cs="宋体"/>
          <w:snapToGrid w:val="0"/>
          <w:color w:val="000000"/>
          <w:sz w:val="21"/>
          <w:szCs w:val="21"/>
          <w:lang w:val="en-US" w:eastAsia="zh-CN" w:bidi="ar-SA"/>
        </w:rPr>
        <w:t>2025-9-17</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bookmarkStart w:id="0" w:name="_GoBack"/>
      <w:bookmarkEnd w:id="0"/>
      <w:r>
        <w:rPr>
          <w:rFonts w:ascii="仿宋_GB2312" w:hAnsi="宋体" w:eastAsia="仿宋_GB2312" w:cs="宋体"/>
          <w:snapToGrid w:val="0"/>
          <w:color w:val="000000"/>
          <w:sz w:val="21"/>
          <w:szCs w:val="21"/>
          <w:lang w:val="en-US" w:eastAsia="zh-CN" w:bidi="ar-SA"/>
        </w:rPr>
        <w:t xml:space="preserve">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汨罗市发展和改革局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rPr>
              <w:t>757.30</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8594.09</w:t>
            </w: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8594.09</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ascii="仿宋_GB2312" w:eastAsia="仿宋_GB2312"/>
                <w:kern w:val="0"/>
              </w:rPr>
            </w:pPr>
            <w:r>
              <w:rPr>
                <w:rFonts w:hint="eastAsia" w:ascii="仿宋_GB2312" w:eastAsia="仿宋_GB2312"/>
                <w:kern w:val="0"/>
              </w:rPr>
              <w:t>100.00%</w:t>
            </w:r>
          </w:p>
        </w:tc>
        <w:tc>
          <w:tcPr>
            <w:tcW w:w="1423" w:type="dxa"/>
            <w:vAlign w:val="center"/>
          </w:tcPr>
          <w:p w14:paraId="4BE68CE2">
            <w:pPr>
              <w:spacing w:line="240" w:lineRule="auto"/>
              <w:ind w:firstLine="420"/>
              <w:jc w:val="center"/>
              <w:rPr>
                <w:rFonts w:ascii="仿宋_GB2312" w:eastAsia="仿宋_GB2312"/>
                <w:kern w:val="0"/>
              </w:rPr>
            </w:pPr>
            <w:r>
              <w:rPr>
                <w:rFonts w:hint="eastAsia" w:ascii="仿宋_GB2312" w:eastAsia="仿宋_GB2312"/>
                <w:kern w:val="0"/>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其中：一般公共预算：6736.70</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其中：基本支出：1004.45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政府性基金拨款：1800.00</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项目支出：7589.64</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其他资金：57.39</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1、认真做好全市重大项目前期工作，扎实谋划、储备、推进一批投资大、效益好、带动能力强，对全市经济社会发展有重大影响的项目。2、积极争取上级资金，大力推进项目建设。积极推进经济社会事业体制改革，鼓励民间投资公共领域，扎实推进重大项目建设，跟踪服务实事项目，加强项目成果对接；加强窗口建设，开展项目审批工作、协调好我市基础设施、公用事业等工程建设领域项目的招投标工作。3、开展汨罗市保障性安居工程基础设施配套项目等全市重大项目开展前期工作和协调管理工作，建立完善调度机制，适时召开专题调度会，协调解决重大前期项目存在的主要矛盾和问题。4、推进易地扶贫搬迁及开展光伏扶贫，着力保障和改善民生。5、加强价格监管调控，维护市场价费秩序</w:t>
            </w:r>
          </w:p>
        </w:tc>
        <w:tc>
          <w:tcPr>
            <w:tcW w:w="4260" w:type="dxa"/>
            <w:gridSpan w:val="4"/>
            <w:vAlign w:val="center"/>
          </w:tcPr>
          <w:p w14:paraId="7D56185A">
            <w:pPr>
              <w:spacing w:line="240" w:lineRule="auto"/>
              <w:ind w:firstLine="420"/>
              <w:jc w:val="left"/>
              <w:rPr>
                <w:rFonts w:hint="eastAsia" w:ascii="仿宋_GB2312" w:eastAsia="仿宋_GB2312"/>
                <w:kern w:val="0"/>
              </w:rPr>
            </w:pPr>
            <w:r>
              <w:rPr>
                <w:rFonts w:hint="eastAsia" w:ascii="仿宋_GB2312" w:eastAsia="仿宋_GB2312"/>
                <w:kern w:val="0"/>
              </w:rPr>
              <w:t xml:space="preserve">1、全力做好争项争资。争取“四类项目”项目个数和资金总额均稳居岳阳市前三。 </w:t>
            </w:r>
          </w:p>
          <w:p w14:paraId="117B6144">
            <w:pPr>
              <w:spacing w:line="240" w:lineRule="auto"/>
              <w:ind w:firstLine="420"/>
              <w:jc w:val="left"/>
              <w:rPr>
                <w:rFonts w:hint="eastAsia" w:ascii="仿宋_GB2312" w:eastAsia="仿宋_GB2312"/>
                <w:kern w:val="0"/>
              </w:rPr>
            </w:pPr>
            <w:r>
              <w:rPr>
                <w:rFonts w:hint="eastAsia" w:ascii="仿宋_GB2312" w:eastAsia="仿宋_GB2312"/>
                <w:kern w:val="0"/>
              </w:rPr>
              <w:t>2、加强经济运行调度。其中地区生产总值同比（下同）增长5%；固定资产投资增长19.7%；规模以上服务业营业收入（1-11月）增长29.5%；城镇居民人均可支配收入增长3.5%，农村居民人均可支配收入增长5.5%。</w:t>
            </w:r>
          </w:p>
          <w:p w14:paraId="7E3A7046">
            <w:pPr>
              <w:spacing w:line="240" w:lineRule="auto"/>
              <w:ind w:firstLine="420"/>
              <w:jc w:val="left"/>
              <w:rPr>
                <w:rFonts w:hint="eastAsia" w:ascii="仿宋_GB2312" w:eastAsia="仿宋_GB2312"/>
                <w:kern w:val="0"/>
              </w:rPr>
            </w:pPr>
            <w:r>
              <w:rPr>
                <w:rFonts w:hint="eastAsia" w:ascii="仿宋_GB2312" w:eastAsia="仿宋_GB2312"/>
                <w:kern w:val="0"/>
              </w:rPr>
              <w:t>3、大力推进项目建设。坚持项目为王，服务重大项目建设，特别是重大能源项目建设稳步推进。</w:t>
            </w:r>
          </w:p>
          <w:p w14:paraId="5FF32A97">
            <w:pPr>
              <w:spacing w:line="240" w:lineRule="auto"/>
              <w:ind w:firstLine="420"/>
              <w:jc w:val="left"/>
              <w:rPr>
                <w:rFonts w:hint="eastAsia" w:ascii="仿宋_GB2312" w:eastAsia="仿宋_GB2312"/>
                <w:kern w:val="0"/>
              </w:rPr>
            </w:pPr>
            <w:r>
              <w:rPr>
                <w:rFonts w:hint="eastAsia" w:ascii="仿宋_GB2312" w:eastAsia="仿宋_GB2312"/>
                <w:kern w:val="0"/>
              </w:rPr>
              <w:t>4、扎实开展价格管理。全年依法开展成本监审5项，开展农产品调查87个品种，办结涉案物价格认定241起，认定价值90余万元。召开价格听证会2次，印发定价文件6份，物业备案6起。</w:t>
            </w:r>
          </w:p>
          <w:p w14:paraId="379235CC">
            <w:pPr>
              <w:spacing w:line="240" w:lineRule="auto"/>
              <w:ind w:firstLine="420"/>
              <w:jc w:val="left"/>
              <w:rPr>
                <w:rFonts w:hint="eastAsia" w:ascii="仿宋_GB2312" w:eastAsia="仿宋_GB2312"/>
                <w:kern w:val="0"/>
              </w:rPr>
            </w:pPr>
            <w:r>
              <w:rPr>
                <w:rFonts w:hint="eastAsia" w:ascii="仿宋_GB2312" w:eastAsia="仿宋_GB2312"/>
                <w:kern w:val="0"/>
              </w:rPr>
              <w:t>5、加强国防动员工作。做好国防动员潜力调查统计工作，摸清潜力底数，积极组建国防动员支援保障专业分队，添置警报器，覆盖率提升至95%。加强人防项目监管审批，审批易地建设项目18个。</w:t>
            </w:r>
          </w:p>
          <w:p w14:paraId="5E5C4274">
            <w:pPr>
              <w:spacing w:line="240" w:lineRule="auto"/>
              <w:ind w:firstLine="420"/>
              <w:jc w:val="left"/>
              <w:rPr>
                <w:rFonts w:hint="eastAsia" w:ascii="仿宋_GB2312" w:eastAsia="仿宋_GB2312"/>
                <w:kern w:val="0"/>
              </w:rPr>
            </w:pPr>
            <w:r>
              <w:rPr>
                <w:rFonts w:hint="eastAsia" w:ascii="仿宋_GB2312" w:eastAsia="仿宋_GB2312"/>
                <w:kern w:val="0"/>
              </w:rPr>
              <w:t>6、扎实开展送解优专项行动。编印《汨罗市推动大规模设备更新和消费品以旧换新政策汇编》和《政策专区操作指南》，下发资料2万余份，推送抖音短视频50余条。组建4个行动专班、6个工作组，深入园区、企业走访，共走访企业540家。推进行政审批中介服务标准化建设，完善政府投资项目审批及概算管理，进一步优化审批流程，提升审批效率。</w:t>
            </w:r>
          </w:p>
          <w:p w14:paraId="156E0DC0">
            <w:pPr>
              <w:spacing w:line="240" w:lineRule="auto"/>
              <w:ind w:firstLine="420"/>
              <w:jc w:val="center"/>
              <w:rPr>
                <w:rFonts w:ascii="仿宋_GB2312" w:eastAsia="仿宋_GB2312"/>
                <w:kern w:val="0"/>
              </w:rPr>
            </w:pP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rPr>
              <w:t>重点项目开展推进数量</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32</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20</w:t>
            </w:r>
          </w:p>
        </w:tc>
        <w:tc>
          <w:tcPr>
            <w:tcW w:w="699" w:type="dxa"/>
            <w:vAlign w:val="center"/>
          </w:tcPr>
          <w:p w14:paraId="567F5E54">
            <w:pPr>
              <w:spacing w:line="240" w:lineRule="auto"/>
              <w:ind w:firstLine="420"/>
              <w:jc w:val="center"/>
              <w:rPr>
                <w:rFonts w:ascii="仿宋_GB2312" w:eastAsia="仿宋_GB2312"/>
                <w:kern w:val="0"/>
              </w:rPr>
            </w:pPr>
            <w:r>
              <w:rPr>
                <w:rFonts w:hint="eastAsia" w:ascii="仿宋_GB2312" w:eastAsia="仿宋_GB2312"/>
                <w:kern w:val="0"/>
              </w:rPr>
              <w:t>5</w:t>
            </w:r>
          </w:p>
        </w:tc>
        <w:tc>
          <w:tcPr>
            <w:tcW w:w="869" w:type="dxa"/>
            <w:vAlign w:val="center"/>
          </w:tcPr>
          <w:p w14:paraId="2717B7C4">
            <w:pPr>
              <w:spacing w:line="240" w:lineRule="auto"/>
              <w:ind w:firstLine="420"/>
              <w:jc w:val="center"/>
              <w:rPr>
                <w:rFonts w:ascii="仿宋_GB2312" w:eastAsia="仿宋_GB2312"/>
                <w:kern w:val="0"/>
              </w:rPr>
            </w:pPr>
            <w:r>
              <w:rPr>
                <w:rFonts w:hint="eastAsia" w:ascii="仿宋_GB2312" w:eastAsia="仿宋_GB2312"/>
                <w:kern w:val="0"/>
              </w:rPr>
              <w:t>3</w:t>
            </w:r>
          </w:p>
        </w:tc>
        <w:tc>
          <w:tcPr>
            <w:tcW w:w="1423" w:type="dxa"/>
            <w:vAlign w:val="center"/>
          </w:tcPr>
          <w:p w14:paraId="7CF9B186">
            <w:pPr>
              <w:spacing w:line="240" w:lineRule="auto"/>
              <w:jc w:val="both"/>
              <w:rPr>
                <w:rFonts w:ascii="仿宋_GB2312" w:eastAsia="仿宋_GB2312"/>
                <w:kern w:val="0"/>
              </w:rPr>
            </w:pPr>
            <w:r>
              <w:rPr>
                <w:rFonts w:hint="eastAsia" w:ascii="仿宋_GB2312" w:eastAsia="仿宋_GB2312"/>
                <w:kern w:val="0"/>
              </w:rPr>
              <w:t>年度指标值虚高，2024年因经济发展以及各项政策等原因，导致重点项目开展数量未达到年初预算指标</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both"/>
              <w:rPr>
                <w:rFonts w:ascii="仿宋_GB2312" w:eastAsia="仿宋_GB2312"/>
                <w:kern w:val="0"/>
              </w:rPr>
            </w:pPr>
            <w:r>
              <w:rPr>
                <w:rFonts w:hint="eastAsia" w:ascii="仿宋_GB2312" w:eastAsia="仿宋_GB2312"/>
                <w:kern w:val="0"/>
              </w:rPr>
              <w:t>编制专项工作方案和报告数量</w:t>
            </w:r>
          </w:p>
        </w:tc>
        <w:tc>
          <w:tcPr>
            <w:tcW w:w="1298" w:type="dxa"/>
            <w:vAlign w:val="center"/>
          </w:tcPr>
          <w:p w14:paraId="15CE1D7F">
            <w:pPr>
              <w:spacing w:line="240" w:lineRule="auto"/>
              <w:ind w:firstLine="420"/>
              <w:jc w:val="center"/>
              <w:rPr>
                <w:rFonts w:ascii="仿宋_GB2312" w:eastAsia="仿宋_GB2312"/>
                <w:kern w:val="0"/>
              </w:rPr>
            </w:pPr>
            <w:r>
              <w:rPr>
                <w:rFonts w:hint="eastAsia" w:ascii="仿宋_GB2312" w:eastAsia="仿宋_GB2312"/>
                <w:kern w:val="0"/>
              </w:rPr>
              <w:t>2</w:t>
            </w:r>
          </w:p>
        </w:tc>
        <w:tc>
          <w:tcPr>
            <w:tcW w:w="1269" w:type="dxa"/>
            <w:vAlign w:val="center"/>
          </w:tcPr>
          <w:p w14:paraId="346D111F">
            <w:pPr>
              <w:spacing w:line="240" w:lineRule="auto"/>
              <w:ind w:firstLine="420"/>
              <w:jc w:val="center"/>
              <w:rPr>
                <w:rFonts w:ascii="仿宋_GB2312" w:eastAsia="仿宋_GB2312"/>
                <w:kern w:val="0"/>
              </w:rPr>
            </w:pPr>
            <w:r>
              <w:rPr>
                <w:rFonts w:hint="eastAsia" w:ascii="仿宋_GB2312" w:eastAsia="仿宋_GB2312"/>
                <w:kern w:val="0"/>
              </w:rPr>
              <w:t>4</w:t>
            </w:r>
          </w:p>
        </w:tc>
        <w:tc>
          <w:tcPr>
            <w:tcW w:w="699" w:type="dxa"/>
            <w:vAlign w:val="center"/>
          </w:tcPr>
          <w:p w14:paraId="4812C5E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266548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各类案件结案率</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0.9</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0.95</w:t>
            </w:r>
          </w:p>
        </w:tc>
        <w:tc>
          <w:tcPr>
            <w:tcW w:w="699" w:type="dxa"/>
            <w:vAlign w:val="center"/>
          </w:tcPr>
          <w:p w14:paraId="5580FC82">
            <w:pPr>
              <w:spacing w:line="240" w:lineRule="auto"/>
              <w:ind w:firstLine="420"/>
              <w:jc w:val="center"/>
              <w:rPr>
                <w:rFonts w:ascii="仿宋_GB2312" w:eastAsia="仿宋_GB2312"/>
                <w:kern w:val="0"/>
              </w:rPr>
            </w:pPr>
            <w:r>
              <w:rPr>
                <w:rFonts w:hint="eastAsia" w:ascii="仿宋_GB2312" w:eastAsia="仿宋_GB2312"/>
                <w:kern w:val="0"/>
              </w:rPr>
              <w:t>5</w:t>
            </w:r>
          </w:p>
        </w:tc>
        <w:tc>
          <w:tcPr>
            <w:tcW w:w="869" w:type="dxa"/>
            <w:vAlign w:val="center"/>
          </w:tcPr>
          <w:p w14:paraId="0982B111">
            <w:pPr>
              <w:spacing w:line="240" w:lineRule="auto"/>
              <w:ind w:firstLine="420"/>
              <w:jc w:val="center"/>
              <w:rPr>
                <w:rFonts w:ascii="仿宋_GB2312" w:eastAsia="仿宋_GB2312"/>
                <w:kern w:val="0"/>
              </w:rPr>
            </w:pPr>
            <w:r>
              <w:rPr>
                <w:rFonts w:hint="eastAsia" w:ascii="仿宋_GB2312" w:eastAsia="仿宋_GB2312"/>
                <w:kern w:val="0"/>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both"/>
              <w:rPr>
                <w:rFonts w:ascii="仿宋_GB2312" w:eastAsia="仿宋_GB2312"/>
                <w:kern w:val="0"/>
              </w:rPr>
            </w:pPr>
            <w:r>
              <w:rPr>
                <w:rFonts w:hint="eastAsia" w:ascii="仿宋_GB2312" w:eastAsia="仿宋_GB2312"/>
                <w:kern w:val="0"/>
              </w:rPr>
              <w:t>各类规划编制科学、操作性强</w:t>
            </w:r>
          </w:p>
        </w:tc>
        <w:tc>
          <w:tcPr>
            <w:tcW w:w="1298" w:type="dxa"/>
            <w:vAlign w:val="center"/>
          </w:tcPr>
          <w:p w14:paraId="33DF5A21">
            <w:pPr>
              <w:spacing w:line="240" w:lineRule="auto"/>
              <w:ind w:firstLine="420"/>
              <w:jc w:val="center"/>
              <w:rPr>
                <w:rFonts w:ascii="仿宋_GB2312" w:eastAsia="仿宋_GB2312"/>
                <w:kern w:val="0"/>
              </w:rPr>
            </w:pPr>
            <w:r>
              <w:rPr>
                <w:rFonts w:hint="eastAsia" w:ascii="仿宋_GB2312" w:eastAsia="仿宋_GB2312"/>
                <w:kern w:val="0"/>
              </w:rPr>
              <w:t>达标</w:t>
            </w:r>
          </w:p>
        </w:tc>
        <w:tc>
          <w:tcPr>
            <w:tcW w:w="1269" w:type="dxa"/>
            <w:vAlign w:val="center"/>
          </w:tcPr>
          <w:p w14:paraId="4F080A08">
            <w:pPr>
              <w:spacing w:line="240" w:lineRule="auto"/>
              <w:ind w:firstLine="420"/>
              <w:jc w:val="center"/>
              <w:rPr>
                <w:rFonts w:ascii="仿宋_GB2312" w:eastAsia="仿宋_GB2312"/>
                <w:kern w:val="0"/>
              </w:rPr>
            </w:pPr>
            <w:r>
              <w:rPr>
                <w:rFonts w:hint="eastAsia" w:ascii="仿宋_GB2312" w:eastAsia="仿宋_GB2312"/>
                <w:kern w:val="0"/>
              </w:rPr>
              <w:t>达标</w:t>
            </w:r>
          </w:p>
        </w:tc>
        <w:tc>
          <w:tcPr>
            <w:tcW w:w="699" w:type="dxa"/>
            <w:vAlign w:val="center"/>
          </w:tcPr>
          <w:p w14:paraId="155F4AE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A22618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项目资金规定时间内下达率</w:t>
            </w:r>
          </w:p>
        </w:tc>
        <w:tc>
          <w:tcPr>
            <w:tcW w:w="1298" w:type="dxa"/>
            <w:vAlign w:val="center"/>
          </w:tcPr>
          <w:p w14:paraId="479FA5D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269" w:type="dxa"/>
            <w:vAlign w:val="center"/>
          </w:tcPr>
          <w:p w14:paraId="5C1B340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left"/>
              <w:rPr>
                <w:rFonts w:ascii="仿宋_GB2312" w:eastAsia="仿宋_GB2312"/>
                <w:kern w:val="0"/>
              </w:rPr>
            </w:pPr>
            <w:r>
              <w:rPr>
                <w:rFonts w:hint="eastAsia" w:ascii="仿宋_GB2312" w:eastAsia="仿宋_GB2312"/>
                <w:kern w:val="0"/>
              </w:rPr>
              <w:t>优化营商环境，不断解放和发展社会生产力，加快建设现代化经济体系，推动经济社会高质量发展。</w:t>
            </w:r>
          </w:p>
        </w:tc>
        <w:tc>
          <w:tcPr>
            <w:tcW w:w="1298"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效益显著</w:t>
            </w:r>
          </w:p>
        </w:tc>
        <w:tc>
          <w:tcPr>
            <w:tcW w:w="1269" w:type="dxa"/>
            <w:vAlign w:val="center"/>
          </w:tcPr>
          <w:p w14:paraId="7A453B87">
            <w:pPr>
              <w:spacing w:line="240" w:lineRule="auto"/>
              <w:jc w:val="both"/>
              <w:rPr>
                <w:rFonts w:ascii="仿宋_GB2312" w:eastAsia="仿宋_GB2312"/>
                <w:kern w:val="0"/>
              </w:rPr>
            </w:pPr>
            <w:r>
              <w:rPr>
                <w:rFonts w:hint="eastAsia" w:ascii="仿宋_GB2312" w:eastAsia="仿宋_GB2312"/>
                <w:kern w:val="0"/>
              </w:rPr>
              <w:t>效益显著</w:t>
            </w:r>
          </w:p>
        </w:tc>
        <w:tc>
          <w:tcPr>
            <w:tcW w:w="699"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rPr>
              <w:t>促进信息服务业服务型政府及智慧城市建设</w:t>
            </w:r>
          </w:p>
        </w:tc>
        <w:tc>
          <w:tcPr>
            <w:tcW w:w="1298"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rPr>
              <w:t>效益显著</w:t>
            </w:r>
          </w:p>
        </w:tc>
        <w:tc>
          <w:tcPr>
            <w:tcW w:w="1269" w:type="dxa"/>
            <w:vAlign w:val="center"/>
          </w:tcPr>
          <w:p w14:paraId="4886005B">
            <w:pPr>
              <w:spacing w:line="240" w:lineRule="auto"/>
              <w:jc w:val="both"/>
              <w:rPr>
                <w:rFonts w:ascii="仿宋_GB2312" w:eastAsia="仿宋_GB2312"/>
                <w:kern w:val="0"/>
              </w:rPr>
            </w:pPr>
            <w:r>
              <w:rPr>
                <w:rFonts w:hint="eastAsia" w:ascii="仿宋_GB2312" w:eastAsia="仿宋_GB2312"/>
                <w:kern w:val="0"/>
              </w:rPr>
              <w:t>效益显著</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hint="eastAsia" w:ascii="仿宋_GB2312" w:eastAsia="仿宋_GB2312"/>
                <w:kern w:val="0"/>
                <w:lang w:val="en-US" w:eastAsia="zh-CN"/>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rPr>
              <w:t>推动绿色发展，统筹推进污染防治和生态保护修复</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rPr>
              <w:t>效益显著</w:t>
            </w:r>
          </w:p>
        </w:tc>
        <w:tc>
          <w:tcPr>
            <w:tcW w:w="1269" w:type="dxa"/>
            <w:vAlign w:val="center"/>
          </w:tcPr>
          <w:p w14:paraId="35C3564D">
            <w:pPr>
              <w:spacing w:line="240" w:lineRule="auto"/>
              <w:jc w:val="both"/>
              <w:rPr>
                <w:rFonts w:ascii="仿宋_GB2312" w:eastAsia="仿宋_GB2312"/>
                <w:kern w:val="0"/>
              </w:rPr>
            </w:pPr>
            <w:r>
              <w:rPr>
                <w:rFonts w:hint="eastAsia" w:ascii="仿宋_GB2312" w:eastAsia="仿宋_GB2312"/>
                <w:kern w:val="0"/>
              </w:rPr>
              <w:t>效益显著</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ascii="仿宋_GB2312" w:eastAsia="仿宋_GB2312"/>
                <w:kern w:val="0"/>
              </w:rPr>
            </w:pPr>
            <w:r>
              <w:rPr>
                <w:rFonts w:hint="eastAsia" w:ascii="仿宋_GB2312" w:eastAsia="仿宋_GB2312"/>
                <w:kern w:val="0"/>
              </w:rPr>
              <w:t>促进全市经济持续发展，提高人民收入水平，提升人民生活幸福感</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rPr>
              <w:t>效益显著</w:t>
            </w:r>
          </w:p>
        </w:tc>
        <w:tc>
          <w:tcPr>
            <w:tcW w:w="1269" w:type="dxa"/>
            <w:vAlign w:val="center"/>
          </w:tcPr>
          <w:p w14:paraId="46B41467">
            <w:pPr>
              <w:spacing w:line="240" w:lineRule="auto"/>
              <w:jc w:val="both"/>
              <w:rPr>
                <w:rFonts w:ascii="仿宋_GB2312" w:eastAsia="仿宋_GB2312"/>
                <w:kern w:val="0"/>
              </w:rPr>
            </w:pPr>
            <w:r>
              <w:rPr>
                <w:rFonts w:hint="eastAsia" w:ascii="仿宋_GB2312" w:eastAsia="仿宋_GB2312"/>
                <w:kern w:val="0"/>
              </w:rPr>
              <w:t>效益显著</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社会公众满意度</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0.95</w:t>
            </w:r>
          </w:p>
        </w:tc>
        <w:tc>
          <w:tcPr>
            <w:tcW w:w="1269"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0.95</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rPr>
            </w:pPr>
            <w:r>
              <w:rPr>
                <w:rFonts w:hint="eastAsia" w:ascii="仿宋_GB2312" w:eastAsia="仿宋_GB2312"/>
                <w:kern w:val="0"/>
              </w:rPr>
              <w:t>预算执行完成率</w:t>
            </w:r>
          </w:p>
        </w:tc>
        <w:tc>
          <w:tcPr>
            <w:tcW w:w="1298" w:type="dxa"/>
            <w:vAlign w:val="center"/>
          </w:tcPr>
          <w:p w14:paraId="15ECA8D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269" w:type="dxa"/>
            <w:vAlign w:val="center"/>
          </w:tcPr>
          <w:p w14:paraId="3C32824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rPr>
            </w:pPr>
            <w:r>
              <w:rPr>
                <w:rFonts w:hint="eastAsia" w:ascii="仿宋_GB2312" w:eastAsia="仿宋_GB2312"/>
                <w:kern w:val="0"/>
              </w:rPr>
              <w:t>对社会发展可能造成的负面影响</w:t>
            </w:r>
          </w:p>
        </w:tc>
        <w:tc>
          <w:tcPr>
            <w:tcW w:w="1298"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14:paraId="32DCD303">
            <w:pPr>
              <w:spacing w:line="240" w:lineRule="auto"/>
              <w:ind w:firstLine="420"/>
              <w:jc w:val="center"/>
              <w:rPr>
                <w:rFonts w:ascii="仿宋_GB2312" w:eastAsia="仿宋_GB2312"/>
                <w:kern w:val="0"/>
              </w:rPr>
            </w:pPr>
            <w:r>
              <w:rPr>
                <w:rFonts w:hint="eastAsia" w:ascii="仿宋_GB2312" w:eastAsia="仿宋_GB2312"/>
                <w:kern w:val="0"/>
              </w:rPr>
              <w:t>无负面影响</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rPr>
              <w:t>对自然生态环境造成的负面影响</w:t>
            </w:r>
          </w:p>
        </w:tc>
        <w:tc>
          <w:tcPr>
            <w:tcW w:w="1298" w:type="dxa"/>
            <w:vAlign w:val="center"/>
          </w:tcPr>
          <w:p w14:paraId="789CDCB9">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14:paraId="4E354EE6">
            <w:pPr>
              <w:spacing w:line="240" w:lineRule="auto"/>
              <w:ind w:firstLine="420"/>
              <w:jc w:val="center"/>
              <w:rPr>
                <w:rFonts w:ascii="仿宋_GB2312" w:eastAsia="仿宋_GB2312"/>
                <w:kern w:val="0"/>
              </w:rPr>
            </w:pPr>
            <w:r>
              <w:rPr>
                <w:rFonts w:hint="eastAsia" w:ascii="仿宋_GB2312" w:eastAsia="仿宋_GB2312"/>
                <w:kern w:val="0"/>
              </w:rPr>
              <w:t>无负面影响</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2025-9-17</w:t>
      </w:r>
      <w:r>
        <w:rPr>
          <w:rFonts w:ascii="仿宋_GB2312" w:hAnsi="宋体" w:eastAsia="仿宋_GB2312" w:cs="宋体"/>
          <w:snapToGrid w:val="0"/>
          <w:color w:val="000000"/>
          <w:sz w:val="21"/>
          <w:szCs w:val="21"/>
          <w:lang w:val="en-US" w:eastAsia="zh-CN" w:bidi="ar-SA"/>
        </w:rPr>
        <w:t xml:space="preserve">    联系电话：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项目概算评审工作经费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汨罗市发展和改革局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汨罗市发展和改革局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概算评审中心对政府投资项目，进行立项、初步设计报批、概算审批以及组织评审出具概算批复。完善市本级政府投资项目审批和概算管理体制，堵住管理漏洞、有效防范和化解风险。提高政府投资收益。通过估算控制概算、概算控制预算、预算控制决算，加强概算的控制投资成本，履行后续可行性研究报告审批。</w:t>
            </w:r>
          </w:p>
        </w:tc>
        <w:tc>
          <w:tcPr>
            <w:tcW w:w="4140" w:type="dxa"/>
            <w:gridSpan w:val="4"/>
            <w:vAlign w:val="center"/>
          </w:tcPr>
          <w:p w14:paraId="309F7763">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推进行政审批中介服务标准化建设，完善政府投资项目审批及概算管理，进一步优化审批流程，提升审批效率。在线办理立项396个，其中审批183个，核准3个，备案210个。</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rPr>
              <w:t>强化限额设计要求</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rPr>
              <w:t>投资项目审批和概算管理体制</w:t>
            </w:r>
          </w:p>
        </w:tc>
        <w:tc>
          <w:tcPr>
            <w:tcW w:w="1099" w:type="dxa"/>
            <w:vAlign w:val="center"/>
          </w:tcPr>
          <w:p w14:paraId="2D69FB32">
            <w:pPr>
              <w:spacing w:line="240" w:lineRule="auto"/>
              <w:jc w:val="both"/>
              <w:rPr>
                <w:rFonts w:ascii="仿宋_GB2312" w:hAnsi="宋体" w:eastAsia="仿宋_GB2312" w:cs="宋体"/>
                <w:kern w:val="0"/>
              </w:rPr>
            </w:pPr>
            <w:r>
              <w:rPr>
                <w:rFonts w:hint="eastAsia" w:ascii="仿宋_GB2312" w:hAnsi="宋体" w:eastAsia="仿宋_GB2312" w:cs="宋体"/>
                <w:kern w:val="0"/>
              </w:rPr>
              <w:t>完善体制</w:t>
            </w:r>
          </w:p>
        </w:tc>
        <w:tc>
          <w:tcPr>
            <w:tcW w:w="1099" w:type="dxa"/>
            <w:vAlign w:val="center"/>
          </w:tcPr>
          <w:p w14:paraId="03BC31E1">
            <w:pPr>
              <w:spacing w:line="240" w:lineRule="auto"/>
              <w:jc w:val="both"/>
              <w:rPr>
                <w:rFonts w:ascii="仿宋_GB2312" w:hAnsi="宋体" w:eastAsia="仿宋_GB2312" w:cs="宋体"/>
                <w:kern w:val="0"/>
              </w:rPr>
            </w:pPr>
            <w:r>
              <w:rPr>
                <w:rFonts w:hint="eastAsia" w:ascii="仿宋_GB2312" w:hAnsi="宋体" w:eastAsia="仿宋_GB2312" w:cs="宋体"/>
                <w:kern w:val="0"/>
              </w:rPr>
              <w:t>有效改善</w:t>
            </w: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项目概算完成度</w:t>
            </w:r>
          </w:p>
        </w:tc>
        <w:tc>
          <w:tcPr>
            <w:tcW w:w="1099" w:type="dxa"/>
            <w:vAlign w:val="center"/>
          </w:tcPr>
          <w:p w14:paraId="015D039B">
            <w:pPr>
              <w:spacing w:line="240" w:lineRule="auto"/>
              <w:jc w:val="both"/>
              <w:rPr>
                <w:rFonts w:ascii="仿宋_GB2312" w:hAnsi="宋体" w:eastAsia="仿宋_GB2312" w:cs="宋体"/>
                <w:kern w:val="0"/>
              </w:rPr>
            </w:pPr>
            <w:r>
              <w:rPr>
                <w:rFonts w:hint="eastAsia" w:ascii="仿宋_GB2312" w:hAnsi="宋体" w:eastAsia="仿宋_GB2312" w:cs="宋体"/>
                <w:kern w:val="0"/>
              </w:rPr>
              <w:t>按时完成</w:t>
            </w:r>
          </w:p>
        </w:tc>
        <w:tc>
          <w:tcPr>
            <w:tcW w:w="1099" w:type="dxa"/>
            <w:vAlign w:val="center"/>
          </w:tcPr>
          <w:p w14:paraId="5C21687F">
            <w:pPr>
              <w:spacing w:line="240" w:lineRule="auto"/>
              <w:jc w:val="both"/>
              <w:rPr>
                <w:rFonts w:ascii="仿宋_GB2312" w:hAnsi="宋体" w:eastAsia="仿宋_GB2312" w:cs="宋体"/>
                <w:kern w:val="0"/>
              </w:rPr>
            </w:pPr>
            <w:r>
              <w:rPr>
                <w:rFonts w:hint="eastAsia" w:ascii="仿宋_GB2312" w:hAnsi="宋体" w:eastAsia="仿宋_GB2312" w:cs="宋体"/>
                <w:kern w:val="0"/>
              </w:rPr>
              <w:t>按进度完成</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提高政府投资收益</w:t>
            </w:r>
          </w:p>
        </w:tc>
        <w:tc>
          <w:tcPr>
            <w:tcW w:w="1099" w:type="dxa"/>
            <w:vAlign w:val="center"/>
          </w:tcPr>
          <w:p w14:paraId="53928C31">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1099" w:type="dxa"/>
            <w:vAlign w:val="center"/>
          </w:tcPr>
          <w:p w14:paraId="6D883DDF">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为政府提供可行性建议</w:t>
            </w:r>
          </w:p>
        </w:tc>
        <w:tc>
          <w:tcPr>
            <w:tcW w:w="1099" w:type="dxa"/>
            <w:vAlign w:val="center"/>
          </w:tcPr>
          <w:p w14:paraId="01875392">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1099" w:type="dxa"/>
            <w:vAlign w:val="center"/>
          </w:tcPr>
          <w:p w14:paraId="4101F8DE">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堵住管理漏洞、防范风险</w:t>
            </w:r>
          </w:p>
        </w:tc>
        <w:tc>
          <w:tcPr>
            <w:tcW w:w="1099" w:type="dxa"/>
            <w:vAlign w:val="center"/>
          </w:tcPr>
          <w:p w14:paraId="286C2197">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1099" w:type="dxa"/>
            <w:vAlign w:val="center"/>
          </w:tcPr>
          <w:p w14:paraId="4CA75DEB">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推进项目良好运行</w:t>
            </w:r>
          </w:p>
        </w:tc>
        <w:tc>
          <w:tcPr>
            <w:tcW w:w="1099" w:type="dxa"/>
            <w:vAlign w:val="center"/>
          </w:tcPr>
          <w:p w14:paraId="48F3A1C5">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1099" w:type="dxa"/>
            <w:vAlign w:val="center"/>
          </w:tcPr>
          <w:p w14:paraId="596F13DA">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809" w:type="dxa"/>
            <w:vAlign w:val="center"/>
          </w:tcPr>
          <w:p w14:paraId="49A57C7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44D5C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65FCC67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0.95</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工作经费控制在预算内</w:t>
            </w:r>
          </w:p>
        </w:tc>
        <w:tc>
          <w:tcPr>
            <w:tcW w:w="1099" w:type="dxa"/>
            <w:vAlign w:val="center"/>
          </w:tcPr>
          <w:p w14:paraId="7D8FEF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099" w:type="dxa"/>
            <w:vAlign w:val="center"/>
          </w:tcPr>
          <w:p w14:paraId="729BFD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节约成本控制投资成本</w:t>
            </w:r>
          </w:p>
        </w:tc>
        <w:tc>
          <w:tcPr>
            <w:tcW w:w="1099" w:type="dxa"/>
            <w:vAlign w:val="center"/>
          </w:tcPr>
          <w:p w14:paraId="515A67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达标</w:t>
            </w:r>
          </w:p>
        </w:tc>
        <w:tc>
          <w:tcPr>
            <w:tcW w:w="1099" w:type="dxa"/>
            <w:vAlign w:val="center"/>
          </w:tcPr>
          <w:p w14:paraId="79BCBE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达标</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强化政府投资资金的预算约束</w:t>
            </w:r>
          </w:p>
        </w:tc>
        <w:tc>
          <w:tcPr>
            <w:tcW w:w="1099" w:type="dxa"/>
            <w:vAlign w:val="center"/>
          </w:tcPr>
          <w:p w14:paraId="52AC4F9E">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1099" w:type="dxa"/>
            <w:vAlign w:val="center"/>
          </w:tcPr>
          <w:p w14:paraId="0867BB9D">
            <w:pPr>
              <w:spacing w:line="240" w:lineRule="auto"/>
              <w:jc w:val="both"/>
              <w:rPr>
                <w:rFonts w:ascii="仿宋_GB2312" w:hAnsi="宋体" w:eastAsia="仿宋_GB2312" w:cs="宋体"/>
                <w:kern w:val="0"/>
              </w:rPr>
            </w:pPr>
            <w:r>
              <w:rPr>
                <w:rFonts w:hint="eastAsia" w:ascii="仿宋_GB2312" w:hAnsi="宋体" w:eastAsia="仿宋_GB2312" w:cs="宋体"/>
                <w:kern w:val="0"/>
              </w:rPr>
              <w:t>效益显著</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3938B19D">
      <w:pPr>
        <w:spacing w:line="240" w:lineRule="auto"/>
        <w:ind w:firstLine="880"/>
        <w:jc w:val="center"/>
        <w:rPr>
          <w:rFonts w:hint="eastAsia" w:ascii="方正小标宋简体" w:eastAsia="方正小标宋简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汨罗市发展和改革局</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BE0C4DD">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highlight w:val="none"/>
          <w:lang w:val="en-US" w:eastAsia="zh-CN" w:bidi="ar-SA"/>
        </w:rPr>
      </w:pPr>
    </w:p>
    <w:p w14:paraId="71865774">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highlight w:val="none"/>
          <w:lang w:val="en-US" w:eastAsia="zh-CN" w:bidi="ar-SA"/>
        </w:rPr>
      </w:pPr>
    </w:p>
    <w:p w14:paraId="5FF5FDCE">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highlight w:val="none"/>
          <w:lang w:val="en-US" w:eastAsia="zh-CN" w:bidi="ar-SA"/>
        </w:rPr>
      </w:pPr>
    </w:p>
    <w:p w14:paraId="1F959B5E">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highlight w:val="none"/>
          <w:lang w:val="en-US" w:eastAsia="zh-CN" w:bidi="ar-SA"/>
        </w:rPr>
      </w:pPr>
    </w:p>
    <w:p w14:paraId="46A94D13">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highlight w:val="none"/>
          <w:lang w:val="en-US" w:eastAsia="zh-CN" w:bidi="ar-SA"/>
        </w:rPr>
      </w:pPr>
    </w:p>
    <w:p w14:paraId="33FE814A">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highlight w:val="none"/>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汨罗市发展和改革局</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17</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368A41CD">
      <w:pPr>
        <w:kinsoku w:val="0"/>
        <w:autoSpaceDE w:val="0"/>
        <w:autoSpaceDN w:val="0"/>
        <w:adjustRightInd w:val="0"/>
        <w:snapToGrid w:val="0"/>
        <w:spacing w:before="211" w:line="224" w:lineRule="auto"/>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6DAEF54F">
      <w:pPr>
        <w:spacing w:before="130" w:line="221" w:lineRule="auto"/>
        <w:jc w:val="center"/>
        <w:rPr>
          <w:rFonts w:hint="eastAsia" w:ascii="黑体" w:hAnsi="黑体" w:eastAsia="黑体" w:cs="黑体"/>
          <w:spacing w:val="-60"/>
          <w:sz w:val="40"/>
          <w:szCs w:val="40"/>
          <w:lang w:val="en-US"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val="en-US" w:eastAsia="zh-CN"/>
        </w:rPr>
        <w:t>汨罗市发展和改革局</w:t>
      </w:r>
    </w:p>
    <w:p w14:paraId="6A3F30B4">
      <w:pPr>
        <w:spacing w:before="130" w:line="221" w:lineRule="auto"/>
        <w:jc w:val="center"/>
        <w:rPr>
          <w:rFonts w:hint="default" w:ascii="黑体" w:hAnsi="黑体" w:eastAsia="黑体" w:cs="黑体"/>
          <w:sz w:val="40"/>
          <w:szCs w:val="40"/>
          <w:lang w:val="en-US" w:eastAsia="zh-CN"/>
        </w:rPr>
      </w:pPr>
      <w:r>
        <w:rPr>
          <w:rFonts w:ascii="黑体" w:hAnsi="黑体" w:eastAsia="黑体" w:cs="黑体"/>
          <w:spacing w:val="16"/>
          <w:sz w:val="40"/>
          <w:szCs w:val="40"/>
        </w:rPr>
        <w:t>整体支出绩效</w:t>
      </w:r>
      <w:r>
        <w:rPr>
          <w:rFonts w:hint="eastAsia" w:ascii="黑体" w:hAnsi="黑体" w:eastAsia="黑体" w:cs="黑体"/>
          <w:spacing w:val="16"/>
          <w:sz w:val="40"/>
          <w:szCs w:val="40"/>
          <w:lang w:val="en-US" w:eastAsia="zh-CN"/>
        </w:rPr>
        <w:t>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66993CD5">
      <w:pPr>
        <w:spacing w:line="360" w:lineRule="auto"/>
        <w:ind w:firstLine="652" w:firstLineChars="200"/>
        <w:jc w:val="both"/>
        <w:outlineLvl w:val="0"/>
        <w:rPr>
          <w:rFonts w:ascii="仿宋" w:hAnsi="仿宋" w:eastAsia="仿宋" w:cs="仿宋"/>
          <w:spacing w:val="3"/>
          <w:sz w:val="32"/>
          <w:szCs w:val="32"/>
          <w:lang w:eastAsia="zh-CN"/>
        </w:rPr>
      </w:pPr>
      <w:r>
        <w:rPr>
          <w:rFonts w:hint="eastAsia" w:ascii="仿宋" w:hAnsi="仿宋" w:eastAsia="仿宋" w:cs="仿宋"/>
          <w:spacing w:val="3"/>
          <w:sz w:val="32"/>
          <w:szCs w:val="32"/>
          <w:lang w:eastAsia="zh-CN"/>
        </w:rPr>
        <w:t>为进一步规范财政资金管理，切实提高财政资金使用效益，根据《中共中央国务院关于全面实施预算绩效管理的意见》《项目支出绩效评价管理办法》(财预〔2020〕 10号)等文件规定,按照《汨罗市预算绩效管理实施办法》(汩办发〔2022〕42号)等相关文件要求，我局成立了以分管领导为组长的部门整体支出绩效自评工作小组，按照绩效评价相关制度规定，认真开展预算资金绩效自评工作。现将部门整体支出绩效自评情况报告如下：</w:t>
      </w:r>
    </w:p>
    <w:p w14:paraId="30163633">
      <w:pPr>
        <w:spacing w:before="202" w:line="360" w:lineRule="auto"/>
        <w:ind w:right="91" w:firstLine="751" w:firstLineChars="200"/>
        <w:jc w:val="both"/>
        <w:rPr>
          <w:rFonts w:ascii="宋体" w:hAnsi="宋体" w:eastAsia="宋体" w:cs="宋体"/>
          <w:b/>
          <w:bCs/>
          <w:sz w:val="36"/>
          <w:szCs w:val="36"/>
          <w:lang w:eastAsia="zh-CN"/>
        </w:rPr>
      </w:pPr>
      <w:r>
        <w:rPr>
          <w:rFonts w:hint="eastAsia" w:ascii="宋体" w:hAnsi="宋体" w:eastAsia="宋体" w:cs="宋体"/>
          <w:b/>
          <w:bCs/>
          <w:spacing w:val="7"/>
          <w:sz w:val="36"/>
          <w:szCs w:val="36"/>
          <w:lang w:eastAsia="zh-CN"/>
        </w:rPr>
        <w:t>一、部门基本情况</w:t>
      </w:r>
    </w:p>
    <w:p w14:paraId="12E239E0">
      <w:pPr>
        <w:spacing w:before="200" w:line="360" w:lineRule="auto"/>
        <w:ind w:right="91" w:firstLine="704" w:firstLineChars="200"/>
        <w:jc w:val="both"/>
        <w:rPr>
          <w:rFonts w:ascii="仿宋" w:hAnsi="仿宋" w:eastAsia="仿宋" w:cs="仿宋"/>
          <w:sz w:val="32"/>
          <w:szCs w:val="32"/>
          <w:lang w:eastAsia="zh-CN"/>
        </w:rPr>
      </w:pPr>
      <w:r>
        <w:rPr>
          <w:rFonts w:hint="eastAsia" w:ascii="仿宋" w:hAnsi="仿宋" w:eastAsia="仿宋" w:cs="仿宋"/>
          <w:spacing w:val="16"/>
          <w:sz w:val="32"/>
          <w:szCs w:val="32"/>
          <w:lang w:eastAsia="zh-CN"/>
        </w:rPr>
        <w:t>2024年汨罗市发展和改革局部门整体支出绩效自评</w:t>
      </w:r>
      <w:r>
        <w:rPr>
          <w:rFonts w:hint="eastAsia" w:ascii="仿宋" w:hAnsi="仿宋" w:eastAsia="仿宋" w:cs="仿宋"/>
          <w:spacing w:val="9"/>
          <w:sz w:val="32"/>
          <w:szCs w:val="32"/>
          <w:lang w:eastAsia="zh-CN"/>
        </w:rPr>
        <w:t>仅包括2024年度市级财政全口径安排给各预算部门的一般公共预算、政府性基金预算、国有资本经营预算和社会保险基金预算支出。其中,一般公共预算支出包括基本支出和项目支出。</w:t>
      </w:r>
    </w:p>
    <w:p w14:paraId="6452E933">
      <w:pPr>
        <w:spacing w:before="49" w:line="360" w:lineRule="auto"/>
        <w:ind w:firstLine="651" w:firstLineChars="200"/>
        <w:jc w:val="both"/>
        <w:outlineLvl w:val="0"/>
        <w:rPr>
          <w:rFonts w:ascii="仿宋" w:hAnsi="仿宋" w:eastAsia="仿宋" w:cs="仿宋"/>
          <w:sz w:val="32"/>
          <w:szCs w:val="32"/>
          <w:lang w:eastAsia="zh-CN"/>
        </w:rPr>
      </w:pPr>
      <w:r>
        <w:rPr>
          <w:rFonts w:hint="eastAsia" w:ascii="仿宋" w:hAnsi="仿宋" w:eastAsia="仿宋" w:cs="仿宋"/>
          <w:b/>
          <w:bCs/>
          <w:spacing w:val="2"/>
          <w:sz w:val="32"/>
          <w:szCs w:val="32"/>
          <w:lang w:eastAsia="zh-CN"/>
        </w:rPr>
        <w:t>（一）职能职责</w:t>
      </w:r>
    </w:p>
    <w:p w14:paraId="621C978C">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pacing w:val="9"/>
          <w:sz w:val="32"/>
          <w:szCs w:val="32"/>
        </w:rPr>
      </w:pPr>
      <w:r>
        <w:rPr>
          <w:rFonts w:hint="eastAsia" w:ascii="仿宋" w:hAnsi="仿宋" w:eastAsia="仿宋" w:cs="仿宋"/>
          <w:spacing w:val="9"/>
          <w:sz w:val="32"/>
          <w:szCs w:val="32"/>
        </w:rPr>
        <w:t>汨罗市发展和改革局主要负责全市国民经济和社会发展战略、规划、总量平衡、结构调整、体制改革、重大项目布局等工作。其主要职责如下：</w:t>
      </w:r>
    </w:p>
    <w:p w14:paraId="74B0BE2D">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pacing w:val="9"/>
          <w:sz w:val="32"/>
          <w:szCs w:val="32"/>
        </w:rPr>
      </w:pPr>
      <w:r>
        <w:rPr>
          <w:rFonts w:hint="eastAsia" w:ascii="仿宋" w:hAnsi="仿宋" w:eastAsia="仿宋" w:cs="仿宋"/>
          <w:spacing w:val="9"/>
          <w:sz w:val="32"/>
          <w:szCs w:val="32"/>
        </w:rPr>
        <w:t>1、 研究提出全市国民经济和社会发展战略、中长期规划和年度计划，并组织实施； 统筹协调经济社会发展，提出总量平衡、发展速度和结构调整的目标及政策建议。</w:t>
      </w:r>
    </w:p>
    <w:p w14:paraId="5E2906B0">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pacing w:val="9"/>
          <w:sz w:val="32"/>
          <w:szCs w:val="32"/>
        </w:rPr>
      </w:pPr>
      <w:r>
        <w:rPr>
          <w:rFonts w:hint="eastAsia" w:ascii="仿宋" w:hAnsi="仿宋" w:eastAsia="仿宋" w:cs="仿宋"/>
          <w:spacing w:val="9"/>
          <w:sz w:val="32"/>
          <w:szCs w:val="32"/>
        </w:rPr>
        <w:t xml:space="preserve">2、 监测分析全市宏观经济形势，进行预测预警和信息引导； 研究提出宏观调控政策建议，综合协调解决经济运行中的重大问题。 </w:t>
      </w:r>
    </w:p>
    <w:p w14:paraId="19F074A8">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pacing w:val="9"/>
          <w:sz w:val="32"/>
          <w:szCs w:val="32"/>
        </w:rPr>
      </w:pPr>
      <w:r>
        <w:rPr>
          <w:rFonts w:hint="eastAsia" w:ascii="仿宋" w:hAnsi="仿宋" w:eastAsia="仿宋" w:cs="仿宋"/>
          <w:spacing w:val="9"/>
          <w:sz w:val="32"/>
          <w:szCs w:val="32"/>
        </w:rPr>
        <w:t>3、负责投资综合管理，拟订全社会固定资产投资总规模和投资结构的调控目标、政策及措施；负责全市重大项目的规划布局和立项审批、核准、备案工作；负责政府投资项目的审批和管理，引导民间投资方向；负责全市重点项目建设协调推进工作。</w:t>
      </w:r>
    </w:p>
    <w:p w14:paraId="12ED47CA">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pacing w:val="9"/>
          <w:sz w:val="32"/>
          <w:szCs w:val="32"/>
        </w:rPr>
      </w:pPr>
      <w:r>
        <w:rPr>
          <w:rFonts w:hint="eastAsia" w:ascii="仿宋" w:hAnsi="仿宋" w:eastAsia="仿宋" w:cs="仿宋"/>
          <w:spacing w:val="9"/>
          <w:sz w:val="32"/>
          <w:szCs w:val="32"/>
        </w:rPr>
        <w:t>4、研究经济体制改革和对外开放的重大问题，组织拟订综合性经济体制改革方案；协调推进专项经济体制改革，指导经济体制改革试点工作；研究提出优化所有制结构的政策建议，促进多种所有制经济共同发展。</w:t>
      </w:r>
    </w:p>
    <w:p w14:paraId="13B4F461">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pacing w:val="9"/>
          <w:sz w:val="32"/>
          <w:szCs w:val="32"/>
        </w:rPr>
      </w:pPr>
      <w:r>
        <w:rPr>
          <w:rFonts w:hint="eastAsia" w:ascii="仿宋" w:hAnsi="仿宋" w:eastAsia="仿宋" w:cs="仿宋"/>
          <w:spacing w:val="9"/>
          <w:sz w:val="32"/>
          <w:szCs w:val="32"/>
        </w:rPr>
        <w:t>5、负责区域经济协调发展和城镇化建设，组织拟订区域经济发展规划，协调区域经济发展中的重大问题；推进落实区域发展总体战略和主体功能区战略；负责全市城镇化建设的综合协调工作。</w:t>
      </w:r>
    </w:p>
    <w:p w14:paraId="082CD4E4">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pacing w:val="9"/>
          <w:sz w:val="32"/>
          <w:szCs w:val="32"/>
        </w:rPr>
      </w:pPr>
      <w:r>
        <w:rPr>
          <w:rFonts w:hint="eastAsia" w:ascii="仿宋" w:hAnsi="仿宋" w:eastAsia="仿宋" w:cs="仿宋"/>
          <w:spacing w:val="9"/>
          <w:sz w:val="32"/>
          <w:szCs w:val="32"/>
        </w:rPr>
        <w:t>6、负责社会发展与国民经济发展的政策衔接，协调社会事业发展和改革中的重大问题，组织拟订社会发展战略、总体规划和年度计划；协调社会事业发展和改革中的重大问题，推进基本公共服务体系建设；研究提出促进就业、调整收入分配、完善社会保障的政策建议。</w:t>
      </w:r>
    </w:p>
    <w:p w14:paraId="47FD17B9">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pacing w:val="9"/>
          <w:sz w:val="32"/>
          <w:szCs w:val="32"/>
        </w:rPr>
      </w:pPr>
      <w:r>
        <w:rPr>
          <w:rFonts w:hint="eastAsia" w:ascii="仿宋" w:hAnsi="仿宋" w:eastAsia="仿宋" w:cs="仿宋"/>
          <w:spacing w:val="9"/>
          <w:sz w:val="32"/>
          <w:szCs w:val="32"/>
        </w:rPr>
        <w:t>7、 推进可持续发展战略，组织拟订发展循环经济、能源资源节约和综合利用、应对气候变化的规划及政策措施；协调环保产业和清洁生产促进有关工作；负责全市节能减排的综合协调工作。</w:t>
      </w:r>
    </w:p>
    <w:p w14:paraId="705864CB">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pacing w:val="9"/>
          <w:sz w:val="32"/>
          <w:szCs w:val="32"/>
        </w:rPr>
      </w:pPr>
      <w:r>
        <w:rPr>
          <w:rFonts w:hint="eastAsia" w:ascii="仿宋" w:hAnsi="仿宋" w:eastAsia="仿宋" w:cs="仿宋"/>
          <w:spacing w:val="9"/>
          <w:sz w:val="32"/>
          <w:szCs w:val="32"/>
        </w:rPr>
        <w:t>8、 负责价格管理，贯彻执行国家价格方针、政策和法律法规；负责全县价格总水平的调控，依法制定和调整政府定价、政府指导价；依法进行价格监督检查，查处价格违法行为。</w:t>
      </w:r>
    </w:p>
    <w:p w14:paraId="2D43BE7F">
      <w:pPr>
        <w:pStyle w:val="6"/>
        <w:shd w:val="clear" w:color="auto" w:fill="FFFFFF"/>
        <w:kinsoku/>
        <w:snapToGrid/>
        <w:spacing w:before="0" w:beforeAutospacing="0" w:after="0" w:afterAutospacing="0" w:line="360" w:lineRule="auto"/>
        <w:ind w:firstLine="676" w:firstLineChars="200"/>
        <w:textAlignment w:val="auto"/>
        <w:rPr>
          <w:rFonts w:ascii="仿宋" w:hAnsi="仿宋" w:eastAsia="仿宋" w:cs="仿宋"/>
          <w:sz w:val="32"/>
          <w:szCs w:val="32"/>
        </w:rPr>
      </w:pPr>
      <w:r>
        <w:rPr>
          <w:rFonts w:hint="eastAsia" w:ascii="仿宋" w:hAnsi="仿宋" w:eastAsia="仿宋" w:cs="仿宋"/>
          <w:spacing w:val="9"/>
          <w:sz w:val="32"/>
          <w:szCs w:val="32"/>
        </w:rPr>
        <w:t>9、承办市委、市人民政府交办的其他事项。</w:t>
      </w:r>
    </w:p>
    <w:p w14:paraId="3F523A56">
      <w:pPr>
        <w:spacing w:before="48" w:line="360" w:lineRule="auto"/>
        <w:ind w:firstLine="651" w:firstLineChars="200"/>
        <w:jc w:val="both"/>
        <w:outlineLvl w:val="0"/>
        <w:rPr>
          <w:rFonts w:ascii="仿宋" w:hAnsi="仿宋" w:eastAsia="仿宋" w:cs="仿宋"/>
          <w:sz w:val="32"/>
          <w:szCs w:val="32"/>
          <w:lang w:eastAsia="zh-CN"/>
        </w:rPr>
      </w:pPr>
      <w:r>
        <w:rPr>
          <w:rFonts w:hint="eastAsia" w:ascii="仿宋" w:hAnsi="仿宋" w:eastAsia="仿宋" w:cs="仿宋"/>
          <w:b/>
          <w:bCs/>
          <w:spacing w:val="2"/>
          <w:sz w:val="32"/>
          <w:szCs w:val="32"/>
          <w:lang w:eastAsia="zh-CN"/>
        </w:rPr>
        <w:t>（二）机构设置</w:t>
      </w:r>
    </w:p>
    <w:p w14:paraId="59433B92">
      <w:pPr>
        <w:shd w:val="clear" w:color="auto" w:fill="FFFFFF"/>
        <w:spacing w:line="360" w:lineRule="auto"/>
        <w:ind w:firstLine="676" w:firstLineChars="200"/>
        <w:rPr>
          <w:rFonts w:ascii="宋体" w:hAnsi="宋体" w:eastAsia="宋体" w:cs="宋体"/>
          <w:color w:val="555555"/>
          <w:sz w:val="28"/>
          <w:szCs w:val="28"/>
          <w:shd w:val="clear" w:color="auto" w:fill="FFFFFF"/>
          <w:lang w:eastAsia="zh-CN"/>
        </w:rPr>
      </w:pPr>
      <w:r>
        <w:rPr>
          <w:rFonts w:hint="eastAsia" w:ascii="仿宋" w:hAnsi="仿宋" w:eastAsia="仿宋" w:cs="仿宋"/>
          <w:spacing w:val="9"/>
          <w:sz w:val="32"/>
          <w:szCs w:val="32"/>
          <w:lang w:eastAsia="zh-CN"/>
        </w:rPr>
        <w:t>汨罗市发展和改革局内设机构包括：办公室（财务室、人事股），综合规划改革股，固定资产投资股（评估督导股），农村经济股（汨罗市对口支援办公室，以工代赈办公室），工交资环两型股（长江经济带和洞庭湖发展办公室)，社会发展股（财贸服务和信用建设股，汨罗市社会信息体系建设工作领导小组办公室），价格管理股（汨罗市价格成本调查队），行政审批股（汨罗市招投标管理办公室，法规股），能源股和五个非独立核算二级机构汨罗市节能信息中心、汨罗市价格认证鉴定中心、汨罗市建设项目事务中心、汨罗市政府投资概算评审中心和汨罗市发展和改革事务中心。</w:t>
      </w:r>
    </w:p>
    <w:p w14:paraId="02B5E4D6">
      <w:pPr>
        <w:spacing w:before="49" w:line="360" w:lineRule="auto"/>
        <w:ind w:firstLine="751" w:firstLineChars="200"/>
        <w:rPr>
          <w:rFonts w:ascii="宋体" w:hAnsi="宋体" w:eastAsia="宋体" w:cs="宋体"/>
          <w:b/>
          <w:bCs/>
          <w:spacing w:val="7"/>
          <w:sz w:val="36"/>
          <w:szCs w:val="36"/>
          <w:lang w:eastAsia="zh-CN"/>
        </w:rPr>
      </w:pPr>
      <w:r>
        <w:rPr>
          <w:rFonts w:hint="eastAsia" w:ascii="宋体" w:hAnsi="宋体" w:eastAsia="宋体" w:cs="宋体"/>
          <w:b/>
          <w:bCs/>
          <w:spacing w:val="7"/>
          <w:sz w:val="36"/>
          <w:szCs w:val="36"/>
          <w:lang w:eastAsia="zh-CN"/>
        </w:rPr>
        <w:t>二、一般公共预算支出情况</w:t>
      </w:r>
    </w:p>
    <w:p w14:paraId="3FC2C410">
      <w:pPr>
        <w:spacing w:before="46" w:line="360" w:lineRule="auto"/>
        <w:ind w:firstLine="655" w:firstLineChars="200"/>
        <w:jc w:val="both"/>
        <w:outlineLvl w:val="0"/>
        <w:rPr>
          <w:rFonts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（一）基本支出情况</w:t>
      </w:r>
    </w:p>
    <w:p w14:paraId="1CFC5BB8">
      <w:pPr>
        <w:spacing w:before="46" w:line="360" w:lineRule="auto"/>
        <w:ind w:firstLine="676" w:firstLineChars="200"/>
        <w:jc w:val="both"/>
        <w:outlineLvl w:val="0"/>
        <w:rPr>
          <w:rFonts w:ascii="仿宋" w:hAnsi="仿宋" w:eastAsia="仿宋" w:cs="仿宋"/>
          <w:b/>
          <w:bCs/>
          <w:spacing w:val="3"/>
          <w:sz w:val="32"/>
          <w:szCs w:val="32"/>
          <w:lang w:eastAsia="zh-CN"/>
        </w:rPr>
      </w:pPr>
      <w:r>
        <w:rPr>
          <w:rFonts w:hint="eastAsia" w:ascii="仿宋" w:hAnsi="仿宋" w:eastAsia="仿宋" w:cs="仿宋"/>
          <w:spacing w:val="9"/>
          <w:sz w:val="32"/>
          <w:szCs w:val="32"/>
          <w:lang w:eastAsia="zh-CN"/>
        </w:rPr>
        <w:t>基本支出是保障机构正常运转、完成日常工作任务而发生的各项支出，包括用于在职和离退休人员基本工资、津贴补贴等人员经费以及办公费、印刷费、水电费、办公设备购</w:t>
      </w:r>
      <w:r>
        <w:rPr>
          <w:rFonts w:hint="eastAsia" w:ascii="仿宋" w:hAnsi="仿宋" w:eastAsia="仿宋" w:cs="仿宋"/>
          <w:spacing w:val="3"/>
          <w:sz w:val="32"/>
          <w:szCs w:val="32"/>
          <w:lang w:eastAsia="zh-CN"/>
        </w:rPr>
        <w:t>置等日常公用经费。2024年基本支出年初预算安</w:t>
      </w:r>
      <w:r>
        <w:rPr>
          <w:rFonts w:hint="eastAsia" w:ascii="仿宋" w:hAnsi="仿宋" w:eastAsia="仿宋" w:cs="仿宋"/>
          <w:spacing w:val="9"/>
          <w:sz w:val="32"/>
          <w:szCs w:val="32"/>
          <w:lang w:eastAsia="zh-CN"/>
        </w:rPr>
        <w:t>排747.3万元， 实际支出1004.45万元， 完成预算安排的134.41%。其中：人员经费支出824.81万元，占基本支出的82.12%；日常公用经费支出179.64万元， 占基本支出的17.88%。</w:t>
      </w:r>
    </w:p>
    <w:p w14:paraId="04090F03">
      <w:pPr>
        <w:spacing w:before="46" w:line="360" w:lineRule="auto"/>
        <w:ind w:firstLine="655" w:firstLineChars="200"/>
        <w:jc w:val="both"/>
        <w:outlineLvl w:val="0"/>
        <w:rPr>
          <w:rFonts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（二）项目支出情况</w:t>
      </w:r>
    </w:p>
    <w:p w14:paraId="1EA7328B">
      <w:pPr>
        <w:spacing w:before="46" w:line="360" w:lineRule="auto"/>
        <w:ind w:firstLine="652" w:firstLineChars="200"/>
        <w:jc w:val="both"/>
        <w:outlineLvl w:val="0"/>
        <w:rPr>
          <w:rFonts w:ascii="仿宋" w:hAnsi="仿宋" w:eastAsia="仿宋" w:cs="仿宋"/>
          <w:sz w:val="32"/>
          <w:szCs w:val="32"/>
          <w:lang w:eastAsia="zh-CN"/>
        </w:rPr>
      </w:pPr>
      <w:r>
        <w:rPr>
          <w:rFonts w:hint="eastAsia" w:ascii="仿宋" w:hAnsi="仿宋" w:eastAsia="仿宋" w:cs="仿宋"/>
          <w:spacing w:val="3"/>
          <w:sz w:val="32"/>
          <w:szCs w:val="32"/>
          <w:lang w:eastAsia="zh-CN"/>
        </w:rPr>
        <w:t>项目支出是单位为完成特定行政工作任务或事业发展目标而发生的支出。2024年项目实际支出7589.64万元，其中2024年市本级项目支出预算安排10万元， 实际支出10万元，完成预算安排的100%。本级预算项目包括</w:t>
      </w:r>
      <w:r>
        <w:rPr>
          <w:rFonts w:hint="eastAsia" w:ascii="仿宋" w:hAnsi="仿宋" w:eastAsia="仿宋" w:cs="仿宋"/>
          <w:spacing w:val="4"/>
          <w:sz w:val="32"/>
          <w:szCs w:val="32"/>
          <w:lang w:eastAsia="zh-CN"/>
        </w:rPr>
        <w:t>：</w:t>
      </w:r>
    </w:p>
    <w:p w14:paraId="776A1DD2">
      <w:pPr>
        <w:spacing w:before="49" w:line="360" w:lineRule="auto"/>
        <w:ind w:left="23" w:right="153" w:firstLine="656" w:firstLineChars="200"/>
        <w:jc w:val="both"/>
        <w:rPr>
          <w:rFonts w:ascii="仿宋" w:hAnsi="仿宋" w:eastAsia="仿宋" w:cs="仿宋"/>
          <w:sz w:val="32"/>
          <w:szCs w:val="32"/>
          <w:lang w:eastAsia="zh-CN"/>
        </w:rPr>
      </w:pPr>
      <w:r>
        <w:rPr>
          <w:rFonts w:hint="eastAsia" w:ascii="仿宋" w:hAnsi="仿宋" w:eastAsia="仿宋" w:cs="仿宋"/>
          <w:spacing w:val="4"/>
          <w:sz w:val="32"/>
          <w:szCs w:val="32"/>
          <w:lang w:eastAsia="zh-CN"/>
        </w:rPr>
        <w:t>项目概算评审工作经费，2024年实际支出10万元，占本级项目支</w:t>
      </w:r>
      <w:r>
        <w:rPr>
          <w:rFonts w:hint="eastAsia" w:ascii="仿宋" w:hAnsi="仿宋" w:eastAsia="仿宋" w:cs="仿宋"/>
          <w:spacing w:val="7"/>
          <w:sz w:val="32"/>
          <w:szCs w:val="32"/>
          <w:lang w:eastAsia="zh-CN"/>
        </w:rPr>
        <w:t>出的100%，主要用于概算评审项目中的办公费、会议费、差旅费</w:t>
      </w:r>
      <w:r>
        <w:rPr>
          <w:rFonts w:hint="eastAsia" w:ascii="仿宋" w:hAnsi="仿宋" w:eastAsia="仿宋" w:cs="仿宋"/>
          <w:spacing w:val="8"/>
          <w:sz w:val="32"/>
          <w:szCs w:val="32"/>
          <w:lang w:eastAsia="zh-CN"/>
        </w:rPr>
        <w:t>等方面。</w:t>
      </w:r>
    </w:p>
    <w:p w14:paraId="39A77F28">
      <w:pPr>
        <w:spacing w:before="49" w:line="360" w:lineRule="auto"/>
        <w:ind w:firstLine="751" w:firstLineChars="200"/>
        <w:rPr>
          <w:rFonts w:ascii="宋体" w:hAnsi="宋体" w:eastAsia="宋体" w:cs="宋体"/>
          <w:b/>
          <w:bCs/>
          <w:spacing w:val="7"/>
          <w:sz w:val="36"/>
          <w:szCs w:val="36"/>
          <w:lang w:eastAsia="zh-CN"/>
        </w:rPr>
      </w:pPr>
      <w:r>
        <w:rPr>
          <w:rFonts w:hint="eastAsia" w:ascii="宋体" w:hAnsi="宋体" w:eastAsia="宋体" w:cs="宋体"/>
          <w:b/>
          <w:bCs/>
          <w:spacing w:val="7"/>
          <w:sz w:val="36"/>
          <w:szCs w:val="36"/>
          <w:lang w:eastAsia="zh-CN"/>
        </w:rPr>
        <w:t>三、政府性基金预算支出情况</w:t>
      </w:r>
    </w:p>
    <w:p w14:paraId="0E6C7A5D">
      <w:pPr>
        <w:spacing w:before="46" w:line="360" w:lineRule="auto"/>
        <w:ind w:firstLine="652" w:firstLineChars="200"/>
        <w:jc w:val="both"/>
        <w:outlineLvl w:val="0"/>
        <w:rPr>
          <w:rFonts w:ascii="仿宋" w:hAnsi="仿宋" w:eastAsia="仿宋" w:cs="仿宋"/>
          <w:spacing w:val="3"/>
          <w:sz w:val="32"/>
          <w:szCs w:val="32"/>
          <w:lang w:eastAsia="zh-CN"/>
        </w:rPr>
      </w:pPr>
      <w:r>
        <w:rPr>
          <w:rFonts w:hint="eastAsia" w:ascii="仿宋" w:hAnsi="仿宋" w:eastAsia="仿宋" w:cs="仿宋"/>
          <w:spacing w:val="3"/>
          <w:sz w:val="32"/>
          <w:szCs w:val="32"/>
          <w:lang w:eastAsia="zh-CN"/>
        </w:rPr>
        <w:t>2024年度市级财政未安排政府性基金预算，但2024年度来源于中央预算的政府性基金预算财政拨款支出1800万元，主要用于2024年第二批超长期特别国债（推动大规模设备更新和消费品以旧换新领域）支出。</w:t>
      </w:r>
    </w:p>
    <w:p w14:paraId="1CBF188E">
      <w:pPr>
        <w:spacing w:before="49" w:line="360" w:lineRule="auto"/>
        <w:ind w:firstLine="751" w:firstLineChars="200"/>
        <w:rPr>
          <w:rFonts w:ascii="宋体" w:hAnsi="宋体" w:eastAsia="宋体" w:cs="宋体"/>
          <w:b/>
          <w:bCs/>
          <w:sz w:val="36"/>
          <w:szCs w:val="36"/>
          <w:lang w:eastAsia="zh-CN"/>
        </w:rPr>
      </w:pPr>
      <w:r>
        <w:rPr>
          <w:rFonts w:hint="eastAsia" w:ascii="宋体" w:hAnsi="宋体" w:eastAsia="宋体" w:cs="宋体"/>
          <w:b/>
          <w:bCs/>
          <w:spacing w:val="7"/>
          <w:sz w:val="36"/>
          <w:szCs w:val="36"/>
          <w:lang w:eastAsia="zh-CN"/>
        </w:rPr>
        <w:t>四、国有资本经营预算支出情况</w:t>
      </w:r>
    </w:p>
    <w:p w14:paraId="3CFCF845">
      <w:pPr>
        <w:spacing w:before="46" w:line="360" w:lineRule="auto"/>
        <w:ind w:firstLine="652" w:firstLineChars="200"/>
        <w:jc w:val="both"/>
        <w:outlineLvl w:val="0"/>
        <w:rPr>
          <w:rFonts w:ascii="仿宋" w:hAnsi="仿宋" w:eastAsia="仿宋" w:cs="仿宋"/>
          <w:spacing w:val="3"/>
          <w:sz w:val="32"/>
          <w:szCs w:val="32"/>
          <w:lang w:eastAsia="zh-CN"/>
        </w:rPr>
      </w:pPr>
      <w:r>
        <w:rPr>
          <w:rFonts w:hint="eastAsia" w:ascii="仿宋" w:hAnsi="仿宋" w:eastAsia="仿宋" w:cs="仿宋"/>
          <w:spacing w:val="3"/>
          <w:sz w:val="32"/>
          <w:szCs w:val="32"/>
          <w:lang w:eastAsia="zh-CN"/>
        </w:rPr>
        <w:t>2024年度未安排国有资本经营预算，无国有资本经营预算支出。</w:t>
      </w:r>
    </w:p>
    <w:p w14:paraId="6776638B">
      <w:pPr>
        <w:spacing w:before="49" w:line="360" w:lineRule="auto"/>
        <w:ind w:firstLine="751" w:firstLineChars="200"/>
        <w:rPr>
          <w:rFonts w:ascii="宋体" w:hAnsi="宋体" w:eastAsia="宋体" w:cs="宋体"/>
          <w:b/>
          <w:bCs/>
          <w:spacing w:val="7"/>
          <w:sz w:val="36"/>
          <w:szCs w:val="36"/>
          <w:lang w:eastAsia="zh-CN"/>
        </w:rPr>
      </w:pPr>
      <w:r>
        <w:rPr>
          <w:rFonts w:hint="eastAsia" w:ascii="宋体" w:hAnsi="宋体" w:eastAsia="宋体" w:cs="宋体"/>
          <w:b/>
          <w:bCs/>
          <w:spacing w:val="7"/>
          <w:sz w:val="36"/>
          <w:szCs w:val="36"/>
          <w:lang w:eastAsia="zh-CN"/>
        </w:rPr>
        <w:t>五、社会保险基金预算支出情况</w:t>
      </w:r>
    </w:p>
    <w:p w14:paraId="393EDD13">
      <w:pPr>
        <w:spacing w:before="46" w:line="360" w:lineRule="auto"/>
        <w:ind w:firstLine="652" w:firstLineChars="200"/>
        <w:jc w:val="both"/>
        <w:outlineLvl w:val="0"/>
        <w:rPr>
          <w:rFonts w:ascii="仿宋" w:hAnsi="仿宋" w:eastAsia="仿宋" w:cs="仿宋"/>
          <w:spacing w:val="3"/>
          <w:sz w:val="32"/>
          <w:szCs w:val="32"/>
          <w:lang w:eastAsia="zh-CN"/>
        </w:rPr>
      </w:pPr>
      <w:r>
        <w:rPr>
          <w:rFonts w:hint="eastAsia" w:ascii="仿宋" w:hAnsi="仿宋" w:eastAsia="仿宋" w:cs="仿宋"/>
          <w:spacing w:val="3"/>
          <w:sz w:val="32"/>
          <w:szCs w:val="32"/>
          <w:lang w:eastAsia="zh-CN"/>
        </w:rPr>
        <w:t>2024年度未安排社会保险基金预算，无社会保险基金预算支出。</w:t>
      </w:r>
    </w:p>
    <w:p w14:paraId="1E438C5A">
      <w:pPr>
        <w:spacing w:before="49" w:line="360" w:lineRule="auto"/>
        <w:ind w:firstLine="751" w:firstLineChars="200"/>
        <w:rPr>
          <w:rFonts w:ascii="宋体" w:hAnsi="宋体" w:eastAsia="宋体" w:cs="宋体"/>
          <w:b/>
          <w:bCs/>
          <w:spacing w:val="7"/>
          <w:sz w:val="36"/>
          <w:szCs w:val="36"/>
          <w:lang w:eastAsia="zh-CN"/>
        </w:rPr>
      </w:pPr>
      <w:r>
        <w:rPr>
          <w:rFonts w:hint="eastAsia" w:ascii="宋体" w:hAnsi="宋体" w:eastAsia="宋体" w:cs="宋体"/>
          <w:b/>
          <w:bCs/>
          <w:spacing w:val="7"/>
          <w:sz w:val="36"/>
          <w:szCs w:val="36"/>
          <w:lang w:eastAsia="zh-CN"/>
        </w:rPr>
        <w:t>六、部门整体支出绩效情况</w:t>
      </w:r>
    </w:p>
    <w:p w14:paraId="0B3E4AB1">
      <w:pPr>
        <w:spacing w:before="46" w:line="360" w:lineRule="auto"/>
        <w:ind w:firstLine="640" w:firstLineChars="200"/>
        <w:jc w:val="both"/>
        <w:outlineLvl w:val="0"/>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今年以来，</w:t>
      </w:r>
      <w:r>
        <w:rPr>
          <w:rFonts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lang w:eastAsia="zh-CN"/>
        </w:rPr>
        <w:t>市委、市政府</w:t>
      </w:r>
      <w:r>
        <w:rPr>
          <w:rFonts w:ascii="Times New Roman" w:hAnsi="Times New Roman" w:eastAsia="仿宋_GB2312" w:cs="Times New Roman"/>
          <w:sz w:val="32"/>
          <w:szCs w:val="32"/>
          <w:lang w:eastAsia="zh-CN"/>
        </w:rPr>
        <w:t>的坚强领导下，</w:t>
      </w:r>
      <w:r>
        <w:rPr>
          <w:rFonts w:hint="eastAsia" w:ascii="仿宋_GB2312" w:hAnsi="仿宋_GB2312" w:eastAsia="仿宋_GB2312" w:cs="仿宋_GB2312"/>
          <w:sz w:val="32"/>
          <w:szCs w:val="32"/>
          <w:lang w:eastAsia="zh-CN"/>
        </w:rPr>
        <w:t>我局</w:t>
      </w:r>
      <w:r>
        <w:rPr>
          <w:rFonts w:ascii="Times New Roman" w:hAnsi="Times New Roman" w:eastAsia="仿宋_GB2312" w:cs="Times New Roman"/>
          <w:sz w:val="32"/>
          <w:szCs w:val="32"/>
          <w:lang w:eastAsia="zh-CN"/>
        </w:rPr>
        <w:t>坚持以习近平新时代中国特色社会主义思想为指导，深入学习贯彻党的二十大精神，</w:t>
      </w:r>
      <w:r>
        <w:rPr>
          <w:rFonts w:hAnsi="仿宋_GB2312" w:eastAsia="仿宋_GB2312"/>
          <w:kern w:val="2"/>
          <w:sz w:val="32"/>
          <w:szCs w:val="32"/>
          <w:lang w:eastAsia="zh-CN"/>
        </w:rPr>
        <w:t>坚决贯彻上级各项决策部署，</w:t>
      </w:r>
      <w:r>
        <w:rPr>
          <w:rFonts w:hint="eastAsia" w:ascii="仿宋_GB2312" w:hAnsi="仿宋_GB2312" w:eastAsia="仿宋_GB2312" w:cs="仿宋_GB2312"/>
          <w:sz w:val="32"/>
          <w:szCs w:val="32"/>
          <w:shd w:val="clear" w:color="auto" w:fill="FFFFFF"/>
          <w:lang w:eastAsia="zh-CN"/>
        </w:rPr>
        <w:t>围绕“一二三四”工作目标，</w:t>
      </w:r>
      <w:r>
        <w:rPr>
          <w:rFonts w:ascii="Times New Roman" w:hAnsi="Times New Roman" w:eastAsia="仿宋_GB2312" w:cs="Times New Roman"/>
          <w:sz w:val="32"/>
          <w:szCs w:val="32"/>
          <w:lang w:eastAsia="zh-CN"/>
        </w:rPr>
        <w:t>按照“保绩效红旗、争文明标兵、创一流业绩”工作思路，</w:t>
      </w:r>
      <w:r>
        <w:rPr>
          <w:rFonts w:hint="eastAsia" w:ascii="仿宋_GB2312" w:hAnsi="仿宋_GB2312" w:eastAsia="仿宋_GB2312" w:cs="仿宋_GB2312"/>
          <w:sz w:val="32"/>
          <w:szCs w:val="32"/>
          <w:lang w:eastAsia="zh-CN"/>
        </w:rPr>
        <w:t>扎实推进区域共进、改革攻坚、产业培塑“三</w:t>
      </w:r>
      <w:r>
        <w:rPr>
          <w:rFonts w:ascii="Times New Roman" w:hAnsi="Times New Roman" w:eastAsia="仿宋_GB2312" w:cs="Times New Roman"/>
          <w:sz w:val="32"/>
          <w:szCs w:val="32"/>
          <w:lang w:eastAsia="zh-CN"/>
        </w:rPr>
        <w:t>大行动”，着力</w:t>
      </w:r>
      <w:r>
        <w:rPr>
          <w:rFonts w:hint="eastAsia" w:ascii="Times New Roman" w:hAnsi="Times New Roman" w:eastAsia="仿宋_GB2312" w:cs="Times New Roman"/>
          <w:sz w:val="32"/>
          <w:szCs w:val="32"/>
          <w:lang w:eastAsia="zh-CN"/>
        </w:rPr>
        <w:t>抓好</w:t>
      </w:r>
      <w:r>
        <w:rPr>
          <w:rFonts w:ascii="Times New Roman" w:hAnsi="Times New Roman" w:eastAsia="仿宋_GB2312" w:cs="Times New Roman"/>
          <w:sz w:val="32"/>
          <w:szCs w:val="32"/>
          <w:lang w:eastAsia="zh-CN"/>
        </w:rPr>
        <w:t>经济运行、</w:t>
      </w:r>
      <w:r>
        <w:rPr>
          <w:rFonts w:hint="eastAsia" w:ascii="Times New Roman" w:hAnsi="Times New Roman" w:eastAsia="仿宋_GB2312" w:cs="Times New Roman"/>
          <w:sz w:val="32"/>
          <w:szCs w:val="32"/>
          <w:lang w:eastAsia="zh-CN"/>
        </w:rPr>
        <w:t>争项争资</w:t>
      </w:r>
      <w:r>
        <w:rPr>
          <w:rFonts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lang w:eastAsia="zh-CN"/>
        </w:rPr>
        <w:t>建设</w:t>
      </w:r>
      <w:r>
        <w:rPr>
          <w:rFonts w:ascii="Times New Roman" w:hAnsi="Times New Roman" w:eastAsia="仿宋_GB2312" w:cs="Times New Roman"/>
          <w:sz w:val="32"/>
          <w:szCs w:val="32"/>
          <w:lang w:eastAsia="zh-CN"/>
        </w:rPr>
        <w:t>、价</w:t>
      </w:r>
      <w:r>
        <w:rPr>
          <w:rFonts w:hint="eastAsia" w:ascii="Times New Roman" w:hAnsi="Times New Roman" w:eastAsia="仿宋_GB2312" w:cs="Times New Roman"/>
          <w:sz w:val="32"/>
          <w:szCs w:val="32"/>
          <w:lang w:eastAsia="zh-CN"/>
        </w:rPr>
        <w:t>费</w:t>
      </w:r>
      <w:r>
        <w:rPr>
          <w:rFonts w:ascii="Times New Roman" w:hAnsi="Times New Roman" w:eastAsia="仿宋_GB2312" w:cs="Times New Roman"/>
          <w:sz w:val="32"/>
          <w:szCs w:val="32"/>
          <w:lang w:eastAsia="zh-CN"/>
        </w:rPr>
        <w:t>监管、国防动员等</w:t>
      </w:r>
      <w:r>
        <w:rPr>
          <w:rFonts w:hint="eastAsia" w:ascii="Times New Roman" w:hAnsi="Times New Roman" w:eastAsia="仿宋_GB2312" w:cs="Times New Roman"/>
          <w:sz w:val="32"/>
          <w:szCs w:val="32"/>
          <w:lang w:eastAsia="zh-CN"/>
        </w:rPr>
        <w:t>工作，为推进</w:t>
      </w:r>
      <w:r>
        <w:rPr>
          <w:rFonts w:ascii="Times New Roman" w:hAnsi="Times New Roman" w:eastAsia="仿宋_GB2312" w:cs="Times New Roman"/>
          <w:sz w:val="32"/>
          <w:szCs w:val="32"/>
          <w:lang w:eastAsia="zh-CN"/>
        </w:rPr>
        <w:t>市域经济高质量发展</w:t>
      </w:r>
      <w:r>
        <w:rPr>
          <w:rFonts w:hint="eastAsia" w:ascii="Times New Roman" w:hAnsi="Times New Roman" w:eastAsia="仿宋_GB2312" w:cs="Times New Roman"/>
          <w:sz w:val="32"/>
          <w:szCs w:val="32"/>
          <w:lang w:eastAsia="zh-CN"/>
        </w:rPr>
        <w:t>做出了积极贡献</w:t>
      </w:r>
      <w:r>
        <w:rPr>
          <w:rFonts w:ascii="Times New Roman" w:hAnsi="Times New Roman" w:eastAsia="仿宋_GB2312" w:cs="Times New Roman"/>
          <w:sz w:val="32"/>
          <w:szCs w:val="32"/>
          <w:lang w:eastAsia="zh-CN"/>
        </w:rPr>
        <w:t>。现将具体情况</w:t>
      </w:r>
      <w:r>
        <w:rPr>
          <w:rFonts w:hint="eastAsia" w:ascii="Times New Roman" w:hAnsi="Times New Roman" w:eastAsia="仿宋_GB2312" w:cs="Times New Roman"/>
          <w:sz w:val="32"/>
          <w:szCs w:val="32"/>
          <w:lang w:eastAsia="zh-CN"/>
        </w:rPr>
        <w:t>总结</w:t>
      </w:r>
      <w:r>
        <w:rPr>
          <w:rFonts w:ascii="Times New Roman" w:hAnsi="Times New Roman" w:eastAsia="仿宋_GB2312" w:cs="Times New Roman"/>
          <w:sz w:val="32"/>
          <w:szCs w:val="32"/>
          <w:lang w:eastAsia="zh-CN"/>
        </w:rPr>
        <w:t>如下：</w:t>
      </w:r>
    </w:p>
    <w:p w14:paraId="02D68CC2">
      <w:pPr>
        <w:spacing w:before="46" w:line="360" w:lineRule="auto"/>
        <w:ind w:firstLine="655" w:firstLineChars="200"/>
        <w:jc w:val="both"/>
        <w:outlineLvl w:val="0"/>
        <w:rPr>
          <w:rFonts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（一）</w:t>
      </w:r>
      <w:r>
        <w:rPr>
          <w:rFonts w:ascii="仿宋" w:hAnsi="仿宋" w:eastAsia="仿宋" w:cs="仿宋"/>
          <w:b/>
          <w:bCs/>
          <w:spacing w:val="3"/>
          <w:sz w:val="32"/>
          <w:szCs w:val="32"/>
          <w:lang w:eastAsia="zh-CN"/>
        </w:rPr>
        <w:t>主要工作及成效</w:t>
      </w:r>
    </w:p>
    <w:p w14:paraId="084FFBB8">
      <w:pPr>
        <w:adjustRightInd/>
        <w:snapToGrid/>
        <w:spacing w:line="360" w:lineRule="auto"/>
        <w:ind w:firstLine="643"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b/>
          <w:bCs/>
          <w:color w:val="auto"/>
          <w:kern w:val="2"/>
          <w:sz w:val="32"/>
          <w:szCs w:val="32"/>
          <w:lang w:eastAsia="zh-CN"/>
        </w:rPr>
        <w:t>1、全力做好争项争资。</w:t>
      </w:r>
      <w:r>
        <w:rPr>
          <w:rFonts w:hint="eastAsia" w:ascii="Times New Roman" w:hAnsi="Times New Roman" w:eastAsia="仿宋_GB2312" w:cs="Times New Roman"/>
          <w:sz w:val="32"/>
          <w:szCs w:val="32"/>
          <w:lang w:eastAsia="zh-CN"/>
        </w:rPr>
        <w:t>争取“四类项目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项目个数和资金总额均稳居岳阳市前三</w:t>
      </w:r>
      <w:r>
        <w:rPr>
          <w:rFonts w:ascii="Times New Roman" w:hAnsi="Times New Roman" w:eastAsia="仿宋_GB2312" w:cs="Times New Roman"/>
          <w:sz w:val="32"/>
          <w:szCs w:val="32"/>
          <w:lang w:eastAsia="zh-CN"/>
        </w:rPr>
        <w:t xml:space="preserve">。 </w:t>
      </w:r>
    </w:p>
    <w:p w14:paraId="55BE0365">
      <w:pPr>
        <w:adjustRightInd/>
        <w:snapToGrid/>
        <w:spacing w:line="360" w:lineRule="auto"/>
        <w:ind w:firstLine="643" w:firstLineChars="200"/>
        <w:jc w:val="both"/>
        <w:rPr>
          <w:rFonts w:eastAsia="仿宋_GB2312"/>
          <w:lang w:eastAsia="zh-CN"/>
        </w:rPr>
      </w:pPr>
      <w:r>
        <w:rPr>
          <w:rFonts w:ascii="楷体_GB2312" w:hAnsi="楷体_GB2312" w:eastAsia="楷体_GB2312" w:cs="楷体_GB2312"/>
          <w:b/>
          <w:bCs/>
          <w:color w:val="auto"/>
          <w:kern w:val="2"/>
          <w:sz w:val="32"/>
          <w:szCs w:val="32"/>
          <w:lang w:eastAsia="zh-CN"/>
        </w:rPr>
        <w:t>2、加强经济运行调度。</w:t>
      </w:r>
      <w:r>
        <w:rPr>
          <w:rFonts w:hint="eastAsia" w:ascii="Times New Roman" w:hAnsi="Times New Roman" w:eastAsia="仿宋_GB2312" w:cs="Times New Roman"/>
          <w:color w:val="auto"/>
          <w:kern w:val="2"/>
          <w:sz w:val="32"/>
          <w:szCs w:val="32"/>
          <w:lang w:eastAsia="zh-CN"/>
        </w:rPr>
        <w:t>其中</w:t>
      </w:r>
      <w:r>
        <w:rPr>
          <w:rFonts w:ascii="Times New Roman" w:hAnsi="Times New Roman" w:eastAsia="仿宋_GB2312" w:cs="Times New Roman"/>
          <w:color w:val="auto"/>
          <w:kern w:val="2"/>
          <w:sz w:val="32"/>
          <w:szCs w:val="32"/>
          <w:lang w:eastAsia="zh-CN"/>
        </w:rPr>
        <w:t>地区生产总值同比（下同）增长</w:t>
      </w:r>
      <w:r>
        <w:rPr>
          <w:rFonts w:hint="eastAsia" w:ascii="Times New Roman" w:hAnsi="Times New Roman" w:eastAsia="仿宋_GB2312" w:cs="Times New Roman"/>
          <w:color w:val="auto"/>
          <w:kern w:val="2"/>
          <w:sz w:val="32"/>
          <w:szCs w:val="32"/>
          <w:lang w:eastAsia="zh-CN"/>
        </w:rPr>
        <w:t>5</w:t>
      </w:r>
      <w:r>
        <w:rPr>
          <w:rFonts w:ascii="Times New Roman" w:hAnsi="Times New Roman" w:eastAsia="仿宋_GB2312" w:cs="Times New Roman"/>
          <w:color w:val="auto"/>
          <w:kern w:val="2"/>
          <w:sz w:val="32"/>
          <w:szCs w:val="32"/>
          <w:lang w:eastAsia="zh-CN"/>
        </w:rPr>
        <w:t>%；固定资产投资增长19.7</w:t>
      </w:r>
      <w:r>
        <w:rPr>
          <w:rFonts w:hint="eastAsia" w:ascii="Times New Roman" w:hAnsi="Times New Roman" w:eastAsia="仿宋_GB2312" w:cs="Times New Roman"/>
          <w:color w:val="auto"/>
          <w:kern w:val="2"/>
          <w:sz w:val="32"/>
          <w:szCs w:val="32"/>
          <w:lang w:eastAsia="zh-CN"/>
        </w:rPr>
        <w:t>%，排名岳阳市六县（市）第一；规模以上服务业营业收入（1-11月）增长29.5%，排名岳阳市六县（市）第一；城镇居民人均可支配收入增长3.5%，农村居民人均可支配收入增长5.5%。</w:t>
      </w:r>
    </w:p>
    <w:p w14:paraId="308FB194">
      <w:pPr>
        <w:spacing w:line="360" w:lineRule="auto"/>
        <w:ind w:firstLine="643" w:firstLineChars="200"/>
        <w:jc w:val="both"/>
        <w:rPr>
          <w:lang w:eastAsia="zh-CN"/>
        </w:rPr>
      </w:pPr>
      <w:r>
        <w:rPr>
          <w:rFonts w:ascii="楷体_GB2312" w:hAnsi="楷体_GB2312" w:eastAsia="楷体_GB2312" w:cs="楷体_GB2312"/>
          <w:b/>
          <w:bCs/>
          <w:color w:val="auto"/>
          <w:kern w:val="2"/>
          <w:sz w:val="32"/>
          <w:szCs w:val="32"/>
          <w:lang w:eastAsia="zh-CN"/>
        </w:rPr>
        <w:t>3、大力推进项目建设。</w:t>
      </w:r>
      <w:r>
        <w:rPr>
          <w:rFonts w:ascii="仿宋_GB2312" w:hAnsi="仿宋_GB2312" w:eastAsia="仿宋_GB2312" w:cs="仿宋_GB2312"/>
          <w:color w:val="auto"/>
          <w:kern w:val="2"/>
          <w:sz w:val="32"/>
          <w:szCs w:val="32"/>
          <w:lang w:eastAsia="zh-CN"/>
        </w:rPr>
        <w:t>坚持项目为王，服务重大项目建设，特别是</w:t>
      </w:r>
      <w:r>
        <w:rPr>
          <w:rFonts w:ascii="Times New Roman" w:hAnsi="Times New Roman" w:eastAsia="仿宋_GB2312" w:cs="Times New Roman"/>
          <w:kern w:val="2"/>
          <w:sz w:val="32"/>
          <w:szCs w:val="32"/>
          <w:lang w:eastAsia="zh-CN"/>
        </w:rPr>
        <w:t>重大能源项目建设稳步推进。总投资81.04亿元的玉池抽水蓄能项目</w:t>
      </w:r>
      <w:r>
        <w:rPr>
          <w:rFonts w:hint="eastAsia" w:ascii="Times New Roman" w:hAnsi="Times New Roman" w:eastAsia="仿宋_GB2312" w:cs="Times New Roman"/>
          <w:kern w:val="2"/>
          <w:sz w:val="32"/>
          <w:szCs w:val="32"/>
          <w:lang w:eastAsia="zh-CN"/>
        </w:rPr>
        <w:t>已</w:t>
      </w:r>
      <w:r>
        <w:rPr>
          <w:rFonts w:ascii="Times New Roman" w:hAnsi="Times New Roman" w:eastAsia="仿宋_GB2312" w:cs="Times New Roman"/>
          <w:kern w:val="2"/>
          <w:sz w:val="32"/>
          <w:szCs w:val="32"/>
          <w:lang w:eastAsia="zh-CN"/>
        </w:rPr>
        <w:t>获省发改委核准批复</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color w:val="auto"/>
          <w:kern w:val="2"/>
          <w:sz w:val="32"/>
          <w:szCs w:val="32"/>
          <w:lang w:eastAsia="zh-CN"/>
        </w:rPr>
        <w:t>完成261户搬迁安置协议签订，今年7月正式开工建设。总投资85.3</w:t>
      </w:r>
      <w:r>
        <w:rPr>
          <w:rFonts w:ascii="Times New Roman" w:hAnsi="Times New Roman" w:eastAsia="仿宋_GB2312" w:cs="Times New Roman"/>
          <w:kern w:val="2"/>
          <w:sz w:val="32"/>
          <w:szCs w:val="32"/>
          <w:lang w:eastAsia="zh-CN"/>
        </w:rPr>
        <w:t>6亿元的陕煤火电项目</w:t>
      </w:r>
      <w:r>
        <w:rPr>
          <w:rFonts w:hint="eastAsia" w:ascii="Times New Roman" w:hAnsi="Times New Roman" w:eastAsia="仿宋_GB2312" w:cs="Times New Roman"/>
          <w:kern w:val="2"/>
          <w:sz w:val="32"/>
          <w:szCs w:val="32"/>
          <w:lang w:eastAsia="zh-CN"/>
        </w:rPr>
        <w:t>已</w:t>
      </w:r>
      <w:r>
        <w:rPr>
          <w:rFonts w:ascii="Times New Roman" w:hAnsi="Times New Roman" w:eastAsia="仿宋_GB2312" w:cs="Times New Roman"/>
          <w:kern w:val="2"/>
          <w:sz w:val="32"/>
          <w:szCs w:val="32"/>
          <w:lang w:eastAsia="zh-CN"/>
        </w:rPr>
        <w:t>获省发改委核</w:t>
      </w:r>
      <w:r>
        <w:rPr>
          <w:rFonts w:ascii="Times New Roman" w:hAnsi="Times New Roman" w:eastAsia="仿宋_GB2312" w:cs="Times New Roman"/>
          <w:color w:val="auto"/>
          <w:kern w:val="2"/>
          <w:sz w:val="32"/>
          <w:szCs w:val="32"/>
          <w:lang w:eastAsia="zh-CN"/>
        </w:rPr>
        <w:t>准批复。投资近7亿的屋顶分布式光伏发电项目已获批准并签订用地合同。6个省重点项目、20个项目岳阳市重大建设项目和16个集中开工项目，推进顺利，提前完成年度计划任务。</w:t>
      </w:r>
    </w:p>
    <w:p w14:paraId="410574C5">
      <w:pPr>
        <w:adjustRightInd/>
        <w:snapToGrid/>
        <w:spacing w:line="360" w:lineRule="auto"/>
        <w:ind w:firstLine="643" w:firstLineChars="200"/>
        <w:jc w:val="both"/>
        <w:rPr>
          <w:lang w:eastAsia="zh-CN"/>
        </w:rPr>
      </w:pPr>
      <w:r>
        <w:rPr>
          <w:rFonts w:ascii="楷体_GB2312" w:hAnsi="楷体_GB2312" w:eastAsia="楷体_GB2312" w:cs="楷体_GB2312"/>
          <w:b/>
          <w:bCs/>
          <w:color w:val="auto"/>
          <w:kern w:val="2"/>
          <w:sz w:val="32"/>
          <w:szCs w:val="32"/>
          <w:lang w:eastAsia="zh-CN"/>
        </w:rPr>
        <w:t>4、扎实开展价格管理。</w:t>
      </w:r>
      <w:r>
        <w:rPr>
          <w:rFonts w:ascii="Times New Roman" w:hAnsi="Times New Roman" w:eastAsia="仿宋_GB2312" w:cs="Times New Roman"/>
          <w:color w:val="auto"/>
          <w:kern w:val="2"/>
          <w:sz w:val="32"/>
          <w:szCs w:val="32"/>
          <w:lang w:eastAsia="zh-CN"/>
        </w:rPr>
        <w:t>全年依法开展成本监审5项，开展农产品调查87个品种，办结涉案物价格认定241起，认定价值90余万元。召开价格听证会2次，印发定价文件6份，物业备案6起，联合相关部门开展价格检查，严格执行上级发布的水、电、气价格政策，做好保供稳价工作。</w:t>
      </w:r>
    </w:p>
    <w:p w14:paraId="4D257735">
      <w:pPr>
        <w:adjustRightInd/>
        <w:snapToGrid/>
        <w:spacing w:line="360" w:lineRule="auto"/>
        <w:ind w:firstLine="643" w:firstLineChars="200"/>
        <w:jc w:val="both"/>
        <w:rPr>
          <w:lang w:eastAsia="zh-CN"/>
        </w:rPr>
      </w:pPr>
      <w:r>
        <w:rPr>
          <w:rFonts w:ascii="楷体_GB2312" w:hAnsi="楷体_GB2312" w:eastAsia="楷体_GB2312" w:cs="楷体_GB2312"/>
          <w:b/>
          <w:bCs/>
          <w:color w:val="auto"/>
          <w:kern w:val="2"/>
          <w:sz w:val="32"/>
          <w:szCs w:val="32"/>
          <w:lang w:eastAsia="zh-CN"/>
        </w:rPr>
        <w:t>5、加强国防动员工作。</w:t>
      </w:r>
      <w:r>
        <w:rPr>
          <w:rFonts w:ascii="Times New Roman" w:hAnsi="Times New Roman" w:eastAsia="仿宋_GB2312" w:cs="Times New Roman"/>
          <w:kern w:val="2"/>
          <w:sz w:val="32"/>
          <w:szCs w:val="32"/>
          <w:lang w:eastAsia="zh-CN"/>
        </w:rPr>
        <w:t>做好国防动员潜力调查统计工作，摸清潜力底数，积极组建国防动员支援保障专业分队，添置警报器，覆盖率提升至95%。加强人防项目监管审批，完成1.8万平方米人防工程竣工验收，0.77万平方米主体竣工验收。审批易地建设项目18个，杜绝违规减免、缓征现象发生。</w:t>
      </w:r>
    </w:p>
    <w:p w14:paraId="16F6ACDE">
      <w:pPr>
        <w:pStyle w:val="7"/>
        <w:spacing w:line="360" w:lineRule="auto"/>
        <w:ind w:firstLine="643" w:firstLineChars="200"/>
        <w:rPr>
          <w:rFonts w:eastAsia="仿宋"/>
          <w:lang w:eastAsia="zh-CN"/>
        </w:rPr>
      </w:pPr>
      <w:r>
        <w:rPr>
          <w:rFonts w:ascii="楷体_GB2312" w:hAnsi="楷体_GB2312" w:eastAsia="楷体_GB2312" w:cs="楷体_GB2312"/>
          <w:b/>
          <w:bCs/>
          <w:color w:val="auto"/>
          <w:kern w:val="2"/>
          <w:sz w:val="32"/>
          <w:szCs w:val="32"/>
          <w:lang w:eastAsia="zh-CN"/>
        </w:rPr>
        <w:t>6、扎实开展送解优专项行动。</w:t>
      </w:r>
      <w:r>
        <w:rPr>
          <w:rFonts w:ascii="Times New Roman" w:hAnsi="Times New Roman" w:eastAsia="仿宋_GB2312" w:cs="Times New Roman"/>
          <w:color w:val="auto"/>
          <w:kern w:val="2"/>
          <w:sz w:val="32"/>
          <w:szCs w:val="32"/>
          <w:lang w:eastAsia="zh-CN"/>
        </w:rPr>
        <w:t>编印《汨罗市推动大规模设备更新和消费品以旧换新政策汇编》和《政策专区操作指南》，下发资料2万余份，推送抖音短视频50余条</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lang w:eastAsia="zh-CN"/>
        </w:rPr>
        <w:t>组建4个行动专班、6个工作组，派出101名业务骨干深入园区、企业走访，共走访企业540家，收集各类问题建议229个，200个问题得到及时有效处理，企业满意程度达到98%以上。</w:t>
      </w:r>
      <w:r>
        <w:rPr>
          <w:rFonts w:ascii="Times New Roman" w:hAnsi="Times New Roman" w:eastAsia="仿宋_GB2312" w:cs="Times New Roman"/>
          <w:kern w:val="2"/>
          <w:sz w:val="32"/>
          <w:szCs w:val="32"/>
          <w:lang w:eastAsia="zh-CN"/>
        </w:rPr>
        <w:t>推进行政审批中介服务标准化建设，完善政府投资项目审批及概算管理，进一步优化审批流程，提升审批效率。在线办理立项396个，其中审批183个，核准3个，备案210个</w:t>
      </w:r>
      <w:r>
        <w:rPr>
          <w:rFonts w:hint="eastAsia" w:ascii="Times New Roman" w:hAnsi="Times New Roman" w:eastAsia="仿宋_GB2312" w:cs="Times New Roman"/>
          <w:kern w:val="2"/>
          <w:sz w:val="32"/>
          <w:szCs w:val="32"/>
          <w:lang w:eastAsia="zh-CN"/>
        </w:rPr>
        <w:t>。</w:t>
      </w:r>
    </w:p>
    <w:p w14:paraId="6D0E1553">
      <w:pPr>
        <w:adjustRightInd/>
        <w:snapToGrid/>
        <w:spacing w:line="360" w:lineRule="auto"/>
        <w:ind w:firstLine="643" w:firstLineChars="200"/>
        <w:jc w:val="both"/>
        <w:rPr>
          <w:rFonts w:ascii="Times New Roman" w:hAnsi="Times New Roman" w:eastAsia="仿宋_GB2312" w:cs="Times New Roman"/>
          <w:b/>
          <w:bCs/>
          <w:color w:val="auto"/>
          <w:kern w:val="2"/>
          <w:sz w:val="32"/>
          <w:szCs w:val="32"/>
          <w:lang w:eastAsia="zh-CN"/>
        </w:rPr>
      </w:pPr>
      <w:r>
        <w:rPr>
          <w:rFonts w:hint="eastAsia" w:ascii="Times New Roman" w:hAnsi="Times New Roman" w:eastAsia="仿宋_GB2312" w:cs="Times New Roman"/>
          <w:b/>
          <w:bCs/>
          <w:color w:val="auto"/>
          <w:kern w:val="2"/>
          <w:sz w:val="32"/>
          <w:szCs w:val="32"/>
          <w:lang w:eastAsia="zh-CN"/>
        </w:rPr>
        <w:t>（二）绩效目标完成情况：</w:t>
      </w:r>
    </w:p>
    <w:p w14:paraId="3D2B97BA">
      <w:pPr>
        <w:adjustRightInd/>
        <w:snapToGrid/>
        <w:spacing w:line="360" w:lineRule="auto"/>
        <w:ind w:firstLine="643" w:firstLineChars="200"/>
        <w:jc w:val="both"/>
        <w:rPr>
          <w:rFonts w:ascii="Times New Roman" w:hAnsi="Times New Roman" w:eastAsia="仿宋_GB2312" w:cs="Times New Roman"/>
          <w:b/>
          <w:bCs/>
          <w:color w:val="auto"/>
          <w:kern w:val="2"/>
          <w:sz w:val="32"/>
          <w:szCs w:val="32"/>
          <w:lang w:eastAsia="zh-CN"/>
        </w:rPr>
      </w:pPr>
      <w:r>
        <w:rPr>
          <w:rFonts w:hint="eastAsia" w:ascii="Times New Roman" w:hAnsi="Times New Roman" w:eastAsia="仿宋_GB2312" w:cs="Times New Roman"/>
          <w:b/>
          <w:bCs/>
          <w:color w:val="auto"/>
          <w:kern w:val="2"/>
          <w:sz w:val="32"/>
          <w:szCs w:val="32"/>
          <w:lang w:eastAsia="zh-CN"/>
        </w:rPr>
        <w:t>1、预算执行率（分值 10 分，得 10分，未扣分）</w:t>
      </w:r>
    </w:p>
    <w:p w14:paraId="38F4E34E">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财政拨款全年预算数8594.09万元，全年执行数8594.09万元，预算执行率100%</w:t>
      </w:r>
    </w:p>
    <w:p w14:paraId="3600F8EC">
      <w:pPr>
        <w:adjustRightInd/>
        <w:snapToGrid/>
        <w:spacing w:line="360" w:lineRule="auto"/>
        <w:ind w:firstLine="643" w:firstLineChars="200"/>
        <w:jc w:val="both"/>
        <w:rPr>
          <w:rFonts w:ascii="Times New Roman" w:hAnsi="Times New Roman" w:eastAsia="仿宋_GB2312" w:cs="Times New Roman"/>
          <w:b/>
          <w:bCs/>
          <w:color w:val="auto"/>
          <w:kern w:val="2"/>
          <w:sz w:val="32"/>
          <w:szCs w:val="32"/>
          <w:lang w:eastAsia="zh-CN"/>
        </w:rPr>
      </w:pPr>
      <w:r>
        <w:rPr>
          <w:rFonts w:hint="eastAsia" w:ascii="Times New Roman" w:hAnsi="Times New Roman" w:eastAsia="仿宋_GB2312" w:cs="Times New Roman"/>
          <w:b/>
          <w:bCs/>
          <w:color w:val="auto"/>
          <w:kern w:val="2"/>
          <w:sz w:val="32"/>
          <w:szCs w:val="32"/>
          <w:lang w:eastAsia="zh-CN"/>
        </w:rPr>
        <w:t>2、产出指标（分值 30 分，得 28 分，扣2分）</w:t>
      </w:r>
    </w:p>
    <w:p w14:paraId="735E3E85">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①数量指标（分值10分，得8分，扣2分）</w:t>
      </w:r>
    </w:p>
    <w:p w14:paraId="321594DA">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重点项目开展推进数量，年度指标值：32个，实际完成值：20，分值5分，得分3分。未完成原因是年度指标值虚高，2024年因经济发展以及各项政策等原因，导致重点项目开展数量未达到年初预算指标。</w:t>
      </w:r>
    </w:p>
    <w:p w14:paraId="54A56D63">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编制专项工作方案和报告数量，年度指标值：2个，实际完成4个，分值5分，得分5分。</w:t>
      </w:r>
    </w:p>
    <w:p w14:paraId="142D6DD3">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②质量指标（分值10分，得10分，未扣分）</w:t>
      </w:r>
    </w:p>
    <w:p w14:paraId="3789BABE">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各类案件结案率，年度指标值： 90%，实际完成值：95%，分值5分，得分5分。</w:t>
      </w:r>
    </w:p>
    <w:p w14:paraId="52D8BB31">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各类规划编制科学、可操作性，年度指标值： 达标，实际完成值：达标，分值5分，得分5分。</w:t>
      </w:r>
    </w:p>
    <w:p w14:paraId="6B850C0A">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③时效指标（分值10分，得10分，未扣分）</w:t>
      </w:r>
    </w:p>
    <w:p w14:paraId="104B8718">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项目资金规定时间内下达率，年度指标值： 100%，实际完成值：100%，分值10分，得分10分。</w:t>
      </w:r>
    </w:p>
    <w:p w14:paraId="2A0AD491">
      <w:pPr>
        <w:adjustRightInd/>
        <w:snapToGrid/>
        <w:spacing w:line="360" w:lineRule="auto"/>
        <w:ind w:firstLine="643" w:firstLineChars="200"/>
        <w:jc w:val="both"/>
        <w:rPr>
          <w:rFonts w:ascii="Times New Roman" w:hAnsi="Times New Roman" w:eastAsia="仿宋_GB2312" w:cs="Times New Roman"/>
          <w:b/>
          <w:bCs/>
          <w:color w:val="auto"/>
          <w:kern w:val="2"/>
          <w:sz w:val="32"/>
          <w:szCs w:val="32"/>
          <w:lang w:eastAsia="zh-CN"/>
        </w:rPr>
      </w:pPr>
      <w:r>
        <w:rPr>
          <w:rFonts w:hint="eastAsia" w:ascii="Times New Roman" w:hAnsi="Times New Roman" w:eastAsia="仿宋_GB2312" w:cs="Times New Roman"/>
          <w:b/>
          <w:bCs/>
          <w:color w:val="auto"/>
          <w:kern w:val="2"/>
          <w:sz w:val="32"/>
          <w:szCs w:val="32"/>
          <w:lang w:eastAsia="zh-CN"/>
        </w:rPr>
        <w:t>3、成本指标（分值20分，得20分，未扣分）</w:t>
      </w:r>
    </w:p>
    <w:p w14:paraId="0B8585EA">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①经济成本指标（分值10分，得10分，未扣分）</w:t>
      </w:r>
    </w:p>
    <w:p w14:paraId="69324515">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本级预算执行完成率，年度指标值：100%，实际完成：100%，分值 10 分，得分10分。</w:t>
      </w:r>
    </w:p>
    <w:p w14:paraId="5E823097">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②社会成本指标（分值5分，得5分，未扣分）</w:t>
      </w:r>
    </w:p>
    <w:p w14:paraId="3A2333DD">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对社会发展可能造成的负面影响，年度指标值：无负面影响，实际完成值：无负面影响，分值 5分，得分 5 分。</w:t>
      </w:r>
    </w:p>
    <w:p w14:paraId="623BE531">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③生态环境成本指标（分值5分，得5分，未扣分）</w:t>
      </w:r>
    </w:p>
    <w:p w14:paraId="71732895">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对自然环境可能造成的负面影响，年度指标值：无负面影响，实际完成值：无负面影响，分值 5分，得分 5 分。</w:t>
      </w:r>
    </w:p>
    <w:p w14:paraId="3EC37055">
      <w:pPr>
        <w:adjustRightInd/>
        <w:snapToGrid/>
        <w:spacing w:line="360" w:lineRule="auto"/>
        <w:ind w:firstLine="643" w:firstLineChars="200"/>
        <w:jc w:val="both"/>
        <w:rPr>
          <w:rFonts w:ascii="Times New Roman" w:hAnsi="Times New Roman" w:eastAsia="仿宋_GB2312" w:cs="Times New Roman"/>
          <w:b/>
          <w:bCs/>
          <w:color w:val="auto"/>
          <w:kern w:val="2"/>
          <w:sz w:val="32"/>
          <w:szCs w:val="32"/>
          <w:lang w:eastAsia="zh-CN"/>
        </w:rPr>
      </w:pPr>
      <w:r>
        <w:rPr>
          <w:rFonts w:hint="eastAsia" w:ascii="Times New Roman" w:hAnsi="Times New Roman" w:eastAsia="仿宋_GB2312" w:cs="Times New Roman"/>
          <w:b/>
          <w:bCs/>
          <w:color w:val="auto"/>
          <w:kern w:val="2"/>
          <w:sz w:val="32"/>
          <w:szCs w:val="32"/>
          <w:lang w:eastAsia="zh-CN"/>
        </w:rPr>
        <w:t>4、效益指标（分值30分，得30分，未扣分）</w:t>
      </w:r>
    </w:p>
    <w:p w14:paraId="3E78A496">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①经济效益指标（分值10分，得10分，未扣分）</w:t>
      </w:r>
    </w:p>
    <w:p w14:paraId="10791293">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优化营商环境，不断解放和发展社会生产力，加快建设现代化经济体系，推动经济社会高质量发展。年度指标值：效益显著， 实际完成值：效益显著，分值10分，得分10分</w:t>
      </w:r>
    </w:p>
    <w:p w14:paraId="03A75F42">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②社会效益指标（分值10分，得10分，未扣分）</w:t>
      </w:r>
    </w:p>
    <w:p w14:paraId="1960C98E">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促进信息服务业服务型政府及智慧城市建设。年度指标值：效益显著， 实际完成值：效益显著，分值10分，得分10分。</w:t>
      </w:r>
    </w:p>
    <w:p w14:paraId="131A3B0C">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③生态效益指标（分值5分，得5分，未扣分）</w:t>
      </w:r>
    </w:p>
    <w:p w14:paraId="6D4B861E">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推动绿色发展，统筹推进污染防治和生态保护修复。年度指标值：效益显着，实际完成值：效益显著，分值5分，得分5分。</w:t>
      </w:r>
    </w:p>
    <w:p w14:paraId="3D42DE11">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④可持续影响指标（分值10分，得10分，未扣分）</w:t>
      </w:r>
    </w:p>
    <w:p w14:paraId="43E50E7E">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促进全市经济持续发展，提高人民收入水平，提升人民生活幸福感。年度指标值：效益显著，实际指标值：效益显著，分值5分，得分5分。</w:t>
      </w:r>
    </w:p>
    <w:p w14:paraId="67710FB3">
      <w:pPr>
        <w:adjustRightInd/>
        <w:snapToGrid/>
        <w:spacing w:line="360" w:lineRule="auto"/>
        <w:ind w:firstLine="643" w:firstLineChars="200"/>
        <w:jc w:val="both"/>
        <w:rPr>
          <w:rFonts w:ascii="Times New Roman" w:hAnsi="Times New Roman" w:eastAsia="仿宋_GB2312" w:cs="Times New Roman"/>
          <w:b/>
          <w:bCs/>
          <w:color w:val="auto"/>
          <w:kern w:val="2"/>
          <w:sz w:val="32"/>
          <w:szCs w:val="32"/>
          <w:lang w:eastAsia="zh-CN"/>
        </w:rPr>
      </w:pPr>
      <w:r>
        <w:rPr>
          <w:rFonts w:hint="eastAsia" w:ascii="Times New Roman" w:hAnsi="Times New Roman" w:eastAsia="仿宋_GB2312" w:cs="Times New Roman"/>
          <w:b/>
          <w:bCs/>
          <w:color w:val="auto"/>
          <w:kern w:val="2"/>
          <w:sz w:val="32"/>
          <w:szCs w:val="32"/>
          <w:lang w:eastAsia="zh-CN"/>
        </w:rPr>
        <w:t>5、满意度指标（分值10分，得10分，未扣分）</w:t>
      </w:r>
    </w:p>
    <w:p w14:paraId="423BFC4C">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群众办事满意度，年度指标值：95%，实际完成值：95%，分值10分，得分10分。</w:t>
      </w:r>
    </w:p>
    <w:p w14:paraId="48A6E8F8">
      <w:pPr>
        <w:adjustRightInd/>
        <w:snapToGrid/>
        <w:spacing w:line="360" w:lineRule="auto"/>
        <w:ind w:firstLine="723" w:firstLineChars="200"/>
        <w:jc w:val="both"/>
        <w:rPr>
          <w:rFonts w:ascii="Times New Roman" w:hAnsi="Times New Roman" w:eastAsia="仿宋_GB2312" w:cs="Times New Roman"/>
          <w:b/>
          <w:bCs/>
          <w:color w:val="auto"/>
          <w:kern w:val="2"/>
          <w:sz w:val="36"/>
          <w:szCs w:val="36"/>
          <w:lang w:eastAsia="zh-CN"/>
        </w:rPr>
      </w:pPr>
      <w:r>
        <w:rPr>
          <w:rFonts w:hint="eastAsia" w:ascii="Times New Roman" w:hAnsi="Times New Roman" w:eastAsia="仿宋_GB2312" w:cs="Times New Roman"/>
          <w:b/>
          <w:bCs/>
          <w:color w:val="auto"/>
          <w:kern w:val="2"/>
          <w:sz w:val="36"/>
          <w:szCs w:val="36"/>
          <w:lang w:eastAsia="zh-CN"/>
        </w:rPr>
        <w:t>七、存在的问题及原因分析</w:t>
      </w:r>
    </w:p>
    <w:p w14:paraId="2F4DCC2F">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1、预算绩效观念不深入,思想认识有误区。尚未树牢绩效理念，重投入轻管理、重支出轻绩效，没有站在全局高度考虑是不是达到了效益最大化。预算绩效管理机制不健全，执行不够严格，绩效管理的广度和深度不足。</w:t>
      </w:r>
    </w:p>
    <w:p w14:paraId="6798E90D">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2、绩效管理专业人员匮乏,规范管理有盲点。预算绩效管理工作的覆盖面广、专业性强,推进绩效管理既缺乏工作经验也缺乏专业技能,难以做到程序规范、管理科学和绩效显著。</w:t>
      </w:r>
    </w:p>
    <w:p w14:paraId="1DA4C8D0">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3、绩效评价指标设定不合理。在设计绩效指标时未体现相关性和重要性原则，指标形式化。关联度不够，因果关系不充分，缺乏详细数据支撑。</w:t>
      </w:r>
    </w:p>
    <w:p w14:paraId="51B4AFC1">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4、财务部门与业务部门相分离，绩效评价归口一般是财务部门，业务部门参与度不高，无法充分挖掘指标变动背后的深层次的原因,不能形成明确的评价结论，影响绩效评价效果体现。</w:t>
      </w:r>
    </w:p>
    <w:p w14:paraId="3D3EE455">
      <w:pPr>
        <w:adjustRightInd/>
        <w:snapToGrid/>
        <w:spacing w:line="360" w:lineRule="auto"/>
        <w:ind w:firstLine="723" w:firstLineChars="200"/>
        <w:jc w:val="both"/>
        <w:rPr>
          <w:rFonts w:ascii="Times New Roman" w:hAnsi="Times New Roman" w:eastAsia="仿宋_GB2312" w:cs="Times New Roman"/>
          <w:b/>
          <w:bCs/>
          <w:color w:val="auto"/>
          <w:kern w:val="2"/>
          <w:sz w:val="36"/>
          <w:szCs w:val="36"/>
          <w:lang w:eastAsia="zh-CN"/>
        </w:rPr>
      </w:pPr>
      <w:r>
        <w:rPr>
          <w:rFonts w:hint="eastAsia" w:ascii="Times New Roman" w:hAnsi="Times New Roman" w:eastAsia="仿宋_GB2312" w:cs="Times New Roman"/>
          <w:b/>
          <w:bCs/>
          <w:color w:val="auto"/>
          <w:kern w:val="2"/>
          <w:sz w:val="36"/>
          <w:szCs w:val="36"/>
          <w:lang w:eastAsia="zh-CN"/>
        </w:rPr>
        <w:t>八、下一步改进措施</w:t>
      </w:r>
    </w:p>
    <w:p w14:paraId="746075CF">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1.树牢全员绩效管理意识,健全绩效管理制度。倡导单位内部各业务部门积极参与绩效评价,牢固树立全员绩效管理意识。及时健全建立与本单位配套的绩效评价流程制度,及时矫正不规范行为,明确职责和权限,促进各项工作流程良性循环。</w:t>
      </w:r>
    </w:p>
    <w:p w14:paraId="6EF32775">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2.科学合理设置绩效评价指标,夯实绩效评价基础。在编制环节,应当围绕年度工作任务,参考往年的预算执行情况,充分论证、严格筛选,从数量、质量等多方面进行考虑,优先选取最具代表性、能全面反映单位产出和效益的指标,力求精简实用。</w:t>
      </w:r>
    </w:p>
    <w:p w14:paraId="2E58831D">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3.强化绩效评价结果应用,完善奖惩机制。提高对绩效评价结果的重视程度,对评价过程中发现的问题及时研究制定整改方案,积极向财政部门报送相关材料,落实整改意见,调动各部门工作积极性,为绩效评价结果落到实处提供强有力的保证。</w:t>
      </w:r>
    </w:p>
    <w:p w14:paraId="4F7E01A0">
      <w:pPr>
        <w:adjustRightInd/>
        <w:snapToGrid/>
        <w:spacing w:line="360" w:lineRule="auto"/>
        <w:ind w:firstLine="640" w:firstLineChars="200"/>
        <w:jc w:val="both"/>
        <w:rPr>
          <w:rFonts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4.探索“业务财务相融合”的工作模式,培养专业人才队伍。各相关业务部门负责确定具体项目明细和资金测算。财务与各业务部门根据以往年度实际支出情况以及预算年度工作重点共同编制预算目标,开展绩效执行监控和绩效评价。</w:t>
      </w:r>
    </w:p>
    <w:p w14:paraId="0A5172C1">
      <w:pPr>
        <w:spacing w:before="50" w:line="360" w:lineRule="auto"/>
        <w:ind w:left="690" w:firstLine="644" w:firstLineChars="200"/>
        <w:rPr>
          <w:rFonts w:ascii="仿宋" w:hAnsi="仿宋" w:eastAsia="仿宋" w:cs="仿宋"/>
          <w:spacing w:val="6"/>
          <w:sz w:val="31"/>
          <w:szCs w:val="31"/>
          <w:lang w:eastAsia="zh-CN"/>
        </w:rPr>
      </w:pPr>
    </w:p>
    <w:p w14:paraId="0D93D4CD">
      <w:pPr>
        <w:spacing w:before="50" w:line="360" w:lineRule="auto"/>
        <w:ind w:left="690" w:firstLine="644" w:firstLineChars="200"/>
        <w:rPr>
          <w:rFonts w:ascii="仿宋" w:hAnsi="仿宋" w:eastAsia="仿宋" w:cs="仿宋"/>
          <w:spacing w:val="6"/>
          <w:sz w:val="31"/>
          <w:szCs w:val="31"/>
          <w:lang w:eastAsia="zh-CN"/>
        </w:rPr>
      </w:pPr>
    </w:p>
    <w:p w14:paraId="7449943A">
      <w:pPr>
        <w:spacing w:before="50" w:line="360" w:lineRule="auto"/>
        <w:ind w:left="690" w:firstLine="644" w:firstLineChars="200"/>
        <w:rPr>
          <w:rFonts w:ascii="仿宋" w:hAnsi="仿宋" w:eastAsia="仿宋" w:cs="仿宋"/>
          <w:spacing w:val="6"/>
          <w:sz w:val="31"/>
          <w:szCs w:val="31"/>
          <w:lang w:eastAsia="zh-CN"/>
        </w:rPr>
      </w:pPr>
    </w:p>
    <w:p w14:paraId="74D0196E">
      <w:pPr>
        <w:spacing w:before="50" w:line="360" w:lineRule="auto"/>
        <w:ind w:left="690" w:firstLine="644" w:firstLineChars="200"/>
        <w:rPr>
          <w:rFonts w:ascii="仿宋" w:hAnsi="仿宋" w:eastAsia="仿宋" w:cs="仿宋"/>
          <w:spacing w:val="6"/>
          <w:sz w:val="31"/>
          <w:szCs w:val="31"/>
          <w:lang w:eastAsia="zh-CN"/>
        </w:rPr>
      </w:pPr>
    </w:p>
    <w:p w14:paraId="15E01F4B">
      <w:pPr>
        <w:spacing w:before="50" w:line="360" w:lineRule="auto"/>
        <w:rPr>
          <w:rFonts w:ascii="仿宋" w:hAnsi="仿宋" w:eastAsia="仿宋" w:cs="仿宋"/>
          <w:spacing w:val="6"/>
          <w:sz w:val="31"/>
          <w:szCs w:val="31"/>
          <w:lang w:eastAsia="zh-CN"/>
        </w:rPr>
      </w:pPr>
      <w:r>
        <w:rPr>
          <w:rFonts w:ascii="仿宋" w:hAnsi="仿宋" w:eastAsia="仿宋" w:cs="仿宋"/>
          <w:spacing w:val="6"/>
          <w:sz w:val="31"/>
          <w:szCs w:val="31"/>
          <w:lang w:eastAsia="zh-CN"/>
        </w:rPr>
        <w:t>附件：</w:t>
      </w:r>
      <w:r>
        <w:rPr>
          <w:rFonts w:ascii="Times New Roman" w:hAnsi="Times New Roman" w:eastAsia="Times New Roman" w:cs="Times New Roman"/>
          <w:spacing w:val="6"/>
          <w:sz w:val="31"/>
          <w:szCs w:val="31"/>
          <w:lang w:eastAsia="zh-CN"/>
        </w:rPr>
        <w:t>1</w:t>
      </w:r>
      <w:r>
        <w:rPr>
          <w:rFonts w:ascii="仿宋" w:hAnsi="仿宋" w:eastAsia="仿宋" w:cs="仿宋"/>
          <w:spacing w:val="6"/>
          <w:sz w:val="31"/>
          <w:szCs w:val="31"/>
          <w:lang w:eastAsia="zh-CN"/>
        </w:rPr>
        <w:t>、</w:t>
      </w:r>
      <w:r>
        <w:rPr>
          <w:rFonts w:ascii="Times New Roman" w:hAnsi="Times New Roman" w:eastAsia="Times New Roman" w:cs="Times New Roman"/>
          <w:spacing w:val="6"/>
          <w:sz w:val="31"/>
          <w:szCs w:val="31"/>
          <w:lang w:eastAsia="zh-CN"/>
        </w:rPr>
        <w:t>202</w:t>
      </w:r>
      <w:r>
        <w:rPr>
          <w:rFonts w:hint="eastAsia" w:ascii="Times New Roman" w:hAnsi="Times New Roman" w:eastAsia="宋体" w:cs="Times New Roman"/>
          <w:spacing w:val="6"/>
          <w:sz w:val="31"/>
          <w:szCs w:val="31"/>
          <w:lang w:eastAsia="zh-CN"/>
        </w:rPr>
        <w:t>4</w:t>
      </w:r>
      <w:r>
        <w:rPr>
          <w:rFonts w:ascii="仿宋" w:hAnsi="仿宋" w:eastAsia="仿宋" w:cs="仿宋"/>
          <w:spacing w:val="6"/>
          <w:sz w:val="31"/>
          <w:szCs w:val="31"/>
          <w:lang w:eastAsia="zh-CN"/>
        </w:rPr>
        <w:t>年度部门整体支出绩效评价基础数据表</w:t>
      </w:r>
    </w:p>
    <w:p w14:paraId="0580A7BD">
      <w:pPr>
        <w:spacing w:before="50" w:line="360" w:lineRule="auto"/>
        <w:ind w:firstLine="966" w:firstLineChars="300"/>
        <w:rPr>
          <w:rFonts w:ascii="仿宋" w:hAnsi="仿宋" w:eastAsia="仿宋" w:cs="仿宋"/>
          <w:sz w:val="31"/>
          <w:szCs w:val="31"/>
          <w:lang w:eastAsia="zh-CN"/>
        </w:rPr>
      </w:pPr>
      <w:r>
        <w:rPr>
          <w:rFonts w:ascii="Times New Roman" w:hAnsi="Times New Roman" w:eastAsia="Times New Roman" w:cs="Times New Roman"/>
          <w:spacing w:val="6"/>
          <w:sz w:val="31"/>
          <w:szCs w:val="31"/>
          <w:lang w:eastAsia="zh-CN"/>
        </w:rPr>
        <w:t>2</w:t>
      </w:r>
      <w:r>
        <w:rPr>
          <w:rFonts w:ascii="仿宋" w:hAnsi="仿宋" w:eastAsia="仿宋" w:cs="仿宋"/>
          <w:spacing w:val="6"/>
          <w:sz w:val="31"/>
          <w:szCs w:val="31"/>
          <w:lang w:eastAsia="zh-CN"/>
        </w:rPr>
        <w:t>、</w:t>
      </w:r>
      <w:r>
        <w:rPr>
          <w:rFonts w:ascii="Times New Roman" w:hAnsi="Times New Roman" w:eastAsia="Times New Roman" w:cs="Times New Roman"/>
          <w:spacing w:val="6"/>
          <w:sz w:val="31"/>
          <w:szCs w:val="31"/>
          <w:lang w:eastAsia="zh-CN"/>
        </w:rPr>
        <w:t>202</w:t>
      </w:r>
      <w:r>
        <w:rPr>
          <w:rFonts w:hint="eastAsia" w:ascii="Times New Roman" w:hAnsi="Times New Roman" w:eastAsia="宋体" w:cs="Times New Roman"/>
          <w:spacing w:val="6"/>
          <w:sz w:val="31"/>
          <w:szCs w:val="31"/>
          <w:lang w:eastAsia="zh-CN"/>
        </w:rPr>
        <w:t>4</w:t>
      </w:r>
      <w:r>
        <w:rPr>
          <w:rFonts w:ascii="仿宋" w:hAnsi="仿宋" w:eastAsia="仿宋" w:cs="仿宋"/>
          <w:spacing w:val="6"/>
          <w:sz w:val="31"/>
          <w:szCs w:val="31"/>
          <w:lang w:eastAsia="zh-CN"/>
        </w:rPr>
        <w:t>年度部门整体支出绩效自评表</w:t>
      </w:r>
    </w:p>
    <w:p w14:paraId="30988A96">
      <w:pPr>
        <w:spacing w:line="267" w:lineRule="auto"/>
        <w:ind w:firstLine="960" w:firstLineChars="300"/>
        <w:jc w:val="both"/>
        <w:rPr>
          <w:rFonts w:hint="eastAsia" w:ascii="宋体" w:hAnsi="宋体" w:eastAsia="宋体" w:cs="宋体"/>
          <w:bCs/>
          <w:spacing w:val="-4"/>
          <w:kern w:val="0"/>
          <w:sz w:val="28"/>
          <w:szCs w:val="28"/>
          <w:lang w:eastAsia="zh-CN"/>
        </w:rPr>
      </w:pPr>
      <w:r>
        <w:rPr>
          <w:rFonts w:ascii="Times New Roman" w:hAnsi="Times New Roman" w:eastAsia="Times New Roman" w:cs="Times New Roman"/>
          <w:spacing w:val="5"/>
          <w:sz w:val="31"/>
          <w:szCs w:val="31"/>
          <w:lang w:eastAsia="zh-CN"/>
        </w:rPr>
        <w:t>3</w:t>
      </w:r>
      <w:r>
        <w:rPr>
          <w:rFonts w:ascii="仿宋" w:hAnsi="仿宋" w:eastAsia="仿宋" w:cs="仿宋"/>
          <w:spacing w:val="5"/>
          <w:sz w:val="31"/>
          <w:szCs w:val="31"/>
          <w:lang w:eastAsia="zh-CN"/>
        </w:rPr>
        <w:t>、</w:t>
      </w:r>
      <w:r>
        <w:rPr>
          <w:rFonts w:ascii="Times New Roman" w:hAnsi="Times New Roman" w:eastAsia="Times New Roman" w:cs="Times New Roman"/>
          <w:spacing w:val="5"/>
          <w:sz w:val="31"/>
          <w:szCs w:val="31"/>
          <w:lang w:eastAsia="zh-CN"/>
        </w:rPr>
        <w:t>202</w:t>
      </w:r>
      <w:r>
        <w:rPr>
          <w:rFonts w:hint="eastAsia" w:ascii="Times New Roman" w:hAnsi="Times New Roman" w:eastAsia="宋体" w:cs="Times New Roman"/>
          <w:spacing w:val="5"/>
          <w:sz w:val="31"/>
          <w:szCs w:val="31"/>
          <w:lang w:eastAsia="zh-CN"/>
        </w:rPr>
        <w:t>4</w:t>
      </w:r>
      <w:r>
        <w:rPr>
          <w:rFonts w:ascii="仿宋" w:hAnsi="仿宋" w:eastAsia="仿宋" w:cs="仿宋"/>
          <w:spacing w:val="5"/>
          <w:sz w:val="31"/>
          <w:szCs w:val="31"/>
          <w:lang w:eastAsia="zh-CN"/>
        </w:rPr>
        <w:t>年度项目支出绩效自评</w:t>
      </w:r>
      <w:r>
        <w:rPr>
          <w:rFonts w:hint="eastAsia" w:ascii="仿宋" w:hAnsi="仿宋" w:eastAsia="仿宋" w:cs="仿宋"/>
          <w:spacing w:val="5"/>
          <w:sz w:val="31"/>
          <w:szCs w:val="31"/>
          <w:lang w:eastAsia="zh-CN"/>
        </w:rPr>
        <w:t>表</w:t>
      </w:r>
    </w:p>
    <w:p w14:paraId="57D9EF1E">
      <w:pPr>
        <w:spacing w:line="267" w:lineRule="auto"/>
        <w:ind w:firstLine="552"/>
        <w:jc w:val="both"/>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4"/>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6A263AA"/>
    <w:rsid w:val="086E756B"/>
    <w:rsid w:val="0ACF37E5"/>
    <w:rsid w:val="0B400BC6"/>
    <w:rsid w:val="0E68228D"/>
    <w:rsid w:val="0EA6787F"/>
    <w:rsid w:val="0F09002A"/>
    <w:rsid w:val="15276E52"/>
    <w:rsid w:val="178B0954"/>
    <w:rsid w:val="19727D4D"/>
    <w:rsid w:val="19D32FBC"/>
    <w:rsid w:val="1E6A4395"/>
    <w:rsid w:val="20E9660A"/>
    <w:rsid w:val="25557A3D"/>
    <w:rsid w:val="26EA5ED7"/>
    <w:rsid w:val="27A93B82"/>
    <w:rsid w:val="2AE00186"/>
    <w:rsid w:val="2C221816"/>
    <w:rsid w:val="308216BE"/>
    <w:rsid w:val="30CB318D"/>
    <w:rsid w:val="333D7B9D"/>
    <w:rsid w:val="34FE1149"/>
    <w:rsid w:val="3A550786"/>
    <w:rsid w:val="3AEA70D7"/>
    <w:rsid w:val="3B7A130F"/>
    <w:rsid w:val="45FA3883"/>
    <w:rsid w:val="494A1329"/>
    <w:rsid w:val="4F8B6063"/>
    <w:rsid w:val="52FA3F96"/>
    <w:rsid w:val="55850F17"/>
    <w:rsid w:val="571D6518"/>
    <w:rsid w:val="57AE6D93"/>
    <w:rsid w:val="58E04635"/>
    <w:rsid w:val="5E3C4FFE"/>
    <w:rsid w:val="5FB623A7"/>
    <w:rsid w:val="66596A70"/>
    <w:rsid w:val="6BB1387F"/>
    <w:rsid w:val="6D075A1F"/>
    <w:rsid w:val="6E3851B0"/>
    <w:rsid w:val="6F8C0779"/>
    <w:rsid w:val="765C5EF1"/>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仿宋" w:hAnsi="仿宋" w:eastAsia="仿宋" w:cs="仿宋"/>
      <w:sz w:val="34"/>
      <w:szCs w:val="34"/>
      <w:lang w:val="en-US" w:eastAsia="en-US" w:bidi="ar-SA"/>
    </w:rPr>
  </w:style>
  <w:style w:type="paragraph" w:styleId="3">
    <w:name w:val="toc 5"/>
    <w:basedOn w:val="1"/>
    <w:next w:val="1"/>
    <w:unhideWhenUsed/>
    <w:qFormat/>
    <w:uiPriority w:val="39"/>
    <w:pPr>
      <w:spacing w:line="220" w:lineRule="atLeast"/>
      <w:ind w:firstLine="960" w:firstLineChars="300"/>
    </w:pPr>
    <w:rPr>
      <w:rFonts w:ascii="黑体" w:hAnsi="黑体" w:eastAsia="黑体" w:cs="仿宋_GB2312"/>
      <w:sz w:val="32"/>
      <w:szCs w:val="32"/>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paragraph" w:styleId="7">
    <w:name w:val="Body Text First Indent"/>
    <w:basedOn w:val="2"/>
    <w:unhideWhenUsed/>
    <w:qFormat/>
    <w:uiPriority w:val="99"/>
    <w:pPr>
      <w:ind w:firstLine="420" w:firstLineChars="100"/>
    </w:p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7700</Words>
  <Characters>8277</Characters>
  <TotalTime>262</TotalTime>
  <ScaleCrop>false</ScaleCrop>
  <LinksUpToDate>false</LinksUpToDate>
  <CharactersWithSpaces>8369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冯卫</cp:lastModifiedBy>
  <cp:lastPrinted>2024-05-21T14:05:00Z</cp:lastPrinted>
  <dcterms:modified xsi:type="dcterms:W3CDTF">2025-09-23T07:37:36Z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2052-12.1.0.20784</vt:lpwstr>
  </property>
  <property fmtid="{D5CDD505-2E9C-101B-9397-08002B2CF9AE}" pid="6" name="ICV">
    <vt:lpwstr>A1E9AC54BF58440288AD196632C2A254_12</vt:lpwstr>
  </property>
  <property fmtid="{D5CDD505-2E9C-101B-9397-08002B2CF9AE}" pid="7" name="KSOTemplateDocerSaveRecord">
    <vt:lpwstr>eyJoZGlkIjoiZGE1OGI5OGViZDE1NTY5YTQ1MmE5M2EyMjQ3OWMzNDQiLCJ1c2VySWQiOiIxNjkyOTQ1NzEyIn0=</vt:lpwstr>
  </property>
</Properties>
</file>