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4"/>
        <w:gridCol w:w="1159"/>
        <w:gridCol w:w="959"/>
        <w:gridCol w:w="961"/>
        <w:gridCol w:w="1080"/>
        <w:gridCol w:w="1040"/>
        <w:gridCol w:w="945"/>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3274"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8"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41"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5"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8"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2041"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5"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119.05%</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74"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8"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41"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5"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74"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8" w:type="dxa"/>
            <w:gridSpan w:val="2"/>
            <w:shd w:val="clear" w:color="auto" w:fill="auto"/>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1.71</w:t>
            </w:r>
          </w:p>
        </w:tc>
        <w:tc>
          <w:tcPr>
            <w:tcW w:w="2041" w:type="dxa"/>
            <w:gridSpan w:val="2"/>
            <w:shd w:val="clear" w:color="auto" w:fill="auto"/>
            <w:vAlign w:val="center"/>
          </w:tcPr>
          <w:p w14:paraId="1D6514E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2.6</w:t>
            </w:r>
          </w:p>
        </w:tc>
        <w:tc>
          <w:tcPr>
            <w:tcW w:w="1985" w:type="dxa"/>
            <w:gridSpan w:val="2"/>
            <w:shd w:val="clear" w:color="auto" w:fill="auto"/>
            <w:vAlign w:val="center"/>
          </w:tcPr>
          <w:p w14:paraId="7DFA64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2.1</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8" w:type="dxa"/>
            <w:gridSpan w:val="2"/>
            <w:vAlign w:val="center"/>
          </w:tcPr>
          <w:p w14:paraId="2BB3E60E">
            <w:pPr>
              <w:spacing w:line="240" w:lineRule="auto"/>
              <w:ind w:firstLine="420"/>
              <w:jc w:val="center"/>
              <w:rPr>
                <w:rFonts w:ascii="仿宋_GB2312" w:eastAsia="仿宋_GB2312"/>
                <w:kern w:val="0"/>
                <w:lang w:eastAsia="zh-CN"/>
              </w:rPr>
            </w:pPr>
          </w:p>
        </w:tc>
        <w:tc>
          <w:tcPr>
            <w:tcW w:w="2041" w:type="dxa"/>
            <w:gridSpan w:val="2"/>
            <w:vAlign w:val="center"/>
          </w:tcPr>
          <w:p w14:paraId="7474BB6E">
            <w:pPr>
              <w:spacing w:line="240" w:lineRule="auto"/>
              <w:ind w:firstLine="420"/>
              <w:jc w:val="center"/>
              <w:rPr>
                <w:rFonts w:ascii="仿宋_GB2312" w:eastAsia="仿宋_GB2312"/>
                <w:kern w:val="0"/>
                <w:lang w:eastAsia="zh-CN"/>
              </w:rPr>
            </w:pPr>
          </w:p>
        </w:tc>
        <w:tc>
          <w:tcPr>
            <w:tcW w:w="1985"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274"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8" w:type="dxa"/>
            <w:gridSpan w:val="2"/>
            <w:vAlign w:val="center"/>
          </w:tcPr>
          <w:p w14:paraId="31BDC46A">
            <w:pPr>
              <w:spacing w:line="240" w:lineRule="auto"/>
              <w:ind w:firstLine="420"/>
              <w:jc w:val="center"/>
              <w:rPr>
                <w:rFonts w:ascii="仿宋_GB2312" w:eastAsia="仿宋_GB2312"/>
                <w:kern w:val="0"/>
              </w:rPr>
            </w:pPr>
          </w:p>
        </w:tc>
        <w:tc>
          <w:tcPr>
            <w:tcW w:w="2041" w:type="dxa"/>
            <w:gridSpan w:val="2"/>
            <w:vAlign w:val="center"/>
          </w:tcPr>
          <w:p w14:paraId="79420B7F">
            <w:pPr>
              <w:spacing w:line="240" w:lineRule="auto"/>
              <w:ind w:firstLine="420"/>
              <w:jc w:val="center"/>
              <w:rPr>
                <w:rFonts w:ascii="仿宋_GB2312" w:eastAsia="仿宋_GB2312"/>
                <w:kern w:val="0"/>
              </w:rPr>
            </w:pPr>
          </w:p>
        </w:tc>
        <w:tc>
          <w:tcPr>
            <w:tcW w:w="1985"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8" w:type="dxa"/>
            <w:gridSpan w:val="2"/>
            <w:vAlign w:val="center"/>
          </w:tcPr>
          <w:p w14:paraId="6581D34A">
            <w:pPr>
              <w:spacing w:line="240" w:lineRule="auto"/>
              <w:ind w:firstLine="420"/>
              <w:jc w:val="center"/>
              <w:rPr>
                <w:rFonts w:ascii="仿宋_GB2312" w:eastAsia="仿宋_GB2312"/>
                <w:kern w:val="0"/>
              </w:rPr>
            </w:pPr>
          </w:p>
        </w:tc>
        <w:tc>
          <w:tcPr>
            <w:tcW w:w="2041" w:type="dxa"/>
            <w:gridSpan w:val="2"/>
            <w:vAlign w:val="center"/>
          </w:tcPr>
          <w:p w14:paraId="4D0A1ED9">
            <w:pPr>
              <w:spacing w:line="240" w:lineRule="auto"/>
              <w:ind w:firstLine="420"/>
              <w:jc w:val="center"/>
              <w:rPr>
                <w:rFonts w:ascii="仿宋_GB2312" w:eastAsia="仿宋_GB2312"/>
                <w:kern w:val="0"/>
              </w:rPr>
            </w:pPr>
          </w:p>
        </w:tc>
        <w:tc>
          <w:tcPr>
            <w:tcW w:w="1985"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74"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8" w:type="dxa"/>
            <w:gridSpan w:val="2"/>
            <w:vAlign w:val="center"/>
          </w:tcPr>
          <w:p w14:paraId="6F82C849">
            <w:pPr>
              <w:spacing w:line="240" w:lineRule="auto"/>
              <w:ind w:firstLine="420"/>
              <w:jc w:val="center"/>
              <w:rPr>
                <w:rFonts w:ascii="仿宋_GB2312" w:eastAsia="仿宋_GB2312"/>
                <w:kern w:val="0"/>
              </w:rPr>
            </w:pPr>
          </w:p>
        </w:tc>
        <w:tc>
          <w:tcPr>
            <w:tcW w:w="2041" w:type="dxa"/>
            <w:gridSpan w:val="2"/>
            <w:vAlign w:val="center"/>
          </w:tcPr>
          <w:p w14:paraId="402D38BC">
            <w:pPr>
              <w:spacing w:line="240" w:lineRule="auto"/>
              <w:ind w:firstLine="420"/>
              <w:jc w:val="center"/>
              <w:rPr>
                <w:rFonts w:ascii="仿宋_GB2312" w:eastAsia="仿宋_GB2312"/>
                <w:kern w:val="0"/>
              </w:rPr>
            </w:pPr>
          </w:p>
        </w:tc>
        <w:tc>
          <w:tcPr>
            <w:tcW w:w="1985"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274"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8"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1.71</w:t>
            </w:r>
          </w:p>
        </w:tc>
        <w:tc>
          <w:tcPr>
            <w:tcW w:w="2041"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1985"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8" w:type="dxa"/>
            <w:gridSpan w:val="2"/>
            <w:vAlign w:val="center"/>
          </w:tcPr>
          <w:p w14:paraId="6B7C6FFA">
            <w:pPr>
              <w:spacing w:line="240" w:lineRule="auto"/>
              <w:ind w:firstLine="420"/>
              <w:jc w:val="center"/>
              <w:rPr>
                <w:rFonts w:ascii="仿宋_GB2312" w:eastAsia="仿宋_GB2312"/>
                <w:kern w:val="0"/>
              </w:rPr>
            </w:pPr>
          </w:p>
        </w:tc>
        <w:tc>
          <w:tcPr>
            <w:tcW w:w="2041" w:type="dxa"/>
            <w:gridSpan w:val="2"/>
            <w:vAlign w:val="center"/>
          </w:tcPr>
          <w:p w14:paraId="56A401C1">
            <w:pPr>
              <w:spacing w:line="240" w:lineRule="auto"/>
              <w:ind w:firstLine="420"/>
              <w:jc w:val="center"/>
              <w:rPr>
                <w:rFonts w:ascii="仿宋_GB2312" w:eastAsia="仿宋_GB2312"/>
                <w:kern w:val="0"/>
              </w:rPr>
            </w:pPr>
          </w:p>
        </w:tc>
        <w:tc>
          <w:tcPr>
            <w:tcW w:w="1985"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74"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8" w:type="dxa"/>
            <w:gridSpan w:val="2"/>
            <w:vAlign w:val="center"/>
          </w:tcPr>
          <w:p w14:paraId="5C6C60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41" w:type="dxa"/>
            <w:gridSpan w:val="2"/>
            <w:vAlign w:val="center"/>
          </w:tcPr>
          <w:p w14:paraId="142DDA3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5" w:type="dxa"/>
            <w:gridSpan w:val="2"/>
            <w:vAlign w:val="center"/>
          </w:tcPr>
          <w:p w14:paraId="2E8DC00D">
            <w:pPr>
              <w:spacing w:line="240" w:lineRule="auto"/>
              <w:ind w:firstLine="420"/>
              <w:jc w:val="center"/>
              <w:rPr>
                <w:rFonts w:hint="default" w:ascii="仿宋_GB2312" w:eastAsia="仿宋_GB2312"/>
                <w:kern w:val="0"/>
                <w:lang w:val="en-US" w:eastAsia="zh-CN"/>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74"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8" w:type="dxa"/>
            <w:gridSpan w:val="2"/>
            <w:vAlign w:val="center"/>
          </w:tcPr>
          <w:p w14:paraId="7757DF50">
            <w:pPr>
              <w:spacing w:line="240" w:lineRule="auto"/>
              <w:ind w:firstLine="420"/>
              <w:jc w:val="center"/>
              <w:rPr>
                <w:rFonts w:hint="eastAsia" w:ascii="仿宋_GB2312" w:eastAsia="仿宋_GB2312"/>
                <w:kern w:val="0"/>
                <w:lang w:val="en-US" w:eastAsia="zh-CN"/>
              </w:rPr>
            </w:pPr>
          </w:p>
        </w:tc>
        <w:tc>
          <w:tcPr>
            <w:tcW w:w="2041" w:type="dxa"/>
            <w:gridSpan w:val="2"/>
            <w:vAlign w:val="center"/>
          </w:tcPr>
          <w:p w14:paraId="31C696EB">
            <w:pPr>
              <w:spacing w:line="240" w:lineRule="auto"/>
              <w:ind w:firstLine="420"/>
              <w:jc w:val="center"/>
              <w:rPr>
                <w:rFonts w:ascii="仿宋_GB2312" w:eastAsia="仿宋_GB2312"/>
                <w:kern w:val="0"/>
              </w:rPr>
            </w:pPr>
          </w:p>
        </w:tc>
        <w:tc>
          <w:tcPr>
            <w:tcW w:w="1985"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3274"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8" w:type="dxa"/>
            <w:gridSpan w:val="2"/>
            <w:vAlign w:val="center"/>
          </w:tcPr>
          <w:p w14:paraId="482AEA10">
            <w:pPr>
              <w:spacing w:line="240" w:lineRule="auto"/>
              <w:ind w:firstLine="420"/>
              <w:jc w:val="center"/>
              <w:rPr>
                <w:rFonts w:ascii="仿宋_GB2312" w:eastAsia="仿宋_GB2312"/>
                <w:kern w:val="0"/>
                <w:lang w:eastAsia="zh-CN"/>
              </w:rPr>
            </w:pPr>
          </w:p>
        </w:tc>
        <w:tc>
          <w:tcPr>
            <w:tcW w:w="2041" w:type="dxa"/>
            <w:gridSpan w:val="2"/>
            <w:vAlign w:val="center"/>
          </w:tcPr>
          <w:p w14:paraId="18F75CDE">
            <w:pPr>
              <w:spacing w:line="240" w:lineRule="auto"/>
              <w:ind w:firstLine="420"/>
              <w:jc w:val="center"/>
              <w:rPr>
                <w:rFonts w:ascii="仿宋_GB2312" w:eastAsia="仿宋_GB2312"/>
                <w:kern w:val="0"/>
                <w:lang w:eastAsia="zh-CN"/>
              </w:rPr>
            </w:pPr>
          </w:p>
        </w:tc>
        <w:tc>
          <w:tcPr>
            <w:tcW w:w="1985"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8"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46.73</w:t>
            </w:r>
          </w:p>
        </w:tc>
        <w:tc>
          <w:tcPr>
            <w:tcW w:w="2041"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30.87</w:t>
            </w:r>
          </w:p>
        </w:tc>
        <w:tc>
          <w:tcPr>
            <w:tcW w:w="1985"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56.04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8"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5.45</w:t>
            </w:r>
          </w:p>
        </w:tc>
        <w:tc>
          <w:tcPr>
            <w:tcW w:w="2041"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4.32</w:t>
            </w:r>
          </w:p>
        </w:tc>
        <w:tc>
          <w:tcPr>
            <w:tcW w:w="1985"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2.41</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3274"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8"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7.28</w:t>
            </w:r>
          </w:p>
        </w:tc>
        <w:tc>
          <w:tcPr>
            <w:tcW w:w="2041"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8.18</w:t>
            </w:r>
          </w:p>
        </w:tc>
        <w:tc>
          <w:tcPr>
            <w:tcW w:w="1985"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8"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p>
        </w:tc>
        <w:tc>
          <w:tcPr>
            <w:tcW w:w="2041"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1985"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8"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11.65</w:t>
            </w:r>
          </w:p>
        </w:tc>
        <w:tc>
          <w:tcPr>
            <w:tcW w:w="2041"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w:t>
            </w:r>
          </w:p>
        </w:tc>
        <w:tc>
          <w:tcPr>
            <w:tcW w:w="1985"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20.65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74"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8" w:type="dxa"/>
            <w:gridSpan w:val="2"/>
            <w:shd w:val="clear" w:color="auto" w:fill="auto"/>
            <w:vAlign w:val="center"/>
          </w:tcPr>
          <w:p w14:paraId="56E7EB7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382.08</w:t>
            </w:r>
          </w:p>
        </w:tc>
        <w:tc>
          <w:tcPr>
            <w:tcW w:w="2041"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322.65</w:t>
            </w:r>
          </w:p>
        </w:tc>
        <w:tc>
          <w:tcPr>
            <w:tcW w:w="1985"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491.72</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3274"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9"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9"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1"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80"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40"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5"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3274"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9"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9"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1"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80"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40"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5"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3274"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44"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en-US"/>
              </w:rPr>
              <w:t>利用信息化手段提高管理效率，减少不必要的开支</w:t>
            </w:r>
          </w:p>
        </w:tc>
      </w:tr>
    </w:tbl>
    <w:p w14:paraId="3E5BE6D3">
      <w:pPr>
        <w:spacing w:line="240" w:lineRule="auto"/>
        <w:jc w:val="left"/>
        <w:rPr>
          <w:rFonts w:hint="eastAsia" w:ascii="仿宋_GB2312" w:hAnsi="宋体" w:eastAsia="仿宋_GB2312" w:cs="宋体"/>
          <w:kern w:val="0"/>
          <w:sz w:val="24"/>
          <w:szCs w:val="24"/>
          <w:lang w:eastAsia="zh-CN"/>
        </w:rPr>
      </w:pPr>
    </w:p>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302CC137">
      <w:pPr>
        <w:spacing w:before="117" w:line="219" w:lineRule="auto"/>
        <w:jc w:val="left"/>
        <w:rPr>
          <w:rFonts w:ascii="仿宋_GB2312" w:hAnsi="宋体" w:eastAsia="仿宋_GB2312" w:cs="宋体"/>
          <w:snapToGrid w:val="0"/>
          <w:color w:val="000000"/>
          <w:sz w:val="21"/>
          <w:szCs w:val="21"/>
          <w:lang w:val="en-US" w:eastAsia="zh-CN" w:bidi="ar-SA"/>
        </w:rPr>
      </w:pPr>
    </w:p>
    <w:p w14:paraId="46E96983">
      <w:pPr>
        <w:spacing w:before="117" w:line="219" w:lineRule="auto"/>
        <w:jc w:val="left"/>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彭英</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2025年3月</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0730-5256743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李鲜艳</w:t>
      </w:r>
    </w:p>
    <w:p w14:paraId="431355F9">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1"/>
        <w:gridCol w:w="966"/>
        <w:gridCol w:w="1587"/>
        <w:gridCol w:w="1542"/>
        <w:gridCol w:w="928"/>
        <w:gridCol w:w="1077"/>
        <w:gridCol w:w="853"/>
        <w:gridCol w:w="718"/>
        <w:gridCol w:w="1217"/>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71"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888" w:type="dxa"/>
            <w:gridSpan w:val="8"/>
            <w:vAlign w:val="center"/>
          </w:tcPr>
          <w:p w14:paraId="2318A96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汨罗市总工会</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71"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553" w:type="dxa"/>
            <w:gridSpan w:val="2"/>
            <w:vAlign w:val="center"/>
          </w:tcPr>
          <w:p w14:paraId="7293EDF7">
            <w:pPr>
              <w:spacing w:line="240" w:lineRule="auto"/>
              <w:ind w:firstLine="420"/>
              <w:jc w:val="center"/>
              <w:rPr>
                <w:rFonts w:ascii="仿宋_GB2312" w:eastAsia="仿宋_GB2312"/>
                <w:kern w:val="0"/>
              </w:rPr>
            </w:pPr>
          </w:p>
        </w:tc>
        <w:tc>
          <w:tcPr>
            <w:tcW w:w="1542"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92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077"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853"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18"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217"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71"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553"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542"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327.65</w:t>
            </w:r>
          </w:p>
        </w:tc>
        <w:tc>
          <w:tcPr>
            <w:tcW w:w="928" w:type="dxa"/>
            <w:vAlign w:val="center"/>
          </w:tcPr>
          <w:p w14:paraId="78350D28">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491.72</w:t>
            </w:r>
          </w:p>
        </w:tc>
        <w:tc>
          <w:tcPr>
            <w:tcW w:w="1077" w:type="dxa"/>
            <w:vAlign w:val="center"/>
          </w:tcPr>
          <w:p w14:paraId="5FDA3D24">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491.72</w:t>
            </w:r>
          </w:p>
        </w:tc>
        <w:tc>
          <w:tcPr>
            <w:tcW w:w="853"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718" w:type="dxa"/>
            <w:vAlign w:val="center"/>
          </w:tcPr>
          <w:p w14:paraId="0424998F">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217"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5023"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3865"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5023"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491.72</w:t>
            </w:r>
          </w:p>
        </w:tc>
        <w:tc>
          <w:tcPr>
            <w:tcW w:w="3865"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491.72</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5023" w:type="dxa"/>
            <w:gridSpan w:val="4"/>
            <w:vAlign w:val="center"/>
          </w:tcPr>
          <w:p w14:paraId="1BF65C8A">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3865" w:type="dxa"/>
            <w:gridSpan w:val="4"/>
            <w:vAlign w:val="center"/>
          </w:tcPr>
          <w:p w14:paraId="55BECDEE">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5023"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3865"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5023"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3865"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5023"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865"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5023" w:type="dxa"/>
            <w:gridSpan w:val="4"/>
            <w:vAlign w:val="center"/>
          </w:tcPr>
          <w:p w14:paraId="1ADE467B">
            <w:pPr>
              <w:spacing w:line="240" w:lineRule="auto"/>
              <w:ind w:firstLine="420"/>
              <w:jc w:val="left"/>
              <w:rPr>
                <w:rFonts w:hint="eastAsia" w:ascii="仿宋_GB2312" w:eastAsia="仿宋_GB2312"/>
                <w:kern w:val="0"/>
              </w:rPr>
            </w:pPr>
            <w:r>
              <w:rPr>
                <w:rFonts w:hint="eastAsia" w:ascii="仿宋_GB2312" w:eastAsia="仿宋_GB2312"/>
                <w:kern w:val="0"/>
              </w:rPr>
              <w:t>1.维护职工群众的合法权益，参与劳动关系的协调处理，开展职工安全生产和劳动保护工作，参与重大伤亡事故的调查处理组织实施工会干部的业务培训；</w:t>
            </w:r>
          </w:p>
          <w:p w14:paraId="202A1481">
            <w:pPr>
              <w:spacing w:line="240" w:lineRule="auto"/>
              <w:ind w:firstLine="420"/>
              <w:jc w:val="left"/>
              <w:rPr>
                <w:rFonts w:hint="eastAsia" w:ascii="仿宋_GB2312" w:eastAsia="仿宋_GB2312"/>
                <w:kern w:val="0"/>
              </w:rPr>
            </w:pPr>
            <w:r>
              <w:rPr>
                <w:rFonts w:hint="eastAsia" w:ascii="仿宋_GB2312" w:eastAsia="仿宋_GB2312"/>
                <w:kern w:val="0"/>
              </w:rPr>
              <w:t>2.开展劳动竞赛、合理化建议等活动；</w:t>
            </w:r>
          </w:p>
          <w:p w14:paraId="63D66D3F">
            <w:pPr>
              <w:spacing w:line="240" w:lineRule="auto"/>
              <w:ind w:firstLine="420"/>
              <w:jc w:val="left"/>
              <w:rPr>
                <w:rFonts w:hint="eastAsia" w:ascii="仿宋_GB2312" w:eastAsia="仿宋_GB2312"/>
                <w:kern w:val="0"/>
              </w:rPr>
            </w:pPr>
            <w:r>
              <w:rPr>
                <w:rFonts w:hint="eastAsia" w:ascii="仿宋_GB2312" w:eastAsia="仿宋_GB2312"/>
                <w:kern w:val="0"/>
              </w:rPr>
              <w:t>3.负责会员发展、工会组建等工作；</w:t>
            </w:r>
          </w:p>
          <w:p w14:paraId="5630C8FD">
            <w:pPr>
              <w:spacing w:line="240" w:lineRule="auto"/>
              <w:ind w:firstLine="420"/>
              <w:jc w:val="left"/>
              <w:rPr>
                <w:rFonts w:ascii="仿宋_GB2312" w:eastAsia="仿宋_GB2312"/>
                <w:kern w:val="0"/>
              </w:rPr>
            </w:pPr>
            <w:r>
              <w:rPr>
                <w:rFonts w:hint="eastAsia" w:ascii="仿宋_GB2312" w:eastAsia="仿宋_GB2312"/>
                <w:kern w:val="0"/>
              </w:rPr>
              <w:t>4.做好劳模的推荐、评选和具体负责劳模的日常管理工作。</w:t>
            </w:r>
          </w:p>
        </w:tc>
        <w:tc>
          <w:tcPr>
            <w:tcW w:w="3865" w:type="dxa"/>
            <w:gridSpan w:val="4"/>
            <w:vAlign w:val="center"/>
          </w:tcPr>
          <w:p w14:paraId="156E0DC0">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基本完成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1071"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966"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587"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542"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92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标值</w:t>
            </w:r>
          </w:p>
        </w:tc>
        <w:tc>
          <w:tcPr>
            <w:tcW w:w="1077"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853"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18"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217"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71"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966"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587"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542" w:type="dxa"/>
            <w:vAlign w:val="center"/>
          </w:tcPr>
          <w:p w14:paraId="785EE4B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工会文体活动次数</w:t>
            </w:r>
          </w:p>
        </w:tc>
        <w:tc>
          <w:tcPr>
            <w:tcW w:w="928" w:type="dxa"/>
            <w:vAlign w:val="center"/>
          </w:tcPr>
          <w:p w14:paraId="2A3748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≥2次</w:t>
            </w:r>
          </w:p>
        </w:tc>
        <w:tc>
          <w:tcPr>
            <w:tcW w:w="1077" w:type="dxa"/>
            <w:vAlign w:val="center"/>
          </w:tcPr>
          <w:p w14:paraId="708D788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3次</w:t>
            </w:r>
          </w:p>
        </w:tc>
        <w:tc>
          <w:tcPr>
            <w:tcW w:w="853" w:type="dxa"/>
            <w:vAlign w:val="center"/>
          </w:tcPr>
          <w:p w14:paraId="567F5E5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718" w:type="dxa"/>
            <w:vAlign w:val="center"/>
          </w:tcPr>
          <w:p w14:paraId="2717B7C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217" w:type="dxa"/>
            <w:vAlign w:val="center"/>
          </w:tcPr>
          <w:p w14:paraId="7CF9B186">
            <w:pPr>
              <w:spacing w:line="240" w:lineRule="auto"/>
              <w:ind w:firstLine="420"/>
              <w:jc w:val="center"/>
              <w:rPr>
                <w:rFonts w:ascii="仿宋_GB2312" w:eastAsia="仿宋_GB2312"/>
                <w:kern w:val="0"/>
              </w:rPr>
            </w:pPr>
          </w:p>
        </w:tc>
      </w:tr>
      <w:tr w14:paraId="6A2FF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extDirection w:val="tbRlV"/>
            <w:vAlign w:val="center"/>
          </w:tcPr>
          <w:p w14:paraId="2591BDA2">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4353FD54">
            <w:pPr>
              <w:spacing w:line="240" w:lineRule="auto"/>
              <w:ind w:firstLine="420"/>
              <w:jc w:val="center"/>
              <w:rPr>
                <w:rFonts w:ascii="仿宋_GB2312" w:eastAsia="仿宋_GB2312"/>
                <w:kern w:val="0"/>
              </w:rPr>
            </w:pPr>
          </w:p>
        </w:tc>
        <w:tc>
          <w:tcPr>
            <w:tcW w:w="1587" w:type="dxa"/>
            <w:vMerge w:val="continue"/>
            <w:tcBorders>
              <w:top w:val="nil"/>
            </w:tcBorders>
            <w:vAlign w:val="center"/>
          </w:tcPr>
          <w:p w14:paraId="58B231B1">
            <w:pPr>
              <w:spacing w:line="240" w:lineRule="auto"/>
              <w:ind w:firstLine="420"/>
              <w:jc w:val="center"/>
              <w:rPr>
                <w:rFonts w:ascii="仿宋_GB2312" w:eastAsia="仿宋_GB2312"/>
                <w:kern w:val="0"/>
              </w:rPr>
            </w:pPr>
          </w:p>
        </w:tc>
        <w:tc>
          <w:tcPr>
            <w:tcW w:w="1542" w:type="dxa"/>
            <w:vAlign w:val="center"/>
          </w:tcPr>
          <w:p w14:paraId="4451BC7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技能竞赛</w:t>
            </w:r>
          </w:p>
        </w:tc>
        <w:tc>
          <w:tcPr>
            <w:tcW w:w="928" w:type="dxa"/>
            <w:vAlign w:val="center"/>
          </w:tcPr>
          <w:p w14:paraId="129DA6E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≥1场</w:t>
            </w:r>
          </w:p>
        </w:tc>
        <w:tc>
          <w:tcPr>
            <w:tcW w:w="1077" w:type="dxa"/>
            <w:vAlign w:val="center"/>
          </w:tcPr>
          <w:p w14:paraId="6EE1D72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53" w:type="dxa"/>
            <w:vAlign w:val="center"/>
          </w:tcPr>
          <w:p w14:paraId="655CFC6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718" w:type="dxa"/>
            <w:vAlign w:val="center"/>
          </w:tcPr>
          <w:p w14:paraId="541D297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217" w:type="dxa"/>
            <w:vAlign w:val="center"/>
          </w:tcPr>
          <w:p w14:paraId="77819E4B">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71" w:type="dxa"/>
            <w:vMerge w:val="continue"/>
            <w:textDirection w:val="tbRlV"/>
            <w:vAlign w:val="center"/>
          </w:tcPr>
          <w:p w14:paraId="3E27828B">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587"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542" w:type="dxa"/>
            <w:vAlign w:val="center"/>
          </w:tcPr>
          <w:p w14:paraId="35E485C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补助困难职工人数</w:t>
            </w:r>
          </w:p>
        </w:tc>
        <w:tc>
          <w:tcPr>
            <w:tcW w:w="928" w:type="dxa"/>
            <w:vAlign w:val="center"/>
          </w:tcPr>
          <w:p w14:paraId="15CE1D7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≥1000人</w:t>
            </w:r>
          </w:p>
        </w:tc>
        <w:tc>
          <w:tcPr>
            <w:tcW w:w="1077" w:type="dxa"/>
            <w:vAlign w:val="center"/>
          </w:tcPr>
          <w:p w14:paraId="346D111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1300</w:t>
            </w:r>
          </w:p>
        </w:tc>
        <w:tc>
          <w:tcPr>
            <w:tcW w:w="853" w:type="dxa"/>
            <w:vAlign w:val="center"/>
          </w:tcPr>
          <w:p w14:paraId="4812C5E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718" w:type="dxa"/>
            <w:vAlign w:val="center"/>
          </w:tcPr>
          <w:p w14:paraId="4266548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217"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071" w:type="dxa"/>
            <w:vMerge w:val="continue"/>
            <w:textDirection w:val="tbRlV"/>
            <w:vAlign w:val="center"/>
          </w:tcPr>
          <w:p w14:paraId="22631020">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587"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542" w:type="dxa"/>
            <w:vAlign w:val="center"/>
          </w:tcPr>
          <w:p w14:paraId="10423A4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质量合格率</w:t>
            </w:r>
          </w:p>
        </w:tc>
        <w:tc>
          <w:tcPr>
            <w:tcW w:w="928" w:type="dxa"/>
            <w:vAlign w:val="center"/>
          </w:tcPr>
          <w:p w14:paraId="1A5ADA3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合格</w:t>
            </w:r>
          </w:p>
        </w:tc>
        <w:tc>
          <w:tcPr>
            <w:tcW w:w="1077" w:type="dxa"/>
            <w:vAlign w:val="center"/>
          </w:tcPr>
          <w:p w14:paraId="54075F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合格</w:t>
            </w:r>
          </w:p>
        </w:tc>
        <w:tc>
          <w:tcPr>
            <w:tcW w:w="853" w:type="dxa"/>
            <w:vAlign w:val="center"/>
          </w:tcPr>
          <w:p w14:paraId="5580FC8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718" w:type="dxa"/>
            <w:vAlign w:val="center"/>
          </w:tcPr>
          <w:p w14:paraId="0982B11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217"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071" w:type="dxa"/>
            <w:vMerge w:val="continue"/>
            <w:textDirection w:val="tbRlV"/>
            <w:vAlign w:val="center"/>
          </w:tcPr>
          <w:p w14:paraId="03AF4DA0">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587"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542"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资金给付及时性</w:t>
            </w:r>
          </w:p>
        </w:tc>
        <w:tc>
          <w:tcPr>
            <w:tcW w:w="928" w:type="dxa"/>
            <w:vAlign w:val="center"/>
          </w:tcPr>
          <w:p w14:paraId="479FA5D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 1天</w:t>
            </w:r>
          </w:p>
        </w:tc>
        <w:tc>
          <w:tcPr>
            <w:tcW w:w="1077" w:type="dxa"/>
            <w:vAlign w:val="center"/>
          </w:tcPr>
          <w:p w14:paraId="5C1B34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w:t>
            </w:r>
          </w:p>
        </w:tc>
        <w:tc>
          <w:tcPr>
            <w:tcW w:w="853" w:type="dxa"/>
            <w:vAlign w:val="center"/>
          </w:tcPr>
          <w:p w14:paraId="4C56B99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718" w:type="dxa"/>
            <w:vAlign w:val="center"/>
          </w:tcPr>
          <w:p w14:paraId="5DA3483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217"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71" w:type="dxa"/>
            <w:vMerge w:val="continue"/>
            <w:textDirection w:val="tbRlV"/>
            <w:vAlign w:val="center"/>
          </w:tcPr>
          <w:p w14:paraId="275BB657">
            <w:pPr>
              <w:spacing w:line="240" w:lineRule="auto"/>
              <w:ind w:firstLine="420"/>
              <w:jc w:val="center"/>
              <w:rPr>
                <w:rFonts w:ascii="仿宋_GB2312" w:eastAsia="仿宋_GB2312"/>
                <w:kern w:val="0"/>
              </w:rPr>
            </w:pPr>
          </w:p>
        </w:tc>
        <w:tc>
          <w:tcPr>
            <w:tcW w:w="966"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587"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542" w:type="dxa"/>
            <w:vAlign w:val="center"/>
          </w:tcPr>
          <w:p w14:paraId="3261195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帮扶范围各乡镇覆盖率</w:t>
            </w:r>
          </w:p>
        </w:tc>
        <w:tc>
          <w:tcPr>
            <w:tcW w:w="928" w:type="dxa"/>
            <w:vAlign w:val="center"/>
          </w:tcPr>
          <w:p w14:paraId="078289F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≥90-100%</w:t>
            </w:r>
          </w:p>
        </w:tc>
        <w:tc>
          <w:tcPr>
            <w:tcW w:w="1077" w:type="dxa"/>
            <w:vAlign w:val="center"/>
          </w:tcPr>
          <w:p w14:paraId="7A453B8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93%</w:t>
            </w:r>
          </w:p>
        </w:tc>
        <w:tc>
          <w:tcPr>
            <w:tcW w:w="853" w:type="dxa"/>
            <w:vAlign w:val="center"/>
          </w:tcPr>
          <w:p w14:paraId="415A3F6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718" w:type="dxa"/>
            <w:vAlign w:val="center"/>
          </w:tcPr>
          <w:p w14:paraId="2AC58B9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1217"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71" w:type="dxa"/>
            <w:vMerge w:val="continue"/>
            <w:textDirection w:val="tbRlV"/>
            <w:vAlign w:val="center"/>
          </w:tcPr>
          <w:p w14:paraId="795DEC89">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587"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542" w:type="dxa"/>
            <w:vAlign w:val="center"/>
          </w:tcPr>
          <w:p w14:paraId="50A34D2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劳模帮扶资金到位率</w:t>
            </w:r>
          </w:p>
        </w:tc>
        <w:tc>
          <w:tcPr>
            <w:tcW w:w="928" w:type="dxa"/>
            <w:vAlign w:val="center"/>
          </w:tcPr>
          <w:p w14:paraId="54DB100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≥90-100%</w:t>
            </w:r>
          </w:p>
        </w:tc>
        <w:tc>
          <w:tcPr>
            <w:tcW w:w="1077" w:type="dxa"/>
            <w:vAlign w:val="center"/>
          </w:tcPr>
          <w:p w14:paraId="40D8D4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95%</w:t>
            </w:r>
          </w:p>
        </w:tc>
        <w:tc>
          <w:tcPr>
            <w:tcW w:w="853" w:type="dxa"/>
            <w:vAlign w:val="center"/>
          </w:tcPr>
          <w:p w14:paraId="12404D4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718" w:type="dxa"/>
            <w:vAlign w:val="center"/>
          </w:tcPr>
          <w:p w14:paraId="6DE220A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1217" w:type="dxa"/>
            <w:vAlign w:val="center"/>
          </w:tcPr>
          <w:p w14:paraId="6004A8BA">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71" w:type="dxa"/>
            <w:vMerge w:val="continue"/>
            <w:textDirection w:val="tbRlV"/>
            <w:vAlign w:val="center"/>
          </w:tcPr>
          <w:p w14:paraId="42AFB0D6">
            <w:pPr>
              <w:spacing w:line="240" w:lineRule="auto"/>
              <w:ind w:firstLine="420"/>
              <w:jc w:val="center"/>
              <w:rPr>
                <w:rFonts w:ascii="仿宋_GB2312" w:eastAsia="仿宋_GB2312"/>
                <w:kern w:val="0"/>
              </w:rPr>
            </w:pPr>
          </w:p>
        </w:tc>
        <w:tc>
          <w:tcPr>
            <w:tcW w:w="966"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587"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542" w:type="dxa"/>
            <w:vAlign w:val="center"/>
          </w:tcPr>
          <w:p w14:paraId="4F2AFDD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会员满意度</w:t>
            </w:r>
          </w:p>
        </w:tc>
        <w:tc>
          <w:tcPr>
            <w:tcW w:w="928" w:type="dxa"/>
            <w:vAlign w:val="center"/>
          </w:tcPr>
          <w:p w14:paraId="6ABEB3E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77" w:type="dxa"/>
            <w:vAlign w:val="center"/>
          </w:tcPr>
          <w:p w14:paraId="31B5B32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853" w:type="dxa"/>
            <w:vAlign w:val="center"/>
          </w:tcPr>
          <w:p w14:paraId="41D3F37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718" w:type="dxa"/>
            <w:vAlign w:val="center"/>
          </w:tcPr>
          <w:p w14:paraId="19FFC8C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217"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extDirection w:val="tbRlV"/>
            <w:vAlign w:val="center"/>
          </w:tcPr>
          <w:p w14:paraId="4FFA43AE">
            <w:pPr>
              <w:spacing w:line="240" w:lineRule="auto"/>
              <w:ind w:firstLine="420"/>
              <w:jc w:val="center"/>
              <w:rPr>
                <w:rFonts w:ascii="仿宋_GB2312" w:eastAsia="仿宋_GB2312"/>
                <w:kern w:val="0"/>
              </w:rPr>
            </w:pPr>
          </w:p>
        </w:tc>
        <w:tc>
          <w:tcPr>
            <w:tcW w:w="966"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587"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542" w:type="dxa"/>
            <w:vAlign w:val="center"/>
          </w:tcPr>
          <w:p w14:paraId="767D8AA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劳模满意度</w:t>
            </w:r>
          </w:p>
        </w:tc>
        <w:tc>
          <w:tcPr>
            <w:tcW w:w="928" w:type="dxa"/>
            <w:vAlign w:val="center"/>
          </w:tcPr>
          <w:p w14:paraId="5D1571F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77" w:type="dxa"/>
            <w:vAlign w:val="center"/>
          </w:tcPr>
          <w:p w14:paraId="14AA98D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853" w:type="dxa"/>
            <w:vAlign w:val="center"/>
          </w:tcPr>
          <w:p w14:paraId="45F3183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718" w:type="dxa"/>
            <w:vAlign w:val="center"/>
          </w:tcPr>
          <w:p w14:paraId="3D62FDE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217"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71" w:type="dxa"/>
            <w:vMerge w:val="continue"/>
            <w:textDirection w:val="tbRlV"/>
            <w:vAlign w:val="center"/>
          </w:tcPr>
          <w:p w14:paraId="57573E0B">
            <w:pPr>
              <w:spacing w:line="240" w:lineRule="auto"/>
              <w:ind w:firstLine="420"/>
              <w:jc w:val="center"/>
              <w:rPr>
                <w:rFonts w:ascii="仿宋_GB2312" w:eastAsia="仿宋_GB2312"/>
                <w:kern w:val="0"/>
              </w:rPr>
            </w:pPr>
          </w:p>
        </w:tc>
        <w:tc>
          <w:tcPr>
            <w:tcW w:w="966"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587"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542" w:type="dxa"/>
            <w:vAlign w:val="center"/>
          </w:tcPr>
          <w:p w14:paraId="353ED426">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帮扶对象满意度</w:t>
            </w:r>
          </w:p>
        </w:tc>
        <w:tc>
          <w:tcPr>
            <w:tcW w:w="928" w:type="dxa"/>
            <w:vAlign w:val="center"/>
          </w:tcPr>
          <w:p w14:paraId="3D4C98A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77" w:type="dxa"/>
            <w:vAlign w:val="center"/>
          </w:tcPr>
          <w:p w14:paraId="2FC22B0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853" w:type="dxa"/>
            <w:vAlign w:val="center"/>
          </w:tcPr>
          <w:p w14:paraId="2971108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718" w:type="dxa"/>
            <w:vAlign w:val="center"/>
          </w:tcPr>
          <w:p w14:paraId="7760B7D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217" w:type="dxa"/>
            <w:vAlign w:val="center"/>
          </w:tcPr>
          <w:p w14:paraId="340A98DE">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7171"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853"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718" w:type="dxa"/>
            <w:vAlign w:val="center"/>
          </w:tcPr>
          <w:p w14:paraId="6F45C202">
            <w:pPr>
              <w:spacing w:line="240" w:lineRule="auto"/>
              <w:ind w:firstLine="420"/>
              <w:jc w:val="center"/>
              <w:rPr>
                <w:rFonts w:ascii="仿宋_GB2312" w:eastAsia="仿宋_GB2312"/>
                <w:kern w:val="0"/>
              </w:rPr>
            </w:pPr>
          </w:p>
        </w:tc>
        <w:tc>
          <w:tcPr>
            <w:tcW w:w="1217"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jc w:val="left"/>
        <w:textAlignment w:val="baseline"/>
        <w:rPr>
          <w:rFonts w:hint="default"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彭英</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2025年3月</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0730-5256743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 xml:space="preserve">李鲜艳 </w:t>
      </w:r>
    </w:p>
    <w:p w14:paraId="2E77A132">
      <w:pPr>
        <w:spacing w:line="267" w:lineRule="auto"/>
        <w:ind w:firstLine="552"/>
        <w:jc w:val="both"/>
        <w:rPr>
          <w:rFonts w:hint="eastAsia" w:ascii="宋体" w:hAnsi="宋体" w:eastAsia="宋体" w:cs="宋体"/>
          <w:bCs/>
          <w:spacing w:val="-4"/>
          <w:kern w:val="0"/>
          <w:sz w:val="28"/>
          <w:szCs w:val="28"/>
          <w:lang w:eastAsia="zh-CN"/>
        </w:rPr>
      </w:pPr>
    </w:p>
    <w:p w14:paraId="477BA15F">
      <w:pPr>
        <w:spacing w:line="267" w:lineRule="auto"/>
        <w:ind w:firstLine="552"/>
        <w:jc w:val="both"/>
        <w:rPr>
          <w:rFonts w:hint="eastAsia" w:ascii="宋体" w:hAnsi="宋体" w:eastAsia="宋体" w:cs="宋体"/>
          <w:bCs/>
          <w:spacing w:val="-4"/>
          <w:kern w:val="0"/>
          <w:sz w:val="28"/>
          <w:szCs w:val="28"/>
          <w:lang w:eastAsia="zh-CN"/>
        </w:rPr>
      </w:pPr>
    </w:p>
    <w:p w14:paraId="0054BC26">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bookmarkStart w:id="0" w:name="_GoBack"/>
      <w:bookmarkEnd w:id="0"/>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31DDBA66">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年度汨罗市总工会部门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u w:val="none"/>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none"/>
          <w:lang w:val="en-US" w:eastAsia="zh-CN" w:bidi="ar-SA"/>
        </w:rPr>
        <w:t>汨罗市总工会（盖章)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3</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26</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汨罗市总工会</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4BAB2E1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7596976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default"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 xml:space="preserve"> </w:t>
      </w:r>
      <w:r>
        <w:rPr>
          <w:rFonts w:hint="eastAsia" w:ascii="仿宋" w:hAnsi="仿宋" w:eastAsia="仿宋" w:cs="仿宋"/>
          <w:color w:val="auto"/>
          <w:kern w:val="0"/>
          <w:sz w:val="32"/>
          <w:szCs w:val="32"/>
        </w:rPr>
        <w:t>（一）职能职责</w:t>
      </w:r>
    </w:p>
    <w:p w14:paraId="3A75BA7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市总工会是市委领导的职工自愿结合的工人阶级群众组织，是党联系职工群众的桥梁和纽带，是全市各级工会组织的领导机关。其主要职责是：</w:t>
      </w:r>
    </w:p>
    <w:p w14:paraId="2C9E52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1、根据党的基本理论、基本路线、基本纲领和工运方针，围绕全市工作大局和市总工会工作部署，贯彻执行市工会代表大会和全委会议确定的任务与作出的决定。</w:t>
      </w:r>
    </w:p>
    <w:p w14:paraId="3F4CED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2、依照法律和《中国工会章程》，组织和指导全市各级工会坚定不移地贯彻党的全心全意依靠工人阶级的根本指导方针，进一步突出和履行维护职能。</w:t>
      </w:r>
    </w:p>
    <w:p w14:paraId="133109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对有关职工合法权益的重大问题进行调查研究，向市委、市政府反映职工群众的思想、愿望和要求，提出意见和建议;参与涉及职工切身利益的政策、措施、制度的拟定工作;参与职工重大伤亡事故的调查处理;坚持与政府的联席(联系)会议制度。协助市政府实施“送温暖工程”。</w:t>
      </w:r>
    </w:p>
    <w:p w14:paraId="213F8C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4、研究指导工会的自身改革和建，指导全市各级工会组织开展以职工代表大会为基本制度的民主选举、民主决策、民主管理和民主监督工作，推动建立平等协商、集体合同制度和监督保证机制工作。</w:t>
      </w:r>
    </w:p>
    <w:p w14:paraId="43E4DC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5、协助市委和各级党组织做好工会干部管理工作;制定和组织实施全市工会干部培训规划。</w:t>
      </w:r>
    </w:p>
    <w:p w14:paraId="57F513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6、根据市政府委托，与有关部门共同做好劳动模范和先进生产(工作)者的推荐、评选、表彰和管理工作。负责全国、省级“五一”劳动奖章、奖状获得者的评选、表彰和管理工作。</w:t>
      </w:r>
    </w:p>
    <w:p w14:paraId="0B8FBF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7、负责工会经费和工会资产的管理、审查、审计工作。</w:t>
      </w:r>
    </w:p>
    <w:p w14:paraId="5B2BDB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8、承担市委、市政府交办的其它事项。</w:t>
      </w:r>
    </w:p>
    <w:p w14:paraId="13CC0E92">
      <w:pPr>
        <w:widowControl/>
        <w:numPr>
          <w:ilvl w:val="0"/>
          <w:numId w:val="2"/>
        </w:numPr>
        <w:snapToGrid w:val="0"/>
        <w:spacing w:line="540" w:lineRule="exact"/>
        <w:ind w:firstLine="640" w:firstLineChars="200"/>
        <w:jc w:val="left"/>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 xml:space="preserve">机构设置 </w:t>
      </w:r>
    </w:p>
    <w:p w14:paraId="2225D2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总工会机关内设办公室、组宣部、基层工作部、女职工部、财务资产部、劳动和经济服务部、经审办、职工服务中心。下设二级机构：汨罗市工人文化宫。 </w:t>
      </w:r>
    </w:p>
    <w:p w14:paraId="4BED3407">
      <w:pPr>
        <w:numPr>
          <w:ilvl w:val="0"/>
          <w:numId w:val="1"/>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一般公共预算支出情况</w:t>
      </w:r>
    </w:p>
    <w:p w14:paraId="09CAE3A7">
      <w:pPr>
        <w:numPr>
          <w:ilvl w:val="0"/>
          <w:numId w:val="0"/>
        </w:numPr>
        <w:spacing w:line="600" w:lineRule="exact"/>
        <w:ind w:firstLine="640" w:firstLineChars="200"/>
        <w:jc w:val="left"/>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（一）基本支出情况</w:t>
      </w:r>
    </w:p>
    <w:p w14:paraId="3EB52BB7">
      <w:pPr>
        <w:numPr>
          <w:ilvl w:val="0"/>
          <w:numId w:val="0"/>
        </w:numPr>
        <w:spacing w:line="600" w:lineRule="exact"/>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2024年本部门基本支出</w:t>
      </w:r>
      <w:r>
        <w:rPr>
          <w:rFonts w:hint="eastAsia" w:ascii="仿宋" w:hAnsi="仿宋" w:eastAsia="仿宋" w:cs="仿宋"/>
          <w:color w:val="000000"/>
          <w:kern w:val="0"/>
          <w:sz w:val="32"/>
          <w:szCs w:val="32"/>
          <w:lang w:val="en-US" w:eastAsia="zh-CN" w:bidi="ar-SA"/>
        </w:rPr>
        <w:t>491.72</w:t>
      </w:r>
      <w:r>
        <w:rPr>
          <w:rFonts w:hint="eastAsia" w:ascii="仿宋" w:hAnsi="仿宋" w:eastAsia="仿宋" w:cs="仿宋"/>
          <w:color w:val="000000"/>
          <w:kern w:val="0"/>
          <w:sz w:val="32"/>
          <w:szCs w:val="32"/>
          <w:lang w:val="en-US" w:eastAsia="zh-CN"/>
        </w:rPr>
        <w:t>万元，主要是为保障部门正常运转、完成日常工作任务而发生的各项支出，包括工资福利支出，主要用于基本工资、津贴补贴、奖金等人员经费；商品和服务支出，主要用于办公费、印刷费、手续费、差旅费、水电费、公务接待费等公用经费；对个人和家庭的补助，主要用于退休费、奖励金、医疗费补助等；资本性支出，主要用于办公设备的购置。</w:t>
      </w:r>
    </w:p>
    <w:p w14:paraId="00657FCB">
      <w:pPr>
        <w:pStyle w:val="10"/>
        <w:numPr>
          <w:ilvl w:val="0"/>
          <w:numId w:val="2"/>
        </w:numPr>
        <w:spacing w:line="600" w:lineRule="exact"/>
        <w:ind w:left="0" w:leftChars="0"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7A29915C">
      <w:pPr>
        <w:widowControl/>
        <w:numPr>
          <w:ilvl w:val="0"/>
          <w:numId w:val="0"/>
        </w:numPr>
        <w:snapToGrid w:val="0"/>
        <w:spacing w:line="540" w:lineRule="exact"/>
        <w:ind w:firstLine="640" w:firstLineChars="200"/>
        <w:jc w:val="left"/>
        <w:rPr>
          <w:rFonts w:hint="eastAsia" w:ascii="Times New Roman" w:hAnsi="Times New Roman" w:eastAsia="仿宋_GB2312"/>
          <w:kern w:val="0"/>
          <w:sz w:val="32"/>
          <w:szCs w:val="32"/>
          <w:lang w:eastAsia="zh-CN"/>
        </w:rPr>
      </w:pPr>
      <w:r>
        <w:rPr>
          <w:rFonts w:hint="eastAsia" w:ascii="仿宋" w:hAnsi="仿宋" w:eastAsia="仿宋" w:cs="仿宋"/>
          <w:kern w:val="2"/>
          <w:sz w:val="32"/>
          <w:szCs w:val="32"/>
          <w:lang w:val="en-US" w:eastAsia="zh-CN" w:bidi="ar-SA"/>
        </w:rPr>
        <w:t>2024年本部门无项目</w:t>
      </w:r>
      <w:r>
        <w:rPr>
          <w:rFonts w:hint="eastAsia" w:ascii="仿宋" w:hAnsi="仿宋" w:eastAsia="仿宋" w:cs="仿宋"/>
          <w:b w:val="0"/>
          <w:bCs w:val="0"/>
          <w:kern w:val="2"/>
          <w:sz w:val="32"/>
          <w:szCs w:val="32"/>
          <w:lang w:val="en-US" w:eastAsia="zh-CN" w:bidi="ar-SA"/>
        </w:rPr>
        <w:t>支出。</w:t>
      </w:r>
    </w:p>
    <w:p w14:paraId="516D3C52">
      <w:pPr>
        <w:numPr>
          <w:ilvl w:val="0"/>
          <w:numId w:val="1"/>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政府性基金预算支出情况</w:t>
      </w:r>
    </w:p>
    <w:p w14:paraId="1ADCCC59">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本单位未安排政府性基金预算支出。</w:t>
      </w:r>
    </w:p>
    <w:p w14:paraId="2A755169">
      <w:pPr>
        <w:numPr>
          <w:ilvl w:val="0"/>
          <w:numId w:val="1"/>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2C067E7D">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本单位未安排国有资本经</w:t>
      </w:r>
      <w:r>
        <w:rPr>
          <w:rFonts w:hint="eastAsia" w:ascii="楷体" w:hAnsi="楷体" w:eastAsia="楷体" w:cs="楷体"/>
          <w:color w:val="000000"/>
          <w:kern w:val="0"/>
          <w:sz w:val="32"/>
          <w:szCs w:val="32"/>
          <w:lang w:val="en-US" w:eastAsia="zh-CN"/>
        </w:rPr>
        <w:t>营</w:t>
      </w:r>
      <w:r>
        <w:rPr>
          <w:rFonts w:hint="eastAsia" w:ascii="仿宋" w:hAnsi="仿宋" w:eastAsia="仿宋" w:cs="仿宋"/>
          <w:color w:val="000000"/>
          <w:kern w:val="0"/>
          <w:sz w:val="32"/>
          <w:szCs w:val="32"/>
          <w:lang w:val="en-US" w:eastAsia="zh-CN"/>
        </w:rPr>
        <w:t>预算支出。</w:t>
      </w:r>
    </w:p>
    <w:p w14:paraId="07F1EBC0">
      <w:pPr>
        <w:numPr>
          <w:ilvl w:val="0"/>
          <w:numId w:val="1"/>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1C148278">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本单位未安排社会保险基金预算支出。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71683880">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（一）整体</w:t>
      </w:r>
      <w:r>
        <w:rPr>
          <w:rFonts w:hint="eastAsia" w:ascii="仿宋" w:hAnsi="仿宋" w:eastAsia="仿宋" w:cs="仿宋"/>
          <w:color w:val="000000"/>
          <w:sz w:val="32"/>
          <w:szCs w:val="32"/>
        </w:rPr>
        <w:t>绩效目标设置情况。</w:t>
      </w:r>
    </w:p>
    <w:p w14:paraId="065C638E">
      <w:pPr>
        <w:widowControl/>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1.维护职工群众的合法权益，参与劳动关系的协调处理，开展职工安全生产和劳动保护工作，参与重大伤亡事故的调查处理组织实施工会干部的业务培训；</w:t>
      </w:r>
    </w:p>
    <w:p w14:paraId="74A340A4">
      <w:pPr>
        <w:widowControl/>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2.开展劳动竞赛、合理化建议等活动；</w:t>
      </w:r>
    </w:p>
    <w:p w14:paraId="05F62CF3">
      <w:pPr>
        <w:widowControl/>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3.负责会员发展、工会组建等工作；</w:t>
      </w:r>
    </w:p>
    <w:p w14:paraId="697E237A">
      <w:pPr>
        <w:widowControl/>
        <w:numPr>
          <w:ilvl w:val="0"/>
          <w:numId w:val="0"/>
        </w:numPr>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4.做好劳模的推荐、评选和具体负责劳模的日常管理工作。</w:t>
      </w:r>
    </w:p>
    <w:p w14:paraId="08B77675">
      <w:pPr>
        <w:widowControl/>
        <w:numPr>
          <w:ilvl w:val="0"/>
          <w:numId w:val="0"/>
        </w:numPr>
        <w:snapToGrid w:val="0"/>
        <w:spacing w:line="540" w:lineRule="exact"/>
        <w:ind w:left="479" w:leftChars="228" w:firstLine="0" w:firstLineChars="0"/>
        <w:jc w:val="left"/>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（二）</w:t>
      </w:r>
      <w:r>
        <w:rPr>
          <w:rFonts w:hint="eastAsia" w:ascii="仿宋" w:hAnsi="仿宋" w:eastAsia="仿宋" w:cs="仿宋"/>
          <w:color w:val="000000"/>
          <w:sz w:val="32"/>
          <w:szCs w:val="32"/>
          <w:lang w:eastAsia="zh-CN"/>
        </w:rPr>
        <w:t>整体</w:t>
      </w:r>
      <w:r>
        <w:rPr>
          <w:rFonts w:hint="eastAsia" w:ascii="仿宋" w:hAnsi="仿宋" w:eastAsia="仿宋" w:cs="仿宋"/>
          <w:color w:val="000000"/>
          <w:sz w:val="32"/>
          <w:szCs w:val="32"/>
        </w:rPr>
        <w:t>绩效目标完成情况。</w:t>
      </w:r>
    </w:p>
    <w:p w14:paraId="4BBCB86E">
      <w:pPr>
        <w:widowControl/>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新建基层工会组织数量、发展新会员数量、创建模范职工之家数量等‌</w:t>
      </w:r>
      <w:r>
        <w:rPr>
          <w:rFonts w:hint="default" w:ascii="仿宋" w:hAnsi="仿宋" w:eastAsia="仿宋" w:cs="仿宋"/>
          <w:color w:val="auto"/>
          <w:sz w:val="32"/>
          <w:szCs w:val="32"/>
        </w:rPr>
        <w:t>。发放困难职工帮扶资金、开展集体协商指导、调解劳动关系等。加强职工思想政治引领、推动工会组织覆盖、参与社会治理等</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w:t>
      </w:r>
    </w:p>
    <w:p w14:paraId="2EC1F3B8">
      <w:pPr>
        <w:pStyle w:val="10"/>
        <w:widowControl/>
        <w:numPr>
          <w:ilvl w:val="0"/>
          <w:numId w:val="0"/>
        </w:numPr>
        <w:spacing w:line="540" w:lineRule="exact"/>
        <w:ind w:firstLine="640" w:firstLineChars="200"/>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9811DBC">
      <w:pPr>
        <w:pStyle w:val="10"/>
        <w:widowControl/>
        <w:numPr>
          <w:ilvl w:val="0"/>
          <w:numId w:val="0"/>
        </w:numPr>
        <w:spacing w:line="540" w:lineRule="exact"/>
        <w:ind w:firstLine="640" w:firstLineChars="200"/>
        <w:rPr>
          <w:rFonts w:ascii="方正黑体_GBK" w:eastAsia="方正黑体_GBK"/>
          <w:kern w:val="0"/>
          <w:sz w:val="32"/>
          <w:szCs w:val="32"/>
          <w:lang w:eastAsia="zh-CN"/>
        </w:rPr>
      </w:pPr>
      <w:r>
        <w:rPr>
          <w:rFonts w:hint="eastAsia" w:ascii="仿宋" w:hAnsi="仿宋" w:eastAsia="仿宋" w:cs="仿宋"/>
          <w:kern w:val="2"/>
          <w:sz w:val="32"/>
          <w:szCs w:val="32"/>
          <w:lang w:val="en-US" w:eastAsia="zh-CN" w:bidi="ar-SA"/>
        </w:rPr>
        <w:t>当前本单位财政仍然面临着不少困难和问题。主要表现在：一是预算执行不够均衡。目前，预算支出执行进度不均衡，个别项目支出安排不够准确，部分项目前期准备不够充分；二是部分财政专项资金的使用效益不高。在支出规模扩大、保障范围拓展的情况下，监管力量不足，造成资金使用的效益较低。</w:t>
      </w:r>
    </w:p>
    <w:p w14:paraId="21E6073D">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671EFB5A">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1.加强组织领导，完善工作机制，大力推进改革创新，全面提高办学质量，落实经济社会</w:t>
      </w:r>
      <w:r>
        <w:rPr>
          <w:rFonts w:hint="eastAsia" w:ascii="仿宋" w:hAnsi="仿宋" w:eastAsia="仿宋" w:cs="仿宋"/>
          <w:sz w:val="32"/>
          <w:szCs w:val="32"/>
          <w:lang w:val="en-US" w:eastAsia="zh-CN"/>
        </w:rPr>
        <w:t>需要</w:t>
      </w:r>
      <w:r>
        <w:rPr>
          <w:rFonts w:hint="eastAsia" w:ascii="仿宋" w:hAnsi="仿宋" w:eastAsia="仿宋" w:cs="仿宋"/>
          <w:sz w:val="32"/>
          <w:szCs w:val="32"/>
        </w:rPr>
        <w:t>。</w:t>
      </w:r>
    </w:p>
    <w:p w14:paraId="1309DEC6">
      <w:pPr>
        <w:widowControl/>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rPr>
        <w:t>2.加强管理，做好基础工作，进一步完善信息管理系统，</w:t>
      </w:r>
      <w:r>
        <w:rPr>
          <w:rFonts w:hint="eastAsia" w:ascii="仿宋" w:hAnsi="仿宋" w:eastAsia="仿宋" w:cs="仿宋"/>
          <w:sz w:val="32"/>
          <w:szCs w:val="32"/>
          <w:lang w:val="en-US" w:eastAsia="zh-CN"/>
        </w:rPr>
        <w:t>为单位</w:t>
      </w:r>
      <w:r>
        <w:rPr>
          <w:rFonts w:hint="eastAsia" w:ascii="仿宋" w:hAnsi="仿宋" w:eastAsia="仿宋" w:cs="仿宋"/>
          <w:sz w:val="32"/>
          <w:szCs w:val="32"/>
          <w:highlight w:val="none"/>
          <w:lang w:val="en-US" w:eastAsia="zh-CN"/>
        </w:rPr>
        <w:t>运行稳定保驾护航</w:t>
      </w:r>
      <w:r>
        <w:rPr>
          <w:rFonts w:hint="eastAsia" w:ascii="仿宋" w:hAnsi="仿宋" w:eastAsia="仿宋" w:cs="仿宋"/>
          <w:sz w:val="32"/>
          <w:szCs w:val="32"/>
          <w:highlight w:val="none"/>
        </w:rPr>
        <w:t>。</w:t>
      </w:r>
    </w:p>
    <w:p w14:paraId="54AD7FB0">
      <w:pPr>
        <w:pStyle w:val="10"/>
        <w:widowControl/>
        <w:numPr>
          <w:ilvl w:val="0"/>
          <w:numId w:val="0"/>
        </w:numPr>
        <w:spacing w:line="54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sz w:val="32"/>
          <w:szCs w:val="32"/>
          <w:highlight w:val="none"/>
        </w:rPr>
        <w:t>3.落实经费责任，强化资金管理，提高专项资金专款专用意识，规范使用，确保资金安全有效</w:t>
      </w:r>
      <w:r>
        <w:rPr>
          <w:rFonts w:hint="eastAsia" w:ascii="仿宋" w:hAnsi="仿宋" w:eastAsia="仿宋" w:cs="仿宋"/>
          <w:sz w:val="32"/>
          <w:szCs w:val="32"/>
          <w:highlight w:val="none"/>
          <w:lang w:eastAsia="zh-CN"/>
        </w:rPr>
        <w:t>；</w:t>
      </w:r>
      <w:r>
        <w:rPr>
          <w:rFonts w:hint="eastAsia" w:ascii="仿宋" w:hAnsi="仿宋" w:eastAsia="仿宋" w:cs="仿宋"/>
          <w:color w:val="auto"/>
          <w:kern w:val="2"/>
          <w:sz w:val="32"/>
          <w:szCs w:val="32"/>
          <w:lang w:val="en-US" w:eastAsia="zh-CN" w:bidi="ar-SA"/>
        </w:rPr>
        <w:t>整合监管力量，创新监管方式，提高财政资金的使用效率。</w:t>
      </w:r>
    </w:p>
    <w:p w14:paraId="37ACA1CA">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370338C3">
      <w:pPr>
        <w:spacing w:line="60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2024</w:t>
      </w:r>
      <w:r>
        <w:rPr>
          <w:rFonts w:hint="eastAsia" w:ascii="仿宋" w:hAnsi="仿宋" w:eastAsia="仿宋" w:cs="仿宋"/>
          <w:color w:val="000000"/>
          <w:sz w:val="32"/>
          <w:szCs w:val="32"/>
        </w:rPr>
        <w:t>年度按照《预算法》和政府信息公开有关规定在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公开相关预决算信息，用以反映单位预决算管理的公开透明情况:在</w:t>
      </w:r>
      <w:r>
        <w:rPr>
          <w:rFonts w:hint="eastAsia" w:ascii="仿宋" w:hAnsi="仿宋" w:eastAsia="仿宋" w:cs="仿宋"/>
          <w:color w:val="000000"/>
          <w:sz w:val="32"/>
          <w:szCs w:val="32"/>
          <w:lang w:val="en-US" w:eastAsia="zh-CN"/>
        </w:rPr>
        <w:t>2024</w:t>
      </w:r>
      <w:r>
        <w:rPr>
          <w:rFonts w:hint="eastAsia" w:ascii="仿宋" w:hAnsi="仿宋" w:eastAsia="仿宋" w:cs="仿宋"/>
          <w:color w:val="000000"/>
          <w:sz w:val="32"/>
          <w:szCs w:val="32"/>
        </w:rPr>
        <w:t>年度按照绩效目标批复要求在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公开绩效目标;被评价年度按绩效自评规定在单位门户网站或其他渠道公开自评材料，用以反映单位公开的自评材料的真实、及时、透明情况。</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4EB84472">
      <w:pPr>
        <w:spacing w:line="600" w:lineRule="exact"/>
        <w:ind w:firstLine="640" w:firstLineChars="200"/>
        <w:rPr>
          <w:rFonts w:eastAsia="仿宋_GB2312"/>
          <w:kern w:val="0"/>
          <w:sz w:val="32"/>
          <w:szCs w:val="32"/>
          <w:lang w:eastAsia="zh-CN"/>
        </w:rPr>
      </w:pPr>
      <w:r>
        <w:rPr>
          <w:rFonts w:hint="eastAsia" w:ascii="仿宋" w:hAnsi="仿宋" w:eastAsia="仿宋" w:cs="仿宋"/>
          <w:sz w:val="32"/>
          <w:szCs w:val="32"/>
          <w:lang w:val="en-US" w:eastAsia="zh-CN"/>
        </w:rPr>
        <w:t>无</w:t>
      </w:r>
      <w:r>
        <w:rPr>
          <w:rFonts w:hint="eastAsia" w:ascii="仿宋" w:hAnsi="仿宋" w:eastAsia="仿宋" w:cs="仿宋"/>
          <w:sz w:val="32"/>
          <w:szCs w:val="32"/>
        </w:rPr>
        <w:t>。</w:t>
      </w:r>
    </w:p>
    <w:p w14:paraId="44EC59B4">
      <w:pPr>
        <w:spacing w:line="600" w:lineRule="exact"/>
        <w:ind w:firstLine="640" w:firstLineChars="200"/>
        <w:jc w:val="both"/>
        <w:rPr>
          <w:rFonts w:hint="eastAsia"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w:t>
      </w:r>
      <w:r>
        <w:rPr>
          <w:rFonts w:hint="eastAsia" w:ascii="楷体" w:hAnsi="楷体" w:eastAsia="楷体" w:cs="楷体"/>
          <w:kern w:val="0"/>
          <w:sz w:val="32"/>
          <w:szCs w:val="32"/>
          <w:lang w:eastAsia="zh-CN"/>
        </w:rPr>
        <w:t>营</w:t>
      </w:r>
      <w:r>
        <w:rPr>
          <w:rFonts w:hint="eastAsia" w:eastAsia="仿宋_GB2312"/>
          <w:kern w:val="0"/>
          <w:sz w:val="32"/>
          <w:szCs w:val="32"/>
          <w:lang w:eastAsia="zh-CN"/>
        </w:rPr>
        <w:t>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18C27175">
      <w:pPr>
        <w:spacing w:line="600" w:lineRule="exact"/>
        <w:jc w:val="both"/>
        <w:rPr>
          <w:rFonts w:hint="eastAsia" w:eastAsia="仿宋_GB2312"/>
          <w:kern w:val="0"/>
          <w:sz w:val="32"/>
          <w:szCs w:val="32"/>
          <w:lang w:eastAsia="zh-CN"/>
        </w:rPr>
      </w:pPr>
    </w:p>
    <w:p w14:paraId="5B053217">
      <w:pPr>
        <w:spacing w:line="600" w:lineRule="exact"/>
        <w:jc w:val="both"/>
        <w:rPr>
          <w:rFonts w:hint="eastAsia" w:eastAsia="仿宋_GB2312"/>
          <w:kern w:val="0"/>
          <w:sz w:val="32"/>
          <w:szCs w:val="32"/>
          <w:lang w:eastAsia="zh-CN"/>
        </w:rPr>
      </w:pPr>
    </w:p>
    <w:p w14:paraId="4EC8C4B6">
      <w:pPr>
        <w:spacing w:line="267" w:lineRule="auto"/>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总工会</w:t>
      </w:r>
      <w:r>
        <w:rPr>
          <w:rFonts w:ascii="黑体" w:hAnsi="黑体" w:eastAsia="黑体" w:cs="黑体"/>
          <w:spacing w:val="15"/>
          <w:position w:val="10"/>
          <w:sz w:val="42"/>
          <w:szCs w:val="42"/>
        </w:rPr>
        <w:t xml:space="preserve"> 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jc w:val="both"/>
        <w:rPr>
          <w:rFonts w:ascii="Arial"/>
          <w:sz w:val="21"/>
        </w:rPr>
      </w:pPr>
    </w:p>
    <w:p w14:paraId="05C1AC58">
      <w:pPr>
        <w:pStyle w:val="2"/>
        <w:spacing w:before="89" w:line="221" w:lineRule="auto"/>
        <w:ind w:left="2270"/>
        <w:jc w:val="both"/>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汨罗市总工会</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6B80A16B">
      <w:pPr>
        <w:pStyle w:val="2"/>
        <w:spacing w:before="289" w:line="610" w:lineRule="exact"/>
        <w:ind w:left="3490"/>
        <w:jc w:val="both"/>
        <w:rPr>
          <w:sz w:val="27"/>
          <w:szCs w:val="27"/>
        </w:rPr>
      </w:pPr>
      <w:r>
        <w:rPr>
          <w:rFonts w:hint="eastAsia"/>
          <w:spacing w:val="-13"/>
          <w:position w:val="26"/>
          <w:sz w:val="27"/>
          <w:szCs w:val="27"/>
          <w:lang w:val="en-US" w:eastAsia="zh-CN"/>
        </w:rPr>
        <w:t>2025</w:t>
      </w:r>
      <w:r>
        <w:rPr>
          <w:spacing w:val="-13"/>
          <w:position w:val="26"/>
          <w:sz w:val="27"/>
          <w:szCs w:val="27"/>
        </w:rPr>
        <w:t>年</w:t>
      </w:r>
      <w:r>
        <w:rPr>
          <w:rFonts w:hint="eastAsia"/>
          <w:spacing w:val="-13"/>
          <w:position w:val="26"/>
          <w:sz w:val="27"/>
          <w:szCs w:val="27"/>
          <w:lang w:val="en-US" w:eastAsia="zh-CN"/>
        </w:rPr>
        <w:t>03</w:t>
      </w:r>
      <w:r>
        <w:rPr>
          <w:spacing w:val="-13"/>
          <w:position w:val="26"/>
          <w:sz w:val="27"/>
          <w:szCs w:val="27"/>
        </w:rPr>
        <w:t>月</w:t>
      </w:r>
      <w:r>
        <w:rPr>
          <w:rFonts w:hint="eastAsia"/>
          <w:spacing w:val="-13"/>
          <w:position w:val="26"/>
          <w:sz w:val="27"/>
          <w:szCs w:val="27"/>
          <w:lang w:val="en-US" w:eastAsia="zh-CN"/>
        </w:rPr>
        <w:t>26</w:t>
      </w:r>
      <w:r>
        <w:rPr>
          <w:spacing w:val="-13"/>
          <w:position w:val="26"/>
          <w:sz w:val="27"/>
          <w:szCs w:val="27"/>
        </w:rPr>
        <w:t>日</w:t>
      </w:r>
    </w:p>
    <w:p w14:paraId="7715D00C">
      <w:pPr>
        <w:pStyle w:val="2"/>
        <w:spacing w:before="1" w:line="223" w:lineRule="auto"/>
        <w:ind w:left="3560"/>
        <w:jc w:val="both"/>
        <w:rPr>
          <w:sz w:val="24"/>
          <w:szCs w:val="24"/>
        </w:rPr>
      </w:pPr>
      <w:r>
        <w:rPr>
          <w:spacing w:val="7"/>
          <w:sz w:val="24"/>
          <w:szCs w:val="24"/>
        </w:rPr>
        <w:t>(此面为封面)</w:t>
      </w:r>
    </w:p>
    <w:p w14:paraId="6993DA0D">
      <w:pPr>
        <w:spacing w:line="223" w:lineRule="auto"/>
        <w:jc w:val="both"/>
        <w:rPr>
          <w:sz w:val="24"/>
          <w:szCs w:val="24"/>
        </w:rPr>
        <w:sectPr>
          <w:footerReference r:id="rId5"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1B21C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F26E52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rPr>
      </w:pPr>
      <w:r>
        <w:rPr>
          <w:rFonts w:ascii="黑体" w:hAnsi="黑体" w:eastAsia="黑体" w:cs="黑体"/>
          <w:b/>
          <w:bCs/>
          <w:spacing w:val="-15"/>
          <w:sz w:val="31"/>
          <w:szCs w:val="31"/>
        </w:rPr>
        <w:t>七、其他需要说明的问题</w:t>
      </w:r>
      <w:r>
        <w:rPr>
          <w:rFonts w:hint="eastAsia" w:ascii="黑体" w:hAnsi="黑体" w:eastAsia="黑体" w:cs="黑体"/>
          <w:b/>
          <w:bCs/>
          <w:spacing w:val="-15"/>
          <w:sz w:val="31"/>
          <w:szCs w:val="31"/>
        </w:rPr>
        <w:t>劳模管理工作项目支出绩效自评报告</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sectPr>
      <w:footerReference r:id="rId6"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19AFA"/>
    <w:multiLevelType w:val="singleLevel"/>
    <w:tmpl w:val="EAB19AFA"/>
    <w:lvl w:ilvl="0" w:tentative="0">
      <w:start w:val="1"/>
      <w:numFmt w:val="chineseCounting"/>
      <w:suff w:val="nothing"/>
      <w:lvlText w:val="%1、"/>
      <w:lvlJc w:val="left"/>
      <w:rPr>
        <w:rFonts w:hint="eastAsia"/>
      </w:rPr>
    </w:lvl>
  </w:abstractNum>
  <w:abstractNum w:abstractNumId="1">
    <w:nsid w:val="15A98D43"/>
    <w:multiLevelType w:val="singleLevel"/>
    <w:tmpl w:val="15A98D43"/>
    <w:lvl w:ilvl="0" w:tentative="0">
      <w:start w:val="8"/>
      <w:numFmt w:val="chineseCounting"/>
      <w:suff w:val="nothing"/>
      <w:lvlText w:val="%1、"/>
      <w:lvlJc w:val="left"/>
      <w:rPr>
        <w:rFonts w:hint="eastAsia"/>
      </w:rPr>
    </w:lvl>
  </w:abstractNum>
  <w:abstractNum w:abstractNumId="2">
    <w:nsid w:val="2E9A9FE2"/>
    <w:multiLevelType w:val="singleLevel"/>
    <w:tmpl w:val="2E9A9FE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FmNDhhOTE2M2IyMTA4YzllOTZmNmY4MjFjYzE5NTUifQ=="/>
  </w:docVars>
  <w:rsids>
    <w:rsidRoot w:val="00000000"/>
    <w:rsid w:val="01AF3811"/>
    <w:rsid w:val="03795BF7"/>
    <w:rsid w:val="05794DBE"/>
    <w:rsid w:val="086E756B"/>
    <w:rsid w:val="0ACF37E5"/>
    <w:rsid w:val="0B400BC6"/>
    <w:rsid w:val="0E68228D"/>
    <w:rsid w:val="0EA6787F"/>
    <w:rsid w:val="0FC447DF"/>
    <w:rsid w:val="15276E52"/>
    <w:rsid w:val="16B30EDF"/>
    <w:rsid w:val="18187EE4"/>
    <w:rsid w:val="19D32FBC"/>
    <w:rsid w:val="1E6A4395"/>
    <w:rsid w:val="25557A3D"/>
    <w:rsid w:val="26EA5ED7"/>
    <w:rsid w:val="27A93B82"/>
    <w:rsid w:val="2AE00186"/>
    <w:rsid w:val="308216BE"/>
    <w:rsid w:val="34FE1149"/>
    <w:rsid w:val="3A550786"/>
    <w:rsid w:val="3B7A130F"/>
    <w:rsid w:val="43313E02"/>
    <w:rsid w:val="43994F1E"/>
    <w:rsid w:val="46E34FBE"/>
    <w:rsid w:val="494A1329"/>
    <w:rsid w:val="4ACD1DB8"/>
    <w:rsid w:val="4F8B6063"/>
    <w:rsid w:val="52FA3F96"/>
    <w:rsid w:val="55850F17"/>
    <w:rsid w:val="57AE6D93"/>
    <w:rsid w:val="5A766D6B"/>
    <w:rsid w:val="5CC15025"/>
    <w:rsid w:val="5E873A63"/>
    <w:rsid w:val="5FB623A7"/>
    <w:rsid w:val="63E746FB"/>
    <w:rsid w:val="6E3851B0"/>
    <w:rsid w:val="6F6567EB"/>
    <w:rsid w:val="76AB13F3"/>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3591</Words>
  <Characters>3903</Characters>
  <TotalTime>78</TotalTime>
  <ScaleCrop>false</ScaleCrop>
  <LinksUpToDate>false</LinksUpToDate>
  <CharactersWithSpaces>3970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企业用户_425923768</cp:lastModifiedBy>
  <cp:lastPrinted>2024-05-21T14:05:00Z</cp:lastPrinted>
  <dcterms:modified xsi:type="dcterms:W3CDTF">2025-09-16T05:43:25Z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eyJoZGlkIjoiNWFmNDhhOTE2M2IyMTA4YzllOTZmNmY4MjFjYzE5NTUiLCJ1c2VySWQiOiIxNTIxNzI5NzI3In0=</vt:lpwstr>
  </property>
</Properties>
</file>