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98.84%</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31</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0229920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7.76</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1754.54</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r>
              <w:rPr>
                <w:rFonts w:hint="eastAsia" w:ascii="仿宋_GB2312" w:eastAsia="仿宋_GB2312"/>
                <w:kern w:val="0"/>
                <w:lang w:val="en-US" w:eastAsia="zh-CN"/>
              </w:rPr>
              <w:t>1754.54</w:t>
            </w: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179.98</w:t>
            </w:r>
          </w:p>
        </w:tc>
        <w:tc>
          <w:tcPr>
            <w:tcW w:w="2039" w:type="dxa"/>
            <w:gridSpan w:val="2"/>
            <w:shd w:val="clear" w:color="auto" w:fill="auto"/>
            <w:vAlign w:val="center"/>
          </w:tcPr>
          <w:p w14:paraId="050E07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宋体" w:hAnsi="宋体" w:eastAsia="宋体" w:cs="宋体"/>
                <w:i w:val="0"/>
                <w:iCs w:val="0"/>
                <w:caps w:val="0"/>
                <w:color w:val="555555"/>
                <w:spacing w:val="0"/>
                <w:kern w:val="0"/>
                <w:sz w:val="28"/>
                <w:szCs w:val="28"/>
                <w:shd w:val="clear" w:color="auto" w:fill="FFFFFF"/>
                <w:lang w:val="en-US" w:eastAsia="zh-CN" w:bidi="ar"/>
              </w:rPr>
              <w:t>2069.31</w:t>
            </w:r>
          </w:p>
        </w:tc>
        <w:tc>
          <w:tcPr>
            <w:tcW w:w="1983" w:type="dxa"/>
            <w:gridSpan w:val="2"/>
            <w:shd w:val="clear" w:color="auto" w:fill="auto"/>
            <w:vAlign w:val="center"/>
          </w:tcPr>
          <w:p w14:paraId="7357305D">
            <w:pPr>
              <w:spacing w:line="240" w:lineRule="auto"/>
              <w:ind w:firstLine="420" w:firstLineChars="0"/>
              <w:jc w:val="center"/>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z w:val="28"/>
                <w:szCs w:val="28"/>
                <w:lang w:val="en-US" w:eastAsia="zh-CN"/>
              </w:rPr>
              <w:t>1482.74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15.02</w:t>
            </w:r>
          </w:p>
        </w:tc>
        <w:tc>
          <w:tcPr>
            <w:tcW w:w="2039" w:type="dxa"/>
            <w:gridSpan w:val="2"/>
            <w:shd w:val="clear" w:color="auto" w:fill="auto"/>
            <w:vAlign w:val="center"/>
          </w:tcPr>
          <w:p w14:paraId="7BB02F1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12.92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6.65</w:t>
            </w:r>
          </w:p>
        </w:tc>
        <w:tc>
          <w:tcPr>
            <w:tcW w:w="2039" w:type="dxa"/>
            <w:gridSpan w:val="2"/>
            <w:shd w:val="clear" w:color="auto" w:fill="auto"/>
            <w:vAlign w:val="center"/>
          </w:tcPr>
          <w:p w14:paraId="31E21FE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5.44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0.32</w:t>
            </w:r>
          </w:p>
        </w:tc>
        <w:tc>
          <w:tcPr>
            <w:tcW w:w="2039" w:type="dxa"/>
            <w:gridSpan w:val="2"/>
            <w:shd w:val="clear" w:color="auto" w:fill="auto"/>
            <w:vAlign w:val="center"/>
          </w:tcPr>
          <w:p w14:paraId="467174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12.75</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4.15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shd w:val="clear" w:color="auto" w:fill="auto"/>
            <w:vAlign w:val="center"/>
          </w:tcPr>
          <w:p w14:paraId="18AD18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c>
          <w:tcPr>
            <w:tcW w:w="1983" w:type="dxa"/>
            <w:gridSpan w:val="2"/>
            <w:shd w:val="clear" w:color="auto" w:fill="auto"/>
            <w:vAlign w:val="center"/>
          </w:tcPr>
          <w:p w14:paraId="4363E711">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default" w:ascii="仿宋_GB2312" w:hAnsi="Arial" w:eastAsia="仿宋_GB2312" w:cs="Arial"/>
                <w:snapToGrid w:val="0"/>
                <w:color w:val="000000"/>
                <w:kern w:val="0"/>
                <w:sz w:val="21"/>
                <w:szCs w:val="21"/>
                <w:lang w:val="en-US" w:eastAsia="zh-CN" w:bidi="ar-SA"/>
              </w:rPr>
              <w:t>368.59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bookmarkStart w:id="0" w:name="_GoBack"/>
            <w:bookmarkEnd w:id="0"/>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3E35C0F0">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湖南汨罗高新技术产业开发区管理委员会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3051.24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3051.24</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2617.69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85.79%</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3051.24</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eastAsia="仿宋_GB2312"/>
                <w:kern w:val="0"/>
                <w:lang w:val="en-US" w:eastAsia="zh-CN"/>
              </w:rPr>
              <w:t>3051.24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p>
        </w:tc>
        <w:tc>
          <w:tcPr>
            <w:tcW w:w="4260" w:type="dxa"/>
            <w:gridSpan w:val="4"/>
            <w:vAlign w:val="center"/>
          </w:tcPr>
          <w:p w14:paraId="156E0DC0">
            <w:pPr>
              <w:spacing w:line="240" w:lineRule="auto"/>
              <w:ind w:firstLine="420"/>
              <w:jc w:val="center"/>
              <w:rPr>
                <w:rFonts w:ascii="仿宋_GB2312" w:eastAsia="仿宋_GB2312"/>
                <w:kern w:val="0"/>
              </w:rPr>
            </w:pP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引资争项</w:t>
            </w:r>
          </w:p>
        </w:tc>
        <w:tc>
          <w:tcPr>
            <w:tcW w:w="1298" w:type="dxa"/>
            <w:vAlign w:val="center"/>
          </w:tcPr>
          <w:p w14:paraId="2A37482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10亿元项目3</w:t>
            </w:r>
          </w:p>
        </w:tc>
        <w:tc>
          <w:tcPr>
            <w:tcW w:w="1269" w:type="dxa"/>
            <w:vAlign w:val="center"/>
          </w:tcPr>
          <w:p w14:paraId="708D78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left"/>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高质量发展</w:t>
            </w:r>
          </w:p>
        </w:tc>
        <w:tc>
          <w:tcPr>
            <w:tcW w:w="1298" w:type="dxa"/>
            <w:vAlign w:val="center"/>
          </w:tcPr>
          <w:p w14:paraId="1A5ADA3A">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五好园区达标</w:t>
            </w:r>
          </w:p>
        </w:tc>
        <w:tc>
          <w:tcPr>
            <w:tcW w:w="1269" w:type="dxa"/>
            <w:vAlign w:val="center"/>
          </w:tcPr>
          <w:p w14:paraId="54075F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left"/>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计划进度</w:t>
            </w:r>
          </w:p>
        </w:tc>
        <w:tc>
          <w:tcPr>
            <w:tcW w:w="1298" w:type="dxa"/>
            <w:vAlign w:val="center"/>
          </w:tcPr>
          <w:p w14:paraId="479FA5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完工进度</w:t>
            </w:r>
          </w:p>
        </w:tc>
        <w:tc>
          <w:tcPr>
            <w:tcW w:w="1269" w:type="dxa"/>
            <w:vAlign w:val="center"/>
          </w:tcPr>
          <w:p w14:paraId="5C1B34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left"/>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收入指标</w:t>
            </w:r>
          </w:p>
        </w:tc>
        <w:tc>
          <w:tcPr>
            <w:tcW w:w="1298" w:type="dxa"/>
            <w:vAlign w:val="center"/>
          </w:tcPr>
          <w:p w14:paraId="078289F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税收</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入库指标</w:t>
            </w:r>
          </w:p>
        </w:tc>
        <w:tc>
          <w:tcPr>
            <w:tcW w:w="1298" w:type="dxa"/>
            <w:vAlign w:val="center"/>
          </w:tcPr>
          <w:p w14:paraId="54DB100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税收</w:t>
            </w:r>
          </w:p>
        </w:tc>
        <w:tc>
          <w:tcPr>
            <w:tcW w:w="1269" w:type="dxa"/>
            <w:vAlign w:val="center"/>
          </w:tcPr>
          <w:p w14:paraId="40D8D424">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12404D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DE220A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效益品质</w:t>
            </w:r>
          </w:p>
        </w:tc>
        <w:tc>
          <w:tcPr>
            <w:tcW w:w="1298" w:type="dxa"/>
            <w:vAlign w:val="center"/>
          </w:tcPr>
          <w:p w14:paraId="6E8C487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发展</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left"/>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环保</w:t>
            </w:r>
          </w:p>
        </w:tc>
        <w:tc>
          <w:tcPr>
            <w:tcW w:w="1298" w:type="dxa"/>
            <w:vAlign w:val="center"/>
          </w:tcPr>
          <w:p w14:paraId="45B96C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绿色园区</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left"/>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安全环保</w:t>
            </w:r>
          </w:p>
        </w:tc>
        <w:tc>
          <w:tcPr>
            <w:tcW w:w="1298" w:type="dxa"/>
            <w:vAlign w:val="center"/>
          </w:tcPr>
          <w:p w14:paraId="055B34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达标</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47C4D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left"/>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lang w:val="en-US" w:eastAsia="zh-CN"/>
              </w:rPr>
              <w:t>满意度</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left"/>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left"/>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降低成本</w:t>
            </w:r>
          </w:p>
        </w:tc>
        <w:tc>
          <w:tcPr>
            <w:tcW w:w="1298" w:type="dxa"/>
            <w:vAlign w:val="center"/>
          </w:tcPr>
          <w:p w14:paraId="15ECA8D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运行成本</w:t>
            </w:r>
          </w:p>
        </w:tc>
        <w:tc>
          <w:tcPr>
            <w:tcW w:w="1269" w:type="dxa"/>
            <w:vAlign w:val="center"/>
          </w:tcPr>
          <w:p w14:paraId="3C32824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下降</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公共建设</w:t>
            </w:r>
          </w:p>
        </w:tc>
        <w:tc>
          <w:tcPr>
            <w:tcW w:w="1298" w:type="dxa"/>
            <w:vAlign w:val="center"/>
          </w:tcPr>
          <w:p w14:paraId="09361E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建设成本</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下降</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可持续发展</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可持续</w:t>
            </w:r>
          </w:p>
        </w:tc>
        <w:tc>
          <w:tcPr>
            <w:tcW w:w="1269" w:type="dxa"/>
            <w:vAlign w:val="center"/>
          </w:tcPr>
          <w:p w14:paraId="4E354EE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上升</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高新区管委会</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高新区管委会部门</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jc w:val="both"/>
              <w:rPr>
                <w:rFonts w:hint="default" w:ascii="仿宋_GB2312" w:hAnsi="宋体" w:eastAsia="仿宋_GB2312" w:cs="宋体"/>
                <w:kern w:val="0"/>
                <w:lang w:val="en-US" w:eastAsia="zh-CN"/>
              </w:rPr>
            </w:pPr>
          </w:p>
        </w:tc>
        <w:tc>
          <w:tcPr>
            <w:tcW w:w="1099" w:type="dxa"/>
            <w:vAlign w:val="center"/>
          </w:tcPr>
          <w:p w14:paraId="54320DCC">
            <w:pPr>
              <w:spacing w:line="240" w:lineRule="auto"/>
              <w:jc w:val="both"/>
              <w:rPr>
                <w:rFonts w:hint="default" w:ascii="仿宋_GB2312" w:hAnsi="宋体" w:eastAsia="仿宋_GB2312" w:cs="宋体"/>
                <w:kern w:val="0"/>
                <w:lang w:val="en-US" w:eastAsia="zh-CN"/>
              </w:rPr>
            </w:pPr>
          </w:p>
        </w:tc>
        <w:tc>
          <w:tcPr>
            <w:tcW w:w="1099" w:type="dxa"/>
            <w:vAlign w:val="center"/>
          </w:tcPr>
          <w:p w14:paraId="0C9E823D">
            <w:pPr>
              <w:spacing w:line="240" w:lineRule="auto"/>
              <w:jc w:val="both"/>
              <w:rPr>
                <w:rFonts w:hint="default" w:ascii="仿宋_GB2312" w:hAnsi="宋体" w:eastAsia="仿宋_GB2312" w:cs="宋体"/>
                <w:kern w:val="0"/>
                <w:lang w:val="en-US"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p>
        </w:tc>
        <w:tc>
          <w:tcPr>
            <w:tcW w:w="849" w:type="dxa"/>
            <w:vAlign w:val="center"/>
          </w:tcPr>
          <w:p w14:paraId="33470801">
            <w:pPr>
              <w:spacing w:line="240" w:lineRule="auto"/>
              <w:jc w:val="both"/>
              <w:rPr>
                <w:rFonts w:hint="default" w:ascii="仿宋_GB2312" w:hAnsi="宋体" w:eastAsia="仿宋_GB2312" w:cs="宋体"/>
                <w:kern w:val="0"/>
                <w:lang w:val="en-US" w:eastAsia="zh-CN"/>
              </w:rPr>
            </w:pP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hint="default" w:ascii="仿宋_GB2312" w:hAnsi="宋体" w:eastAsia="仿宋_GB2312" w:cs="宋体"/>
                <w:kern w:val="0"/>
                <w:lang w:val="en-US" w:eastAsia="zh-CN"/>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hint="eastAsia" w:ascii="仿宋_GB2312" w:hAnsi="宋体" w:eastAsia="仿宋_GB2312" w:cs="宋体"/>
                <w:kern w:val="0"/>
                <w:lang w:val="en-US" w:eastAsia="zh-CN"/>
              </w:rPr>
            </w:pPr>
          </w:p>
        </w:tc>
        <w:tc>
          <w:tcPr>
            <w:tcW w:w="1099" w:type="dxa"/>
            <w:vAlign w:val="center"/>
          </w:tcPr>
          <w:p w14:paraId="54B93945">
            <w:pPr>
              <w:spacing w:line="240" w:lineRule="auto"/>
              <w:ind w:firstLine="420"/>
              <w:jc w:val="center"/>
              <w:rPr>
                <w:rFonts w:hint="eastAsia" w:ascii="仿宋_GB2312" w:hAnsi="宋体" w:eastAsia="仿宋_GB2312" w:cs="宋体"/>
                <w:kern w:val="0"/>
                <w:lang w:val="en-US" w:eastAsia="zh-CN"/>
              </w:rPr>
            </w:pPr>
          </w:p>
        </w:tc>
        <w:tc>
          <w:tcPr>
            <w:tcW w:w="1099" w:type="dxa"/>
            <w:vAlign w:val="center"/>
          </w:tcPr>
          <w:p w14:paraId="7F49710C">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p>
        </w:tc>
        <w:tc>
          <w:tcPr>
            <w:tcW w:w="1099" w:type="dxa"/>
            <w:vAlign w:val="center"/>
          </w:tcPr>
          <w:p w14:paraId="2D69FB32">
            <w:pPr>
              <w:spacing w:line="240" w:lineRule="auto"/>
              <w:jc w:val="both"/>
              <w:rPr>
                <w:rFonts w:hint="default" w:ascii="仿宋_GB2312" w:hAnsi="宋体" w:eastAsia="仿宋_GB2312" w:cs="宋体"/>
                <w:kern w:val="0"/>
                <w:lang w:val="en-US" w:eastAsia="zh-CN"/>
              </w:rPr>
            </w:pPr>
          </w:p>
        </w:tc>
        <w:tc>
          <w:tcPr>
            <w:tcW w:w="1099" w:type="dxa"/>
            <w:vAlign w:val="center"/>
          </w:tcPr>
          <w:p w14:paraId="03BC31E1">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p>
        </w:tc>
        <w:tc>
          <w:tcPr>
            <w:tcW w:w="1099" w:type="dxa"/>
            <w:vAlign w:val="center"/>
          </w:tcPr>
          <w:p w14:paraId="015D039B">
            <w:pPr>
              <w:spacing w:line="240" w:lineRule="auto"/>
              <w:jc w:val="both"/>
              <w:rPr>
                <w:rFonts w:hint="eastAsia" w:ascii="仿宋_GB2312" w:hAnsi="宋体" w:eastAsia="仿宋_GB2312" w:cs="宋体"/>
                <w:kern w:val="0"/>
                <w:lang w:val="en-US" w:eastAsia="zh-CN"/>
              </w:rPr>
            </w:pPr>
          </w:p>
        </w:tc>
        <w:tc>
          <w:tcPr>
            <w:tcW w:w="1099" w:type="dxa"/>
            <w:vAlign w:val="center"/>
          </w:tcPr>
          <w:p w14:paraId="5C21687F">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distribute"/>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p>
        </w:tc>
        <w:tc>
          <w:tcPr>
            <w:tcW w:w="1099" w:type="dxa"/>
            <w:vAlign w:val="center"/>
          </w:tcPr>
          <w:p w14:paraId="53928C31">
            <w:pPr>
              <w:spacing w:line="240" w:lineRule="auto"/>
              <w:ind w:firstLine="420"/>
              <w:jc w:val="both"/>
              <w:rPr>
                <w:rFonts w:hint="default" w:ascii="仿宋_GB2312" w:hAnsi="宋体" w:eastAsia="仿宋_GB2312" w:cs="宋体"/>
                <w:kern w:val="0"/>
                <w:lang w:val="en-US" w:eastAsia="zh-CN"/>
              </w:rPr>
            </w:pPr>
          </w:p>
        </w:tc>
        <w:tc>
          <w:tcPr>
            <w:tcW w:w="1099" w:type="dxa"/>
            <w:vAlign w:val="center"/>
          </w:tcPr>
          <w:p w14:paraId="6D883DDF">
            <w:pPr>
              <w:spacing w:line="240" w:lineRule="auto"/>
              <w:jc w:val="both"/>
              <w:rPr>
                <w:rFonts w:hint="default" w:ascii="仿宋_GB2312" w:hAnsi="宋体" w:eastAsia="仿宋_GB2312" w:cs="宋体"/>
                <w:kern w:val="0"/>
                <w:lang w:val="en-US" w:eastAsia="zh-CN"/>
              </w:rPr>
            </w:pP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distribute"/>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distribute"/>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distribute"/>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distribute"/>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hint="default" w:ascii="仿宋_GB2312" w:hAnsi="宋体" w:eastAsia="仿宋_GB2312" w:cs="宋体"/>
                <w:kern w:val="0"/>
                <w:lang w:val="en-US" w:eastAsia="zh-CN"/>
              </w:rPr>
            </w:pPr>
          </w:p>
        </w:tc>
        <w:tc>
          <w:tcPr>
            <w:tcW w:w="1099" w:type="dxa"/>
            <w:vAlign w:val="center"/>
          </w:tcPr>
          <w:p w14:paraId="286C2197">
            <w:pPr>
              <w:spacing w:line="240" w:lineRule="auto"/>
              <w:jc w:val="both"/>
              <w:rPr>
                <w:rFonts w:ascii="仿宋_GB2312" w:hAnsi="宋体" w:eastAsia="仿宋_GB2312" w:cs="宋体"/>
                <w:kern w:val="0"/>
              </w:rPr>
            </w:pPr>
          </w:p>
        </w:tc>
        <w:tc>
          <w:tcPr>
            <w:tcW w:w="1099" w:type="dxa"/>
            <w:vAlign w:val="center"/>
          </w:tcPr>
          <w:p w14:paraId="4CA75DEB">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1BF7EB9C">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5E0A44CC">
            <w:pPr>
              <w:spacing w:line="240" w:lineRule="auto"/>
              <w:ind w:firstLine="420"/>
              <w:jc w:val="center"/>
              <w:rPr>
                <w:rFonts w:hint="default" w:ascii="仿宋_GB2312" w:hAnsi="宋体" w:eastAsia="仿宋_GB2312" w:cs="宋体"/>
                <w:kern w:val="0"/>
                <w:lang w:val="en-US"/>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distribute"/>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distribute"/>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hint="default" w:ascii="仿宋_GB2312" w:hAnsi="宋体" w:eastAsia="仿宋_GB2312" w:cs="宋体"/>
                <w:kern w:val="0"/>
                <w:lang w:val="en-US" w:eastAsia="zh-CN"/>
              </w:rPr>
            </w:pPr>
          </w:p>
        </w:tc>
        <w:tc>
          <w:tcPr>
            <w:tcW w:w="1099" w:type="dxa"/>
            <w:vAlign w:val="center"/>
          </w:tcPr>
          <w:p w14:paraId="48F3A1C5">
            <w:pPr>
              <w:spacing w:line="240" w:lineRule="auto"/>
              <w:jc w:val="both"/>
              <w:rPr>
                <w:rFonts w:hint="default" w:ascii="仿宋_GB2312" w:hAnsi="宋体" w:eastAsia="仿宋_GB2312" w:cs="宋体"/>
                <w:kern w:val="0"/>
                <w:lang w:val="en-US" w:eastAsia="zh-CN"/>
              </w:rPr>
            </w:pPr>
          </w:p>
        </w:tc>
        <w:tc>
          <w:tcPr>
            <w:tcW w:w="1099" w:type="dxa"/>
            <w:vAlign w:val="center"/>
          </w:tcPr>
          <w:p w14:paraId="596F13DA">
            <w:pPr>
              <w:spacing w:line="240" w:lineRule="auto"/>
              <w:jc w:val="both"/>
              <w:rPr>
                <w:rFonts w:hint="default" w:ascii="仿宋_GB2312" w:hAnsi="宋体" w:eastAsia="仿宋_GB2312" w:cs="宋体"/>
                <w:kern w:val="0"/>
                <w:lang w:val="en-US" w:eastAsia="zh-CN"/>
              </w:rPr>
            </w:pP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044D5C88">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hint="default" w:ascii="仿宋_GB2312" w:hAnsi="宋体" w:eastAsia="仿宋_GB2312" w:cs="宋体"/>
                <w:kern w:val="0"/>
                <w:lang w:val="en-US" w:eastAsia="zh-CN"/>
              </w:rPr>
            </w:pP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p>
        </w:tc>
        <w:tc>
          <w:tcPr>
            <w:tcW w:w="1099" w:type="dxa"/>
            <w:vAlign w:val="center"/>
          </w:tcPr>
          <w:p w14:paraId="7D8FEFD1">
            <w:pPr>
              <w:spacing w:line="240" w:lineRule="auto"/>
              <w:ind w:firstLine="420"/>
              <w:jc w:val="center"/>
              <w:rPr>
                <w:rFonts w:hint="default" w:ascii="仿宋_GB2312" w:hAnsi="宋体" w:eastAsia="仿宋_GB2312" w:cs="宋体"/>
                <w:kern w:val="0"/>
                <w:lang w:val="en-US" w:eastAsia="zh-CN"/>
              </w:rPr>
            </w:pPr>
          </w:p>
        </w:tc>
        <w:tc>
          <w:tcPr>
            <w:tcW w:w="1099" w:type="dxa"/>
            <w:shd w:val="clear" w:color="auto" w:fill="auto"/>
            <w:vAlign w:val="center"/>
          </w:tcPr>
          <w:p w14:paraId="729BFD5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p>
        </w:tc>
        <w:tc>
          <w:tcPr>
            <w:tcW w:w="1099" w:type="dxa"/>
            <w:vAlign w:val="center"/>
          </w:tcPr>
          <w:p w14:paraId="515A6775">
            <w:pPr>
              <w:spacing w:line="240" w:lineRule="auto"/>
              <w:ind w:firstLine="420"/>
              <w:jc w:val="center"/>
              <w:rPr>
                <w:rFonts w:hint="eastAsia" w:ascii="仿宋_GB2312" w:hAnsi="宋体" w:eastAsia="仿宋_GB2312" w:cs="宋体"/>
                <w:kern w:val="0"/>
                <w:lang w:val="en-US" w:eastAsia="zh-CN"/>
              </w:rPr>
            </w:pPr>
          </w:p>
        </w:tc>
        <w:tc>
          <w:tcPr>
            <w:tcW w:w="1099" w:type="dxa"/>
            <w:shd w:val="clear" w:color="auto" w:fill="auto"/>
            <w:vAlign w:val="center"/>
          </w:tcPr>
          <w:p w14:paraId="79BCBEC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p>
        </w:tc>
        <w:tc>
          <w:tcPr>
            <w:tcW w:w="1099" w:type="dxa"/>
            <w:vAlign w:val="center"/>
          </w:tcPr>
          <w:p w14:paraId="52AC4F9E">
            <w:pPr>
              <w:spacing w:line="240" w:lineRule="auto"/>
              <w:ind w:firstLine="420"/>
              <w:jc w:val="center"/>
              <w:rPr>
                <w:rFonts w:hint="eastAsia" w:ascii="仿宋_GB2312" w:hAnsi="宋体" w:eastAsia="仿宋_GB2312" w:cs="宋体"/>
                <w:kern w:val="0"/>
                <w:lang w:val="en-US" w:eastAsia="zh-CN"/>
              </w:rPr>
            </w:pPr>
          </w:p>
        </w:tc>
        <w:tc>
          <w:tcPr>
            <w:tcW w:w="1099" w:type="dxa"/>
            <w:shd w:val="clear" w:color="auto" w:fill="auto"/>
            <w:vAlign w:val="center"/>
          </w:tcPr>
          <w:p w14:paraId="0867BB9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03C9828A">
            <w:pPr>
              <w:spacing w:line="240" w:lineRule="auto"/>
              <w:ind w:firstLine="420"/>
              <w:jc w:val="center"/>
              <w:rPr>
                <w:rFonts w:hint="default" w:ascii="仿宋_GB2312" w:hAnsi="宋体" w:eastAsia="仿宋_GB2312" w:cs="宋体"/>
                <w:kern w:val="0"/>
                <w:lang w:val="en-US" w:eastAsia="zh-CN"/>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p>
        </w:tc>
        <w:tc>
          <w:tcPr>
            <w:tcW w:w="849" w:type="dxa"/>
            <w:vAlign w:val="center"/>
          </w:tcPr>
          <w:p w14:paraId="3FD2854A">
            <w:pPr>
              <w:spacing w:line="240" w:lineRule="auto"/>
              <w:jc w:val="both"/>
              <w:rPr>
                <w:rFonts w:hint="default" w:ascii="仿宋_GB2312" w:hAnsi="宋体" w:eastAsia="仿宋_GB2312" w:cs="宋体"/>
                <w:kern w:val="0"/>
                <w:lang w:val="en-US" w:eastAsia="zh-CN"/>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1F13110">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高新区管委会</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09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19</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Times New Roman" w:hAnsi="Times New Roman" w:eastAsia="宋体" w:cs="Times New Roman"/>
          <w:sz w:val="40"/>
          <w:szCs w:val="40"/>
          <w:lang w:val="en-US" w:eastAsia="zh-CN"/>
        </w:rPr>
        <w:t>高新区管委会</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val="0"/>
          <w:bCs w:val="0"/>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506C833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宋体" w:hAnsi="宋体" w:eastAsia="宋体" w:cs="宋体"/>
          <w:b w:val="0"/>
          <w:bCs w:val="0"/>
          <w:snapToGrid w:val="0"/>
          <w:color w:val="000000"/>
          <w:sz w:val="32"/>
          <w:szCs w:val="32"/>
          <w:lang w:val="en-US" w:eastAsia="zh-CN" w:bidi="ar-SA"/>
        </w:rPr>
      </w:pPr>
      <w:r>
        <w:rPr>
          <w:rFonts w:hint="eastAsia" w:ascii="宋体" w:hAnsi="宋体" w:eastAsia="宋体" w:cs="宋体"/>
          <w:b w:val="0"/>
          <w:bCs w:val="0"/>
          <w:snapToGrid w:val="0"/>
          <w:color w:val="000000"/>
          <w:sz w:val="32"/>
          <w:szCs w:val="32"/>
          <w:lang w:val="en-US" w:eastAsia="zh-CN" w:bidi="ar-SA"/>
        </w:rPr>
        <w:t>1、执行党和国家路线、方针、政策、法律、法规、履行园区管理的服务职能.2、制定园区开发建设方案，探索园区改革、创新和发展的新路子，建设低碳、环保、生态、高科技产业园区3、负责园区内企业安全生产、环境保护的宣传、教育、监督管理工作。4、为园区内企业提供融资服务，协调银企关系，搭建融资平台，开展融资担保和贷后监督管理工作。5、负责园区企业生产经营状况摸底和综合统计工作。考核认定园区企业有关指标，兑现各类政策扶持。6、协调园区企业财税监管，为政府提供扎实有效的财源支撑。7、负责园区非公企业党建和工、青、妇工作的发展，实现党建带工建、带团建。8、负责园区派驻机构的统一管理。9、承办市人民政府交办的其他事项</w:t>
      </w:r>
    </w:p>
    <w:p w14:paraId="75636416">
      <w:pPr>
        <w:numPr>
          <w:ilvl w:val="0"/>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b w:val="0"/>
          <w:bCs w:val="0"/>
          <w:snapToGrid w:val="0"/>
          <w:color w:val="000000"/>
          <w:sz w:val="32"/>
          <w:szCs w:val="32"/>
          <w:lang w:val="en-US" w:eastAsia="zh-CN" w:bidi="ar-SA"/>
        </w:rPr>
      </w:pP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12"/>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1D7EB890">
      <w:pPr>
        <w:pStyle w:val="12"/>
        <w:spacing w:line="600" w:lineRule="exact"/>
        <w:ind w:firstLine="643"/>
        <w:jc w:val="both"/>
        <w:rPr>
          <w:rFonts w:hint="eastAsia" w:ascii="宋体" w:hAnsi="宋体" w:eastAsia="宋体" w:cs="宋体"/>
          <w:kern w:val="0"/>
          <w:sz w:val="30"/>
          <w:szCs w:val="30"/>
          <w:lang w:eastAsia="zh-CN"/>
        </w:rPr>
      </w:pPr>
      <w:r>
        <w:rPr>
          <w:rFonts w:hint="eastAsia" w:ascii="宋体" w:hAnsi="宋体" w:eastAsia="宋体" w:cs="宋体"/>
          <w:i w:val="0"/>
          <w:iCs w:val="0"/>
          <w:caps w:val="0"/>
          <w:color w:val="555555"/>
          <w:spacing w:val="0"/>
          <w:sz w:val="30"/>
          <w:szCs w:val="30"/>
          <w:shd w:val="clear" w:color="auto" w:fill="FFFFFF"/>
          <w:lang w:val="en-US" w:eastAsia="zh-CN"/>
        </w:rPr>
        <w:t>湖南汨罗高新技术产业开发区管理委员会2024年度基本支出</w:t>
      </w:r>
      <w:r>
        <w:rPr>
          <w:rFonts w:hint="eastAsia" w:ascii="宋体" w:hAnsi="宋体" w:eastAsia="宋体" w:cs="宋体"/>
          <w:sz w:val="30"/>
          <w:szCs w:val="30"/>
          <w:lang w:val="en-US" w:eastAsia="zh-CN"/>
        </w:rPr>
        <w:t>2617.69</w:t>
      </w:r>
      <w:r>
        <w:rPr>
          <w:rFonts w:hint="eastAsia" w:ascii="宋体" w:hAnsi="宋体" w:eastAsia="宋体" w:cs="宋体"/>
          <w:i w:val="0"/>
          <w:iCs w:val="0"/>
          <w:caps w:val="0"/>
          <w:color w:val="555555"/>
          <w:spacing w:val="0"/>
          <w:sz w:val="30"/>
          <w:szCs w:val="30"/>
          <w:shd w:val="clear" w:color="auto" w:fill="FFFFFF"/>
          <w:lang w:val="en-US" w:eastAsia="zh-CN"/>
        </w:rPr>
        <w:t>万元（工资福利支出1128.45万元，一般商品和服务支出1482.74万元、对个人和家庭的补助6.5万元）。</w:t>
      </w:r>
    </w:p>
    <w:p w14:paraId="00657FCB">
      <w:pPr>
        <w:pStyle w:val="12"/>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5C6A9FC6">
      <w:pPr>
        <w:pStyle w:val="13"/>
        <w:ind w:firstLine="750" w:firstLineChars="250"/>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i w:val="0"/>
          <w:iCs w:val="0"/>
          <w:caps w:val="0"/>
          <w:color w:val="555555"/>
          <w:spacing w:val="0"/>
          <w:kern w:val="0"/>
          <w:sz w:val="30"/>
          <w:szCs w:val="30"/>
          <w:shd w:val="clear" w:color="auto" w:fill="FFFFFF"/>
          <w:lang w:val="en-US" w:eastAsia="zh-CN" w:bidi="ar"/>
        </w:rPr>
        <w:t>年初预算为0万元，占一般公共预算拨款支出比例为0%。</w:t>
      </w:r>
    </w:p>
    <w:p w14:paraId="6A560A0D">
      <w:pPr>
        <w:pStyle w:val="13"/>
        <w:ind w:firstLine="750" w:firstLineChars="250"/>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i w:val="0"/>
          <w:iCs w:val="0"/>
          <w:caps w:val="0"/>
          <w:color w:val="555555"/>
          <w:spacing w:val="0"/>
          <w:kern w:val="0"/>
          <w:sz w:val="30"/>
          <w:szCs w:val="30"/>
          <w:shd w:val="clear" w:color="auto" w:fill="FFFFFF"/>
          <w:lang w:val="en-US" w:eastAsia="zh-CN" w:bidi="ar"/>
        </w:rPr>
        <w:t>具体安排情况如下：</w:t>
      </w:r>
    </w:p>
    <w:p w14:paraId="394B39D0">
      <w:pPr>
        <w:keepNext w:val="0"/>
        <w:keepLines w:val="0"/>
        <w:pageBreakBefore w:val="0"/>
        <w:widowControl/>
        <w:kinsoku/>
        <w:wordWrap/>
        <w:overflowPunct/>
        <w:topLinePunct w:val="0"/>
        <w:bidi w:val="0"/>
        <w:adjustRightInd/>
        <w:snapToGrid/>
        <w:spacing w:line="600" w:lineRule="exact"/>
        <w:ind w:firstLine="600" w:firstLineChars="200"/>
        <w:textAlignment w:val="auto"/>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color w:val="555555"/>
          <w:kern w:val="0"/>
          <w:sz w:val="30"/>
          <w:szCs w:val="30"/>
        </w:rPr>
        <w:t>（一）基本支出：202</w:t>
      </w:r>
      <w:r>
        <w:rPr>
          <w:rFonts w:hint="eastAsia" w:ascii="宋体" w:hAnsi="宋体" w:eastAsia="宋体" w:cs="宋体"/>
          <w:color w:val="555555"/>
          <w:kern w:val="0"/>
          <w:sz w:val="30"/>
          <w:szCs w:val="30"/>
          <w:lang w:val="en-US" w:eastAsia="zh-CN"/>
        </w:rPr>
        <w:t>4</w:t>
      </w:r>
      <w:r>
        <w:rPr>
          <w:rFonts w:hint="eastAsia" w:ascii="宋体" w:hAnsi="宋体" w:eastAsia="宋体" w:cs="宋体"/>
          <w:color w:val="555555"/>
          <w:kern w:val="0"/>
          <w:sz w:val="30"/>
          <w:szCs w:val="30"/>
        </w:rPr>
        <w:t xml:space="preserve">年基本支出年初预算数为 </w:t>
      </w:r>
      <w:r>
        <w:rPr>
          <w:rFonts w:hint="eastAsia" w:ascii="宋体" w:hAnsi="宋体" w:eastAsia="宋体" w:cs="宋体"/>
          <w:sz w:val="30"/>
          <w:szCs w:val="30"/>
          <w:lang w:val="en-US" w:eastAsia="zh-CN"/>
        </w:rPr>
        <w:t>2617.69</w:t>
      </w:r>
      <w:r>
        <w:rPr>
          <w:rFonts w:hint="eastAsia" w:ascii="宋体" w:hAnsi="宋体" w:eastAsia="宋体" w:cs="宋体"/>
          <w:color w:val="555555"/>
          <w:kern w:val="0"/>
          <w:sz w:val="30"/>
          <w:szCs w:val="30"/>
        </w:rPr>
        <w:t>万元，是指为保障单位机构正常运转、完成日常工作任务而发生的各项支出，包括用于基本工资、津贴补贴等人员经费以及办公费、印刷费、水电费、差旅费等日常公用经费。</w:t>
      </w:r>
      <w:r>
        <w:rPr>
          <w:rFonts w:hint="eastAsia" w:ascii="宋体" w:hAnsi="宋体" w:eastAsia="宋体" w:cs="宋体"/>
          <w:i w:val="0"/>
          <w:iCs w:val="0"/>
          <w:caps w:val="0"/>
          <w:color w:val="555555"/>
          <w:spacing w:val="0"/>
          <w:kern w:val="0"/>
          <w:sz w:val="30"/>
          <w:szCs w:val="30"/>
          <w:shd w:val="clear" w:color="auto" w:fill="FFFFFF"/>
          <w:lang w:val="en-US" w:eastAsia="zh-CN" w:bidi="ar"/>
        </w:rPr>
        <w:t>其中人员经费1134.95万元，公用经费1482.74万元。</w:t>
      </w:r>
    </w:p>
    <w:p w14:paraId="2431CD7A">
      <w:pPr>
        <w:pStyle w:val="13"/>
        <w:ind w:firstLine="750" w:firstLineChars="250"/>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i w:val="0"/>
          <w:iCs w:val="0"/>
          <w:caps w:val="0"/>
          <w:color w:val="555555"/>
          <w:spacing w:val="0"/>
          <w:kern w:val="0"/>
          <w:sz w:val="30"/>
          <w:szCs w:val="30"/>
          <w:shd w:val="clear" w:color="auto" w:fill="FFFFFF"/>
          <w:lang w:val="en-US" w:eastAsia="zh-CN" w:bidi="ar"/>
        </w:rPr>
        <w:t>2024年政府性基金预算拨款支出预算0万元，其中：</w:t>
      </w:r>
    </w:p>
    <w:p w14:paraId="131F348D">
      <w:pPr>
        <w:pStyle w:val="13"/>
        <w:numPr>
          <w:ilvl w:val="0"/>
          <w:numId w:val="0"/>
        </w:numPr>
        <w:ind w:firstLine="900" w:firstLineChars="300"/>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i w:val="0"/>
          <w:iCs w:val="0"/>
          <w:caps w:val="0"/>
          <w:color w:val="555555"/>
          <w:spacing w:val="0"/>
          <w:kern w:val="0"/>
          <w:sz w:val="30"/>
          <w:szCs w:val="30"/>
          <w:shd w:val="clear" w:color="auto" w:fill="FFFFFF"/>
          <w:lang w:val="en-US" w:eastAsia="zh-CN" w:bidi="ar"/>
        </w:rPr>
        <w:t>行政运行（类）项目支出（款）园区发展专项支出（项）</w:t>
      </w:r>
    </w:p>
    <w:p w14:paraId="2226FC83">
      <w:pPr>
        <w:pStyle w:val="13"/>
        <w:ind w:firstLine="750" w:firstLineChars="250"/>
        <w:rPr>
          <w:rFonts w:hint="eastAsia" w:ascii="宋体" w:hAnsi="宋体" w:eastAsia="宋体" w:cs="宋体"/>
          <w:i w:val="0"/>
          <w:iCs w:val="0"/>
          <w:caps w:val="0"/>
          <w:color w:val="555555"/>
          <w:spacing w:val="0"/>
          <w:kern w:val="0"/>
          <w:sz w:val="30"/>
          <w:szCs w:val="30"/>
          <w:shd w:val="clear" w:color="auto" w:fill="FFFFFF"/>
          <w:lang w:val="en-US" w:eastAsia="zh-CN" w:bidi="ar"/>
        </w:rPr>
      </w:pPr>
      <w:r>
        <w:rPr>
          <w:rFonts w:hint="eastAsia" w:ascii="宋体" w:hAnsi="宋体" w:eastAsia="宋体" w:cs="宋体"/>
          <w:i w:val="0"/>
          <w:iCs w:val="0"/>
          <w:caps w:val="0"/>
          <w:color w:val="555555"/>
          <w:spacing w:val="0"/>
          <w:kern w:val="0"/>
          <w:sz w:val="30"/>
          <w:szCs w:val="30"/>
          <w:shd w:val="clear" w:color="auto" w:fill="FFFFFF"/>
          <w:lang w:val="en-US" w:eastAsia="zh-CN" w:bidi="ar"/>
        </w:rPr>
        <w:t>年初预算为0万元，占一般公共预算拨款支出比例为0%。</w:t>
      </w:r>
    </w:p>
    <w:p w14:paraId="2A75516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44DE57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00" w:firstLineChars="300"/>
        <w:rPr>
          <w:rFonts w:hint="eastAsia" w:ascii="宋体" w:hAnsi="宋体" w:eastAsia="宋体" w:cs="宋体"/>
          <w:i w:val="0"/>
          <w:iCs w:val="0"/>
          <w:caps w:val="0"/>
          <w:color w:val="555555"/>
          <w:spacing w:val="0"/>
          <w:sz w:val="30"/>
          <w:szCs w:val="30"/>
          <w:shd w:val="clear" w:color="auto" w:fill="FFFFFF"/>
        </w:rPr>
      </w:pPr>
      <w:r>
        <w:rPr>
          <w:rFonts w:hint="eastAsia" w:ascii="宋体" w:hAnsi="宋体" w:eastAsia="宋体" w:cs="宋体"/>
          <w:i w:val="0"/>
          <w:iCs w:val="0"/>
          <w:caps w:val="0"/>
          <w:color w:val="555555"/>
          <w:spacing w:val="0"/>
          <w:kern w:val="0"/>
          <w:sz w:val="30"/>
          <w:szCs w:val="30"/>
          <w:shd w:val="clear" w:color="auto" w:fill="FFFFFF"/>
          <w:lang w:val="en-US" w:eastAsia="zh-CN" w:bidi="ar"/>
        </w:rPr>
        <w:t>2024年度本单位无国有资本经营安排的支出。</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6BB228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900" w:firstLineChars="300"/>
        <w:rPr>
          <w:rFonts w:hint="eastAsia" w:ascii="宋体" w:hAnsi="宋体" w:eastAsia="宋体" w:cs="宋体"/>
          <w:i w:val="0"/>
          <w:iCs w:val="0"/>
          <w:caps w:val="0"/>
          <w:color w:val="555555"/>
          <w:spacing w:val="0"/>
          <w:sz w:val="30"/>
          <w:szCs w:val="30"/>
          <w:shd w:val="clear" w:color="auto" w:fill="FFFFFF"/>
        </w:rPr>
      </w:pPr>
      <w:r>
        <w:rPr>
          <w:rFonts w:hint="eastAsia" w:ascii="宋体" w:hAnsi="宋体" w:eastAsia="宋体" w:cs="宋体"/>
          <w:i w:val="0"/>
          <w:iCs w:val="0"/>
          <w:caps w:val="0"/>
          <w:color w:val="555555"/>
          <w:spacing w:val="0"/>
          <w:kern w:val="0"/>
          <w:sz w:val="30"/>
          <w:szCs w:val="30"/>
          <w:shd w:val="clear" w:color="auto" w:fill="FFFFFF"/>
          <w:lang w:val="en-US" w:eastAsia="zh-CN" w:bidi="ar"/>
        </w:rPr>
        <w:t>2024年度本单位无社会保险基金预算支出。</w:t>
      </w:r>
    </w:p>
    <w:p w14:paraId="03087A41">
      <w:pPr>
        <w:spacing w:line="600" w:lineRule="exact"/>
        <w:ind w:firstLine="320" w:firstLineChars="1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BA8CC85">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仿宋_GB2312" w:cs="Times New Roman"/>
          <w:sz w:val="36"/>
          <w:szCs w:val="36"/>
        </w:rPr>
        <w:t>2024年，汨罗高新区深入贯彻落实党的二十届三中全会精神和习近平总书记关于湖南工作的重要讲话和指示精神，锚定“三高四新”美好蓝图，坚持“1376”总体思路，</w:t>
      </w:r>
      <w:r>
        <w:rPr>
          <w:rFonts w:hint="default" w:ascii="Times New Roman" w:hAnsi="Times New Roman" w:eastAsia="仿宋_GB2312" w:cs="Times New Roman"/>
          <w:sz w:val="36"/>
          <w:szCs w:val="36"/>
          <w:lang w:eastAsia="zh-CN"/>
        </w:rPr>
        <w:t>围绕构建“一主一特”</w:t>
      </w:r>
      <w:r>
        <w:rPr>
          <w:rFonts w:hint="default" w:ascii="Times New Roman" w:hAnsi="Times New Roman" w:eastAsia="仿宋_GB2312" w:cs="Times New Roman"/>
          <w:sz w:val="36"/>
          <w:szCs w:val="36"/>
        </w:rPr>
        <w:t>产业体系，</w:t>
      </w:r>
      <w:r>
        <w:rPr>
          <w:rFonts w:hint="default" w:ascii="Times New Roman" w:hAnsi="Times New Roman" w:eastAsia="仿宋_GB2312" w:cs="Times New Roman"/>
          <w:sz w:val="36"/>
          <w:szCs w:val="36"/>
          <w:lang w:eastAsia="zh-CN"/>
        </w:rPr>
        <w:t>深入</w:t>
      </w:r>
      <w:r>
        <w:rPr>
          <w:rFonts w:hint="default" w:ascii="Times New Roman" w:hAnsi="Times New Roman" w:eastAsia="仿宋_GB2312" w:cs="Times New Roman"/>
          <w:sz w:val="36"/>
          <w:szCs w:val="36"/>
        </w:rPr>
        <w:t>推动“八大工程”落地见效</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val="en-US" w:eastAsia="zh-CN"/>
        </w:rPr>
        <w:t>2024年规模工业同比增长3%；工业用电量同比增长3.4%；</w:t>
      </w:r>
      <w:r>
        <w:rPr>
          <w:rFonts w:hint="default" w:ascii="Times New Roman" w:hAnsi="Times New Roman" w:eastAsia="仿宋_GB2312" w:cs="Times New Roman"/>
          <w:sz w:val="36"/>
          <w:szCs w:val="36"/>
          <w:lang w:eastAsia="zh-CN"/>
        </w:rPr>
        <w:t>净入库税收</w:t>
      </w:r>
      <w:r>
        <w:rPr>
          <w:rFonts w:hint="default" w:ascii="Times New Roman" w:hAnsi="Times New Roman" w:eastAsia="仿宋_GB2312" w:cs="Times New Roman"/>
          <w:sz w:val="36"/>
          <w:szCs w:val="36"/>
          <w:lang w:val="en-US" w:eastAsia="zh-CN"/>
        </w:rPr>
        <w:t>7.78亿元；</w:t>
      </w:r>
      <w:r>
        <w:rPr>
          <w:rFonts w:hint="default" w:ascii="Times New Roman" w:hAnsi="Times New Roman" w:eastAsia="仿宋_GB2312" w:cs="Times New Roman"/>
          <w:sz w:val="36"/>
          <w:szCs w:val="36"/>
        </w:rPr>
        <w:t>新签约项目54个，签约投资额194.92亿元，其中10亿元以上项目4个；新开工项目5</w:t>
      </w:r>
      <w:r>
        <w:rPr>
          <w:rFonts w:hint="default" w:ascii="Times New Roman" w:hAnsi="Times New Roman" w:eastAsia="仿宋_GB2312" w:cs="Times New Roman"/>
          <w:sz w:val="36"/>
          <w:szCs w:val="36"/>
          <w:lang w:val="en-US" w:eastAsia="zh-CN"/>
        </w:rPr>
        <w:t>7</w:t>
      </w:r>
      <w:r>
        <w:rPr>
          <w:rFonts w:hint="default" w:ascii="Times New Roman" w:hAnsi="Times New Roman" w:eastAsia="仿宋_GB2312" w:cs="Times New Roman"/>
          <w:sz w:val="36"/>
          <w:szCs w:val="36"/>
        </w:rPr>
        <w:t>个，完成投资53.44亿元，签约项目履约率8</w:t>
      </w:r>
      <w:r>
        <w:rPr>
          <w:rFonts w:hint="default" w:ascii="Times New Roman" w:hAnsi="Times New Roman" w:eastAsia="仿宋_GB2312" w:cs="Times New Roman"/>
          <w:sz w:val="36"/>
          <w:szCs w:val="36"/>
          <w:lang w:val="en-US" w:eastAsia="zh-CN"/>
        </w:rPr>
        <w:t>7</w:t>
      </w:r>
      <w:r>
        <w:rPr>
          <w:rFonts w:hint="default" w:ascii="Times New Roman" w:hAnsi="Times New Roman" w:eastAsia="仿宋_GB2312" w:cs="Times New Roman"/>
          <w:sz w:val="36"/>
          <w:szCs w:val="36"/>
        </w:rPr>
        <w:t>.1%；竣工投产项目</w:t>
      </w:r>
      <w:r>
        <w:rPr>
          <w:rFonts w:hint="default" w:ascii="Times New Roman" w:hAnsi="Times New Roman" w:eastAsia="仿宋_GB2312" w:cs="Times New Roman"/>
          <w:sz w:val="36"/>
          <w:szCs w:val="36"/>
          <w:lang w:val="en-US" w:eastAsia="zh-CN"/>
        </w:rPr>
        <w:t>56</w:t>
      </w:r>
      <w:r>
        <w:rPr>
          <w:rFonts w:hint="default" w:ascii="Times New Roman" w:hAnsi="Times New Roman" w:eastAsia="仿宋_GB2312" w:cs="Times New Roman"/>
          <w:sz w:val="36"/>
          <w:szCs w:val="36"/>
        </w:rPr>
        <w:t>个，完成投资47.62亿元</w:t>
      </w:r>
      <w:r>
        <w:rPr>
          <w:rFonts w:hint="default" w:ascii="Times New Roman" w:hAnsi="Times New Roman" w:eastAsia="仿宋_GB2312" w:cs="Times New Roman"/>
          <w:sz w:val="36"/>
          <w:szCs w:val="36"/>
          <w:lang w:eastAsia="zh-CN"/>
        </w:rPr>
        <w:t>，均居岳阳市前列。</w:t>
      </w:r>
    </w:p>
    <w:p w14:paraId="662127C4">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楷体_GB2312" w:cs="Times New Roman"/>
          <w:b/>
          <w:bCs/>
          <w:sz w:val="36"/>
          <w:szCs w:val="36"/>
        </w:rPr>
        <w:t>（一）</w:t>
      </w:r>
      <w:r>
        <w:rPr>
          <w:rFonts w:hint="default" w:ascii="Times New Roman" w:hAnsi="Times New Roman" w:eastAsia="楷体_GB2312" w:cs="Times New Roman"/>
          <w:b/>
          <w:bCs/>
          <w:sz w:val="36"/>
          <w:szCs w:val="36"/>
          <w:lang w:eastAsia="zh-CN"/>
        </w:rPr>
        <w:t>深入推动</w:t>
      </w:r>
      <w:r>
        <w:rPr>
          <w:rFonts w:hint="default" w:ascii="Times New Roman" w:hAnsi="Times New Roman" w:eastAsia="楷体_GB2312" w:cs="Times New Roman"/>
          <w:b/>
          <w:bCs/>
          <w:sz w:val="36"/>
          <w:szCs w:val="36"/>
        </w:rPr>
        <w:t>规划引领工程</w:t>
      </w:r>
      <w:r>
        <w:rPr>
          <w:rFonts w:hint="default" w:ascii="Times New Roman" w:hAnsi="Times New Roman" w:eastAsia="楷体_GB2312" w:cs="Times New Roman"/>
          <w:b/>
          <w:bCs/>
          <w:sz w:val="36"/>
          <w:szCs w:val="36"/>
          <w:lang w:eastAsia="zh-CN"/>
        </w:rPr>
        <w:t>，发展布局更优。</w:t>
      </w:r>
      <w:r>
        <w:rPr>
          <w:rFonts w:hint="default" w:ascii="Times New Roman" w:hAnsi="Times New Roman" w:eastAsia="仿宋_GB2312" w:cs="Times New Roman"/>
          <w:b/>
          <w:bCs/>
          <w:sz w:val="36"/>
          <w:szCs w:val="36"/>
          <w:lang w:eastAsia="zh-CN"/>
        </w:rPr>
        <w:t>做细产业规划。</w:t>
      </w:r>
      <w:r>
        <w:rPr>
          <w:rFonts w:hint="default" w:ascii="Times New Roman" w:hAnsi="Times New Roman" w:eastAsia="仿宋_GB2312" w:cs="Times New Roman"/>
          <w:b w:val="0"/>
          <w:bCs w:val="0"/>
          <w:sz w:val="36"/>
          <w:szCs w:val="36"/>
          <w:lang w:eastAsia="zh-CN"/>
        </w:rPr>
        <w:t>结合园区产业定位，制定高分子</w:t>
      </w:r>
      <w:r>
        <w:rPr>
          <w:rFonts w:hint="default" w:ascii="Times New Roman" w:hAnsi="Times New Roman" w:eastAsia="仿宋_GB2312" w:cs="Times New Roman"/>
          <w:sz w:val="36"/>
          <w:szCs w:val="36"/>
          <w:lang w:eastAsia="zh-CN"/>
        </w:rPr>
        <w:t>材料、再生铜、再生铝、新能源、不锈钢“两图两库”、年度招商引资行动方案，围绕“四链七园”开展大招商。</w:t>
      </w:r>
      <w:r>
        <w:rPr>
          <w:rFonts w:hint="default" w:ascii="Times New Roman" w:hAnsi="Times New Roman" w:eastAsia="仿宋_GB2312" w:cs="Times New Roman"/>
          <w:b/>
          <w:bCs/>
          <w:sz w:val="36"/>
          <w:szCs w:val="36"/>
          <w:lang w:eastAsia="zh-CN"/>
        </w:rPr>
        <w:t>做实国土规划。</w:t>
      </w:r>
      <w:r>
        <w:rPr>
          <w:rFonts w:hint="default" w:ascii="Times New Roman" w:hAnsi="Times New Roman" w:eastAsia="仿宋_GB2312" w:cs="Times New Roman"/>
          <w:b w:val="0"/>
          <w:bCs w:val="0"/>
          <w:sz w:val="36"/>
          <w:szCs w:val="36"/>
          <w:lang w:eastAsia="zh-CN"/>
        </w:rPr>
        <w:t>扩区方案</w:t>
      </w:r>
      <w:r>
        <w:rPr>
          <w:rFonts w:hint="default" w:ascii="Times New Roman" w:hAnsi="Times New Roman" w:eastAsia="仿宋_GB2312" w:cs="Times New Roman"/>
          <w:sz w:val="36"/>
          <w:szCs w:val="36"/>
          <w:lang w:eastAsia="zh-CN"/>
        </w:rPr>
        <w:t>获省政府同意，扩区面积592.24公顷；高标准完成441.69亩闲置低效用地三年土地利用清理任务，实现低效用地清零、闲置用地清零、批而未供用地清零。</w:t>
      </w:r>
      <w:r>
        <w:rPr>
          <w:rFonts w:hint="default" w:ascii="Times New Roman" w:hAnsi="Times New Roman" w:eastAsia="仿宋_GB2312" w:cs="Times New Roman"/>
          <w:b/>
          <w:bCs/>
          <w:sz w:val="36"/>
          <w:szCs w:val="36"/>
          <w:lang w:eastAsia="zh-CN"/>
        </w:rPr>
        <w:t>做优品牌规划。</w:t>
      </w:r>
      <w:r>
        <w:rPr>
          <w:rFonts w:hint="default" w:ascii="Times New Roman" w:hAnsi="Times New Roman" w:eastAsia="仿宋_GB2312" w:cs="Times New Roman"/>
          <w:sz w:val="36"/>
          <w:szCs w:val="36"/>
          <w:lang w:eastAsia="zh-CN"/>
        </w:rPr>
        <w:t>举办全国废旧金属循环利用专题研讨会暨国家“城市矿产”基地建设情况座谈会，邀请全国知名企业、行业专家参会；参与中部地区博览会石化产业链招商推介会，持续放大汨罗循环经济品牌效应。</w:t>
      </w:r>
    </w:p>
    <w:p w14:paraId="4BA82FD1">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楷体_GB2312" w:cs="Times New Roman"/>
          <w:b/>
          <w:bCs/>
          <w:sz w:val="36"/>
          <w:szCs w:val="36"/>
        </w:rPr>
        <w:t>（二）</w:t>
      </w:r>
      <w:r>
        <w:rPr>
          <w:rFonts w:hint="default" w:ascii="Times New Roman" w:hAnsi="Times New Roman" w:eastAsia="楷体_GB2312" w:cs="Times New Roman"/>
          <w:b/>
          <w:bCs/>
          <w:sz w:val="36"/>
          <w:szCs w:val="36"/>
          <w:lang w:eastAsia="zh-CN"/>
        </w:rPr>
        <w:t>深入推动</w:t>
      </w:r>
      <w:r>
        <w:rPr>
          <w:rFonts w:hint="default" w:ascii="Times New Roman" w:hAnsi="Times New Roman" w:eastAsia="楷体_GB2312" w:cs="Times New Roman"/>
          <w:b/>
          <w:bCs/>
          <w:sz w:val="36"/>
          <w:szCs w:val="36"/>
        </w:rPr>
        <w:t>产业强链工程</w:t>
      </w:r>
      <w:r>
        <w:rPr>
          <w:rFonts w:hint="default" w:ascii="Times New Roman" w:hAnsi="Times New Roman" w:eastAsia="楷体_GB2312" w:cs="Times New Roman"/>
          <w:b/>
          <w:bCs/>
          <w:sz w:val="36"/>
          <w:szCs w:val="36"/>
          <w:lang w:eastAsia="zh-CN"/>
        </w:rPr>
        <w:t>，发展路径更宽。</w:t>
      </w:r>
      <w:r>
        <w:rPr>
          <w:rFonts w:hint="default" w:ascii="Times New Roman" w:hAnsi="Times New Roman" w:eastAsia="仿宋_GB2312" w:cs="Times New Roman"/>
          <w:b/>
          <w:bCs/>
          <w:sz w:val="36"/>
          <w:szCs w:val="36"/>
          <w:lang w:eastAsia="zh-CN"/>
        </w:rPr>
        <w:t>主导产业集群发展。</w:t>
      </w:r>
      <w:r>
        <w:rPr>
          <w:rFonts w:hint="default" w:ascii="Times New Roman" w:hAnsi="Times New Roman" w:eastAsia="仿宋_GB2312" w:cs="Times New Roman"/>
          <w:sz w:val="36"/>
          <w:szCs w:val="36"/>
        </w:rPr>
        <w:t>抢抓“两新”政策机遇，率先发布《促进二手设备回收及工业设备再制造产业集群发展若干措施》，中南工业设备再制造产业园（一期）入驻企业10家；湖南葛天再生资源产业园（一期）入驻企业1</w:t>
      </w:r>
      <w:r>
        <w:rPr>
          <w:rFonts w:hint="default" w:ascii="Times New Roman" w:hAnsi="Times New Roman" w:eastAsia="仿宋_GB2312" w:cs="Times New Roman"/>
          <w:sz w:val="36"/>
          <w:szCs w:val="36"/>
          <w:lang w:val="en-US" w:eastAsia="zh-CN"/>
        </w:rPr>
        <w:t>3</w:t>
      </w:r>
      <w:r>
        <w:rPr>
          <w:rFonts w:hint="default" w:ascii="Times New Roman" w:hAnsi="Times New Roman" w:eastAsia="仿宋_GB2312" w:cs="Times New Roman"/>
          <w:sz w:val="36"/>
          <w:szCs w:val="36"/>
        </w:rPr>
        <w:t>家；中南表面处理产业园入驻企业1</w:t>
      </w:r>
      <w:r>
        <w:rPr>
          <w:rFonts w:hint="default" w:ascii="Times New Roman" w:hAnsi="Times New Roman" w:eastAsia="仿宋_GB2312" w:cs="Times New Roman"/>
          <w:sz w:val="36"/>
          <w:szCs w:val="36"/>
          <w:lang w:val="en-US" w:eastAsia="zh-CN"/>
        </w:rPr>
        <w:t>3</w:t>
      </w:r>
      <w:r>
        <w:rPr>
          <w:rFonts w:hint="default" w:ascii="Times New Roman" w:hAnsi="Times New Roman" w:eastAsia="仿宋_GB2312" w:cs="Times New Roman"/>
          <w:sz w:val="36"/>
          <w:szCs w:val="36"/>
        </w:rPr>
        <w:t>家；湘联新材25万吨高品质无氧铜杆项目盘活闲置厂房5.7万㎡</w:t>
      </w:r>
      <w:r>
        <w:rPr>
          <w:rFonts w:hint="default" w:ascii="Times New Roman" w:hAnsi="Times New Roman" w:eastAsia="仿宋_GB2312" w:cs="Times New Roman"/>
          <w:sz w:val="36"/>
          <w:szCs w:val="36"/>
          <w:lang w:eastAsia="zh-CN"/>
        </w:rPr>
        <w:t>，集群效应</w:t>
      </w:r>
      <w:r>
        <w:rPr>
          <w:rFonts w:hint="default" w:ascii="Times New Roman" w:hAnsi="Times New Roman" w:eastAsia="仿宋_GB2312" w:cs="Times New Roman"/>
          <w:sz w:val="36"/>
          <w:szCs w:val="36"/>
        </w:rPr>
        <w:t>进一步凸显。</w:t>
      </w:r>
      <w:r>
        <w:rPr>
          <w:rFonts w:hint="default" w:ascii="Times New Roman" w:hAnsi="Times New Roman" w:eastAsia="仿宋_GB2312" w:cs="Times New Roman"/>
          <w:b/>
          <w:bCs/>
          <w:sz w:val="36"/>
          <w:szCs w:val="36"/>
        </w:rPr>
        <w:t>特色产业</w:t>
      </w:r>
      <w:r>
        <w:rPr>
          <w:rFonts w:hint="default" w:ascii="Times New Roman" w:hAnsi="Times New Roman" w:eastAsia="仿宋_GB2312" w:cs="Times New Roman"/>
          <w:b/>
          <w:bCs/>
          <w:sz w:val="36"/>
          <w:szCs w:val="36"/>
          <w:highlight w:val="none"/>
          <w:lang w:val="en-US" w:eastAsia="zh-CN"/>
        </w:rPr>
        <w:t>崭露头角</w:t>
      </w:r>
      <w:r>
        <w:rPr>
          <w:rFonts w:hint="default" w:ascii="Times New Roman" w:hAnsi="Times New Roman" w:eastAsia="仿宋_GB2312" w:cs="Times New Roman"/>
          <w:b/>
          <w:bCs/>
          <w:sz w:val="36"/>
          <w:szCs w:val="36"/>
        </w:rPr>
        <w:t>。</w:t>
      </w:r>
      <w:r>
        <w:rPr>
          <w:rFonts w:hint="default" w:ascii="Times New Roman" w:hAnsi="Times New Roman" w:eastAsia="仿宋_GB2312" w:cs="Times New Roman"/>
          <w:b w:val="0"/>
          <w:bCs w:val="0"/>
          <w:sz w:val="36"/>
          <w:szCs w:val="36"/>
          <w:lang w:eastAsia="zh-CN"/>
        </w:rPr>
        <w:t>合纵智能、浩丰科技、丽智智能、任特机械、</w:t>
      </w:r>
      <w:r>
        <w:rPr>
          <w:rFonts w:hint="default" w:ascii="Times New Roman" w:hAnsi="Times New Roman" w:eastAsia="仿宋_GB2312" w:cs="Times New Roman"/>
          <w:sz w:val="36"/>
          <w:szCs w:val="36"/>
        </w:rPr>
        <w:t>纽英其、铭湖、深超等一批先进制造</w:t>
      </w:r>
      <w:r>
        <w:rPr>
          <w:rFonts w:hint="default" w:ascii="Times New Roman" w:hAnsi="Times New Roman" w:eastAsia="仿宋_GB2312" w:cs="Times New Roman"/>
          <w:sz w:val="36"/>
          <w:szCs w:val="36"/>
          <w:lang w:eastAsia="zh-CN"/>
        </w:rPr>
        <w:t>产</w:t>
      </w:r>
      <w:r>
        <w:rPr>
          <w:rFonts w:hint="default" w:ascii="Times New Roman" w:hAnsi="Times New Roman" w:eastAsia="仿宋_GB2312" w:cs="Times New Roman"/>
          <w:sz w:val="36"/>
          <w:szCs w:val="36"/>
        </w:rPr>
        <w:t>业</w:t>
      </w:r>
      <w:r>
        <w:rPr>
          <w:rFonts w:hint="default" w:ascii="Times New Roman" w:hAnsi="Times New Roman" w:eastAsia="仿宋_GB2312" w:cs="Times New Roman"/>
          <w:sz w:val="36"/>
          <w:szCs w:val="36"/>
          <w:lang w:eastAsia="zh-CN"/>
        </w:rPr>
        <w:t>项目落户园区</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b/>
          <w:bCs/>
          <w:sz w:val="36"/>
          <w:szCs w:val="36"/>
        </w:rPr>
        <w:t>新兴产业</w:t>
      </w:r>
      <w:r>
        <w:rPr>
          <w:rFonts w:hint="default" w:ascii="Times New Roman" w:hAnsi="Times New Roman" w:eastAsia="仿宋_GB2312" w:cs="Times New Roman"/>
          <w:b/>
          <w:bCs/>
          <w:sz w:val="36"/>
          <w:szCs w:val="36"/>
          <w:lang w:eastAsia="zh-CN"/>
        </w:rPr>
        <w:t>前景可期</w:t>
      </w:r>
      <w:r>
        <w:rPr>
          <w:rFonts w:hint="default" w:ascii="Times New Roman" w:hAnsi="Times New Roman" w:eastAsia="仿宋_GB2312" w:cs="Times New Roman"/>
          <w:b/>
          <w:bCs/>
          <w:sz w:val="36"/>
          <w:szCs w:val="36"/>
        </w:rPr>
        <w:t>。</w:t>
      </w:r>
      <w:r>
        <w:rPr>
          <w:rFonts w:hint="default" w:ascii="Times New Roman" w:hAnsi="Times New Roman" w:eastAsia="仿宋_GB2312" w:cs="Times New Roman"/>
          <w:sz w:val="36"/>
          <w:szCs w:val="36"/>
        </w:rPr>
        <w:t>顺华锂业、锂汇通、恒业锂业等锂电池回收综合处置利用项目落地新能源产业园；飞诺、屹华、恒胜兴等电子线路板项目入驻PCB产业园</w:t>
      </w:r>
      <w:r>
        <w:rPr>
          <w:rFonts w:hint="default" w:ascii="Times New Roman" w:hAnsi="Times New Roman" w:eastAsia="仿宋_GB2312" w:cs="Times New Roman"/>
          <w:sz w:val="36"/>
          <w:szCs w:val="36"/>
          <w:lang w:eastAsia="zh-CN"/>
        </w:rPr>
        <w:t>。《聚焦绿色低碳 助力转型升级》上榜工信部2024年城市制造业高质量发展案例</w:t>
      </w:r>
      <w:r>
        <w:rPr>
          <w:rFonts w:hint="eastAsia" w:ascii="Times New Roman" w:hAnsi="Times New Roman" w:eastAsia="仿宋_GB2312" w:cs="Times New Roman"/>
          <w:sz w:val="36"/>
          <w:szCs w:val="36"/>
          <w:lang w:eastAsia="zh-CN"/>
        </w:rPr>
        <w:t>，三兴精密上榜工信部2024年度智能制造系统解决方案“揭榜挂帅”项目。</w:t>
      </w:r>
    </w:p>
    <w:p w14:paraId="50FE274E">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highlight w:val="none"/>
          <w:lang w:eastAsia="zh-CN"/>
        </w:rPr>
      </w:pPr>
      <w:r>
        <w:rPr>
          <w:rFonts w:hint="default" w:ascii="Times New Roman" w:hAnsi="Times New Roman" w:eastAsia="楷体_GB2312" w:cs="Times New Roman"/>
          <w:b/>
          <w:bCs/>
          <w:sz w:val="36"/>
          <w:szCs w:val="36"/>
        </w:rPr>
        <w:t>（三）</w:t>
      </w:r>
      <w:r>
        <w:rPr>
          <w:rFonts w:hint="default" w:ascii="Times New Roman" w:hAnsi="Times New Roman" w:eastAsia="楷体_GB2312" w:cs="Times New Roman"/>
          <w:b/>
          <w:bCs/>
          <w:sz w:val="36"/>
          <w:szCs w:val="36"/>
          <w:lang w:eastAsia="zh-CN"/>
        </w:rPr>
        <w:t>深入推动</w:t>
      </w:r>
      <w:r>
        <w:rPr>
          <w:rFonts w:hint="default" w:ascii="Times New Roman" w:hAnsi="Times New Roman" w:eastAsia="楷体_GB2312" w:cs="Times New Roman"/>
          <w:b/>
          <w:bCs/>
          <w:sz w:val="36"/>
          <w:szCs w:val="36"/>
        </w:rPr>
        <w:t>企业培育工程</w:t>
      </w:r>
      <w:r>
        <w:rPr>
          <w:rFonts w:hint="default" w:ascii="Times New Roman" w:hAnsi="Times New Roman" w:eastAsia="楷体_GB2312" w:cs="Times New Roman"/>
          <w:b/>
          <w:bCs/>
          <w:sz w:val="36"/>
          <w:szCs w:val="36"/>
          <w:lang w:eastAsia="zh-CN"/>
        </w:rPr>
        <w:t>，发展后劲更足。</w:t>
      </w:r>
      <w:r>
        <w:rPr>
          <w:rFonts w:hint="default" w:ascii="Times New Roman" w:hAnsi="Times New Roman" w:eastAsia="仿宋_GB2312" w:cs="Times New Roman"/>
          <w:sz w:val="36"/>
          <w:szCs w:val="36"/>
        </w:rPr>
        <w:t>全年</w:t>
      </w:r>
      <w:r>
        <w:rPr>
          <w:rFonts w:hint="default" w:ascii="Times New Roman" w:hAnsi="Times New Roman" w:eastAsia="仿宋_GB2312" w:cs="Times New Roman"/>
          <w:sz w:val="36"/>
          <w:szCs w:val="36"/>
          <w:lang w:eastAsia="zh-CN"/>
        </w:rPr>
        <w:t>新增</w:t>
      </w:r>
      <w:r>
        <w:rPr>
          <w:rFonts w:hint="default" w:ascii="Times New Roman" w:hAnsi="Times New Roman" w:eastAsia="仿宋_GB2312" w:cs="Times New Roman"/>
          <w:sz w:val="36"/>
          <w:szCs w:val="36"/>
        </w:rPr>
        <w:t>规模工业企业</w:t>
      </w:r>
      <w:r>
        <w:rPr>
          <w:rFonts w:hint="default" w:ascii="Times New Roman" w:hAnsi="Times New Roman" w:eastAsia="仿宋_GB2312" w:cs="Times New Roman"/>
          <w:sz w:val="36"/>
          <w:szCs w:val="36"/>
          <w:lang w:val="en-US" w:eastAsia="zh-CN"/>
        </w:rPr>
        <w:t>20</w:t>
      </w:r>
      <w:r>
        <w:rPr>
          <w:rFonts w:hint="default" w:ascii="Times New Roman" w:hAnsi="Times New Roman" w:eastAsia="仿宋_GB2312" w:cs="Times New Roman"/>
          <w:sz w:val="36"/>
          <w:szCs w:val="36"/>
        </w:rPr>
        <w:t>家，高新技术企业</w:t>
      </w:r>
      <w:r>
        <w:rPr>
          <w:rFonts w:hint="default" w:ascii="Times New Roman" w:hAnsi="Times New Roman" w:eastAsia="仿宋_GB2312" w:cs="Times New Roman"/>
          <w:sz w:val="36"/>
          <w:szCs w:val="36"/>
          <w:lang w:val="en-US" w:eastAsia="zh-CN"/>
        </w:rPr>
        <w:t>14</w:t>
      </w:r>
      <w:r>
        <w:rPr>
          <w:rFonts w:hint="default" w:ascii="Times New Roman" w:hAnsi="Times New Roman" w:eastAsia="仿宋_GB2312" w:cs="Times New Roman"/>
          <w:sz w:val="36"/>
          <w:szCs w:val="36"/>
        </w:rPr>
        <w:t>家，</w:t>
      </w:r>
      <w:r>
        <w:rPr>
          <w:rFonts w:hint="default" w:ascii="Times New Roman" w:hAnsi="Times New Roman" w:eastAsia="仿宋_GB2312" w:cs="Times New Roman"/>
          <w:sz w:val="36"/>
          <w:szCs w:val="36"/>
          <w:lang w:eastAsia="zh-CN"/>
        </w:rPr>
        <w:t>省级</w:t>
      </w:r>
      <w:r>
        <w:rPr>
          <w:rFonts w:hint="default" w:ascii="Times New Roman" w:hAnsi="Times New Roman" w:eastAsia="仿宋_GB2312" w:cs="Times New Roman"/>
          <w:sz w:val="36"/>
          <w:szCs w:val="36"/>
        </w:rPr>
        <w:t>专精特新中小企业7家，标杆企业2家，单项冠军1个，创新平台4个，绿色工厂3个，其中龙智新材获批国家级绿色工厂</w:t>
      </w:r>
      <w:r>
        <w:rPr>
          <w:rFonts w:hint="default" w:ascii="Times New Roman" w:hAnsi="Times New Roman" w:eastAsia="仿宋_GB2312" w:cs="Times New Roman"/>
          <w:sz w:val="36"/>
          <w:szCs w:val="36"/>
          <w:lang w:eastAsia="zh-CN"/>
        </w:rPr>
        <w:t>。湘联新材产值过20亿元，</w:t>
      </w:r>
      <w:r>
        <w:rPr>
          <w:rFonts w:hint="default" w:ascii="Times New Roman" w:hAnsi="Times New Roman" w:eastAsia="仿宋_GB2312" w:cs="Times New Roman"/>
          <w:sz w:val="36"/>
          <w:szCs w:val="36"/>
          <w:lang w:val="en-US" w:eastAsia="zh-CN"/>
        </w:rPr>
        <w:t>同和新材、同力循环、振升恒佳等5家企业产值</w:t>
      </w:r>
      <w:r>
        <w:rPr>
          <w:rFonts w:hint="default" w:ascii="Times New Roman" w:hAnsi="Times New Roman" w:eastAsia="仿宋_GB2312" w:cs="Times New Roman"/>
          <w:sz w:val="36"/>
          <w:szCs w:val="36"/>
          <w:lang w:eastAsia="zh-CN"/>
        </w:rPr>
        <w:t>过5亿元，</w:t>
      </w:r>
      <w:r>
        <w:rPr>
          <w:rFonts w:hint="default" w:ascii="Times New Roman" w:hAnsi="Times New Roman" w:eastAsia="仿宋_GB2312" w:cs="Times New Roman"/>
          <w:sz w:val="36"/>
          <w:szCs w:val="36"/>
          <w:lang w:val="en-US" w:eastAsia="zh-CN"/>
        </w:rPr>
        <w:t>天惠新材、新威凌、联创铝业、三一筑工等28家</w:t>
      </w:r>
      <w:r>
        <w:rPr>
          <w:rFonts w:hint="default" w:ascii="Times New Roman" w:hAnsi="Times New Roman" w:eastAsia="仿宋_GB2312" w:cs="Times New Roman"/>
          <w:sz w:val="36"/>
          <w:szCs w:val="36"/>
          <w:lang w:eastAsia="zh-CN"/>
        </w:rPr>
        <w:t>企业过亿元。</w:t>
      </w:r>
      <w:r>
        <w:rPr>
          <w:rFonts w:hint="default" w:ascii="Times New Roman" w:hAnsi="Times New Roman" w:eastAsia="仿宋_GB2312" w:cs="Times New Roman"/>
          <w:sz w:val="36"/>
          <w:szCs w:val="36"/>
        </w:rPr>
        <w:t>聘请专业机构深化上市辅导服务，</w:t>
      </w:r>
      <w:r>
        <w:rPr>
          <w:rFonts w:hint="default" w:ascii="Times New Roman" w:hAnsi="Times New Roman" w:eastAsia="仿宋_GB2312" w:cs="Times New Roman"/>
          <w:sz w:val="36"/>
          <w:szCs w:val="36"/>
          <w:highlight w:val="none"/>
        </w:rPr>
        <w:t>三兴精密、优冠体育</w:t>
      </w:r>
      <w:r>
        <w:rPr>
          <w:rFonts w:hint="default" w:ascii="Times New Roman" w:hAnsi="Times New Roman" w:eastAsia="仿宋_GB2312" w:cs="Times New Roman"/>
          <w:sz w:val="36"/>
          <w:szCs w:val="36"/>
          <w:highlight w:val="none"/>
          <w:lang w:eastAsia="zh-CN"/>
        </w:rPr>
        <w:t>主板上市推进顺利。</w:t>
      </w:r>
    </w:p>
    <w:p w14:paraId="4C020A60">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rPr>
      </w:pPr>
      <w:r>
        <w:rPr>
          <w:rFonts w:hint="default" w:ascii="Times New Roman" w:hAnsi="Times New Roman" w:eastAsia="楷体_GB2312" w:cs="Times New Roman"/>
          <w:b/>
          <w:bCs/>
          <w:sz w:val="36"/>
          <w:szCs w:val="36"/>
          <w:lang w:eastAsia="zh-CN"/>
        </w:rPr>
        <w:t>（四）深入推动项目攻坚工程，发展基础更牢。</w:t>
      </w:r>
      <w:r>
        <w:rPr>
          <w:rFonts w:hint="default" w:ascii="Times New Roman" w:hAnsi="Times New Roman" w:eastAsia="仿宋_GB2312" w:cs="Times New Roman"/>
          <w:b/>
          <w:bCs/>
          <w:sz w:val="36"/>
          <w:szCs w:val="36"/>
          <w:lang w:val="en-US" w:eastAsia="zh-CN"/>
        </w:rPr>
        <w:t>抓</w:t>
      </w:r>
      <w:r>
        <w:rPr>
          <w:rFonts w:hint="default" w:ascii="Times New Roman" w:hAnsi="Times New Roman" w:eastAsia="仿宋_GB2312" w:cs="Times New Roman"/>
          <w:b/>
          <w:bCs/>
          <w:sz w:val="36"/>
          <w:szCs w:val="36"/>
          <w:lang w:eastAsia="zh-CN"/>
        </w:rPr>
        <w:t>项目建设。</w:t>
      </w:r>
      <w:r>
        <w:rPr>
          <w:rFonts w:hint="default" w:ascii="Times New Roman" w:hAnsi="Times New Roman" w:eastAsia="仿宋_GB2312" w:cs="Times New Roman"/>
          <w:b w:val="0"/>
          <w:bCs w:val="0"/>
          <w:sz w:val="36"/>
          <w:szCs w:val="36"/>
          <w:lang w:eastAsia="zh-CN"/>
        </w:rPr>
        <w:t>国曼、</w:t>
      </w:r>
      <w:r>
        <w:rPr>
          <w:rFonts w:hint="eastAsia" w:ascii="Times New Roman" w:hAnsi="Times New Roman" w:eastAsia="仿宋_GB2312" w:cs="Times New Roman"/>
          <w:b w:val="0"/>
          <w:bCs w:val="0"/>
          <w:sz w:val="36"/>
          <w:szCs w:val="36"/>
          <w:lang w:eastAsia="zh-CN"/>
        </w:rPr>
        <w:t>巨浪、</w:t>
      </w:r>
      <w:r>
        <w:rPr>
          <w:rFonts w:hint="default" w:ascii="Times New Roman" w:hAnsi="Times New Roman" w:eastAsia="仿宋_GB2312" w:cs="Times New Roman"/>
          <w:b w:val="0"/>
          <w:bCs w:val="0"/>
          <w:sz w:val="36"/>
          <w:szCs w:val="36"/>
          <w:lang w:eastAsia="zh-CN"/>
        </w:rPr>
        <w:t>美旺、</w:t>
      </w:r>
      <w:r>
        <w:rPr>
          <w:rFonts w:hint="default" w:ascii="Times New Roman" w:hAnsi="Times New Roman" w:eastAsia="仿宋_GB2312" w:cs="Times New Roman"/>
          <w:sz w:val="36"/>
          <w:szCs w:val="36"/>
          <w:lang w:eastAsia="zh-CN"/>
        </w:rPr>
        <w:t>国耳生物、</w:t>
      </w:r>
      <w:r>
        <w:rPr>
          <w:rFonts w:hint="default" w:ascii="Times New Roman" w:hAnsi="Times New Roman" w:eastAsia="仿宋_GB2312" w:cs="Times New Roman"/>
          <w:sz w:val="36"/>
          <w:szCs w:val="36"/>
          <w:lang w:val="en-US" w:eastAsia="zh-CN"/>
        </w:rPr>
        <w:t>福缘碳素（二期）、锦胜科技、兴晟达等项目竣工投产，</w:t>
      </w:r>
      <w:r>
        <w:rPr>
          <w:rFonts w:hint="default" w:ascii="Times New Roman" w:hAnsi="Times New Roman" w:eastAsia="仿宋_GB2312" w:cs="Times New Roman"/>
          <w:sz w:val="36"/>
          <w:szCs w:val="36"/>
          <w:lang w:eastAsia="zh-CN"/>
        </w:rPr>
        <w:t>丽智智能、福莱科技等项目稳步推进，尚马科技、新友圆碳晶板、汨创、金智达、泓耀碳素等拟建项目正在</w:t>
      </w:r>
      <w:r>
        <w:rPr>
          <w:rFonts w:hint="default" w:ascii="Times New Roman" w:hAnsi="Times New Roman" w:eastAsia="仿宋_GB2312" w:cs="Times New Roman"/>
          <w:sz w:val="36"/>
          <w:szCs w:val="36"/>
          <w:lang w:val="en-US" w:eastAsia="zh-CN"/>
        </w:rPr>
        <w:t>办理</w:t>
      </w:r>
      <w:r>
        <w:rPr>
          <w:rFonts w:hint="default" w:ascii="Times New Roman" w:hAnsi="Times New Roman" w:eastAsia="仿宋_GB2312" w:cs="Times New Roman"/>
          <w:sz w:val="36"/>
          <w:szCs w:val="36"/>
          <w:lang w:eastAsia="zh-CN"/>
        </w:rPr>
        <w:t>前期手续。</w:t>
      </w:r>
      <w:r>
        <w:rPr>
          <w:rFonts w:hint="default" w:ascii="Times New Roman" w:hAnsi="Times New Roman" w:eastAsia="仿宋_GB2312" w:cs="Times New Roman"/>
          <w:b/>
          <w:bCs/>
          <w:sz w:val="36"/>
          <w:szCs w:val="36"/>
          <w:lang w:val="en-US" w:eastAsia="zh-CN"/>
        </w:rPr>
        <w:t>抓</w:t>
      </w:r>
      <w:r>
        <w:rPr>
          <w:rFonts w:hint="default" w:ascii="Times New Roman" w:hAnsi="Times New Roman" w:eastAsia="仿宋_GB2312" w:cs="Times New Roman"/>
          <w:b/>
          <w:bCs/>
          <w:sz w:val="36"/>
          <w:szCs w:val="36"/>
          <w:lang w:eastAsia="zh-CN"/>
        </w:rPr>
        <w:t>要素保障。</w:t>
      </w:r>
      <w:r>
        <w:rPr>
          <w:rFonts w:hint="default" w:ascii="Times New Roman" w:hAnsi="Times New Roman" w:eastAsia="仿宋_GB2312" w:cs="Times New Roman"/>
          <w:sz w:val="36"/>
          <w:szCs w:val="36"/>
          <w:lang w:eastAsia="zh-CN"/>
        </w:rPr>
        <w:t>金迪新能源、圆丹动力、鸿安顺、三邦环保等项目用地报批进展顺利；革新路、高铁大道主体工程完成；完成PCB产业园、重金属污水处理厂、第二生活污水处理厂、古窑安线迁改等电力升级改造项目。</w:t>
      </w:r>
      <w:r>
        <w:rPr>
          <w:rFonts w:hint="default" w:ascii="Times New Roman" w:hAnsi="Times New Roman" w:eastAsia="仿宋_GB2312" w:cs="Times New Roman"/>
          <w:b/>
          <w:bCs/>
          <w:sz w:val="36"/>
          <w:szCs w:val="36"/>
          <w:lang w:val="en-US" w:eastAsia="zh-CN"/>
        </w:rPr>
        <w:t>抓规范</w:t>
      </w:r>
      <w:r>
        <w:rPr>
          <w:rFonts w:hint="default" w:ascii="Times New Roman" w:hAnsi="Times New Roman" w:eastAsia="仿宋_GB2312" w:cs="Times New Roman"/>
          <w:b/>
          <w:bCs/>
          <w:sz w:val="36"/>
          <w:szCs w:val="36"/>
          <w:lang w:eastAsia="zh-CN"/>
        </w:rPr>
        <w:t>整治。</w:t>
      </w:r>
      <w:r>
        <w:rPr>
          <w:rFonts w:hint="default" w:ascii="Times New Roman" w:hAnsi="Times New Roman" w:eastAsia="仿宋_GB2312" w:cs="Times New Roman"/>
          <w:sz w:val="36"/>
          <w:szCs w:val="36"/>
          <w:lang w:eastAsia="zh-CN"/>
        </w:rPr>
        <w:t>强化项目建设质量和安全生产管理，坚决落实扬尘治理“6个100%”；根据市“三改一拆”要求和“即查即拆”原则，联合新市</w:t>
      </w:r>
      <w:r>
        <w:rPr>
          <w:rFonts w:hint="default" w:ascii="Times New Roman" w:hAnsi="Times New Roman" w:eastAsia="仿宋_GB2312" w:cs="Times New Roman"/>
          <w:sz w:val="36"/>
          <w:szCs w:val="36"/>
          <w:lang w:val="en-US" w:eastAsia="zh-CN"/>
        </w:rPr>
        <w:t>街道</w:t>
      </w:r>
      <w:r>
        <w:rPr>
          <w:rFonts w:hint="default" w:ascii="Times New Roman" w:hAnsi="Times New Roman" w:eastAsia="仿宋_GB2312" w:cs="Times New Roman"/>
          <w:sz w:val="36"/>
          <w:szCs w:val="36"/>
          <w:lang w:eastAsia="zh-CN"/>
        </w:rPr>
        <w:t>拆除违建房屋、厂房2栋，整治违建坟墓11处，挽回经济损失近千万元。</w:t>
      </w:r>
    </w:p>
    <w:p w14:paraId="252DC813">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楷体_GB2312" w:cs="Times New Roman"/>
          <w:b/>
          <w:bCs/>
          <w:sz w:val="36"/>
          <w:szCs w:val="36"/>
          <w:lang w:eastAsia="zh-CN"/>
        </w:rPr>
        <w:t>（五）深入推动科技赋能工程，发展水平更高。</w:t>
      </w:r>
      <w:r>
        <w:rPr>
          <w:rFonts w:hint="default" w:ascii="Times New Roman" w:hAnsi="Times New Roman" w:eastAsia="仿宋_GB2312" w:cs="Times New Roman"/>
          <w:b/>
          <w:bCs/>
          <w:sz w:val="36"/>
          <w:szCs w:val="36"/>
          <w:lang w:eastAsia="zh-CN"/>
        </w:rPr>
        <w:t>深化校企合作。</w:t>
      </w:r>
      <w:r>
        <w:rPr>
          <w:rFonts w:hint="default" w:ascii="Times New Roman" w:hAnsi="Times New Roman" w:eastAsia="仿宋_GB2312" w:cs="Times New Roman"/>
          <w:sz w:val="36"/>
          <w:szCs w:val="36"/>
          <w:lang w:eastAsia="zh-CN"/>
        </w:rPr>
        <w:t>联合中南大学自动化学院共建“中南汨罗有色金属工业新质生产技术创新实验室”，聘请中国工程院院士桂卫华担任首席专家，认定为岳阳市重点实验室。</w:t>
      </w:r>
      <w:r>
        <w:rPr>
          <w:rFonts w:hint="default" w:ascii="Times New Roman" w:hAnsi="Times New Roman" w:eastAsia="仿宋_GB2312" w:cs="Times New Roman"/>
          <w:b/>
          <w:bCs/>
          <w:sz w:val="36"/>
          <w:szCs w:val="36"/>
          <w:lang w:eastAsia="zh-CN"/>
        </w:rPr>
        <w:t>搭建创新平台。</w:t>
      </w:r>
      <w:r>
        <w:rPr>
          <w:rFonts w:hint="default" w:ascii="Times New Roman" w:hAnsi="Times New Roman" w:eastAsia="仿宋_GB2312" w:cs="Times New Roman"/>
          <w:sz w:val="36"/>
          <w:szCs w:val="36"/>
          <w:lang w:eastAsia="zh-CN"/>
        </w:rPr>
        <w:t>PCB电子电路智造园认定为岳阳市科技企业孵化器，龙智新材认定为湖南省级企业技术中心。参与搭建湖南省石化新材料院士工作站，对再生高分子材料循环综合利用产业化研究课题予以立项，指导新基源开展碳足迹管理体系认证。</w:t>
      </w:r>
      <w:r>
        <w:rPr>
          <w:rFonts w:hint="default" w:ascii="Times New Roman" w:hAnsi="Times New Roman" w:eastAsia="仿宋_GB2312" w:cs="Times New Roman"/>
          <w:b/>
          <w:bCs/>
          <w:sz w:val="36"/>
          <w:szCs w:val="36"/>
          <w:lang w:eastAsia="zh-CN"/>
        </w:rPr>
        <w:t>优化金融服务。</w:t>
      </w:r>
      <w:r>
        <w:rPr>
          <w:rFonts w:hint="default" w:ascii="Times New Roman" w:hAnsi="Times New Roman" w:eastAsia="仿宋_GB2312" w:cs="Times New Roman"/>
          <w:b w:val="0"/>
          <w:bCs w:val="0"/>
          <w:sz w:val="36"/>
          <w:szCs w:val="36"/>
          <w:lang w:eastAsia="zh-CN"/>
        </w:rPr>
        <w:t>协调多</w:t>
      </w:r>
      <w:r>
        <w:rPr>
          <w:rFonts w:hint="default" w:ascii="Times New Roman" w:hAnsi="Times New Roman" w:eastAsia="仿宋_GB2312" w:cs="Times New Roman"/>
          <w:b w:val="0"/>
          <w:bCs w:val="0"/>
          <w:sz w:val="36"/>
          <w:szCs w:val="36"/>
          <w:lang w:val="en-US" w:eastAsia="zh-CN"/>
        </w:rPr>
        <w:t>家</w:t>
      </w:r>
      <w:r>
        <w:rPr>
          <w:rFonts w:hint="default" w:ascii="Times New Roman" w:hAnsi="Times New Roman" w:eastAsia="仿宋_GB2312" w:cs="Times New Roman"/>
          <w:sz w:val="36"/>
          <w:szCs w:val="36"/>
          <w:lang w:eastAsia="zh-CN"/>
        </w:rPr>
        <w:t>银行为21家企业办理“税贷通”业务，发放贷款1.94亿元，对接担保公司及银行金融产品，为18家企业提供担保融资贷款8700万元。</w:t>
      </w:r>
    </w:p>
    <w:p w14:paraId="3F925468">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rPr>
      </w:pPr>
      <w:r>
        <w:rPr>
          <w:rFonts w:hint="default" w:ascii="Times New Roman" w:hAnsi="Times New Roman" w:eastAsia="楷体_GB2312" w:cs="Times New Roman"/>
          <w:b/>
          <w:bCs/>
          <w:sz w:val="36"/>
          <w:szCs w:val="36"/>
          <w:lang w:eastAsia="zh-CN"/>
        </w:rPr>
        <w:t>（六）深入推动底线夯实工程，发展环境更好。</w:t>
      </w:r>
      <w:r>
        <w:rPr>
          <w:rFonts w:hint="default" w:ascii="Times New Roman" w:hAnsi="Times New Roman" w:eastAsia="仿宋_GB2312" w:cs="Times New Roman"/>
          <w:b/>
          <w:bCs/>
          <w:sz w:val="36"/>
          <w:szCs w:val="36"/>
          <w:lang w:eastAsia="zh-CN"/>
        </w:rPr>
        <w:t>守住安全“底线”。</w:t>
      </w:r>
      <w:r>
        <w:rPr>
          <w:rFonts w:hint="default" w:ascii="Times New Roman" w:hAnsi="Times New Roman" w:eastAsia="仿宋_GB2312" w:cs="Times New Roman"/>
          <w:b w:val="0"/>
          <w:bCs w:val="0"/>
          <w:sz w:val="36"/>
          <w:szCs w:val="36"/>
          <w:lang w:eastAsia="zh-CN"/>
        </w:rPr>
        <w:t>开展安全生产“五大行动”，安全设施“三同时”或安全设计诊断完成比例由15.1%提高至85.7%，履行比例由43.9%提高至94.6%，新入园企业安全设施“三同时”达100%。现场审批指导涉危作业65次，排查整改重大安全隐患9起。</w:t>
      </w:r>
      <w:r>
        <w:rPr>
          <w:rFonts w:hint="default" w:ascii="Times New Roman" w:hAnsi="Times New Roman" w:eastAsia="仿宋_GB2312" w:cs="Times New Roman"/>
          <w:b/>
          <w:bCs/>
          <w:sz w:val="36"/>
          <w:szCs w:val="36"/>
          <w:lang w:eastAsia="zh-CN"/>
        </w:rPr>
        <w:t>不碰环保“红线”。</w:t>
      </w:r>
      <w:r>
        <w:rPr>
          <w:rFonts w:hint="default" w:ascii="Times New Roman" w:hAnsi="Times New Roman" w:eastAsia="仿宋_GB2312" w:cs="Times New Roman"/>
          <w:b w:val="0"/>
          <w:bCs w:val="0"/>
          <w:sz w:val="36"/>
          <w:szCs w:val="36"/>
          <w:lang w:eastAsia="zh-CN"/>
        </w:rPr>
        <w:t>坚持问题导向，开展涉水、涉气环保专项整治；常态化开展夜间巡逻、雨水排口巡查，提升环保监管能力，顺利通过中央、省级环保督察。</w:t>
      </w:r>
      <w:r>
        <w:rPr>
          <w:rFonts w:hint="default" w:ascii="Times New Roman" w:hAnsi="Times New Roman" w:eastAsia="仿宋_GB2312" w:cs="Times New Roman"/>
          <w:b/>
          <w:bCs/>
          <w:sz w:val="36"/>
          <w:szCs w:val="36"/>
          <w:lang w:eastAsia="zh-CN"/>
        </w:rPr>
        <w:t>筑牢债务“防线”。</w:t>
      </w:r>
      <w:r>
        <w:rPr>
          <w:rFonts w:hint="default" w:ascii="Times New Roman" w:hAnsi="Times New Roman" w:eastAsia="仿宋_GB2312" w:cs="Times New Roman"/>
          <w:sz w:val="36"/>
          <w:szCs w:val="36"/>
          <w:lang w:eastAsia="zh-CN"/>
        </w:rPr>
        <w:t>大力压减“三公”经费支出，完善公务用车、公务接待、商务接待审批管理制度和实施细则，严格执行支出标准，2024年“三公”经费同比下降</w:t>
      </w:r>
      <w:r>
        <w:rPr>
          <w:rFonts w:hint="default" w:ascii="Times New Roman" w:hAnsi="Times New Roman" w:eastAsia="仿宋_GB2312" w:cs="Times New Roman"/>
          <w:sz w:val="36"/>
          <w:szCs w:val="36"/>
          <w:lang w:val="en-US" w:eastAsia="zh-CN"/>
        </w:rPr>
        <w:t>24.43</w:t>
      </w:r>
      <w:r>
        <w:rPr>
          <w:rFonts w:hint="default" w:ascii="Times New Roman" w:hAnsi="Times New Roman" w:eastAsia="仿宋_GB2312" w:cs="Times New Roman"/>
          <w:sz w:val="36"/>
          <w:szCs w:val="36"/>
          <w:lang w:eastAsia="zh-CN"/>
        </w:rPr>
        <w:t>%。</w:t>
      </w:r>
    </w:p>
    <w:p w14:paraId="50F77FB4">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楷体_GB2312" w:cs="Times New Roman"/>
          <w:b/>
          <w:bCs/>
          <w:sz w:val="36"/>
          <w:szCs w:val="36"/>
          <w:lang w:eastAsia="zh-CN"/>
        </w:rPr>
        <w:t>（七）深入推动管理创新工程，发展氛围更浓。</w:t>
      </w:r>
      <w:r>
        <w:rPr>
          <w:rFonts w:hint="default" w:ascii="Times New Roman" w:hAnsi="Times New Roman" w:eastAsia="仿宋_GB2312" w:cs="Times New Roman"/>
          <w:b/>
          <w:bCs/>
          <w:sz w:val="36"/>
          <w:szCs w:val="36"/>
          <w:lang w:eastAsia="zh-CN"/>
        </w:rPr>
        <w:t>强化绩效考核。</w:t>
      </w:r>
      <w:r>
        <w:rPr>
          <w:rFonts w:hint="default" w:ascii="Times New Roman" w:hAnsi="Times New Roman" w:eastAsia="仿宋_GB2312" w:cs="Times New Roman"/>
          <w:b w:val="0"/>
          <w:bCs w:val="0"/>
          <w:sz w:val="36"/>
          <w:szCs w:val="36"/>
          <w:lang w:eastAsia="zh-CN"/>
        </w:rPr>
        <w:t>制定《汨罗高新区2024年绩效考核办法》，围绕“八大工程”24项具体目标任务，开展督查考核，以结果为导向、以实绩论英雄，在拉开差距上较真劲，在结果运用上动真格。</w:t>
      </w:r>
      <w:r>
        <w:rPr>
          <w:rFonts w:hint="default" w:ascii="Times New Roman" w:hAnsi="Times New Roman" w:eastAsia="仿宋_GB2312" w:cs="Times New Roman"/>
          <w:b/>
          <w:bCs/>
          <w:sz w:val="36"/>
          <w:szCs w:val="36"/>
          <w:lang w:eastAsia="zh-CN"/>
        </w:rPr>
        <w:t>做实经营创收。</w:t>
      </w:r>
      <w:r>
        <w:rPr>
          <w:rFonts w:hint="default" w:ascii="Times New Roman" w:hAnsi="Times New Roman" w:eastAsia="仿宋_GB2312" w:cs="Times New Roman"/>
          <w:sz w:val="36"/>
          <w:szCs w:val="36"/>
        </w:rPr>
        <w:t>加强汨之源集团</w:t>
      </w:r>
      <w:r>
        <w:rPr>
          <w:rFonts w:hint="default" w:ascii="Times New Roman" w:hAnsi="Times New Roman" w:eastAsia="仿宋_GB2312" w:cs="Times New Roman"/>
          <w:sz w:val="36"/>
          <w:szCs w:val="36"/>
          <w:lang w:eastAsia="zh-CN"/>
        </w:rPr>
        <w:t>（含</w:t>
      </w:r>
      <w:r>
        <w:rPr>
          <w:rFonts w:hint="default" w:ascii="Times New Roman" w:hAnsi="Times New Roman" w:eastAsia="仿宋_GB2312" w:cs="Times New Roman"/>
          <w:sz w:val="36"/>
          <w:szCs w:val="36"/>
        </w:rPr>
        <w:t>水务公司、园拓公司、物业公司</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管理考核，找准增长突破点，规范管理水平，扩大经营规模，</w:t>
      </w:r>
      <w:r>
        <w:rPr>
          <w:rFonts w:hint="default" w:ascii="Times New Roman" w:hAnsi="Times New Roman" w:eastAsia="仿宋_GB2312" w:cs="Times New Roman"/>
          <w:sz w:val="36"/>
          <w:szCs w:val="36"/>
          <w:lang w:eastAsia="zh-CN"/>
        </w:rPr>
        <w:t>资产经营性和工程业务收益双双突破千万元大关。</w:t>
      </w:r>
      <w:r>
        <w:rPr>
          <w:rFonts w:hint="default" w:ascii="Times New Roman" w:hAnsi="Times New Roman" w:eastAsia="仿宋_GB2312" w:cs="Times New Roman"/>
          <w:b/>
          <w:bCs/>
          <w:sz w:val="36"/>
          <w:szCs w:val="36"/>
          <w:lang w:eastAsia="zh-CN"/>
        </w:rPr>
        <w:t>理顺体制机制。</w:t>
      </w:r>
      <w:r>
        <w:rPr>
          <w:rFonts w:hint="default" w:ascii="Times New Roman" w:hAnsi="Times New Roman" w:eastAsia="仿宋_GB2312" w:cs="Times New Roman"/>
          <w:sz w:val="36"/>
          <w:szCs w:val="36"/>
          <w:lang w:eastAsia="zh-CN"/>
        </w:rPr>
        <w:t>统筹配套园管理，实行“四个统一”，即</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eastAsia="zh-CN"/>
        </w:rPr>
        <w:t>党建工作统一、产业规划统一、统计口径统一、安全环保“管家”统一管理，配套园内部管理体制机制得到理顺。</w:t>
      </w:r>
    </w:p>
    <w:p w14:paraId="64210AA1">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楷体_GB2312" w:cs="Times New Roman"/>
          <w:b/>
          <w:bCs/>
          <w:sz w:val="36"/>
          <w:szCs w:val="36"/>
          <w:lang w:eastAsia="zh-CN"/>
        </w:rPr>
        <w:t>（八）深入推动党建聚力工程，发展合力更强。</w:t>
      </w:r>
      <w:r>
        <w:rPr>
          <w:rFonts w:hint="default" w:ascii="Times New Roman" w:hAnsi="Times New Roman" w:eastAsia="仿宋_GB2312" w:cs="Times New Roman"/>
          <w:b/>
          <w:bCs/>
          <w:sz w:val="36"/>
          <w:szCs w:val="36"/>
          <w:lang w:eastAsia="zh-CN"/>
        </w:rPr>
        <w:t>提标党建工作。</w:t>
      </w:r>
      <w:r>
        <w:rPr>
          <w:rFonts w:hint="default" w:ascii="Times New Roman" w:hAnsi="Times New Roman" w:eastAsia="仿宋_GB2312" w:cs="Times New Roman"/>
          <w:sz w:val="36"/>
          <w:szCs w:val="36"/>
          <w:lang w:eastAsia="zh-CN"/>
        </w:rPr>
        <w:t>深入开展“两新”组织党支部“五化”创建提升行动，实现“三会一课”“一月一课一片一实践”等组织生活正常化运行。新成立党支部6家，20名预备党员按期转正，中塑、振升、优冠等6家企业负责人获评岳阳市“优秀民营企业家”。</w:t>
      </w:r>
      <w:r>
        <w:rPr>
          <w:rFonts w:hint="default" w:ascii="Times New Roman" w:hAnsi="Times New Roman" w:eastAsia="仿宋_GB2312" w:cs="Times New Roman"/>
          <w:b/>
          <w:bCs/>
          <w:sz w:val="36"/>
          <w:szCs w:val="36"/>
          <w:lang w:eastAsia="zh-CN"/>
        </w:rPr>
        <w:t>提效清廉建设。</w:t>
      </w:r>
      <w:r>
        <w:rPr>
          <w:rFonts w:hint="default" w:ascii="Times New Roman" w:hAnsi="Times New Roman" w:eastAsia="仿宋_GB2312" w:cs="Times New Roman"/>
          <w:sz w:val="36"/>
          <w:szCs w:val="36"/>
          <w:lang w:eastAsia="zh-CN"/>
        </w:rPr>
        <w:t>高标准完成省委第七巡视组巡视岳阳涉及园区</w:t>
      </w:r>
      <w:r>
        <w:rPr>
          <w:rFonts w:hint="default" w:ascii="Times New Roman" w:hAnsi="Times New Roman" w:eastAsia="仿宋_GB2312" w:cs="Times New Roman"/>
          <w:sz w:val="36"/>
          <w:szCs w:val="36"/>
          <w:lang w:val="en-US" w:eastAsia="zh-CN"/>
        </w:rPr>
        <w:t>14个问题整改工作，被评为优秀。圆满整改省委第一巡视组巡视汨罗涉及园区的5个问题，解决了一批历史遗留问题。</w:t>
      </w:r>
      <w:r>
        <w:rPr>
          <w:rFonts w:hint="default" w:ascii="Times New Roman" w:hAnsi="Times New Roman" w:eastAsia="仿宋_GB2312" w:cs="Times New Roman"/>
          <w:sz w:val="36"/>
          <w:szCs w:val="36"/>
          <w:lang w:eastAsia="zh-CN"/>
        </w:rPr>
        <w:t>持续巩固“两带头五整治”纠风防腐专项行动、党员干部和公职人员酒驾醉驾专项治理工作成果，全年立案14人，处分1</w:t>
      </w:r>
      <w:r>
        <w:rPr>
          <w:rFonts w:hint="default" w:ascii="Times New Roman" w:hAnsi="Times New Roman" w:eastAsia="仿宋_GB2312" w:cs="Times New Roman"/>
          <w:sz w:val="36"/>
          <w:szCs w:val="36"/>
          <w:lang w:val="en-US" w:eastAsia="zh-CN"/>
        </w:rPr>
        <w:t>1</w:t>
      </w:r>
      <w:r>
        <w:rPr>
          <w:rFonts w:hint="default" w:ascii="Times New Roman" w:hAnsi="Times New Roman" w:eastAsia="仿宋_GB2312" w:cs="Times New Roman"/>
          <w:sz w:val="36"/>
          <w:szCs w:val="36"/>
          <w:lang w:eastAsia="zh-CN"/>
        </w:rPr>
        <w:t>人。</w:t>
      </w:r>
      <w:r>
        <w:rPr>
          <w:rFonts w:hint="default" w:ascii="Times New Roman" w:hAnsi="Times New Roman" w:eastAsia="仿宋_GB2312" w:cs="Times New Roman"/>
          <w:b/>
          <w:bCs/>
          <w:sz w:val="36"/>
          <w:szCs w:val="36"/>
          <w:lang w:eastAsia="zh-CN"/>
        </w:rPr>
        <w:t>提质营商环境。</w:t>
      </w:r>
      <w:r>
        <w:rPr>
          <w:rFonts w:hint="default" w:ascii="Times New Roman" w:hAnsi="Times New Roman" w:eastAsia="仿宋_GB2312" w:cs="Times New Roman"/>
          <w:sz w:val="36"/>
          <w:szCs w:val="36"/>
          <w:lang w:eastAsia="zh-CN"/>
        </w:rPr>
        <w:t>开展领导干部利用职权或影响力为亲友牟利、损害营商环境典型问题专项整治，填报自查表37份；推行“部门负责、干部联点”帮扶，帮助</w:t>
      </w:r>
      <w:r>
        <w:rPr>
          <w:rFonts w:hint="default" w:ascii="Times New Roman" w:hAnsi="Times New Roman" w:eastAsia="仿宋_GB2312" w:cs="Times New Roman"/>
          <w:sz w:val="36"/>
          <w:szCs w:val="36"/>
          <w:lang w:val="en-US" w:eastAsia="zh-CN"/>
        </w:rPr>
        <w:t>104</w:t>
      </w:r>
      <w:r>
        <w:rPr>
          <w:rFonts w:hint="default" w:ascii="Times New Roman" w:hAnsi="Times New Roman" w:eastAsia="仿宋_GB2312" w:cs="Times New Roman"/>
          <w:sz w:val="36"/>
          <w:szCs w:val="36"/>
          <w:lang w:eastAsia="zh-CN"/>
        </w:rPr>
        <w:t>家企业解决急难愁盼问题1</w:t>
      </w:r>
      <w:r>
        <w:rPr>
          <w:rFonts w:hint="default" w:ascii="Times New Roman" w:hAnsi="Times New Roman" w:eastAsia="仿宋_GB2312" w:cs="Times New Roman"/>
          <w:sz w:val="36"/>
          <w:szCs w:val="36"/>
          <w:lang w:val="en-US" w:eastAsia="zh-CN"/>
        </w:rPr>
        <w:t>53</w:t>
      </w:r>
      <w:r>
        <w:rPr>
          <w:rFonts w:hint="default" w:ascii="Times New Roman" w:hAnsi="Times New Roman" w:eastAsia="仿宋_GB2312" w:cs="Times New Roman"/>
          <w:sz w:val="36"/>
          <w:szCs w:val="36"/>
          <w:lang w:eastAsia="zh-CN"/>
        </w:rPr>
        <w:t>个，协助</w:t>
      </w:r>
      <w:r>
        <w:rPr>
          <w:rFonts w:hint="default" w:ascii="Times New Roman" w:hAnsi="Times New Roman" w:eastAsia="仿宋_GB2312" w:cs="Times New Roman"/>
          <w:sz w:val="36"/>
          <w:szCs w:val="36"/>
          <w:lang w:val="en-US" w:eastAsia="zh-CN"/>
        </w:rPr>
        <w:t>40家</w:t>
      </w:r>
      <w:r>
        <w:rPr>
          <w:rFonts w:hint="default" w:ascii="Times New Roman" w:hAnsi="Times New Roman" w:eastAsia="仿宋_GB2312" w:cs="Times New Roman"/>
          <w:sz w:val="36"/>
          <w:szCs w:val="36"/>
          <w:lang w:eastAsia="zh-CN"/>
        </w:rPr>
        <w:t>企业成功招聘急需专业技术人员1</w:t>
      </w:r>
      <w:r>
        <w:rPr>
          <w:rFonts w:hint="default" w:ascii="Times New Roman" w:hAnsi="Times New Roman" w:eastAsia="仿宋_GB2312" w:cs="Times New Roman"/>
          <w:sz w:val="36"/>
          <w:szCs w:val="36"/>
          <w:lang w:val="en-US" w:eastAsia="zh-CN"/>
        </w:rPr>
        <w:t>70</w:t>
      </w:r>
      <w:r>
        <w:rPr>
          <w:rFonts w:hint="default" w:ascii="Times New Roman" w:hAnsi="Times New Roman" w:eastAsia="仿宋_GB2312" w:cs="Times New Roman"/>
          <w:sz w:val="36"/>
          <w:szCs w:val="36"/>
          <w:lang w:eastAsia="zh-CN"/>
        </w:rPr>
        <w:t>人，妥善处置劳动矛盾纠纷</w:t>
      </w:r>
      <w:r>
        <w:rPr>
          <w:rFonts w:hint="default" w:ascii="Times New Roman" w:hAnsi="Times New Roman" w:eastAsia="仿宋_GB2312" w:cs="Times New Roman"/>
          <w:sz w:val="36"/>
          <w:szCs w:val="36"/>
          <w:lang w:val="en-US" w:eastAsia="zh-CN"/>
        </w:rPr>
        <w:t>20余起</w:t>
      </w:r>
      <w:r>
        <w:rPr>
          <w:rFonts w:hint="default" w:ascii="Times New Roman" w:hAnsi="Times New Roman" w:eastAsia="仿宋_GB2312" w:cs="Times New Roman"/>
          <w:sz w:val="36"/>
          <w:szCs w:val="36"/>
          <w:lang w:eastAsia="zh-CN"/>
        </w:rPr>
        <w:t>。</w:t>
      </w:r>
    </w:p>
    <w:p w14:paraId="4D33A17F">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七、存在的问题及原因分析</w:t>
      </w:r>
    </w:p>
    <w:p w14:paraId="0D5F29E0">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个别单位对绩效评价工作不够重视，未按规定时间节点开展绩效自评并上报自评报告。自评表格填报内容不规范。项目绩效目标完成情况填写不完整不准确。部分绩效指标完成情况以已达到预期目标完成笼统表述；数量指标没有量化，未设置效益指标打分权重；个别项目既无自评结论也无得分汇总。</w:t>
      </w:r>
    </w:p>
    <w:p w14:paraId="07D15B6E">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绩效自评工作不够规范。一是绩效评分表内容及报告填报不完整。个别项目绩效指标年初未设定目标值，仅自评时填写实际结果；个别项目评价时业绩值漏填；个别项目支出数填写与实际支出不一致；部分项目评价报告不完整，缺少问题与建议，或未填写评价结果。二是问题产生原因分析不够深入。个别部门和单位项目支出存在预算执行行政单位绩效管理存在率低、或未完成年初设定的绩效目标等问题，在评价报告中未进行原因分析，未提出针对性的评价意见和建议。</w:t>
      </w:r>
    </w:p>
    <w:p w14:paraId="50AB4744">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绩效目标设置不够合理。一是部分项目指标设置不完整，绩效目标没有设置效益指标；二是部分指标设置与项目实际相关性较低，仅套用共性指标，个性化指标设置过少，难以体现项目实施绩效；三是部分指标内容设定过于笼统或宽泛，定性指标多，定量指标少，造成评价环节难以衡量。</w:t>
      </w:r>
    </w:p>
    <w:p w14:paraId="548B111B">
      <w:pPr>
        <w:spacing w:line="600" w:lineRule="exact"/>
        <w:ind w:firstLine="640" w:firstLineChars="2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四）自评质量不高，自评结论不够客观真实。部分项目自评结论与指标得分、指标完成值缺乏对应；个别项目评分结果较低但自评结论为"优"；个别项目仅有自评分数无评价结论。项目单位不注重资料收集整理，项目档案资料不全，绩效自评缺少有效资料的支撑，自评质量不高，自评结论不够客观真实，自评结论与实际绩效抽评结论偏离度较</w:t>
      </w:r>
      <w:r>
        <w:rPr>
          <w:rFonts w:hint="eastAsia" w:ascii="仿宋" w:hAnsi="仿宋" w:eastAsia="仿宋" w:cs="仿宋"/>
          <w:kern w:val="0"/>
          <w:sz w:val="32"/>
          <w:szCs w:val="32"/>
          <w:lang w:val="en-US" w:eastAsia="zh-CN"/>
        </w:rPr>
        <w:t>大。</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0B4F37B">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一）强化预算绩效管理，建立健全绩效管理机制。深入贯彻落实《关于全面落实预算绩效管理的实施意见》精神，加强预算绩效管理工作组织领导，进一步提高思想认识，建立健全预算绩效管理机制，明确责任主体，优化预算管理流程，完善内控制度，明确部门内部绩效目标设置、审核、监控和评价的责任分工，加强部门财务与业务工作衔接，不断提升预算绩效管理水平，切实提高财政资金使用效益。</w:t>
      </w:r>
    </w:p>
    <w:p w14:paraId="28073FBC">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二）强化绩效目标管理，规范绩效目标编制。绩效目标是项目设立和实施的前提，是做好绩效评价等各项预算绩效管理工作的基础。下年度编制预算时要结合单位职责、项目实施实际，分解细化工作要求，科学设置绩效目标和相关指标，规范绩效目标编制，加强绩效目标审核，提升绩效目标编制质量。</w:t>
      </w:r>
    </w:p>
    <w:p w14:paraId="77C4D95E">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三）强化绩效自评工作，提高自评报告质量。按照"谁使用、谁评价"的原则，建立健全项目和政策绩效自评工作机制，加快项目和政策绩效自评全覆盖，如实反映绩效目标实现结果，对绩效目标未达成或目标制定明显不合理的，要作出说明提出改进措施，逐步推进部门和单位整体绩效自评工作，提高部门和单位履职效能和公共服务质量，建立健全绩效评价常态机制，不断创新评价方法，提高绩效评价质量。</w:t>
      </w:r>
    </w:p>
    <w:p w14:paraId="6C7E7DEF">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四）建立预算绩效管理协同联动机制。为加快构建全方位、全过程、全覆盖预算绩效管理体系，节约资源，减少重复检查，提高工作效率，压实预算绩效管理主体责任，进一步规范财政管理、维护财经纪律、提高财政资金绩效。审计、财政建立指标共商、信息共享、成果共用、整改共抓预算绩效管理协同联动机制。</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4F4FF27">
      <w:pPr>
        <w:pStyle w:val="8"/>
        <w:ind w:firstLine="1280" w:firstLineChars="400"/>
        <w:rPr>
          <w:rFonts w:hint="default"/>
          <w:lang w:val="en-US" w:eastAsia="zh-CN"/>
        </w:rPr>
      </w:pPr>
      <w:r>
        <w:rPr>
          <w:rFonts w:hint="eastAsia" w:ascii="方正黑体_GBK" w:eastAsia="方正黑体_GBK"/>
          <w:kern w:val="0"/>
          <w:sz w:val="32"/>
          <w:szCs w:val="32"/>
          <w:lang w:val="en-US" w:eastAsia="zh-CN"/>
        </w:rPr>
        <w:t>无</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sz w:val="40"/>
          <w:szCs w:val="40"/>
          <w:lang w:val="en-US" w:eastAsia="zh-CN"/>
        </w:rPr>
        <w:t>高新区管委会</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2025</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19</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253BE6C3">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汨罗高新区争当践行“三高四新”战略排头兵，深入贯彻落实省委、省政府和市委、市政府各项决策部署，敢闯敢干敢为、加压加力加速，持续推动“五好”园区创建走深走实。全年预计完成税收8.99亿元。1-10月份，实现技工贸收入193.37亿元，主导产业主营业务收入191.35亿元，高新技术产业主营业务收入119.47亿元，固定资产投资16.31亿元。</w:t>
      </w:r>
    </w:p>
    <w:p w14:paraId="155117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00535C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项目资金由园区各部门申报，通过单项绩效评价和统一政府购买服务，逐一审批，专款专用。同时，园区财政部门负责对项目资金按进度拨付，严格按预算支出。</w:t>
      </w:r>
    </w:p>
    <w:p w14:paraId="1F7DA4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251817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高新区通常会制定详细的预算执行计划，并对预算执行进度进行密切跟踪和监督。这有助于确保项目资金按照既定的时间和节奏进行支出，提高预算执行的效率。</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高新区项目在立项之初就会设定明确的绩效目标，包括经济效益、社会效益、环境效益等方面。</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D7F0008">
      <w:pPr>
        <w:pStyle w:val="8"/>
        <w:numPr>
          <w:ilvl w:val="0"/>
          <w:numId w:val="0"/>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2024年汨罗高新区对各大专项实行项目立项前的绩效评价。</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4CCEAA5A">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eastAsia="zh-CN"/>
        </w:rPr>
      </w:pPr>
      <w:r>
        <w:rPr>
          <w:rFonts w:hint="default" w:ascii="Times New Roman" w:hAnsi="Times New Roman" w:eastAsia="仿宋_GB2312" w:cs="Times New Roman"/>
          <w:sz w:val="36"/>
          <w:szCs w:val="36"/>
          <w:lang w:val="en-US" w:eastAsia="zh-CN"/>
        </w:rPr>
        <w:t>2024年规模工业同比增长3%；工业用电量同比增长3.4%；</w:t>
      </w:r>
      <w:r>
        <w:rPr>
          <w:rFonts w:hint="default" w:ascii="Times New Roman" w:hAnsi="Times New Roman" w:eastAsia="仿宋_GB2312" w:cs="Times New Roman"/>
          <w:sz w:val="36"/>
          <w:szCs w:val="36"/>
          <w:lang w:eastAsia="zh-CN"/>
        </w:rPr>
        <w:t>净入库税收</w:t>
      </w:r>
      <w:r>
        <w:rPr>
          <w:rFonts w:hint="default" w:ascii="Times New Roman" w:hAnsi="Times New Roman" w:eastAsia="仿宋_GB2312" w:cs="Times New Roman"/>
          <w:sz w:val="36"/>
          <w:szCs w:val="36"/>
          <w:lang w:val="en-US" w:eastAsia="zh-CN"/>
        </w:rPr>
        <w:t>7.78亿元；</w:t>
      </w:r>
      <w:r>
        <w:rPr>
          <w:rFonts w:hint="default" w:ascii="Times New Roman" w:hAnsi="Times New Roman" w:eastAsia="仿宋_GB2312" w:cs="Times New Roman"/>
          <w:sz w:val="36"/>
          <w:szCs w:val="36"/>
        </w:rPr>
        <w:t>新签约项目54个，签约投资额194.92亿元，其中10亿元以上项目4个；新开工项目5</w:t>
      </w:r>
      <w:r>
        <w:rPr>
          <w:rFonts w:hint="default" w:ascii="Times New Roman" w:hAnsi="Times New Roman" w:eastAsia="仿宋_GB2312" w:cs="Times New Roman"/>
          <w:sz w:val="36"/>
          <w:szCs w:val="36"/>
          <w:lang w:val="en-US" w:eastAsia="zh-CN"/>
        </w:rPr>
        <w:t>7</w:t>
      </w:r>
      <w:r>
        <w:rPr>
          <w:rFonts w:hint="default" w:ascii="Times New Roman" w:hAnsi="Times New Roman" w:eastAsia="仿宋_GB2312" w:cs="Times New Roman"/>
          <w:sz w:val="36"/>
          <w:szCs w:val="36"/>
        </w:rPr>
        <w:t>个，完成投资53.44亿元，签约项目履约率8</w:t>
      </w:r>
      <w:r>
        <w:rPr>
          <w:rFonts w:hint="default" w:ascii="Times New Roman" w:hAnsi="Times New Roman" w:eastAsia="仿宋_GB2312" w:cs="Times New Roman"/>
          <w:sz w:val="36"/>
          <w:szCs w:val="36"/>
          <w:lang w:val="en-US" w:eastAsia="zh-CN"/>
        </w:rPr>
        <w:t>7</w:t>
      </w:r>
      <w:r>
        <w:rPr>
          <w:rFonts w:hint="default" w:ascii="Times New Roman" w:hAnsi="Times New Roman" w:eastAsia="仿宋_GB2312" w:cs="Times New Roman"/>
          <w:sz w:val="36"/>
          <w:szCs w:val="36"/>
        </w:rPr>
        <w:t>.1%；竣工投产项目</w:t>
      </w:r>
      <w:r>
        <w:rPr>
          <w:rFonts w:hint="default" w:ascii="Times New Roman" w:hAnsi="Times New Roman" w:eastAsia="仿宋_GB2312" w:cs="Times New Roman"/>
          <w:sz w:val="36"/>
          <w:szCs w:val="36"/>
          <w:lang w:val="en-US" w:eastAsia="zh-CN"/>
        </w:rPr>
        <w:t>56</w:t>
      </w:r>
      <w:r>
        <w:rPr>
          <w:rFonts w:hint="default" w:ascii="Times New Roman" w:hAnsi="Times New Roman" w:eastAsia="仿宋_GB2312" w:cs="Times New Roman"/>
          <w:sz w:val="36"/>
          <w:szCs w:val="36"/>
        </w:rPr>
        <w:t>个，完成投资47.62亿元</w:t>
      </w:r>
      <w:r>
        <w:rPr>
          <w:rFonts w:hint="default" w:ascii="Times New Roman" w:hAnsi="Times New Roman" w:eastAsia="仿宋_GB2312" w:cs="Times New Roman"/>
          <w:sz w:val="36"/>
          <w:szCs w:val="36"/>
          <w:lang w:eastAsia="zh-CN"/>
        </w:rPr>
        <w:t>，均居岳阳市前列。</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8CF1106">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绩效自评工作不够规范。一是绩效评分表内容及报告填报不完整。个别项目绩效指标年初未设定目标值，仅自评时填写实际结果；个别项目评价时业绩值漏填；个别项目支出数填写与实际支出不一致；部分项目评价报告不完整，缺少问题与建议，或未填写评价结果。二是问题产生原因分析不够深入。个别部门和单位项目支出存在预算执行行政单位绩效管理存在率低、或未完成年初设定的绩效目标等问题，在评价报告中未进行原因分析，未提出针对性的评价意见和建议。</w:t>
      </w:r>
    </w:p>
    <w:p w14:paraId="18750A6F">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绩效目标设置不够合理。一是部分项目指标设置不完整，绩效目标没有设置效益指标；二是部分指标设置与项目实际相关性较低，仅套用共性指标，个性化指标设置过少，难以体现项目实施绩效；三是部分指标内容设定过于笼统或宽泛，定性指标多，定量指标少，造成评价环节难以衡量。</w:t>
      </w:r>
    </w:p>
    <w:p w14:paraId="0225AC7B">
      <w:pPr>
        <w:pStyle w:val="8"/>
        <w:rPr>
          <w:rFonts w:hint="eastAsia"/>
          <w:lang w:eastAsia="zh-CN"/>
        </w:rPr>
      </w:pPr>
    </w:p>
    <w:p w14:paraId="58DE129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3D0AE1FA">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强化预算绩效管理，建立健全绩效管理机制。深入贯彻落实《关于全面落实预算绩效管理的实施意见》精神，加强预算绩效管理工作组织领导，进一步提高思想认识，建立健全预算绩效管理机制，明确责任主体，优化预算管理流程，完善内控制度，明确部门内部绩效目标设置、审核、监控和评价的责任分工，加强部门财务与业务工作衔接，不断提升预算绩效管理水平，切实提高财政资金使用效益。</w:t>
      </w:r>
    </w:p>
    <w:p w14:paraId="74C4A1B1">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二）强化绩效目标管理，规范绩效目标编制。绩效目标是项目设立和实施的前提，是做好绩效评价等各项预算绩效管理工作的基础。下年度编制预算时要结合单位职责、项目实施实际，分解细化工作要求，科学设置绩效目标和相关指标，规范绩效目标编制，加强绩效目标审核，提升绩效目标编制质量。</w:t>
      </w:r>
    </w:p>
    <w:p w14:paraId="0B28716C">
      <w:pPr>
        <w:pStyle w:val="8"/>
        <w:rPr>
          <w:rFonts w:hint="eastAsia" w:ascii="仿宋" w:hAnsi="仿宋" w:eastAsia="仿宋" w:cs="仿宋"/>
          <w:sz w:val="32"/>
          <w:szCs w:val="32"/>
          <w:lang w:eastAsia="zh-CN"/>
        </w:rPr>
      </w:pPr>
      <w:r>
        <w:rPr>
          <w:rFonts w:hint="eastAsia" w:ascii="仿宋" w:hAnsi="仿宋" w:eastAsia="仿宋" w:cs="仿宋"/>
          <w:sz w:val="32"/>
          <w:szCs w:val="32"/>
          <w:lang w:eastAsia="zh-CN"/>
        </w:rPr>
        <w:t>（三）强化绩效自评工作，提高自评报告质量。按照"谁使用、谁评价"的原则，建立健全项目和政策绩效自评工作机制，加快项目和政策绩效自评全覆盖，如实反映绩效目标实现结果，对绩效目标未达成或目标制定明显不合理的，要作出说明提出改进措施，逐步推进部门和单位整体绩效自评工作，提高部门和单位履职效能和公共服务质量，建立健全绩效评价常态机制，不断创新评价方法，提高绩效评价质量。</w:t>
      </w:r>
    </w:p>
    <w:p w14:paraId="6E3D18CF">
      <w:pPr>
        <w:pStyle w:val="8"/>
        <w:numPr>
          <w:ilvl w:val="0"/>
          <w:numId w:val="0"/>
        </w:numPr>
      </w:pPr>
    </w:p>
    <w:p w14:paraId="6BBCD63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5BF5127A">
      <w:pPr>
        <w:pStyle w:val="8"/>
        <w:numPr>
          <w:ilvl w:val="0"/>
          <w:numId w:val="0"/>
        </w:numPr>
        <w:ind w:leftChars="200"/>
        <w:rPr>
          <w:rFonts w:hint="default"/>
          <w:lang w:val="en-US" w:eastAsia="zh-CN"/>
        </w:rPr>
      </w:pPr>
      <w:r>
        <w:rPr>
          <w:rFonts w:hint="eastAsia"/>
          <w:lang w:val="en-US" w:eastAsia="zh-CN"/>
        </w:rPr>
        <w:t xml:space="preserve">  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F0660"/>
    <w:multiLevelType w:val="singleLevel"/>
    <w:tmpl w:val="A6AF0660"/>
    <w:lvl w:ilvl="0" w:tentative="0">
      <w:start w:val="4"/>
      <w:numFmt w:val="chineseCounting"/>
      <w:suff w:val="nothing"/>
      <w:lvlText w:val="%1、"/>
      <w:lvlJc w:val="left"/>
      <w:rPr>
        <w:rFonts w:hint="eastAsia"/>
      </w:rPr>
    </w:lvl>
  </w:abstractNum>
  <w:abstractNum w:abstractNumId="1">
    <w:nsid w:val="430CA267"/>
    <w:multiLevelType w:val="singleLevel"/>
    <w:tmpl w:val="430CA267"/>
    <w:lvl w:ilvl="0" w:tentative="0">
      <w:start w:val="2"/>
      <w:numFmt w:val="chineseCounting"/>
      <w:suff w:val="nothing"/>
      <w:lvlText w:val="（%1）"/>
      <w:lvlJc w:val="left"/>
      <w:rPr>
        <w:rFonts w:hint="eastAsia"/>
      </w:rPr>
    </w:lvl>
  </w:abstractNum>
  <w:abstractNum w:abstractNumId="2">
    <w:nsid w:val="5B27DB79"/>
    <w:multiLevelType w:val="singleLevel"/>
    <w:tmpl w:val="5B27DB7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k5NTc0NDc4MGY2NGE1ZjhlNzFlMGU1Y2I0ZjQ3NGQifQ=="/>
  </w:docVars>
  <w:rsids>
    <w:rsidRoot w:val="00000000"/>
    <w:rsid w:val="0075194C"/>
    <w:rsid w:val="01AF3811"/>
    <w:rsid w:val="036F5548"/>
    <w:rsid w:val="03795BF7"/>
    <w:rsid w:val="086E756B"/>
    <w:rsid w:val="0ACF37E5"/>
    <w:rsid w:val="0B400BC6"/>
    <w:rsid w:val="0E68228D"/>
    <w:rsid w:val="0EA6787F"/>
    <w:rsid w:val="10106E34"/>
    <w:rsid w:val="15276E52"/>
    <w:rsid w:val="19D32FBC"/>
    <w:rsid w:val="1B027F11"/>
    <w:rsid w:val="1CE217CB"/>
    <w:rsid w:val="1E6A4395"/>
    <w:rsid w:val="20997FF6"/>
    <w:rsid w:val="230508DD"/>
    <w:rsid w:val="23C05C28"/>
    <w:rsid w:val="25557A3D"/>
    <w:rsid w:val="26EA5ED7"/>
    <w:rsid w:val="27A93B82"/>
    <w:rsid w:val="2AE00186"/>
    <w:rsid w:val="308216BE"/>
    <w:rsid w:val="31230DCD"/>
    <w:rsid w:val="34777823"/>
    <w:rsid w:val="34FE1149"/>
    <w:rsid w:val="3A550786"/>
    <w:rsid w:val="3B661D5D"/>
    <w:rsid w:val="3B7A130F"/>
    <w:rsid w:val="494A1329"/>
    <w:rsid w:val="4F8B6063"/>
    <w:rsid w:val="525A3ACB"/>
    <w:rsid w:val="52E02222"/>
    <w:rsid w:val="52FA3F96"/>
    <w:rsid w:val="55850F17"/>
    <w:rsid w:val="57AE6D93"/>
    <w:rsid w:val="587A031B"/>
    <w:rsid w:val="5BFF2EF2"/>
    <w:rsid w:val="5C6D424E"/>
    <w:rsid w:val="5E3F5F6B"/>
    <w:rsid w:val="5FB623A7"/>
    <w:rsid w:val="635570EF"/>
    <w:rsid w:val="67B11C5B"/>
    <w:rsid w:val="6D3A056E"/>
    <w:rsid w:val="6E3851B0"/>
    <w:rsid w:val="71213A5E"/>
    <w:rsid w:val="732F6DBA"/>
    <w:rsid w:val="755C1B42"/>
    <w:rsid w:val="76B11CC7"/>
    <w:rsid w:val="784167CA"/>
    <w:rsid w:val="7C130B4D"/>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BodyText1I"/>
    <w:basedOn w:val="9"/>
    <w:qFormat/>
    <w:uiPriority w:val="0"/>
    <w:pPr>
      <w:ind w:firstLine="100" w:firstLineChars="100"/>
    </w:pPr>
  </w:style>
  <w:style w:type="paragraph" w:customStyle="1" w:styleId="9">
    <w:name w:val="BodyText"/>
    <w:basedOn w:val="1"/>
    <w:qFormat/>
    <w:uiPriority w:val="0"/>
    <w:pPr>
      <w:spacing w:after="120"/>
    </w:p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1213</Words>
  <Characters>1424</Characters>
  <TotalTime>7</TotalTime>
  <ScaleCrop>false</ScaleCrop>
  <LinksUpToDate>false</LinksUpToDate>
  <CharactersWithSpaces>1555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2025-09-22T07:51:12Z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eyJoZGlkIjoiMDk5NTc0NDc4MGY2NGE1ZjhlNzFlMGU1Y2I0ZjQ3NGQifQ==</vt:lpwstr>
  </property>
</Properties>
</file>