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06F2846E">
            <w:pPr>
              <w:spacing w:line="240" w:lineRule="auto"/>
              <w:ind w:firstLine="420"/>
              <w:jc w:val="center"/>
              <w:rPr>
                <w:rFonts w:ascii="仿宋_GB2312" w:eastAsia="仿宋_GB2312"/>
                <w:kern w:val="0"/>
              </w:rPr>
            </w:pPr>
            <w:r>
              <w:rPr>
                <w:rFonts w:hint="eastAsia" w:ascii="仿宋_GB2312" w:eastAsia="仿宋_GB2312"/>
                <w:kern w:val="0"/>
              </w:rPr>
              <w:t>96.15%</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630" w:firstLineChars="300"/>
              <w:jc w:val="left"/>
              <w:rPr>
                <w:rFonts w:hint="default" w:ascii="仿宋_GB2312" w:eastAsia="仿宋_GB2312"/>
                <w:kern w:val="0"/>
                <w:lang w:val="en-US" w:eastAsia="zh-CN"/>
              </w:rPr>
            </w:pPr>
            <w:r>
              <w:rPr>
                <w:rFonts w:hint="eastAsia" w:ascii="仿宋_GB2312" w:eastAsia="仿宋_GB2312"/>
                <w:kern w:val="0"/>
                <w:lang w:val="en-US" w:eastAsia="zh-CN"/>
              </w:rPr>
              <w:t>0.21</w:t>
            </w:r>
          </w:p>
        </w:tc>
        <w:tc>
          <w:tcPr>
            <w:tcW w:w="2039" w:type="dxa"/>
            <w:gridSpan w:val="2"/>
            <w:vAlign w:val="center"/>
          </w:tcPr>
          <w:p w14:paraId="1D6514EA">
            <w:pPr>
              <w:spacing w:line="240" w:lineRule="auto"/>
              <w:ind w:firstLine="1050" w:firstLineChars="500"/>
              <w:jc w:val="both"/>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70.25</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630" w:firstLineChars="300"/>
              <w:jc w:val="both"/>
              <w:rPr>
                <w:rFonts w:ascii="仿宋_GB2312" w:eastAsia="仿宋_GB2312"/>
                <w:kern w:val="0"/>
              </w:rPr>
            </w:pPr>
            <w:r>
              <w:rPr>
                <w:rFonts w:hint="eastAsia" w:ascii="仿宋_GB2312" w:eastAsia="仿宋_GB2312"/>
                <w:kern w:val="0"/>
              </w:rPr>
              <w:t>0.21</w:t>
            </w:r>
          </w:p>
        </w:tc>
        <w:tc>
          <w:tcPr>
            <w:tcW w:w="2039" w:type="dxa"/>
            <w:gridSpan w:val="2"/>
            <w:vAlign w:val="center"/>
          </w:tcPr>
          <w:p w14:paraId="672289AD">
            <w:pPr>
              <w:spacing w:line="240" w:lineRule="auto"/>
              <w:ind w:firstLine="1050" w:firstLineChars="500"/>
              <w:jc w:val="both"/>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70.25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630" w:firstLineChars="300"/>
              <w:jc w:val="both"/>
              <w:rPr>
                <w:rFonts w:hint="default" w:ascii="仿宋_GB2312" w:eastAsia="仿宋_GB2312"/>
                <w:kern w:val="0"/>
                <w:lang w:val="en-US" w:eastAsia="zh-CN"/>
              </w:rPr>
            </w:pPr>
            <w:r>
              <w:rPr>
                <w:rFonts w:hint="eastAsia" w:ascii="仿宋_GB2312" w:eastAsia="仿宋_GB2312"/>
                <w:kern w:val="0"/>
                <w:lang w:val="en-US" w:eastAsia="zh-CN"/>
              </w:rPr>
              <w:t>323.4</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938.67</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hint="eastAsia" w:ascii="仿宋_GB2312" w:eastAsia="仿宋_GB2312"/>
                <w:kern w:val="0"/>
                <w:lang w:eastAsia="zh-CN"/>
              </w:rPr>
            </w:pPr>
            <w:r>
              <w:rPr>
                <w:rFonts w:hint="eastAsia" w:ascii="仿宋_GB2312" w:eastAsia="仿宋_GB2312"/>
                <w:kern w:val="0"/>
              </w:rPr>
              <w:t>1</w:t>
            </w:r>
            <w:r>
              <w:rPr>
                <w:rFonts w:hint="eastAsia" w:ascii="仿宋_GB2312" w:hAnsi="宋体" w:eastAsia="仿宋_GB2312" w:cs="宋体"/>
                <w:kern w:val="0"/>
              </w:rPr>
              <w:t>、</w:t>
            </w:r>
            <w:r>
              <w:rPr>
                <w:rFonts w:hint="eastAsia" w:ascii="仿宋_GB2312" w:hAnsi="宋体" w:eastAsia="仿宋_GB2312" w:cs="宋体"/>
                <w:kern w:val="0"/>
                <w:lang w:eastAsia="zh-CN"/>
              </w:rPr>
              <w:t>市委大院维护管理</w:t>
            </w:r>
          </w:p>
        </w:tc>
        <w:tc>
          <w:tcPr>
            <w:tcW w:w="2116" w:type="dxa"/>
            <w:gridSpan w:val="2"/>
            <w:vAlign w:val="center"/>
          </w:tcPr>
          <w:p w14:paraId="5C6C607C">
            <w:pPr>
              <w:spacing w:line="240" w:lineRule="auto"/>
              <w:ind w:firstLine="630" w:firstLineChars="300"/>
              <w:jc w:val="both"/>
              <w:rPr>
                <w:rFonts w:ascii="仿宋_GB2312" w:eastAsia="仿宋_GB2312"/>
                <w:kern w:val="0"/>
              </w:rPr>
            </w:pPr>
            <w:r>
              <w:rPr>
                <w:rFonts w:hint="eastAsia" w:ascii="仿宋_GB2312" w:eastAsia="仿宋_GB2312"/>
                <w:kern w:val="0"/>
              </w:rPr>
              <w:t>117.12</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w:t>
            </w: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74.56</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hint="eastAsia" w:ascii="仿宋_GB2312" w:eastAsia="仿宋_GB2312"/>
                <w:kern w:val="0"/>
                <w:lang w:eastAsia="zh-CN"/>
              </w:rPr>
            </w:pPr>
            <w:r>
              <w:rPr>
                <w:rFonts w:hint="eastAsia" w:ascii="仿宋_GB2312" w:eastAsia="仿宋_GB2312"/>
                <w:kern w:val="0"/>
              </w:rPr>
              <w:t>2</w:t>
            </w:r>
            <w:r>
              <w:rPr>
                <w:rFonts w:hint="eastAsia" w:ascii="仿宋_GB2312" w:hAnsi="宋体" w:eastAsia="仿宋_GB2312" w:cs="宋体"/>
                <w:kern w:val="0"/>
              </w:rPr>
              <w:t>、</w:t>
            </w:r>
            <w:r>
              <w:rPr>
                <w:rFonts w:hint="eastAsia" w:ascii="仿宋_GB2312" w:hAnsi="宋体" w:eastAsia="仿宋_GB2312" w:cs="宋体"/>
                <w:kern w:val="0"/>
                <w:lang w:eastAsia="zh-CN"/>
              </w:rPr>
              <w:t>市委机关后勤专项</w:t>
            </w:r>
          </w:p>
        </w:tc>
        <w:tc>
          <w:tcPr>
            <w:tcW w:w="2116" w:type="dxa"/>
            <w:gridSpan w:val="2"/>
            <w:vAlign w:val="center"/>
          </w:tcPr>
          <w:p w14:paraId="7757DF50">
            <w:pPr>
              <w:spacing w:line="240" w:lineRule="auto"/>
              <w:ind w:firstLine="630" w:firstLineChars="300"/>
              <w:jc w:val="both"/>
              <w:rPr>
                <w:rFonts w:ascii="仿宋_GB2312" w:eastAsia="仿宋_GB2312"/>
                <w:kern w:val="0"/>
              </w:rPr>
            </w:pPr>
            <w:r>
              <w:rPr>
                <w:rFonts w:hint="eastAsia" w:ascii="仿宋_GB2312" w:eastAsia="仿宋_GB2312"/>
                <w:kern w:val="0"/>
              </w:rPr>
              <w:t>206.28</w:t>
            </w:r>
          </w:p>
        </w:tc>
        <w:tc>
          <w:tcPr>
            <w:tcW w:w="2039" w:type="dxa"/>
            <w:gridSpan w:val="2"/>
            <w:vAlign w:val="center"/>
          </w:tcPr>
          <w:p w14:paraId="31C696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w:t>
            </w: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162.96</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481D13">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eastAsia="zh-CN"/>
              </w:rPr>
              <w:t>3</w:t>
            </w:r>
            <w:r>
              <w:rPr>
                <w:rFonts w:hint="eastAsia" w:ascii="仿宋_GB2312" w:hAnsi="宋体" w:eastAsia="仿宋_GB2312" w:cs="宋体"/>
                <w:kern w:val="0"/>
                <w:lang w:eastAsia="zh-CN"/>
              </w:rPr>
              <w:t>、接待专项</w:t>
            </w:r>
          </w:p>
        </w:tc>
        <w:tc>
          <w:tcPr>
            <w:tcW w:w="2116" w:type="dxa"/>
            <w:gridSpan w:val="2"/>
            <w:vAlign w:val="center"/>
          </w:tcPr>
          <w:p w14:paraId="482AEA10">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D19413F">
            <w:pPr>
              <w:tabs>
                <w:tab w:val="left" w:pos="936"/>
              </w:tabs>
              <w:spacing w:line="240" w:lineRule="auto"/>
              <w:ind w:firstLine="420"/>
              <w:jc w:val="left"/>
              <w:rPr>
                <w:rFonts w:hint="default" w:ascii="仿宋_GB2312" w:eastAsia="仿宋_GB2312"/>
                <w:kern w:val="0"/>
                <w:lang w:val="en-US" w:eastAsia="zh-CN"/>
              </w:rPr>
            </w:pPr>
            <w:r>
              <w:rPr>
                <w:rFonts w:hint="eastAsia" w:ascii="仿宋_GB2312" w:eastAsia="仿宋_GB2312"/>
                <w:kern w:val="0"/>
                <w:lang w:eastAsia="zh-CN"/>
              </w:rPr>
              <w:tab/>
            </w:r>
            <w:r>
              <w:rPr>
                <w:rFonts w:hint="eastAsia" w:ascii="仿宋_GB2312" w:eastAsia="仿宋_GB2312"/>
                <w:kern w:val="0"/>
                <w:lang w:val="en-US" w:eastAsia="zh-CN"/>
              </w:rPr>
              <w:t>101.15</w:t>
            </w:r>
          </w:p>
        </w:tc>
      </w:tr>
      <w:tr w14:paraId="5A42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E553A0F">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4、凯旋小区保障性租赁住房</w:t>
            </w:r>
          </w:p>
        </w:tc>
        <w:tc>
          <w:tcPr>
            <w:tcW w:w="2116" w:type="dxa"/>
            <w:gridSpan w:val="2"/>
            <w:vAlign w:val="center"/>
          </w:tcPr>
          <w:p w14:paraId="38D0596A">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3D85B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6CA4C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38.06</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41.27</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155.92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32.77</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39.64</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35.89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r>
              <w:rPr>
                <w:rFonts w:hint="eastAsia" w:ascii="仿宋_GB2312" w:eastAsia="仿宋_GB2312"/>
                <w:kern w:val="0"/>
              </w:rPr>
              <w:t>4.93</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ascii="仿宋_GB2312" w:eastAsia="仿宋_GB2312"/>
                <w:kern w:val="0"/>
              </w:rPr>
            </w:pPr>
            <w:r>
              <w:rPr>
                <w:rFonts w:hint="eastAsia" w:ascii="仿宋_GB2312" w:eastAsia="仿宋_GB2312"/>
                <w:kern w:val="0"/>
              </w:rPr>
              <w:t>0.152</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0.86</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69.8</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34.8</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方正仿宋_GB18030" w:hAnsi="方正仿宋_GB18030" w:eastAsia="方正仿宋_GB18030" w:cs="方正仿宋_GB18030"/>
                <w:snapToGrid w:val="0"/>
                <w:color w:val="000000"/>
                <w:sz w:val="21"/>
                <w:szCs w:val="21"/>
                <w:lang w:val="en-US" w:eastAsia="en-US" w:bidi="ar-SA"/>
              </w:rPr>
              <w:t>牢固树立过紧日子“的思想，坚持勤俭办一切事业，严控经费支出，如”三公经费“、”差旅费“、”办公经费“等，杜绝耗费公款的形式主义、官僚主义现象。严控办公经费、严控“三公”经费、严控差旅费等。具体措施如尽可能推进无纸化办公；严格因公出国（境）管理；加强公务接待管理；严格执行差旅审批制度等。原则上坚持无预算不支出，在确保资金来源的前提下，先报告情况，再按程序审批支出。非刚性支出压减，从严从紧用好财政资金，压减低效无效、标准过高的支出和非必需的项目支出。完善内部控制制度，严格规范会计核算，加强资金使用的事前、事中和事后全流程监控，提高政治站位压实主体责任。各部门要把厉行勤俭节约作为一项政治任务，严格落实主体责任，以上措施旨在确保财政资金的合理使用和有效管理，提高公共资源的利用效率，同时弘扬勤俭节约的精神。</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1B173A16">
      <w:pPr>
        <w:kinsoku w:val="0"/>
        <w:autoSpaceDE w:val="0"/>
        <w:autoSpaceDN w:val="0"/>
        <w:adjustRightInd w:val="0"/>
        <w:snapToGrid w:val="0"/>
        <w:spacing w:before="65" w:line="228" w:lineRule="auto"/>
        <w:ind w:firstLine="102" w:firstLineChars="49"/>
        <w:textAlignment w:val="baseline"/>
        <w:rPr>
          <w:rFonts w:hint="eastAsia" w:ascii="方正仿宋_GB18030" w:hAnsi="方正仿宋_GB18030" w:eastAsia="方正仿宋_GB18030" w:cs="方正仿宋_GB18030"/>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胡阳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2025.9.23</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15292006926</w:t>
      </w:r>
      <w:r>
        <w:rPr>
          <w:rFonts w:ascii="仿宋_GB2312" w:hAnsi="宋体" w:eastAsia="仿宋_GB2312" w:cs="宋体"/>
          <w:snapToGrid w:val="0"/>
          <w:color w:val="000000"/>
          <w:sz w:val="21"/>
          <w:szCs w:val="21"/>
          <w:lang w:val="en-US" w:eastAsia="zh-CN" w:bidi="ar-SA"/>
        </w:rPr>
        <w:t xml:space="preserve">  单位负责人签字：</w:t>
      </w:r>
      <w:r>
        <w:rPr>
          <w:rFonts w:hint="eastAsia" w:ascii="方正仿宋_GB18030" w:hAnsi="方正仿宋_GB18030" w:eastAsia="方正仿宋_GB18030" w:cs="方正仿宋_GB18030"/>
          <w:sz w:val="20"/>
          <w:szCs w:val="20"/>
          <w:lang w:eastAsia="zh-CN"/>
        </w:rPr>
        <w:t>何坚</w:t>
      </w: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汨罗市机关事务服务中心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386.92</w:t>
            </w:r>
          </w:p>
        </w:tc>
        <w:tc>
          <w:tcPr>
            <w:tcW w:w="1298" w:type="dxa"/>
            <w:vAlign w:val="center"/>
          </w:tcPr>
          <w:p w14:paraId="78350D28">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1364.20</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1364.20</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1364.20</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425.53</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0.00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938.67</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0.00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0.00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1、负责市直机关后勤管理的保障、管理和服务工作。2、对市直行政事业单位的办公用房实施管理、制定相关管理制度监督执行。3、负责推进、统筹、协调全市公共机构节能工作。4、负责市委办公大楼内召开的各类会议的会务、后勤工作、配合市级大型重要会议和重大活动的有关事项。5、负责市委大院房屋和基础设施设备的维护维修管理、安全保卫、消防、卫生保洁、绿化养护等保障工作。6、负责市委、市政府等有关异地领导在汨履职的生活保障和管理工作。7、完成市委、市政府交办的其他任务。</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1、确保机关大院设施、财产、人身安全，确保无刑事、治安、交通、消防等安全责任事故；2、确保机关大院办公大楼办公时间必须保证8小时不间断清扫、机关大院全年清扫保洁率必须达到99%，垃圾日产日清。3、机关大院水电费无欠缴，亮化、绿化养护定期检查，修剪，白蚁防治和灭四害等消杀工作执行到位。4、确保机关食堂正常运转，为机关干部职工提供舒适的用餐环境和健康的食品</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right w:val="single" w:color="auto" w:sz="4" w:space="0"/>
            </w:tcBorders>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left w:val="single" w:color="auto" w:sz="4" w:space="0"/>
            </w:tcBorders>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left w:val="single" w:color="auto" w:sz="4" w:space="0"/>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rPr>
              <w:t>办公楼、大院公共区域办公时间必须保证8小时不间断清扫保洁</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≥8小时</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≥8小时</w:t>
            </w:r>
          </w:p>
        </w:tc>
        <w:tc>
          <w:tcPr>
            <w:tcW w:w="699" w:type="dxa"/>
            <w:vAlign w:val="center"/>
          </w:tcPr>
          <w:p w14:paraId="567F5E5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14:paraId="2717B7C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7CF9B186">
            <w:pPr>
              <w:spacing w:line="240" w:lineRule="auto"/>
              <w:ind w:firstLine="420"/>
              <w:jc w:val="center"/>
              <w:rPr>
                <w:rFonts w:ascii="仿宋_GB2312" w:eastAsia="仿宋_GB2312"/>
                <w:kern w:val="0"/>
              </w:rPr>
            </w:pPr>
          </w:p>
        </w:tc>
      </w:tr>
      <w:tr w14:paraId="122AE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494BA1F">
            <w:pPr>
              <w:spacing w:line="240" w:lineRule="auto"/>
              <w:ind w:firstLine="420"/>
              <w:jc w:val="center"/>
              <w:rPr>
                <w:rFonts w:ascii="仿宋_GB2312" w:eastAsia="仿宋_GB2312"/>
                <w:kern w:val="0"/>
              </w:rPr>
            </w:pPr>
          </w:p>
        </w:tc>
        <w:tc>
          <w:tcPr>
            <w:tcW w:w="1029" w:type="dxa"/>
            <w:vMerge w:val="continue"/>
            <w:tcBorders>
              <w:top w:val="nil"/>
              <w:left w:val="single" w:color="auto" w:sz="4" w:space="0"/>
            </w:tcBorders>
            <w:vAlign w:val="center"/>
          </w:tcPr>
          <w:p w14:paraId="309FD3CE">
            <w:pPr>
              <w:spacing w:line="240" w:lineRule="auto"/>
              <w:ind w:firstLine="420"/>
              <w:jc w:val="center"/>
              <w:rPr>
                <w:rFonts w:ascii="仿宋_GB2312" w:eastAsia="仿宋_GB2312"/>
                <w:kern w:val="0"/>
              </w:rPr>
            </w:pPr>
          </w:p>
        </w:tc>
        <w:tc>
          <w:tcPr>
            <w:tcW w:w="1249" w:type="dxa"/>
            <w:vAlign w:val="center"/>
          </w:tcPr>
          <w:p w14:paraId="3F08E7A6">
            <w:pPr>
              <w:spacing w:line="240" w:lineRule="auto"/>
              <w:jc w:val="both"/>
              <w:rPr>
                <w:rFonts w:ascii="仿宋_GB2312" w:eastAsia="仿宋_GB2312"/>
                <w:kern w:val="0"/>
              </w:rPr>
            </w:pPr>
            <w:r>
              <w:rPr>
                <w:rFonts w:hint="eastAsia" w:ascii="仿宋_GB2312" w:eastAsia="仿宋_GB2312"/>
                <w:kern w:val="0"/>
              </w:rPr>
              <w:t>食堂全面卫生工作每天1次</w:t>
            </w:r>
          </w:p>
        </w:tc>
        <w:tc>
          <w:tcPr>
            <w:tcW w:w="1298" w:type="dxa"/>
            <w:vAlign w:val="center"/>
          </w:tcPr>
          <w:p w14:paraId="5793120C">
            <w:pPr>
              <w:spacing w:line="240" w:lineRule="auto"/>
              <w:ind w:firstLine="420"/>
              <w:jc w:val="center"/>
              <w:rPr>
                <w:rFonts w:ascii="仿宋_GB2312" w:eastAsia="仿宋_GB2312"/>
                <w:kern w:val="0"/>
              </w:rPr>
            </w:pPr>
            <w:r>
              <w:rPr>
                <w:rFonts w:hint="eastAsia" w:ascii="仿宋_GB2312" w:eastAsia="仿宋_GB2312"/>
                <w:kern w:val="0"/>
              </w:rPr>
              <w:t>≥1次</w:t>
            </w:r>
          </w:p>
        </w:tc>
        <w:tc>
          <w:tcPr>
            <w:tcW w:w="1269" w:type="dxa"/>
            <w:vAlign w:val="center"/>
          </w:tcPr>
          <w:p w14:paraId="6E9752AA">
            <w:pPr>
              <w:spacing w:line="240" w:lineRule="auto"/>
              <w:ind w:firstLine="420"/>
              <w:jc w:val="center"/>
              <w:rPr>
                <w:rFonts w:ascii="仿宋_GB2312" w:eastAsia="仿宋_GB2312"/>
                <w:kern w:val="0"/>
              </w:rPr>
            </w:pPr>
            <w:r>
              <w:rPr>
                <w:rFonts w:hint="eastAsia" w:ascii="仿宋_GB2312" w:eastAsia="仿宋_GB2312"/>
                <w:kern w:val="0"/>
              </w:rPr>
              <w:t>≥1次</w:t>
            </w:r>
          </w:p>
        </w:tc>
        <w:tc>
          <w:tcPr>
            <w:tcW w:w="699" w:type="dxa"/>
            <w:vAlign w:val="center"/>
          </w:tcPr>
          <w:p w14:paraId="3F6839E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14:paraId="41FF27E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71670FA0">
            <w:pPr>
              <w:spacing w:line="240" w:lineRule="auto"/>
              <w:ind w:firstLine="420"/>
              <w:jc w:val="center"/>
              <w:rPr>
                <w:rFonts w:ascii="仿宋_GB2312" w:eastAsia="仿宋_GB2312"/>
                <w:kern w:val="0"/>
              </w:rPr>
            </w:pPr>
          </w:p>
        </w:tc>
      </w:tr>
      <w:tr w14:paraId="117CA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1B508443">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73ABB9CC">
            <w:pPr>
              <w:spacing w:line="240" w:lineRule="auto"/>
              <w:ind w:firstLine="420"/>
              <w:jc w:val="center"/>
              <w:rPr>
                <w:rFonts w:ascii="仿宋_GB2312" w:eastAsia="仿宋_GB2312"/>
                <w:kern w:val="0"/>
              </w:rPr>
            </w:pPr>
          </w:p>
        </w:tc>
        <w:tc>
          <w:tcPr>
            <w:tcW w:w="1029" w:type="dxa"/>
            <w:vMerge w:val="continue"/>
            <w:tcBorders>
              <w:top w:val="nil"/>
              <w:left w:val="single" w:color="auto" w:sz="4" w:space="0"/>
            </w:tcBorders>
            <w:vAlign w:val="center"/>
          </w:tcPr>
          <w:p w14:paraId="1C7BE822">
            <w:pPr>
              <w:spacing w:line="240" w:lineRule="auto"/>
              <w:ind w:firstLine="420"/>
              <w:jc w:val="center"/>
              <w:rPr>
                <w:rFonts w:ascii="仿宋_GB2312" w:eastAsia="仿宋_GB2312"/>
                <w:kern w:val="0"/>
              </w:rPr>
            </w:pPr>
          </w:p>
        </w:tc>
        <w:tc>
          <w:tcPr>
            <w:tcW w:w="1249" w:type="dxa"/>
            <w:vAlign w:val="center"/>
          </w:tcPr>
          <w:p w14:paraId="61FBEFFD">
            <w:pPr>
              <w:spacing w:line="240" w:lineRule="auto"/>
              <w:jc w:val="both"/>
              <w:rPr>
                <w:rFonts w:ascii="仿宋_GB2312" w:eastAsia="仿宋_GB2312"/>
                <w:kern w:val="0"/>
              </w:rPr>
            </w:pPr>
            <w:r>
              <w:rPr>
                <w:rFonts w:hint="eastAsia" w:ascii="仿宋_GB2312" w:eastAsia="仿宋_GB2312"/>
                <w:kern w:val="0"/>
              </w:rPr>
              <w:t>食堂早、中两餐供应</w:t>
            </w:r>
          </w:p>
        </w:tc>
        <w:tc>
          <w:tcPr>
            <w:tcW w:w="1298" w:type="dxa"/>
            <w:vAlign w:val="center"/>
          </w:tcPr>
          <w:p w14:paraId="7DE37A83">
            <w:pPr>
              <w:spacing w:line="240" w:lineRule="auto"/>
              <w:ind w:firstLine="420"/>
              <w:jc w:val="center"/>
              <w:rPr>
                <w:rFonts w:ascii="仿宋_GB2312" w:eastAsia="仿宋_GB2312"/>
                <w:kern w:val="0"/>
              </w:rPr>
            </w:pPr>
            <w:r>
              <w:rPr>
                <w:rFonts w:hint="eastAsia" w:ascii="仿宋_GB2312" w:eastAsia="仿宋_GB2312"/>
                <w:kern w:val="0"/>
              </w:rPr>
              <w:t>≥2次</w:t>
            </w:r>
          </w:p>
        </w:tc>
        <w:tc>
          <w:tcPr>
            <w:tcW w:w="1269" w:type="dxa"/>
            <w:vAlign w:val="center"/>
          </w:tcPr>
          <w:p w14:paraId="2B411A4F">
            <w:pPr>
              <w:spacing w:line="240" w:lineRule="auto"/>
              <w:ind w:firstLine="420"/>
              <w:jc w:val="center"/>
              <w:rPr>
                <w:rFonts w:ascii="仿宋_GB2312" w:eastAsia="仿宋_GB2312"/>
                <w:kern w:val="0"/>
              </w:rPr>
            </w:pPr>
            <w:r>
              <w:rPr>
                <w:rFonts w:hint="eastAsia" w:ascii="仿宋_GB2312" w:eastAsia="仿宋_GB2312"/>
                <w:kern w:val="0"/>
              </w:rPr>
              <w:t>≥2次</w:t>
            </w:r>
          </w:p>
        </w:tc>
        <w:tc>
          <w:tcPr>
            <w:tcW w:w="699" w:type="dxa"/>
            <w:vAlign w:val="center"/>
          </w:tcPr>
          <w:p w14:paraId="22F0753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14:paraId="7DAC512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593FA882">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11092A0E">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left w:val="single" w:color="auto" w:sz="4" w:space="0"/>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both"/>
              <w:rPr>
                <w:rFonts w:ascii="仿宋_GB2312" w:eastAsia="仿宋_GB2312"/>
                <w:kern w:val="0"/>
              </w:rPr>
            </w:pPr>
            <w:r>
              <w:rPr>
                <w:rFonts w:hint="eastAsia" w:ascii="仿宋_GB2312" w:eastAsia="仿宋_GB2312"/>
                <w:kern w:val="0"/>
              </w:rPr>
              <w:t>垃圾日产日清，保洁率必须达到98%</w:t>
            </w:r>
          </w:p>
        </w:tc>
        <w:tc>
          <w:tcPr>
            <w:tcW w:w="1298" w:type="dxa"/>
            <w:vAlign w:val="center"/>
          </w:tcPr>
          <w:p w14:paraId="15CE1D7F">
            <w:pPr>
              <w:spacing w:line="240" w:lineRule="auto"/>
              <w:ind w:firstLine="420"/>
              <w:jc w:val="center"/>
              <w:rPr>
                <w:rFonts w:ascii="仿宋_GB2312" w:eastAsia="仿宋_GB2312"/>
                <w:kern w:val="0"/>
              </w:rPr>
            </w:pPr>
            <w:r>
              <w:rPr>
                <w:rFonts w:hint="eastAsia" w:ascii="仿宋_GB2312" w:eastAsia="仿宋_GB2312"/>
                <w:kern w:val="0"/>
              </w:rPr>
              <w:t>≥98%</w:t>
            </w:r>
          </w:p>
        </w:tc>
        <w:tc>
          <w:tcPr>
            <w:tcW w:w="1269" w:type="dxa"/>
            <w:vAlign w:val="center"/>
          </w:tcPr>
          <w:p w14:paraId="346D111F">
            <w:pPr>
              <w:spacing w:line="240" w:lineRule="auto"/>
              <w:ind w:firstLine="420"/>
              <w:jc w:val="center"/>
              <w:rPr>
                <w:rFonts w:ascii="仿宋_GB2312" w:eastAsia="仿宋_GB2312"/>
                <w:kern w:val="0"/>
              </w:rPr>
            </w:pPr>
            <w:r>
              <w:rPr>
                <w:rFonts w:hint="eastAsia" w:ascii="仿宋_GB2312" w:eastAsia="仿宋_GB2312"/>
                <w:kern w:val="0"/>
              </w:rPr>
              <w:t>≥98%</w:t>
            </w:r>
          </w:p>
        </w:tc>
        <w:tc>
          <w:tcPr>
            <w:tcW w:w="699" w:type="dxa"/>
            <w:vAlign w:val="center"/>
          </w:tcPr>
          <w:p w14:paraId="4812C5E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14:paraId="4266548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5DCA989">
            <w:pPr>
              <w:spacing w:line="240" w:lineRule="auto"/>
              <w:ind w:firstLine="420"/>
              <w:jc w:val="center"/>
              <w:rPr>
                <w:rFonts w:ascii="仿宋_GB2312" w:eastAsia="仿宋_GB2312"/>
                <w:kern w:val="0"/>
              </w:rPr>
            </w:pPr>
          </w:p>
        </w:tc>
        <w:tc>
          <w:tcPr>
            <w:tcW w:w="1029" w:type="dxa"/>
            <w:vMerge w:val="restart"/>
            <w:tcBorders>
              <w:left w:val="single" w:color="auto" w:sz="4" w:space="0"/>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保障食堂正常运转</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5580FC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869" w:type="dxa"/>
            <w:vAlign w:val="center"/>
          </w:tcPr>
          <w:p w14:paraId="0982B1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09E0DC5F">
            <w:pPr>
              <w:spacing w:line="240" w:lineRule="auto"/>
              <w:ind w:firstLine="420"/>
              <w:jc w:val="center"/>
              <w:rPr>
                <w:rFonts w:ascii="仿宋_GB2312" w:eastAsia="仿宋_GB2312"/>
                <w:kern w:val="0"/>
              </w:rPr>
            </w:pPr>
          </w:p>
        </w:tc>
      </w:tr>
      <w:tr w14:paraId="7A40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60CCA31E">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24031E4">
            <w:pPr>
              <w:spacing w:line="240" w:lineRule="auto"/>
              <w:ind w:firstLine="420"/>
              <w:jc w:val="center"/>
              <w:rPr>
                <w:rFonts w:ascii="仿宋_GB2312" w:eastAsia="仿宋_GB2312"/>
                <w:kern w:val="0"/>
              </w:rPr>
            </w:pPr>
          </w:p>
        </w:tc>
        <w:tc>
          <w:tcPr>
            <w:tcW w:w="1029" w:type="dxa"/>
            <w:vMerge w:val="continue"/>
            <w:tcBorders>
              <w:left w:val="single" w:color="auto" w:sz="4" w:space="0"/>
            </w:tcBorders>
            <w:vAlign w:val="center"/>
          </w:tcPr>
          <w:p w14:paraId="05CE398A">
            <w:pPr>
              <w:spacing w:line="240" w:lineRule="auto"/>
              <w:jc w:val="center"/>
              <w:rPr>
                <w:rFonts w:hint="eastAsia" w:ascii="仿宋_GB2312" w:hAnsi="宋体" w:eastAsia="仿宋_GB2312" w:cs="宋体"/>
                <w:kern w:val="0"/>
              </w:rPr>
            </w:pPr>
          </w:p>
        </w:tc>
        <w:tc>
          <w:tcPr>
            <w:tcW w:w="1249" w:type="dxa"/>
            <w:vAlign w:val="center"/>
          </w:tcPr>
          <w:p w14:paraId="52AB12AC">
            <w:pPr>
              <w:spacing w:line="240" w:lineRule="auto"/>
              <w:jc w:val="both"/>
              <w:rPr>
                <w:rFonts w:ascii="仿宋_GB2312" w:eastAsia="仿宋_GB2312"/>
                <w:kern w:val="0"/>
              </w:rPr>
            </w:pPr>
            <w:r>
              <w:rPr>
                <w:rFonts w:hint="eastAsia" w:ascii="仿宋_GB2312" w:eastAsia="仿宋_GB2312"/>
                <w:kern w:val="0"/>
              </w:rPr>
              <w:t>确保机关大院设施、财产、人身安全</w:t>
            </w:r>
          </w:p>
        </w:tc>
        <w:tc>
          <w:tcPr>
            <w:tcW w:w="1298" w:type="dxa"/>
            <w:vAlign w:val="center"/>
          </w:tcPr>
          <w:p w14:paraId="789C4181">
            <w:pPr>
              <w:spacing w:line="240" w:lineRule="auto"/>
              <w:ind w:firstLine="420"/>
              <w:jc w:val="center"/>
              <w:rPr>
                <w:rFonts w:ascii="仿宋_GB2312" w:eastAsia="仿宋_GB2312"/>
                <w:kern w:val="0"/>
              </w:rPr>
            </w:pPr>
            <w:r>
              <w:rPr>
                <w:rFonts w:hint="eastAsia" w:ascii="仿宋_GB2312" w:eastAsia="仿宋_GB2312"/>
                <w:kern w:val="0"/>
              </w:rPr>
              <w:t>无事故</w:t>
            </w:r>
          </w:p>
        </w:tc>
        <w:tc>
          <w:tcPr>
            <w:tcW w:w="1269" w:type="dxa"/>
            <w:vAlign w:val="center"/>
          </w:tcPr>
          <w:p w14:paraId="0D75E49F">
            <w:pPr>
              <w:spacing w:line="240" w:lineRule="auto"/>
              <w:jc w:val="both"/>
              <w:rPr>
                <w:rFonts w:hint="eastAsia" w:ascii="仿宋_GB2312" w:eastAsia="仿宋_GB2312"/>
                <w:kern w:val="0"/>
                <w:lang w:val="en-US" w:eastAsia="zh-CN"/>
              </w:rPr>
            </w:pPr>
            <w:r>
              <w:rPr>
                <w:rFonts w:hint="eastAsia" w:ascii="仿宋_GB2312" w:eastAsia="仿宋_GB2312"/>
                <w:kern w:val="0"/>
              </w:rPr>
              <w:t>达到预期目标</w:t>
            </w:r>
          </w:p>
        </w:tc>
        <w:tc>
          <w:tcPr>
            <w:tcW w:w="699" w:type="dxa"/>
            <w:vAlign w:val="center"/>
          </w:tcPr>
          <w:p w14:paraId="10B1E6D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14:paraId="5CFA7F5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6BB97B67">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right w:val="single" w:color="auto" w:sz="4" w:space="0"/>
            </w:tcBorders>
            <w:textDirection w:val="tbRlV"/>
            <w:vAlign w:val="center"/>
          </w:tcPr>
          <w:p w14:paraId="5D54C11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left w:val="single" w:color="auto" w:sz="4" w:space="0"/>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both"/>
              <w:rPr>
                <w:rFonts w:ascii="仿宋_GB2312" w:eastAsia="仿宋_GB2312"/>
                <w:kern w:val="0"/>
              </w:rPr>
            </w:pPr>
            <w:r>
              <w:rPr>
                <w:rFonts w:hint="eastAsia" w:ascii="仿宋_GB2312" w:eastAsia="仿宋_GB2312"/>
                <w:kern w:val="0"/>
              </w:rPr>
              <w:t>无刑事、治安、交通、消防等安全责任事故</w:t>
            </w:r>
          </w:p>
        </w:tc>
        <w:tc>
          <w:tcPr>
            <w:tcW w:w="1298" w:type="dxa"/>
            <w:vAlign w:val="center"/>
          </w:tcPr>
          <w:p w14:paraId="33DF5A21">
            <w:pPr>
              <w:spacing w:line="240" w:lineRule="auto"/>
              <w:ind w:firstLine="420"/>
              <w:jc w:val="center"/>
              <w:rPr>
                <w:rFonts w:ascii="仿宋_GB2312" w:eastAsia="仿宋_GB2312"/>
                <w:kern w:val="0"/>
              </w:rPr>
            </w:pPr>
            <w:r>
              <w:rPr>
                <w:rFonts w:hint="eastAsia" w:ascii="仿宋_GB2312" w:eastAsia="仿宋_GB2312"/>
                <w:kern w:val="0"/>
              </w:rPr>
              <w:t>无事故</w:t>
            </w:r>
          </w:p>
        </w:tc>
        <w:tc>
          <w:tcPr>
            <w:tcW w:w="1269" w:type="dxa"/>
            <w:vAlign w:val="center"/>
          </w:tcPr>
          <w:p w14:paraId="4F080A08">
            <w:pPr>
              <w:spacing w:line="240" w:lineRule="auto"/>
              <w:jc w:val="both"/>
              <w:rPr>
                <w:rFonts w:ascii="仿宋_GB2312" w:eastAsia="仿宋_GB2312"/>
                <w:kern w:val="0"/>
              </w:rPr>
            </w:pPr>
            <w:r>
              <w:rPr>
                <w:rFonts w:hint="eastAsia" w:ascii="仿宋_GB2312" w:eastAsia="仿宋_GB2312"/>
                <w:kern w:val="0"/>
              </w:rPr>
              <w:t>达到预期目标</w:t>
            </w:r>
          </w:p>
        </w:tc>
        <w:tc>
          <w:tcPr>
            <w:tcW w:w="699" w:type="dxa"/>
            <w:vAlign w:val="center"/>
          </w:tcPr>
          <w:p w14:paraId="155F4AE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69" w:type="dxa"/>
            <w:vAlign w:val="center"/>
          </w:tcPr>
          <w:p w14:paraId="2A22618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1F2382D">
            <w:pPr>
              <w:spacing w:line="240" w:lineRule="auto"/>
              <w:ind w:firstLine="420"/>
              <w:jc w:val="center"/>
              <w:rPr>
                <w:rFonts w:ascii="仿宋_GB2312" w:eastAsia="仿宋_GB2312"/>
                <w:kern w:val="0"/>
              </w:rPr>
            </w:pPr>
          </w:p>
        </w:tc>
        <w:tc>
          <w:tcPr>
            <w:tcW w:w="1029" w:type="dxa"/>
            <w:tcBorders>
              <w:left w:val="single" w:color="auto" w:sz="4" w:space="0"/>
              <w:bottom w:val="single" w:color="auto" w:sz="4" w:space="0"/>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完成时间</w:t>
            </w:r>
          </w:p>
        </w:tc>
        <w:tc>
          <w:tcPr>
            <w:tcW w:w="1298" w:type="dxa"/>
            <w:vAlign w:val="center"/>
          </w:tcPr>
          <w:p w14:paraId="479FA5D5">
            <w:pPr>
              <w:spacing w:line="240" w:lineRule="auto"/>
              <w:jc w:val="both"/>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年全年</w:t>
            </w:r>
          </w:p>
        </w:tc>
        <w:tc>
          <w:tcPr>
            <w:tcW w:w="1269" w:type="dxa"/>
            <w:vAlign w:val="center"/>
          </w:tcPr>
          <w:p w14:paraId="5C1B3402">
            <w:pPr>
              <w:spacing w:line="240" w:lineRule="auto"/>
              <w:jc w:val="both"/>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年全年</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tcBorders>
              <w:left w:val="single" w:color="auto" w:sz="4" w:space="0"/>
            </w:tcBorders>
            <w:vAlign w:val="center"/>
          </w:tcPr>
          <w:p w14:paraId="32611957">
            <w:pPr>
              <w:spacing w:line="240" w:lineRule="auto"/>
              <w:jc w:val="both"/>
              <w:rPr>
                <w:rFonts w:ascii="仿宋_GB2312" w:eastAsia="仿宋_GB2312"/>
                <w:kern w:val="0"/>
              </w:rPr>
            </w:pPr>
            <w:r>
              <w:rPr>
                <w:rFonts w:hint="eastAsia" w:ascii="仿宋_GB2312" w:eastAsia="仿宋_GB2312"/>
                <w:kern w:val="0"/>
              </w:rPr>
              <w:t>促进经济发展</w:t>
            </w:r>
          </w:p>
        </w:tc>
        <w:tc>
          <w:tcPr>
            <w:tcW w:w="1298" w:type="dxa"/>
            <w:vAlign w:val="center"/>
          </w:tcPr>
          <w:p w14:paraId="078289F3">
            <w:pPr>
              <w:spacing w:line="240" w:lineRule="auto"/>
              <w:jc w:val="both"/>
              <w:rPr>
                <w:rFonts w:ascii="仿宋_GB2312" w:eastAsia="仿宋_GB2312"/>
                <w:kern w:val="0"/>
              </w:rPr>
            </w:pPr>
            <w:r>
              <w:rPr>
                <w:rFonts w:hint="eastAsia" w:ascii="仿宋_GB2312" w:eastAsia="仿宋_GB2312"/>
                <w:kern w:val="0"/>
              </w:rPr>
              <w:t>有所改善</w:t>
            </w:r>
          </w:p>
        </w:tc>
        <w:tc>
          <w:tcPr>
            <w:tcW w:w="1269" w:type="dxa"/>
            <w:vAlign w:val="center"/>
          </w:tcPr>
          <w:p w14:paraId="7A453B87">
            <w:pPr>
              <w:spacing w:line="240" w:lineRule="auto"/>
              <w:jc w:val="both"/>
              <w:rPr>
                <w:rFonts w:ascii="仿宋_GB2312" w:eastAsia="仿宋_GB2312"/>
                <w:kern w:val="0"/>
              </w:rPr>
            </w:pPr>
            <w:r>
              <w:rPr>
                <w:rFonts w:hint="eastAsia" w:ascii="仿宋_GB2312" w:eastAsia="仿宋_GB2312"/>
                <w:kern w:val="0"/>
              </w:rPr>
              <w:t>有所改善</w:t>
            </w:r>
          </w:p>
        </w:tc>
        <w:tc>
          <w:tcPr>
            <w:tcW w:w="699"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E46C1EB">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tcBorders>
              <w:left w:val="single" w:color="auto" w:sz="4" w:space="0"/>
            </w:tcBorders>
            <w:vAlign w:val="center"/>
          </w:tcPr>
          <w:p w14:paraId="5D9BC272">
            <w:pPr>
              <w:spacing w:line="240" w:lineRule="auto"/>
              <w:jc w:val="both"/>
              <w:rPr>
                <w:rFonts w:ascii="仿宋_GB2312" w:eastAsia="仿宋_GB2312"/>
                <w:kern w:val="0"/>
              </w:rPr>
            </w:pPr>
            <w:r>
              <w:rPr>
                <w:rFonts w:hint="eastAsia" w:ascii="仿宋_GB2312" w:eastAsia="仿宋_GB2312"/>
                <w:kern w:val="0"/>
              </w:rPr>
              <w:t>提升机关整体形象</w:t>
            </w:r>
          </w:p>
        </w:tc>
        <w:tc>
          <w:tcPr>
            <w:tcW w:w="1298" w:type="dxa"/>
            <w:vAlign w:val="center"/>
          </w:tcPr>
          <w:p w14:paraId="6E8C4873">
            <w:pPr>
              <w:spacing w:line="240" w:lineRule="auto"/>
              <w:jc w:val="both"/>
              <w:rPr>
                <w:rFonts w:ascii="仿宋_GB2312" w:eastAsia="仿宋_GB2312"/>
                <w:kern w:val="0"/>
              </w:rPr>
            </w:pPr>
            <w:r>
              <w:rPr>
                <w:rFonts w:hint="eastAsia" w:ascii="仿宋_GB2312" w:eastAsia="仿宋_GB2312"/>
                <w:kern w:val="0"/>
              </w:rPr>
              <w:t>进一步提升</w:t>
            </w:r>
          </w:p>
        </w:tc>
        <w:tc>
          <w:tcPr>
            <w:tcW w:w="1269" w:type="dxa"/>
            <w:vAlign w:val="center"/>
          </w:tcPr>
          <w:p w14:paraId="4886005B">
            <w:pPr>
              <w:spacing w:line="240" w:lineRule="auto"/>
              <w:jc w:val="both"/>
              <w:rPr>
                <w:rFonts w:ascii="仿宋_GB2312" w:eastAsia="仿宋_GB2312"/>
                <w:kern w:val="0"/>
              </w:rPr>
            </w:pPr>
            <w:r>
              <w:rPr>
                <w:rFonts w:hint="eastAsia" w:ascii="仿宋_GB2312" w:eastAsia="仿宋_GB2312"/>
                <w:kern w:val="0"/>
              </w:rPr>
              <w:t>进一步提升</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70290ED9">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tcBorders>
              <w:left w:val="single" w:color="auto" w:sz="4" w:space="0"/>
            </w:tcBorders>
            <w:vAlign w:val="center"/>
          </w:tcPr>
          <w:p w14:paraId="4DC60689">
            <w:pPr>
              <w:spacing w:line="240" w:lineRule="auto"/>
              <w:jc w:val="both"/>
              <w:rPr>
                <w:rFonts w:ascii="仿宋_GB2312" w:eastAsia="仿宋_GB2312"/>
                <w:kern w:val="0"/>
              </w:rPr>
            </w:pPr>
            <w:r>
              <w:rPr>
                <w:rFonts w:hint="eastAsia" w:ascii="仿宋_GB2312" w:eastAsia="仿宋_GB2312"/>
                <w:kern w:val="0"/>
              </w:rPr>
              <w:t>生态环境改善状况</w:t>
            </w:r>
          </w:p>
        </w:tc>
        <w:tc>
          <w:tcPr>
            <w:tcW w:w="1298" w:type="dxa"/>
            <w:vAlign w:val="center"/>
          </w:tcPr>
          <w:p w14:paraId="45B96CBB">
            <w:pPr>
              <w:spacing w:line="240" w:lineRule="auto"/>
              <w:jc w:val="both"/>
              <w:rPr>
                <w:rFonts w:ascii="仿宋_GB2312" w:eastAsia="仿宋_GB2312"/>
                <w:kern w:val="0"/>
              </w:rPr>
            </w:pPr>
            <w:r>
              <w:rPr>
                <w:rFonts w:hint="eastAsia" w:ascii="仿宋_GB2312" w:eastAsia="仿宋_GB2312"/>
                <w:kern w:val="0"/>
              </w:rPr>
              <w:t>有所改善</w:t>
            </w:r>
          </w:p>
        </w:tc>
        <w:tc>
          <w:tcPr>
            <w:tcW w:w="1269" w:type="dxa"/>
            <w:vAlign w:val="center"/>
          </w:tcPr>
          <w:p w14:paraId="35C3564D">
            <w:pPr>
              <w:spacing w:line="240" w:lineRule="auto"/>
              <w:jc w:val="both"/>
              <w:rPr>
                <w:rFonts w:ascii="仿宋_GB2312" w:eastAsia="仿宋_GB2312"/>
                <w:kern w:val="0"/>
              </w:rPr>
            </w:pPr>
            <w:r>
              <w:rPr>
                <w:rFonts w:hint="eastAsia" w:ascii="仿宋_GB2312" w:eastAsia="仿宋_GB2312"/>
                <w:kern w:val="0"/>
              </w:rPr>
              <w:t>有所改善</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right w:val="single" w:color="auto" w:sz="4" w:space="0"/>
            </w:tcBorders>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3791089">
            <w:pPr>
              <w:spacing w:line="240" w:lineRule="auto"/>
              <w:ind w:firstLine="420"/>
              <w:jc w:val="center"/>
              <w:rPr>
                <w:rFonts w:ascii="仿宋_GB2312" w:eastAsia="仿宋_GB2312"/>
                <w:kern w:val="0"/>
              </w:rPr>
            </w:pPr>
          </w:p>
        </w:tc>
        <w:tc>
          <w:tcPr>
            <w:tcW w:w="1029" w:type="dxa"/>
            <w:tcBorders>
              <w:top w:val="single" w:color="auto" w:sz="4" w:space="0"/>
              <w:left w:val="single" w:color="auto" w:sz="4" w:space="0"/>
              <w:bottom w:val="single" w:color="auto" w:sz="4" w:space="0"/>
              <w:right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tcBorders>
              <w:left w:val="single" w:color="auto" w:sz="4" w:space="0"/>
            </w:tcBorders>
            <w:vAlign w:val="center"/>
          </w:tcPr>
          <w:p w14:paraId="1B548B4C">
            <w:pPr>
              <w:spacing w:line="240" w:lineRule="auto"/>
              <w:jc w:val="both"/>
              <w:rPr>
                <w:rFonts w:ascii="仿宋_GB2312" w:eastAsia="仿宋_GB2312"/>
                <w:kern w:val="0"/>
              </w:rPr>
            </w:pPr>
            <w:r>
              <w:rPr>
                <w:rFonts w:hint="eastAsia" w:ascii="仿宋_GB2312" w:eastAsia="仿宋_GB2312"/>
                <w:kern w:val="0"/>
              </w:rPr>
              <w:t>促进生态可持续发展，构建生态环境无负面影响</w:t>
            </w:r>
          </w:p>
        </w:tc>
        <w:tc>
          <w:tcPr>
            <w:tcW w:w="1298" w:type="dxa"/>
            <w:vAlign w:val="center"/>
          </w:tcPr>
          <w:p w14:paraId="055B34ED">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可持续</w:t>
            </w:r>
          </w:p>
        </w:tc>
        <w:tc>
          <w:tcPr>
            <w:tcW w:w="1269" w:type="dxa"/>
            <w:vAlign w:val="center"/>
          </w:tcPr>
          <w:p w14:paraId="46B41467">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可持续</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bottom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受益对象满意度</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≥96%</w:t>
            </w:r>
          </w:p>
        </w:tc>
        <w:tc>
          <w:tcPr>
            <w:tcW w:w="1269"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≥96%</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rPr>
            </w:pPr>
            <w:r>
              <w:rPr>
                <w:rFonts w:hint="eastAsia" w:ascii="仿宋_GB2312" w:eastAsia="仿宋_GB2312"/>
                <w:kern w:val="0"/>
              </w:rPr>
              <w:t>预算批复金额</w:t>
            </w:r>
          </w:p>
        </w:tc>
        <w:tc>
          <w:tcPr>
            <w:tcW w:w="1298" w:type="dxa"/>
            <w:vAlign w:val="center"/>
          </w:tcPr>
          <w:p w14:paraId="15ECA8D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386.92</w:t>
            </w:r>
          </w:p>
        </w:tc>
        <w:tc>
          <w:tcPr>
            <w:tcW w:w="1269" w:type="dxa"/>
            <w:vAlign w:val="center"/>
          </w:tcPr>
          <w:p w14:paraId="3C32824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1364.20</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423" w:type="dxa"/>
            <w:vAlign w:val="center"/>
          </w:tcPr>
          <w:p w14:paraId="0F79A5E1">
            <w:pPr>
              <w:spacing w:line="240" w:lineRule="auto"/>
              <w:jc w:val="both"/>
              <w:rPr>
                <w:rFonts w:hint="eastAsia" w:ascii="仿宋_GB2312" w:eastAsia="仿宋_GB2312"/>
                <w:kern w:val="0"/>
                <w:lang w:eastAsia="zh-CN"/>
              </w:rPr>
            </w:pPr>
            <w:r>
              <w:rPr>
                <w:rFonts w:hint="eastAsia" w:ascii="仿宋_GB2312" w:eastAsia="仿宋_GB2312"/>
                <w:kern w:val="0"/>
                <w:lang w:eastAsia="zh-CN"/>
              </w:rPr>
              <w:t>年中财政拨付金额，年初未纳入预算</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rPr>
            </w:pPr>
            <w:r>
              <w:rPr>
                <w:rFonts w:hint="eastAsia" w:ascii="仿宋_GB2312" w:eastAsia="仿宋_GB2312"/>
                <w:kern w:val="0"/>
              </w:rPr>
              <w:t>构成良好的社会文明形象，无负面影响</w:t>
            </w:r>
          </w:p>
        </w:tc>
        <w:tc>
          <w:tcPr>
            <w:tcW w:w="1298" w:type="dxa"/>
            <w:vAlign w:val="center"/>
          </w:tcPr>
          <w:p w14:paraId="09361E4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14:paraId="32DCD30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rPr>
              <w:t>对自然环境无负面影响</w:t>
            </w:r>
          </w:p>
        </w:tc>
        <w:tc>
          <w:tcPr>
            <w:tcW w:w="1298" w:type="dxa"/>
            <w:vAlign w:val="center"/>
          </w:tcPr>
          <w:p w14:paraId="789CDCB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14:paraId="4E354EE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胡阳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2025.09.23</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15292006926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何坚</w:t>
      </w:r>
      <w:r>
        <w:rPr>
          <w:rFonts w:ascii="仿宋_GB2312" w:hAnsi="宋体" w:eastAsia="仿宋_GB2312" w:cs="宋体"/>
          <w:snapToGrid w:val="0"/>
          <w:color w:val="000000"/>
          <w:sz w:val="35"/>
          <w:szCs w:val="35"/>
          <w:lang w:val="en-US" w:eastAsia="zh-CN" w:bidi="ar-SA"/>
        </w:rPr>
        <w:t xml:space="preserve"> </w:t>
      </w:r>
    </w:p>
    <w:p w14:paraId="42C7BB5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3CD28C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D683A0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ACF99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54B08A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D3551C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1FB1C3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B82B2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1184B6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市委大院维护管理</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汨罗市机关事务服务中心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74.56</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74.56</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74.56</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74.56</w:t>
            </w:r>
          </w:p>
        </w:tc>
        <w:tc>
          <w:tcPr>
            <w:tcW w:w="809" w:type="dxa"/>
            <w:vAlign w:val="center"/>
          </w:tcPr>
          <w:p w14:paraId="05C9BB92">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C8E36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785B7FB">
            <w:pPr>
              <w:spacing w:line="240" w:lineRule="auto"/>
              <w:ind w:firstLine="420"/>
              <w:jc w:val="center"/>
              <w:rPr>
                <w:rFonts w:hint="default" w:ascii="仿宋_GB2312" w:hAnsi="宋体" w:eastAsia="仿宋_GB2312" w:cs="宋体"/>
                <w:kern w:val="0"/>
                <w:lang w:val="en-US"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3D3AC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86F5ED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ascii="仿宋_GB2312" w:hAnsi="宋体" w:eastAsia="仿宋_GB2312" w:cs="宋体"/>
                <w:kern w:val="0"/>
              </w:rPr>
            </w:pPr>
            <w:r>
              <w:rPr>
                <w:rFonts w:hint="eastAsia" w:ascii="仿宋_GB2312" w:hAnsi="宋体" w:eastAsia="仿宋_GB2312" w:cs="宋体"/>
                <w:kern w:val="0"/>
              </w:rPr>
              <w:t>确保市委大院安保人员，卫生保洁人员发放到位，基础设施维护管理达到98%，绿植养护达到100%，垃圾及时清理，水电费缴纳到位不拖欠，营造舒适的工作和居住环境。</w:t>
            </w:r>
          </w:p>
        </w:tc>
        <w:tc>
          <w:tcPr>
            <w:tcW w:w="4140" w:type="dxa"/>
            <w:gridSpan w:val="4"/>
            <w:vAlign w:val="center"/>
          </w:tcPr>
          <w:p w14:paraId="309F7763">
            <w:pPr>
              <w:spacing w:line="240" w:lineRule="auto"/>
              <w:jc w:val="both"/>
              <w:rPr>
                <w:rFonts w:ascii="仿宋_GB2312" w:hAnsi="宋体" w:eastAsia="仿宋_GB2312" w:cs="宋体"/>
                <w:kern w:val="0"/>
              </w:rPr>
            </w:pPr>
            <w:r>
              <w:rPr>
                <w:rFonts w:hint="eastAsia" w:ascii="仿宋_GB2312" w:hAnsi="宋体" w:eastAsia="仿宋_GB2312" w:cs="宋体"/>
                <w:kern w:val="0"/>
              </w:rPr>
              <w:t>机关大院保安、保洁人员工资福利待遇发放到位;公共水电路确保畅通，无欠缴情况; 其他基础设施设备定期检查，及时排队故障；卫生保洁率达99%，生活垃圾日产日清；保安人员24小时不间断值勤，确保大院群众人身安全，财产安全；绿植养护达到100%，确保大院环境舒适。</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rPr>
              <w:t>办公楼办公时间清扫</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≥8次</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≥8次</w:t>
            </w:r>
          </w:p>
        </w:tc>
        <w:tc>
          <w:tcPr>
            <w:tcW w:w="809" w:type="dxa"/>
            <w:vAlign w:val="center"/>
          </w:tcPr>
          <w:p w14:paraId="450DEC1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F7B7A4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both"/>
              <w:rPr>
                <w:rFonts w:ascii="仿宋_GB2312" w:hAnsi="宋体" w:eastAsia="仿宋_GB2312" w:cs="宋体"/>
                <w:kern w:val="0"/>
              </w:rPr>
            </w:pPr>
            <w:r>
              <w:rPr>
                <w:rFonts w:hint="eastAsia" w:ascii="仿宋_GB2312" w:hAnsi="宋体" w:eastAsia="仿宋_GB2312" w:cs="宋体"/>
                <w:kern w:val="0"/>
              </w:rPr>
              <w:t>全年保洁率、垃圾清扫日产日清</w:t>
            </w:r>
          </w:p>
        </w:tc>
        <w:tc>
          <w:tcPr>
            <w:tcW w:w="1099" w:type="dxa"/>
            <w:vAlign w:val="center"/>
          </w:tcPr>
          <w:p w14:paraId="29CCEE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≥99%</w:t>
            </w:r>
          </w:p>
        </w:tc>
        <w:tc>
          <w:tcPr>
            <w:tcW w:w="1099" w:type="dxa"/>
            <w:vAlign w:val="center"/>
          </w:tcPr>
          <w:p w14:paraId="70F41D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≥99%</w:t>
            </w:r>
          </w:p>
        </w:tc>
        <w:tc>
          <w:tcPr>
            <w:tcW w:w="809" w:type="dxa"/>
            <w:vAlign w:val="center"/>
          </w:tcPr>
          <w:p w14:paraId="662F704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76686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01C5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5C1CEA0">
            <w:pPr>
              <w:spacing w:line="240" w:lineRule="auto"/>
              <w:ind w:firstLine="420"/>
              <w:jc w:val="center"/>
              <w:rPr>
                <w:rFonts w:ascii="仿宋_GB2312" w:hAnsi="宋体" w:eastAsia="仿宋_GB2312" w:cs="宋体"/>
                <w:kern w:val="0"/>
              </w:rPr>
            </w:pPr>
          </w:p>
        </w:tc>
        <w:tc>
          <w:tcPr>
            <w:tcW w:w="1218" w:type="dxa"/>
            <w:vMerge w:val="restart"/>
            <w:vAlign w:val="center"/>
          </w:tcPr>
          <w:p w14:paraId="63B7163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5D6E399">
            <w:pPr>
              <w:spacing w:line="240" w:lineRule="auto"/>
              <w:jc w:val="both"/>
              <w:rPr>
                <w:rFonts w:ascii="仿宋_GB2312" w:hAnsi="宋体" w:eastAsia="仿宋_GB2312" w:cs="宋体"/>
                <w:kern w:val="0"/>
              </w:rPr>
            </w:pPr>
            <w:r>
              <w:rPr>
                <w:rFonts w:hint="eastAsia" w:ascii="仿宋_GB2312" w:hAnsi="宋体" w:eastAsia="仿宋_GB2312" w:cs="宋体"/>
                <w:kern w:val="0"/>
              </w:rPr>
              <w:t>大院设施、财产、人身安全</w:t>
            </w:r>
          </w:p>
        </w:tc>
        <w:tc>
          <w:tcPr>
            <w:tcW w:w="1099" w:type="dxa"/>
            <w:vAlign w:val="center"/>
          </w:tcPr>
          <w:p w14:paraId="40B109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3C68AE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4D5F4D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21EDD2B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4D43452F">
            <w:pPr>
              <w:spacing w:line="240" w:lineRule="auto"/>
              <w:ind w:firstLine="420"/>
              <w:jc w:val="center"/>
              <w:rPr>
                <w:rFonts w:ascii="仿宋_GB2312" w:hAnsi="宋体" w:eastAsia="仿宋_GB2312" w:cs="宋体"/>
                <w:kern w:val="0"/>
              </w:rPr>
            </w:pPr>
          </w:p>
        </w:tc>
      </w:tr>
      <w:tr w14:paraId="625F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C3B21E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AFFE26">
            <w:pPr>
              <w:spacing w:line="240" w:lineRule="auto"/>
              <w:ind w:firstLine="420"/>
              <w:jc w:val="center"/>
              <w:rPr>
                <w:rFonts w:ascii="仿宋_GB2312" w:hAnsi="宋体" w:eastAsia="仿宋_GB2312" w:cs="宋体"/>
                <w:kern w:val="0"/>
              </w:rPr>
            </w:pPr>
          </w:p>
        </w:tc>
        <w:tc>
          <w:tcPr>
            <w:tcW w:w="1218" w:type="dxa"/>
            <w:vMerge w:val="continue"/>
            <w:vAlign w:val="center"/>
          </w:tcPr>
          <w:p w14:paraId="10E69B5A">
            <w:pPr>
              <w:spacing w:line="240" w:lineRule="auto"/>
              <w:jc w:val="center"/>
              <w:rPr>
                <w:rFonts w:hint="eastAsia" w:ascii="仿宋_GB2312" w:hAnsi="宋体" w:eastAsia="仿宋_GB2312" w:cs="宋体"/>
                <w:kern w:val="0"/>
              </w:rPr>
            </w:pPr>
          </w:p>
        </w:tc>
        <w:tc>
          <w:tcPr>
            <w:tcW w:w="1020" w:type="dxa"/>
            <w:vAlign w:val="center"/>
          </w:tcPr>
          <w:p w14:paraId="46E3EA3A">
            <w:pPr>
              <w:spacing w:line="240" w:lineRule="auto"/>
              <w:jc w:val="both"/>
              <w:rPr>
                <w:rFonts w:ascii="仿宋_GB2312" w:hAnsi="宋体" w:eastAsia="仿宋_GB2312" w:cs="宋体"/>
                <w:kern w:val="0"/>
              </w:rPr>
            </w:pPr>
            <w:r>
              <w:rPr>
                <w:rFonts w:hint="eastAsia" w:ascii="仿宋_GB2312" w:hAnsi="宋体" w:eastAsia="仿宋_GB2312" w:cs="宋体"/>
                <w:kern w:val="0"/>
              </w:rPr>
              <w:t>公共区域水、电路畅通，无欠缴情况</w:t>
            </w:r>
          </w:p>
        </w:tc>
        <w:tc>
          <w:tcPr>
            <w:tcW w:w="1099" w:type="dxa"/>
            <w:vAlign w:val="center"/>
          </w:tcPr>
          <w:p w14:paraId="1BCA72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294BB8A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B1D447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01583B1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6B4822F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0A5F3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continue"/>
            <w:vAlign w:val="center"/>
          </w:tcPr>
          <w:p w14:paraId="5580340F">
            <w:pPr>
              <w:spacing w:line="240" w:lineRule="auto"/>
              <w:jc w:val="center"/>
              <w:rPr>
                <w:rFonts w:ascii="仿宋_GB2312" w:hAnsi="宋体" w:eastAsia="仿宋_GB2312" w:cs="宋体"/>
                <w:kern w:val="0"/>
              </w:rPr>
            </w:pPr>
          </w:p>
        </w:tc>
        <w:tc>
          <w:tcPr>
            <w:tcW w:w="1020"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rPr>
              <w:t>基础设施定期检修，道路无破损</w:t>
            </w:r>
          </w:p>
        </w:tc>
        <w:tc>
          <w:tcPr>
            <w:tcW w:w="1099"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DC8615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25177C6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jc w:val="both"/>
              <w:rPr>
                <w:rFonts w:ascii="仿宋_GB2312" w:hAnsi="宋体" w:eastAsia="仿宋_GB2312" w:cs="宋体"/>
                <w:kern w:val="0"/>
              </w:rPr>
            </w:pPr>
            <w:r>
              <w:rPr>
                <w:rFonts w:hint="eastAsia" w:ascii="仿宋_GB2312" w:hAnsi="宋体" w:eastAsia="仿宋_GB2312" w:cs="宋体"/>
                <w:kern w:val="0"/>
              </w:rPr>
              <w:t>绿植定期修剪，覆盖率达标</w:t>
            </w:r>
          </w:p>
        </w:tc>
        <w:tc>
          <w:tcPr>
            <w:tcW w:w="1099" w:type="dxa"/>
            <w:vAlign w:val="center"/>
          </w:tcPr>
          <w:p w14:paraId="29C293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620D8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CFE771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182C2D1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14:paraId="015D039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1099" w:type="dxa"/>
            <w:vAlign w:val="center"/>
          </w:tcPr>
          <w:p w14:paraId="5C21687F">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2024年全年</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rPr>
              <w:t>不适用</w:t>
            </w:r>
          </w:p>
        </w:tc>
        <w:tc>
          <w:tcPr>
            <w:tcW w:w="1099" w:type="dxa"/>
            <w:vAlign w:val="center"/>
          </w:tcPr>
          <w:p w14:paraId="53928C31">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6D883DD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2958485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41D412C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rPr>
              <w:t>市委整体形象</w:t>
            </w:r>
          </w:p>
        </w:tc>
        <w:tc>
          <w:tcPr>
            <w:tcW w:w="1099" w:type="dxa"/>
            <w:vAlign w:val="center"/>
          </w:tcPr>
          <w:p w14:paraId="01875392">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进一步提升</w:t>
            </w:r>
          </w:p>
        </w:tc>
        <w:tc>
          <w:tcPr>
            <w:tcW w:w="1099" w:type="dxa"/>
            <w:vAlign w:val="center"/>
          </w:tcPr>
          <w:p w14:paraId="4101F8DE">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进一步提升</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rPr>
              <w:t>有益生态环境改善</w:t>
            </w:r>
          </w:p>
        </w:tc>
        <w:tc>
          <w:tcPr>
            <w:tcW w:w="1099" w:type="dxa"/>
            <w:vAlign w:val="center"/>
          </w:tcPr>
          <w:p w14:paraId="286C2197">
            <w:pPr>
              <w:spacing w:line="240" w:lineRule="auto"/>
              <w:jc w:val="both"/>
              <w:rPr>
                <w:rFonts w:ascii="仿宋_GB2312" w:hAnsi="宋体" w:eastAsia="仿宋_GB2312" w:cs="宋体"/>
                <w:kern w:val="0"/>
              </w:rPr>
            </w:pPr>
            <w:r>
              <w:rPr>
                <w:rFonts w:hint="eastAsia" w:ascii="仿宋_GB2312" w:hAnsi="宋体" w:eastAsia="仿宋_GB2312" w:cs="宋体"/>
                <w:kern w:val="0"/>
              </w:rPr>
              <w:t>进一步改善</w:t>
            </w:r>
          </w:p>
        </w:tc>
        <w:tc>
          <w:tcPr>
            <w:tcW w:w="1099" w:type="dxa"/>
            <w:vAlign w:val="center"/>
          </w:tcPr>
          <w:p w14:paraId="4CA75DEB">
            <w:pPr>
              <w:spacing w:line="240" w:lineRule="auto"/>
              <w:jc w:val="both"/>
              <w:rPr>
                <w:rFonts w:ascii="仿宋_GB2312" w:hAnsi="宋体" w:eastAsia="仿宋_GB2312" w:cs="宋体"/>
                <w:kern w:val="0"/>
              </w:rPr>
            </w:pPr>
            <w:r>
              <w:rPr>
                <w:rFonts w:hint="eastAsia" w:ascii="仿宋_GB2312" w:hAnsi="宋体" w:eastAsia="仿宋_GB2312" w:cs="宋体"/>
                <w:kern w:val="0"/>
              </w:rPr>
              <w:t>进一步改善</w:t>
            </w:r>
          </w:p>
        </w:tc>
        <w:tc>
          <w:tcPr>
            <w:tcW w:w="809" w:type="dxa"/>
            <w:vAlign w:val="center"/>
          </w:tcPr>
          <w:p w14:paraId="491BA99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BF7EB9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ascii="仿宋_GB2312" w:hAnsi="宋体" w:eastAsia="仿宋_GB2312" w:cs="宋体"/>
                <w:kern w:val="0"/>
              </w:rPr>
            </w:pPr>
            <w:r>
              <w:rPr>
                <w:rFonts w:hint="eastAsia" w:ascii="仿宋_GB2312" w:hAnsi="宋体" w:eastAsia="仿宋_GB2312" w:cs="宋体"/>
                <w:kern w:val="0"/>
              </w:rPr>
              <w:t>可持续性</w:t>
            </w:r>
          </w:p>
        </w:tc>
        <w:tc>
          <w:tcPr>
            <w:tcW w:w="1099" w:type="dxa"/>
            <w:vAlign w:val="center"/>
          </w:tcPr>
          <w:p w14:paraId="48F3A1C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1099" w:type="dxa"/>
            <w:vAlign w:val="center"/>
          </w:tcPr>
          <w:p w14:paraId="596F13D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809" w:type="dxa"/>
            <w:vAlign w:val="center"/>
          </w:tcPr>
          <w:p w14:paraId="49A57C7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44D5C8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4471F21F">
            <w:pPr>
              <w:spacing w:line="240" w:lineRule="auto"/>
              <w:jc w:val="both"/>
              <w:rPr>
                <w:rFonts w:ascii="仿宋_GB2312" w:hAnsi="宋体" w:eastAsia="仿宋_GB2312" w:cs="宋体"/>
                <w:kern w:val="0"/>
              </w:rPr>
            </w:pPr>
            <w:r>
              <w:rPr>
                <w:rFonts w:hint="eastAsia" w:ascii="仿宋_GB2312" w:hAnsi="宋体" w:eastAsia="仿宋_GB2312" w:cs="宋体"/>
                <w:kern w:val="0"/>
              </w:rPr>
              <w:t>受益群众满意度</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≥96%</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≥96%</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14:paraId="7D8FEFD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42万元</w:t>
            </w:r>
          </w:p>
        </w:tc>
        <w:tc>
          <w:tcPr>
            <w:tcW w:w="1099" w:type="dxa"/>
            <w:vAlign w:val="center"/>
          </w:tcPr>
          <w:p w14:paraId="729BFD5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74.56万元</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AB38FDF">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年中经费不足，年底追加</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对社会发展可能造成负面影响</w:t>
            </w:r>
          </w:p>
        </w:tc>
        <w:tc>
          <w:tcPr>
            <w:tcW w:w="1099" w:type="dxa"/>
            <w:vAlign w:val="center"/>
          </w:tcPr>
          <w:p w14:paraId="515A677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79BCBEC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ascii="仿宋_GB2312" w:hAnsi="宋体" w:eastAsia="仿宋_GB2312" w:cs="宋体"/>
                <w:kern w:val="0"/>
              </w:rPr>
            </w:pPr>
            <w:r>
              <w:rPr>
                <w:rFonts w:hint="eastAsia" w:ascii="仿宋_GB2312" w:hAnsi="宋体" w:eastAsia="仿宋_GB2312" w:cs="宋体"/>
                <w:kern w:val="0"/>
              </w:rPr>
              <w:t>对生态环境可能造成负面影响</w:t>
            </w:r>
          </w:p>
        </w:tc>
        <w:tc>
          <w:tcPr>
            <w:tcW w:w="1099" w:type="dxa"/>
            <w:vAlign w:val="center"/>
          </w:tcPr>
          <w:p w14:paraId="52AC4F9E">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0867BB9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58406B9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6E700BE">
      <w:pPr>
        <w:spacing w:before="52" w:line="219" w:lineRule="auto"/>
        <w:jc w:val="left"/>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胡阳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2025.09.23</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15292006926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何坚</w:t>
      </w:r>
      <w:r>
        <w:rPr>
          <w:rFonts w:ascii="仿宋_GB2312" w:hAnsi="宋体" w:eastAsia="仿宋_GB2312" w:cs="宋体"/>
          <w:snapToGrid w:val="0"/>
          <w:color w:val="000000"/>
          <w:sz w:val="35"/>
          <w:szCs w:val="35"/>
          <w:lang w:val="en-US" w:eastAsia="zh-CN" w:bidi="ar-SA"/>
        </w:rPr>
        <w:t xml:space="preserve"> </w:t>
      </w:r>
    </w:p>
    <w:p w14:paraId="05E7A99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E9E7A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DC0041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0EC3F8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77AB36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8E1D6F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48258D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5321E2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7D39A5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8C0091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F8A5BA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5D6987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788684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035B146">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BEA95E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56CCEEA">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8EE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20A8E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C6D85D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市委机关后勤</w:t>
            </w:r>
          </w:p>
        </w:tc>
      </w:tr>
      <w:tr w14:paraId="42A48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9826C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6B68F50">
            <w:pPr>
              <w:spacing w:line="240" w:lineRule="auto"/>
              <w:ind w:firstLine="420"/>
              <w:jc w:val="center"/>
              <w:rPr>
                <w:rFonts w:ascii="仿宋_GB2312" w:hAnsi="宋体" w:eastAsia="仿宋_GB2312" w:cs="宋体"/>
                <w:kern w:val="0"/>
                <w:lang w:eastAsia="zh-CN"/>
              </w:rPr>
            </w:pPr>
          </w:p>
        </w:tc>
        <w:tc>
          <w:tcPr>
            <w:tcW w:w="1099" w:type="dxa"/>
            <w:vAlign w:val="center"/>
          </w:tcPr>
          <w:p w14:paraId="743825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804B3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7C6D383">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汨罗市机关事务服务中心</w:t>
            </w:r>
          </w:p>
        </w:tc>
      </w:tr>
      <w:tr w14:paraId="451A1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4CD75A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8AA8C99">
            <w:pPr>
              <w:spacing w:line="240" w:lineRule="auto"/>
              <w:ind w:firstLine="420"/>
              <w:jc w:val="center"/>
              <w:rPr>
                <w:rFonts w:ascii="仿宋_GB2312" w:hAnsi="宋体" w:eastAsia="仿宋_GB2312" w:cs="宋体"/>
                <w:kern w:val="0"/>
                <w:lang w:eastAsia="zh-CN"/>
              </w:rPr>
            </w:pPr>
          </w:p>
        </w:tc>
        <w:tc>
          <w:tcPr>
            <w:tcW w:w="1020" w:type="dxa"/>
            <w:vAlign w:val="center"/>
          </w:tcPr>
          <w:p w14:paraId="3EF48F8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4678A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94DB3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5BA9E9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7F737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6A4AF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FB3BE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F815D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CA6096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AC6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A9E81D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D3D71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AA2AF2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w:t>
            </w:r>
          </w:p>
        </w:tc>
        <w:tc>
          <w:tcPr>
            <w:tcW w:w="1099" w:type="dxa"/>
            <w:vAlign w:val="center"/>
          </w:tcPr>
          <w:p w14:paraId="1C7D04B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162.96</w:t>
            </w:r>
          </w:p>
        </w:tc>
        <w:tc>
          <w:tcPr>
            <w:tcW w:w="1099" w:type="dxa"/>
            <w:vAlign w:val="center"/>
          </w:tcPr>
          <w:p w14:paraId="3CAA11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162.96</w:t>
            </w:r>
          </w:p>
        </w:tc>
        <w:tc>
          <w:tcPr>
            <w:tcW w:w="809" w:type="dxa"/>
            <w:vAlign w:val="center"/>
          </w:tcPr>
          <w:p w14:paraId="7B2B92B9">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14091EB">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9E05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52FE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596B1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F891D5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064329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w:t>
            </w:r>
          </w:p>
        </w:tc>
        <w:tc>
          <w:tcPr>
            <w:tcW w:w="1099" w:type="dxa"/>
            <w:vAlign w:val="center"/>
          </w:tcPr>
          <w:p w14:paraId="2ACCCF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162.96</w:t>
            </w:r>
          </w:p>
        </w:tc>
        <w:tc>
          <w:tcPr>
            <w:tcW w:w="1099" w:type="dxa"/>
            <w:vAlign w:val="center"/>
          </w:tcPr>
          <w:p w14:paraId="662458F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162.96</w:t>
            </w:r>
          </w:p>
        </w:tc>
        <w:tc>
          <w:tcPr>
            <w:tcW w:w="809" w:type="dxa"/>
            <w:vAlign w:val="center"/>
          </w:tcPr>
          <w:p w14:paraId="014E5698">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165DA72">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0A387B15">
            <w:pPr>
              <w:spacing w:line="240" w:lineRule="auto"/>
              <w:ind w:firstLine="420"/>
              <w:jc w:val="center"/>
              <w:rPr>
                <w:rFonts w:hint="default" w:ascii="仿宋_GB2312" w:hAnsi="宋体" w:eastAsia="仿宋_GB2312" w:cs="宋体"/>
                <w:kern w:val="0"/>
                <w:lang w:val="en-US" w:eastAsia="zh-CN"/>
              </w:rPr>
            </w:pPr>
          </w:p>
        </w:tc>
      </w:tr>
      <w:tr w14:paraId="0B877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F8408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73D9AC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A263D6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2112F28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710BB2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2B614050">
            <w:pPr>
              <w:spacing w:line="240" w:lineRule="auto"/>
              <w:ind w:firstLine="420"/>
              <w:jc w:val="center"/>
              <w:rPr>
                <w:rFonts w:ascii="仿宋_GB2312" w:hAnsi="宋体" w:eastAsia="仿宋_GB2312" w:cs="宋体"/>
                <w:kern w:val="0"/>
                <w:lang w:eastAsia="zh-CN"/>
              </w:rPr>
            </w:pPr>
          </w:p>
        </w:tc>
        <w:tc>
          <w:tcPr>
            <w:tcW w:w="849" w:type="dxa"/>
            <w:vAlign w:val="center"/>
          </w:tcPr>
          <w:p w14:paraId="32827686">
            <w:pPr>
              <w:spacing w:line="240" w:lineRule="auto"/>
              <w:ind w:firstLine="420"/>
              <w:jc w:val="center"/>
              <w:rPr>
                <w:rFonts w:ascii="仿宋_GB2312" w:hAnsi="宋体" w:eastAsia="仿宋_GB2312" w:cs="宋体"/>
                <w:kern w:val="0"/>
                <w:lang w:eastAsia="zh-CN"/>
              </w:rPr>
            </w:pPr>
          </w:p>
        </w:tc>
        <w:tc>
          <w:tcPr>
            <w:tcW w:w="1383" w:type="dxa"/>
            <w:vAlign w:val="center"/>
          </w:tcPr>
          <w:p w14:paraId="3BF00120">
            <w:pPr>
              <w:spacing w:line="240" w:lineRule="auto"/>
              <w:ind w:firstLine="420"/>
              <w:jc w:val="center"/>
              <w:rPr>
                <w:rFonts w:ascii="仿宋_GB2312" w:hAnsi="宋体" w:eastAsia="仿宋_GB2312" w:cs="宋体"/>
                <w:kern w:val="0"/>
                <w:lang w:eastAsia="zh-CN"/>
              </w:rPr>
            </w:pPr>
          </w:p>
        </w:tc>
      </w:tr>
      <w:tr w14:paraId="540F1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2E08B2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47C22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7234CE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92C351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EA1646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F3E77F8">
            <w:pPr>
              <w:spacing w:line="240" w:lineRule="auto"/>
              <w:ind w:firstLine="420"/>
              <w:jc w:val="center"/>
              <w:rPr>
                <w:rFonts w:ascii="仿宋_GB2312" w:hAnsi="宋体" w:eastAsia="仿宋_GB2312" w:cs="宋体"/>
                <w:kern w:val="0"/>
              </w:rPr>
            </w:pPr>
          </w:p>
        </w:tc>
        <w:tc>
          <w:tcPr>
            <w:tcW w:w="849" w:type="dxa"/>
            <w:vAlign w:val="center"/>
          </w:tcPr>
          <w:p w14:paraId="638D2A0D">
            <w:pPr>
              <w:spacing w:line="240" w:lineRule="auto"/>
              <w:ind w:firstLine="420"/>
              <w:jc w:val="center"/>
              <w:rPr>
                <w:rFonts w:ascii="仿宋_GB2312" w:hAnsi="宋体" w:eastAsia="仿宋_GB2312" w:cs="宋体"/>
                <w:kern w:val="0"/>
              </w:rPr>
            </w:pPr>
          </w:p>
        </w:tc>
        <w:tc>
          <w:tcPr>
            <w:tcW w:w="1383" w:type="dxa"/>
            <w:vAlign w:val="center"/>
          </w:tcPr>
          <w:p w14:paraId="318E58B9">
            <w:pPr>
              <w:spacing w:line="240" w:lineRule="auto"/>
              <w:ind w:firstLine="420"/>
              <w:jc w:val="center"/>
              <w:rPr>
                <w:rFonts w:ascii="仿宋_GB2312" w:hAnsi="宋体" w:eastAsia="仿宋_GB2312" w:cs="宋体"/>
                <w:kern w:val="0"/>
              </w:rPr>
            </w:pPr>
          </w:p>
        </w:tc>
      </w:tr>
      <w:tr w14:paraId="22565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5D0BA1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989C19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C907C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0564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6EE2DD3">
            <w:pPr>
              <w:spacing w:line="240" w:lineRule="auto"/>
              <w:ind w:firstLine="420"/>
              <w:jc w:val="center"/>
              <w:rPr>
                <w:rFonts w:ascii="仿宋_GB2312" w:hAnsi="宋体" w:eastAsia="仿宋_GB2312" w:cs="宋体"/>
                <w:kern w:val="0"/>
              </w:rPr>
            </w:pPr>
          </w:p>
        </w:tc>
        <w:tc>
          <w:tcPr>
            <w:tcW w:w="4396" w:type="dxa"/>
            <w:gridSpan w:val="4"/>
            <w:vAlign w:val="center"/>
          </w:tcPr>
          <w:p w14:paraId="3CE55DCE">
            <w:pPr>
              <w:spacing w:line="240" w:lineRule="auto"/>
              <w:jc w:val="both"/>
              <w:rPr>
                <w:rFonts w:ascii="仿宋_GB2312" w:hAnsi="宋体" w:eastAsia="仿宋_GB2312" w:cs="宋体"/>
                <w:kern w:val="0"/>
              </w:rPr>
            </w:pPr>
            <w:r>
              <w:rPr>
                <w:rFonts w:hint="eastAsia" w:ascii="仿宋_GB2312" w:hAnsi="宋体" w:eastAsia="仿宋_GB2312" w:cs="宋体"/>
                <w:kern w:val="0"/>
              </w:rPr>
              <w:t>确保两个食堂的正常运转，确保所有工作人员就餐环境舒适、干净。购买的食堂食材卫生，健康。</w:t>
            </w:r>
          </w:p>
        </w:tc>
        <w:tc>
          <w:tcPr>
            <w:tcW w:w="4140" w:type="dxa"/>
            <w:gridSpan w:val="4"/>
            <w:vAlign w:val="center"/>
          </w:tcPr>
          <w:p w14:paraId="691EB6EA">
            <w:pPr>
              <w:spacing w:line="240" w:lineRule="auto"/>
              <w:jc w:val="both"/>
              <w:rPr>
                <w:rFonts w:ascii="仿宋_GB2312" w:hAnsi="宋体" w:eastAsia="仿宋_GB2312" w:cs="宋体"/>
                <w:kern w:val="0"/>
              </w:rPr>
            </w:pPr>
            <w:r>
              <w:rPr>
                <w:rFonts w:hint="eastAsia" w:ascii="仿宋_GB2312" w:hAnsi="宋体" w:eastAsia="仿宋_GB2312" w:cs="宋体"/>
                <w:kern w:val="0"/>
              </w:rPr>
              <w:t>按时发放食堂人员全年工资福利，确保市委机关所有行政事业单位工作人员在干净、舒适、整洁的用餐环境中就餐，保证食材新鲜、健康、卫生，为更好的为人民服务提供便利。保障非汨罗籍异地市级领导在汨履职期间的生活保驾护航。</w:t>
            </w:r>
          </w:p>
        </w:tc>
      </w:tr>
      <w:tr w14:paraId="32E2B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6CDF878">
            <w:pPr>
              <w:spacing w:line="240" w:lineRule="auto"/>
              <w:ind w:firstLine="420"/>
              <w:jc w:val="center"/>
              <w:rPr>
                <w:rFonts w:ascii="仿宋_GB2312" w:hAnsi="宋体" w:eastAsia="仿宋_GB2312" w:cs="宋体"/>
                <w:kern w:val="0"/>
              </w:rPr>
            </w:pPr>
          </w:p>
          <w:p w14:paraId="7D367D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7C98A3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7A3B34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0D411C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FBA62E5">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388EDF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430F41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55BF35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7822A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37A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4B7F8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C68B4A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010B88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6C79386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25DEE2E">
            <w:pPr>
              <w:spacing w:line="240" w:lineRule="auto"/>
              <w:jc w:val="both"/>
              <w:rPr>
                <w:rFonts w:ascii="仿宋_GB2312" w:hAnsi="宋体" w:eastAsia="仿宋_GB2312" w:cs="宋体"/>
                <w:kern w:val="0"/>
              </w:rPr>
            </w:pPr>
            <w:r>
              <w:rPr>
                <w:rFonts w:hint="eastAsia" w:ascii="仿宋_GB2312" w:hAnsi="宋体" w:eastAsia="仿宋_GB2312" w:cs="宋体"/>
                <w:kern w:val="0"/>
              </w:rPr>
              <w:t>解决工作日用餐问题</w:t>
            </w:r>
          </w:p>
        </w:tc>
        <w:tc>
          <w:tcPr>
            <w:tcW w:w="1099" w:type="dxa"/>
            <w:vAlign w:val="center"/>
          </w:tcPr>
          <w:p w14:paraId="1BB817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≥2餐</w:t>
            </w:r>
          </w:p>
        </w:tc>
        <w:tc>
          <w:tcPr>
            <w:tcW w:w="1099" w:type="dxa"/>
            <w:vAlign w:val="center"/>
          </w:tcPr>
          <w:p w14:paraId="713C5363">
            <w:pPr>
              <w:spacing w:line="240" w:lineRule="auto"/>
              <w:jc w:val="both"/>
              <w:rPr>
                <w:rFonts w:ascii="仿宋_GB2312" w:hAnsi="宋体" w:eastAsia="仿宋_GB2312" w:cs="宋体"/>
                <w:kern w:val="0"/>
              </w:rPr>
            </w:pPr>
            <w:r>
              <w:rPr>
                <w:rFonts w:hint="eastAsia" w:ascii="仿宋_GB2312" w:hAnsi="宋体" w:eastAsia="仿宋_GB2312" w:cs="宋体"/>
                <w:kern w:val="0"/>
              </w:rPr>
              <w:t>≥2餐，确保工作日用餐达到预期指标</w:t>
            </w:r>
          </w:p>
        </w:tc>
        <w:tc>
          <w:tcPr>
            <w:tcW w:w="809" w:type="dxa"/>
            <w:vAlign w:val="center"/>
          </w:tcPr>
          <w:p w14:paraId="4EA8FDA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64519F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F32206C">
            <w:pPr>
              <w:spacing w:line="240" w:lineRule="auto"/>
              <w:ind w:firstLine="420"/>
              <w:jc w:val="center"/>
              <w:rPr>
                <w:rFonts w:ascii="仿宋_GB2312" w:hAnsi="宋体" w:eastAsia="仿宋_GB2312" w:cs="宋体"/>
                <w:kern w:val="0"/>
              </w:rPr>
            </w:pPr>
          </w:p>
        </w:tc>
      </w:tr>
      <w:tr w14:paraId="57310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FFAA1E7">
            <w:pPr>
              <w:spacing w:line="240" w:lineRule="auto"/>
              <w:ind w:firstLine="42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1D07A9A0">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7787C59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left w:val="single" w:color="auto" w:sz="4" w:space="0"/>
            </w:tcBorders>
            <w:vAlign w:val="center"/>
          </w:tcPr>
          <w:p w14:paraId="6753847F">
            <w:pPr>
              <w:spacing w:line="240" w:lineRule="auto"/>
              <w:jc w:val="both"/>
              <w:rPr>
                <w:rFonts w:ascii="仿宋_GB2312" w:hAnsi="宋体" w:eastAsia="仿宋_GB2312" w:cs="宋体"/>
                <w:kern w:val="0"/>
              </w:rPr>
            </w:pPr>
            <w:r>
              <w:rPr>
                <w:rFonts w:hint="eastAsia" w:ascii="仿宋_GB2312" w:hAnsi="宋体" w:eastAsia="仿宋_GB2312" w:cs="宋体"/>
                <w:kern w:val="0"/>
              </w:rPr>
              <w:t>确保食堂正常运转</w:t>
            </w:r>
          </w:p>
        </w:tc>
        <w:tc>
          <w:tcPr>
            <w:tcW w:w="1099" w:type="dxa"/>
            <w:vAlign w:val="center"/>
          </w:tcPr>
          <w:p w14:paraId="45FD90E0">
            <w:pPr>
              <w:spacing w:line="240" w:lineRule="auto"/>
              <w:jc w:val="both"/>
              <w:rPr>
                <w:rFonts w:ascii="仿宋_GB2312" w:hAnsi="宋体" w:eastAsia="仿宋_GB2312" w:cs="宋体"/>
                <w:kern w:val="0"/>
              </w:rPr>
            </w:pPr>
            <w:r>
              <w:rPr>
                <w:rFonts w:hint="eastAsia" w:ascii="仿宋_GB2312" w:hAnsi="宋体" w:eastAsia="仿宋_GB2312" w:cs="宋体"/>
                <w:kern w:val="0"/>
              </w:rPr>
              <w:t>食堂工作人员执证上岗，提供干净舒适的就餐环境，确保食堂运转</w:t>
            </w:r>
          </w:p>
        </w:tc>
        <w:tc>
          <w:tcPr>
            <w:tcW w:w="1099" w:type="dxa"/>
            <w:vAlign w:val="center"/>
          </w:tcPr>
          <w:p w14:paraId="4A54D671">
            <w:pPr>
              <w:spacing w:line="240" w:lineRule="auto"/>
              <w:jc w:val="both"/>
              <w:rPr>
                <w:rFonts w:ascii="仿宋_GB2312" w:hAnsi="宋体" w:eastAsia="仿宋_GB2312" w:cs="宋体"/>
                <w:kern w:val="0"/>
              </w:rPr>
            </w:pPr>
            <w:r>
              <w:rPr>
                <w:rFonts w:hint="eastAsia" w:ascii="仿宋_GB2312" w:hAnsi="宋体" w:eastAsia="仿宋_GB2312" w:cs="宋体"/>
                <w:kern w:val="0"/>
              </w:rPr>
              <w:t>达到预期指标</w:t>
            </w:r>
          </w:p>
        </w:tc>
        <w:tc>
          <w:tcPr>
            <w:tcW w:w="809" w:type="dxa"/>
            <w:vAlign w:val="center"/>
          </w:tcPr>
          <w:p w14:paraId="4C9CA0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C8AA4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CA7706E">
            <w:pPr>
              <w:spacing w:line="240" w:lineRule="auto"/>
              <w:ind w:firstLine="420"/>
              <w:jc w:val="center"/>
              <w:rPr>
                <w:rFonts w:ascii="仿宋_GB2312" w:hAnsi="宋体" w:eastAsia="仿宋_GB2312" w:cs="宋体"/>
                <w:kern w:val="0"/>
              </w:rPr>
            </w:pPr>
          </w:p>
        </w:tc>
      </w:tr>
      <w:tr w14:paraId="2BEED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4CDF9A9">
            <w:pPr>
              <w:spacing w:line="240" w:lineRule="auto"/>
              <w:ind w:firstLine="42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48FD02B5">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BE80B0A">
            <w:pPr>
              <w:spacing w:line="240" w:lineRule="auto"/>
              <w:ind w:firstLine="210" w:firstLineChars="10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时效指标</w:t>
            </w:r>
          </w:p>
        </w:tc>
        <w:tc>
          <w:tcPr>
            <w:tcW w:w="1020" w:type="dxa"/>
            <w:tcBorders>
              <w:left w:val="single" w:color="auto" w:sz="4" w:space="0"/>
            </w:tcBorders>
            <w:vAlign w:val="center"/>
          </w:tcPr>
          <w:p w14:paraId="0A83B8DC">
            <w:pPr>
              <w:spacing w:line="240" w:lineRule="auto"/>
              <w:jc w:val="both"/>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14:paraId="0D1AF88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2024年全年</w:t>
            </w:r>
          </w:p>
        </w:tc>
        <w:tc>
          <w:tcPr>
            <w:tcW w:w="1099" w:type="dxa"/>
            <w:vAlign w:val="center"/>
          </w:tcPr>
          <w:p w14:paraId="60689A7B">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2024年全年</w:t>
            </w:r>
          </w:p>
        </w:tc>
        <w:tc>
          <w:tcPr>
            <w:tcW w:w="809" w:type="dxa"/>
            <w:vAlign w:val="center"/>
          </w:tcPr>
          <w:p w14:paraId="22F0328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A6FF0E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9F4F850">
            <w:pPr>
              <w:spacing w:line="240" w:lineRule="auto"/>
              <w:ind w:firstLine="420"/>
              <w:jc w:val="center"/>
              <w:rPr>
                <w:rFonts w:ascii="仿宋_GB2312" w:hAnsi="宋体" w:eastAsia="仿宋_GB2312" w:cs="宋体"/>
                <w:kern w:val="0"/>
              </w:rPr>
            </w:pPr>
          </w:p>
        </w:tc>
      </w:tr>
      <w:tr w14:paraId="00AFE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91962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A594B3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2305BF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tcBorders>
            <w:vAlign w:val="center"/>
          </w:tcPr>
          <w:p w14:paraId="1AC648D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B560275">
            <w:pPr>
              <w:spacing w:line="240" w:lineRule="auto"/>
              <w:jc w:val="both"/>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14:paraId="12786B8C">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40D3ED21">
            <w:pPr>
              <w:spacing w:line="240" w:lineRule="auto"/>
              <w:jc w:val="both"/>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26C6BE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AB3042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5FA14AD">
            <w:pPr>
              <w:spacing w:line="240" w:lineRule="auto"/>
              <w:ind w:firstLine="420"/>
              <w:jc w:val="center"/>
              <w:rPr>
                <w:rFonts w:ascii="仿宋_GB2312" w:hAnsi="宋体" w:eastAsia="仿宋_GB2312" w:cs="宋体"/>
                <w:kern w:val="0"/>
              </w:rPr>
            </w:pPr>
          </w:p>
        </w:tc>
      </w:tr>
      <w:tr w14:paraId="4EC8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3A8886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F2BEBCD">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5D22B3DB">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2EF11D0">
            <w:pPr>
              <w:spacing w:line="240" w:lineRule="auto"/>
              <w:jc w:val="both"/>
              <w:rPr>
                <w:rFonts w:ascii="仿宋_GB2312" w:hAnsi="宋体" w:eastAsia="仿宋_GB2312" w:cs="宋体"/>
                <w:kern w:val="0"/>
              </w:rPr>
            </w:pPr>
            <w:r>
              <w:rPr>
                <w:rFonts w:hint="eastAsia" w:ascii="仿宋_GB2312" w:hAnsi="宋体" w:eastAsia="仿宋_GB2312" w:cs="宋体"/>
                <w:kern w:val="0"/>
              </w:rPr>
              <w:t>提升机关文明形象</w:t>
            </w:r>
          </w:p>
        </w:tc>
        <w:tc>
          <w:tcPr>
            <w:tcW w:w="1099" w:type="dxa"/>
            <w:vAlign w:val="center"/>
          </w:tcPr>
          <w:p w14:paraId="20C889C1">
            <w:pPr>
              <w:spacing w:line="240" w:lineRule="auto"/>
              <w:jc w:val="both"/>
              <w:rPr>
                <w:rFonts w:ascii="仿宋_GB2312" w:hAnsi="宋体" w:eastAsia="仿宋_GB2312" w:cs="宋体"/>
                <w:kern w:val="0"/>
              </w:rPr>
            </w:pPr>
            <w:r>
              <w:rPr>
                <w:rFonts w:hint="eastAsia" w:ascii="仿宋_GB2312" w:hAnsi="宋体" w:eastAsia="仿宋_GB2312" w:cs="宋体"/>
                <w:kern w:val="0"/>
              </w:rPr>
              <w:t>提供舒适的用餐环境，食材卫生、健康获得良好口碑</w:t>
            </w:r>
          </w:p>
        </w:tc>
        <w:tc>
          <w:tcPr>
            <w:tcW w:w="1099" w:type="dxa"/>
            <w:vAlign w:val="center"/>
          </w:tcPr>
          <w:p w14:paraId="769D4199">
            <w:pPr>
              <w:spacing w:line="240" w:lineRule="auto"/>
              <w:jc w:val="both"/>
              <w:rPr>
                <w:rFonts w:ascii="仿宋_GB2312" w:hAnsi="宋体" w:eastAsia="仿宋_GB2312" w:cs="宋体"/>
                <w:kern w:val="0"/>
              </w:rPr>
            </w:pPr>
            <w:r>
              <w:rPr>
                <w:rFonts w:hint="eastAsia" w:ascii="仿宋_GB2312" w:hAnsi="宋体" w:eastAsia="仿宋_GB2312" w:cs="宋体"/>
                <w:kern w:val="0"/>
              </w:rPr>
              <w:t>提供舒适的用餐环境，食材卫生、健康获得良好口碑</w:t>
            </w:r>
          </w:p>
        </w:tc>
        <w:tc>
          <w:tcPr>
            <w:tcW w:w="809" w:type="dxa"/>
            <w:vAlign w:val="center"/>
          </w:tcPr>
          <w:p w14:paraId="62F0E67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9196CF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FB6E1C7">
            <w:pPr>
              <w:spacing w:line="240" w:lineRule="auto"/>
              <w:ind w:firstLine="420"/>
              <w:jc w:val="center"/>
              <w:rPr>
                <w:rFonts w:ascii="仿宋_GB2312" w:hAnsi="宋体" w:eastAsia="仿宋_GB2312" w:cs="宋体"/>
                <w:kern w:val="0"/>
              </w:rPr>
            </w:pPr>
          </w:p>
        </w:tc>
      </w:tr>
      <w:tr w14:paraId="53725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CFFF9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323550">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5D9FBBB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11FB4A2">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14:paraId="3B2B5BDF">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14:paraId="3E716861">
            <w:pPr>
              <w:spacing w:line="240" w:lineRule="auto"/>
              <w:jc w:val="both"/>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14:paraId="4F9FDF9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483378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2323F30">
            <w:pPr>
              <w:spacing w:line="240" w:lineRule="auto"/>
              <w:ind w:firstLine="420"/>
              <w:jc w:val="center"/>
              <w:rPr>
                <w:rFonts w:ascii="仿宋_GB2312" w:hAnsi="宋体" w:eastAsia="仿宋_GB2312" w:cs="宋体"/>
                <w:kern w:val="0"/>
              </w:rPr>
            </w:pPr>
          </w:p>
        </w:tc>
      </w:tr>
      <w:tr w14:paraId="5F19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1C2546F">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6D18DD76">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5D5BEF7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689DE6E">
            <w:pPr>
              <w:spacing w:line="240" w:lineRule="auto"/>
              <w:jc w:val="both"/>
              <w:rPr>
                <w:rFonts w:ascii="仿宋_GB2312" w:hAnsi="宋体" w:eastAsia="仿宋_GB2312" w:cs="宋体"/>
                <w:kern w:val="0"/>
              </w:rPr>
            </w:pPr>
            <w:r>
              <w:rPr>
                <w:rFonts w:hint="eastAsia" w:ascii="仿宋_GB2312" w:hAnsi="宋体" w:eastAsia="仿宋_GB2312" w:cs="宋体"/>
                <w:kern w:val="0"/>
              </w:rPr>
              <w:t>可持续性</w:t>
            </w:r>
          </w:p>
        </w:tc>
        <w:tc>
          <w:tcPr>
            <w:tcW w:w="1099" w:type="dxa"/>
            <w:vAlign w:val="center"/>
          </w:tcPr>
          <w:p w14:paraId="3B12F901">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1099" w:type="dxa"/>
            <w:vAlign w:val="center"/>
          </w:tcPr>
          <w:p w14:paraId="286FA55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持续</w:t>
            </w:r>
          </w:p>
        </w:tc>
        <w:tc>
          <w:tcPr>
            <w:tcW w:w="809" w:type="dxa"/>
            <w:vAlign w:val="center"/>
          </w:tcPr>
          <w:p w14:paraId="4C8880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A1A2A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DFF02CF">
            <w:pPr>
              <w:spacing w:line="240" w:lineRule="auto"/>
              <w:ind w:firstLine="420"/>
              <w:jc w:val="center"/>
              <w:rPr>
                <w:rFonts w:ascii="仿宋_GB2312" w:hAnsi="宋体" w:eastAsia="仿宋_GB2312" w:cs="宋体"/>
                <w:kern w:val="0"/>
              </w:rPr>
            </w:pPr>
          </w:p>
        </w:tc>
      </w:tr>
      <w:tr w14:paraId="143B6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22714301">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right w:val="single" w:color="auto" w:sz="4" w:space="0"/>
            </w:tcBorders>
            <w:vAlign w:val="center"/>
          </w:tcPr>
          <w:p w14:paraId="71C4C3F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tcBorders>
            <w:vAlign w:val="center"/>
          </w:tcPr>
          <w:p w14:paraId="0876318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1F8BFE5">
            <w:pPr>
              <w:spacing w:line="240" w:lineRule="auto"/>
              <w:jc w:val="both"/>
              <w:rPr>
                <w:rFonts w:ascii="仿宋_GB2312" w:hAnsi="宋体" w:eastAsia="仿宋_GB2312" w:cs="宋体"/>
                <w:kern w:val="0"/>
              </w:rPr>
            </w:pPr>
            <w:r>
              <w:rPr>
                <w:rFonts w:hint="eastAsia" w:ascii="仿宋_GB2312" w:hAnsi="宋体" w:eastAsia="仿宋_GB2312" w:cs="宋体"/>
                <w:kern w:val="0"/>
              </w:rPr>
              <w:t>社会满意度</w:t>
            </w:r>
          </w:p>
        </w:tc>
        <w:tc>
          <w:tcPr>
            <w:tcW w:w="1099" w:type="dxa"/>
            <w:vAlign w:val="center"/>
          </w:tcPr>
          <w:p w14:paraId="78DC967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1099" w:type="dxa"/>
            <w:vAlign w:val="center"/>
          </w:tcPr>
          <w:p w14:paraId="6852422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809" w:type="dxa"/>
            <w:vAlign w:val="center"/>
          </w:tcPr>
          <w:p w14:paraId="298AC82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82A4DD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58FE8D2">
            <w:pPr>
              <w:spacing w:line="240" w:lineRule="auto"/>
              <w:ind w:firstLine="420"/>
              <w:jc w:val="center"/>
              <w:rPr>
                <w:rFonts w:ascii="仿宋_GB2312" w:hAnsi="宋体" w:eastAsia="仿宋_GB2312" w:cs="宋体"/>
                <w:kern w:val="0"/>
              </w:rPr>
            </w:pPr>
          </w:p>
        </w:tc>
      </w:tr>
      <w:tr w14:paraId="0F197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8E28221">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right w:val="single" w:color="auto" w:sz="4" w:space="0"/>
            </w:tcBorders>
            <w:vAlign w:val="center"/>
          </w:tcPr>
          <w:p w14:paraId="2A732D9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0F105C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left w:val="single" w:color="auto" w:sz="4" w:space="0"/>
            </w:tcBorders>
            <w:vAlign w:val="center"/>
          </w:tcPr>
          <w:p w14:paraId="087F3C9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EE0E198">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14:paraId="6688564F">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60万元</w:t>
            </w:r>
          </w:p>
        </w:tc>
        <w:tc>
          <w:tcPr>
            <w:tcW w:w="1099" w:type="dxa"/>
            <w:vAlign w:val="center"/>
          </w:tcPr>
          <w:p w14:paraId="0E1C4B10">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162.96万元</w:t>
            </w:r>
          </w:p>
        </w:tc>
        <w:tc>
          <w:tcPr>
            <w:tcW w:w="809" w:type="dxa"/>
            <w:vAlign w:val="center"/>
          </w:tcPr>
          <w:p w14:paraId="0202762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977C40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D381875">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年初预算经费不足，年底追加经费</w:t>
            </w:r>
            <w:r>
              <w:rPr>
                <w:rFonts w:hint="eastAsia" w:ascii="仿宋_GB2312" w:hAnsi="宋体" w:eastAsia="仿宋_GB2312" w:cs="宋体"/>
                <w:kern w:val="0"/>
                <w:lang w:eastAsia="zh-CN"/>
              </w:rPr>
              <w:t>。</w:t>
            </w:r>
          </w:p>
        </w:tc>
      </w:tr>
      <w:tr w14:paraId="2A7D2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2D925C6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4783BBEF">
            <w:pPr>
              <w:spacing w:line="240" w:lineRule="auto"/>
              <w:ind w:firstLine="420" w:firstLineChars="0"/>
              <w:jc w:val="center"/>
              <w:rPr>
                <w:rFonts w:ascii="仿宋_GB2312" w:hAnsi="宋体" w:eastAsia="仿宋_GB2312" w:cs="宋体"/>
                <w:kern w:val="0"/>
              </w:rPr>
            </w:pPr>
          </w:p>
        </w:tc>
        <w:tc>
          <w:tcPr>
            <w:tcW w:w="1218" w:type="dxa"/>
            <w:tcBorders>
              <w:top w:val="nil"/>
              <w:left w:val="single" w:color="auto" w:sz="4" w:space="0"/>
            </w:tcBorders>
            <w:vAlign w:val="center"/>
          </w:tcPr>
          <w:p w14:paraId="79F90FA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AAF2DE0">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6A683A61">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78E5A49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2246504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A6A4C1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90DC433">
            <w:pPr>
              <w:spacing w:line="240" w:lineRule="auto"/>
              <w:ind w:firstLine="420"/>
              <w:jc w:val="center"/>
              <w:rPr>
                <w:rFonts w:ascii="仿宋_GB2312" w:hAnsi="宋体" w:eastAsia="仿宋_GB2312" w:cs="宋体"/>
                <w:kern w:val="0"/>
              </w:rPr>
            </w:pPr>
          </w:p>
        </w:tc>
      </w:tr>
      <w:tr w14:paraId="23DC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1FD2D34">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14:paraId="0F511F50">
            <w:pPr>
              <w:spacing w:line="240" w:lineRule="auto"/>
              <w:ind w:firstLine="420" w:firstLineChars="0"/>
              <w:jc w:val="center"/>
              <w:rPr>
                <w:rFonts w:ascii="仿宋_GB2312" w:hAnsi="宋体" w:eastAsia="仿宋_GB2312" w:cs="宋体"/>
                <w:kern w:val="0"/>
              </w:rPr>
            </w:pPr>
          </w:p>
        </w:tc>
        <w:tc>
          <w:tcPr>
            <w:tcW w:w="1218" w:type="dxa"/>
            <w:tcBorders>
              <w:top w:val="nil"/>
              <w:left w:val="single" w:color="auto" w:sz="4" w:space="0"/>
            </w:tcBorders>
            <w:vAlign w:val="center"/>
          </w:tcPr>
          <w:p w14:paraId="7AF083C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8336892">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对自然生态环境可能造成的负面影响</w:t>
            </w:r>
          </w:p>
        </w:tc>
        <w:tc>
          <w:tcPr>
            <w:tcW w:w="1099" w:type="dxa"/>
            <w:vAlign w:val="center"/>
          </w:tcPr>
          <w:p w14:paraId="57371EC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60DEFAD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27FBB98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85979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B3DEDBB">
            <w:pPr>
              <w:spacing w:line="240" w:lineRule="auto"/>
              <w:ind w:firstLine="420"/>
              <w:jc w:val="center"/>
              <w:rPr>
                <w:rFonts w:ascii="仿宋_GB2312" w:hAnsi="宋体" w:eastAsia="仿宋_GB2312" w:cs="宋体"/>
                <w:kern w:val="0"/>
              </w:rPr>
            </w:pPr>
          </w:p>
        </w:tc>
      </w:tr>
      <w:tr w14:paraId="26D99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4C1B9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A30AD44">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038CED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6CB0DE4D">
            <w:pPr>
              <w:spacing w:line="240" w:lineRule="auto"/>
              <w:ind w:firstLine="420"/>
              <w:jc w:val="center"/>
              <w:rPr>
                <w:rFonts w:ascii="仿宋_GB2312" w:hAnsi="宋体" w:eastAsia="仿宋_GB2312" w:cs="宋体"/>
                <w:kern w:val="0"/>
              </w:rPr>
            </w:pPr>
          </w:p>
        </w:tc>
      </w:tr>
    </w:tbl>
    <w:p w14:paraId="5FE6625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09CBC14">
      <w:pPr>
        <w:spacing w:line="240" w:lineRule="auto"/>
        <w:ind w:firstLine="420"/>
        <w:jc w:val="left"/>
        <w:rPr>
          <w:rFonts w:ascii="宋体" w:hAnsi="宋体" w:eastAsia="宋体" w:cs="宋体"/>
          <w:kern w:val="0"/>
          <w:lang w:eastAsia="zh-CN"/>
        </w:rPr>
      </w:pPr>
    </w:p>
    <w:p w14:paraId="7CB6C5AD">
      <w:pPr>
        <w:spacing w:before="52" w:line="219" w:lineRule="auto"/>
        <w:jc w:val="left"/>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胡阳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2025.09.23</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15292006926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何坚</w:t>
      </w:r>
      <w:r>
        <w:rPr>
          <w:rFonts w:ascii="仿宋_GB2312" w:hAnsi="宋体" w:eastAsia="仿宋_GB2312" w:cs="宋体"/>
          <w:snapToGrid w:val="0"/>
          <w:color w:val="000000"/>
          <w:sz w:val="35"/>
          <w:szCs w:val="35"/>
          <w:lang w:val="en-US" w:eastAsia="zh-CN" w:bidi="ar-SA"/>
        </w:rPr>
        <w:t xml:space="preserve"> </w:t>
      </w:r>
    </w:p>
    <w:p w14:paraId="006BF19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2E5856">
      <w:pPr>
        <w:spacing w:line="267" w:lineRule="auto"/>
        <w:ind w:firstLine="552"/>
        <w:jc w:val="both"/>
        <w:rPr>
          <w:rFonts w:hint="eastAsia" w:ascii="宋体" w:hAnsi="宋体" w:eastAsia="宋体" w:cs="宋体"/>
          <w:bCs/>
          <w:spacing w:val="-4"/>
          <w:kern w:val="0"/>
          <w:sz w:val="28"/>
          <w:szCs w:val="28"/>
          <w:lang w:eastAsia="zh-CN"/>
        </w:rPr>
      </w:pPr>
    </w:p>
    <w:p w14:paraId="4AD67DC2">
      <w:pPr>
        <w:spacing w:line="267" w:lineRule="auto"/>
        <w:ind w:firstLine="552"/>
        <w:jc w:val="both"/>
        <w:rPr>
          <w:rFonts w:hint="eastAsia" w:ascii="宋体" w:hAnsi="宋体" w:eastAsia="宋体" w:cs="宋体"/>
          <w:bCs/>
          <w:spacing w:val="-4"/>
          <w:kern w:val="0"/>
          <w:sz w:val="28"/>
          <w:szCs w:val="28"/>
          <w:lang w:eastAsia="zh-CN"/>
        </w:rPr>
      </w:pPr>
    </w:p>
    <w:p w14:paraId="1047DF3E">
      <w:pPr>
        <w:spacing w:line="267" w:lineRule="auto"/>
        <w:ind w:firstLine="552"/>
        <w:jc w:val="both"/>
        <w:rPr>
          <w:rFonts w:hint="eastAsia" w:ascii="宋体" w:hAnsi="宋体" w:eastAsia="宋体" w:cs="宋体"/>
          <w:bCs/>
          <w:spacing w:val="-4"/>
          <w:kern w:val="0"/>
          <w:sz w:val="28"/>
          <w:szCs w:val="28"/>
          <w:lang w:eastAsia="zh-CN"/>
        </w:rPr>
      </w:pPr>
    </w:p>
    <w:p w14:paraId="00258A24">
      <w:pPr>
        <w:spacing w:line="267" w:lineRule="auto"/>
        <w:ind w:firstLine="552"/>
        <w:jc w:val="both"/>
        <w:rPr>
          <w:rFonts w:hint="eastAsia" w:ascii="宋体" w:hAnsi="宋体" w:eastAsia="宋体" w:cs="宋体"/>
          <w:bCs/>
          <w:spacing w:val="-4"/>
          <w:kern w:val="0"/>
          <w:sz w:val="28"/>
          <w:szCs w:val="28"/>
          <w:lang w:eastAsia="zh-CN"/>
        </w:rPr>
      </w:pPr>
    </w:p>
    <w:p w14:paraId="73FF0913">
      <w:pPr>
        <w:spacing w:line="267" w:lineRule="auto"/>
        <w:ind w:firstLine="552"/>
        <w:jc w:val="both"/>
        <w:rPr>
          <w:rFonts w:hint="eastAsia" w:ascii="宋体" w:hAnsi="宋体" w:eastAsia="宋体" w:cs="宋体"/>
          <w:bCs/>
          <w:spacing w:val="-4"/>
          <w:kern w:val="0"/>
          <w:sz w:val="28"/>
          <w:szCs w:val="28"/>
          <w:lang w:eastAsia="zh-CN"/>
        </w:rPr>
      </w:pPr>
    </w:p>
    <w:p w14:paraId="3783CF39">
      <w:pPr>
        <w:spacing w:line="267" w:lineRule="auto"/>
        <w:ind w:firstLine="552"/>
        <w:jc w:val="both"/>
        <w:rPr>
          <w:rFonts w:hint="eastAsia" w:ascii="宋体" w:hAnsi="宋体" w:eastAsia="宋体" w:cs="宋体"/>
          <w:bCs/>
          <w:spacing w:val="-4"/>
          <w:kern w:val="0"/>
          <w:sz w:val="28"/>
          <w:szCs w:val="28"/>
          <w:lang w:eastAsia="zh-CN"/>
        </w:rPr>
      </w:pPr>
    </w:p>
    <w:p w14:paraId="2BD9E62D">
      <w:pPr>
        <w:spacing w:line="267" w:lineRule="auto"/>
        <w:ind w:firstLine="552"/>
        <w:jc w:val="both"/>
        <w:rPr>
          <w:rFonts w:hint="eastAsia" w:ascii="宋体" w:hAnsi="宋体" w:eastAsia="宋体" w:cs="宋体"/>
          <w:bCs/>
          <w:spacing w:val="-4"/>
          <w:kern w:val="0"/>
          <w:sz w:val="28"/>
          <w:szCs w:val="28"/>
          <w:lang w:eastAsia="zh-CN"/>
        </w:rPr>
      </w:pPr>
    </w:p>
    <w:p w14:paraId="7D0B0F8C">
      <w:pPr>
        <w:spacing w:line="267" w:lineRule="auto"/>
        <w:ind w:firstLine="552"/>
        <w:jc w:val="both"/>
        <w:rPr>
          <w:rFonts w:hint="eastAsia" w:ascii="宋体" w:hAnsi="宋体" w:eastAsia="宋体" w:cs="宋体"/>
          <w:bCs/>
          <w:spacing w:val="-4"/>
          <w:kern w:val="0"/>
          <w:sz w:val="28"/>
          <w:szCs w:val="28"/>
          <w:lang w:eastAsia="zh-CN"/>
        </w:rPr>
      </w:pPr>
    </w:p>
    <w:p w14:paraId="0ED074AB">
      <w:pPr>
        <w:spacing w:line="267" w:lineRule="auto"/>
        <w:ind w:firstLine="552"/>
        <w:jc w:val="both"/>
        <w:rPr>
          <w:rFonts w:hint="eastAsia" w:ascii="宋体" w:hAnsi="宋体" w:eastAsia="宋体" w:cs="宋体"/>
          <w:bCs/>
          <w:spacing w:val="-4"/>
          <w:kern w:val="0"/>
          <w:sz w:val="28"/>
          <w:szCs w:val="28"/>
          <w:lang w:eastAsia="zh-CN"/>
        </w:rPr>
      </w:pPr>
    </w:p>
    <w:p w14:paraId="125C3629">
      <w:pPr>
        <w:spacing w:line="267" w:lineRule="auto"/>
        <w:ind w:firstLine="552"/>
        <w:jc w:val="both"/>
        <w:rPr>
          <w:rFonts w:hint="eastAsia" w:ascii="宋体" w:hAnsi="宋体" w:eastAsia="宋体" w:cs="宋体"/>
          <w:bCs/>
          <w:spacing w:val="-4"/>
          <w:kern w:val="0"/>
          <w:sz w:val="28"/>
          <w:szCs w:val="28"/>
          <w:lang w:eastAsia="zh-CN"/>
        </w:rPr>
      </w:pPr>
    </w:p>
    <w:p w14:paraId="7BA82E00">
      <w:pPr>
        <w:spacing w:line="267" w:lineRule="auto"/>
        <w:ind w:firstLine="552"/>
        <w:jc w:val="both"/>
        <w:rPr>
          <w:rFonts w:hint="eastAsia" w:ascii="宋体" w:hAnsi="宋体" w:eastAsia="宋体" w:cs="宋体"/>
          <w:bCs/>
          <w:spacing w:val="-4"/>
          <w:kern w:val="0"/>
          <w:sz w:val="28"/>
          <w:szCs w:val="28"/>
          <w:lang w:eastAsia="zh-CN"/>
        </w:rPr>
      </w:pPr>
    </w:p>
    <w:p w14:paraId="5B64824A">
      <w:pPr>
        <w:spacing w:line="267" w:lineRule="auto"/>
        <w:ind w:firstLine="552"/>
        <w:jc w:val="both"/>
        <w:rPr>
          <w:rFonts w:hint="eastAsia" w:ascii="宋体" w:hAnsi="宋体" w:eastAsia="宋体" w:cs="宋体"/>
          <w:bCs/>
          <w:spacing w:val="-4"/>
          <w:kern w:val="0"/>
          <w:sz w:val="28"/>
          <w:szCs w:val="28"/>
          <w:lang w:eastAsia="zh-CN"/>
        </w:rPr>
      </w:pPr>
    </w:p>
    <w:p w14:paraId="42F976BE">
      <w:pPr>
        <w:spacing w:line="267" w:lineRule="auto"/>
        <w:ind w:firstLine="552"/>
        <w:jc w:val="both"/>
        <w:rPr>
          <w:rFonts w:hint="eastAsia" w:ascii="宋体" w:hAnsi="宋体" w:eastAsia="宋体" w:cs="宋体"/>
          <w:bCs/>
          <w:spacing w:val="-4"/>
          <w:kern w:val="0"/>
          <w:sz w:val="28"/>
          <w:szCs w:val="28"/>
          <w:lang w:eastAsia="zh-CN"/>
        </w:rPr>
      </w:pPr>
    </w:p>
    <w:p w14:paraId="21364331">
      <w:pPr>
        <w:spacing w:line="267" w:lineRule="auto"/>
        <w:ind w:firstLine="552"/>
        <w:jc w:val="both"/>
        <w:rPr>
          <w:rFonts w:hint="eastAsia" w:ascii="宋体" w:hAnsi="宋体" w:eastAsia="宋体" w:cs="宋体"/>
          <w:bCs/>
          <w:spacing w:val="-4"/>
          <w:kern w:val="0"/>
          <w:sz w:val="28"/>
          <w:szCs w:val="28"/>
          <w:lang w:eastAsia="zh-CN"/>
        </w:rPr>
      </w:pPr>
    </w:p>
    <w:p w14:paraId="619B29F7">
      <w:pPr>
        <w:spacing w:line="267" w:lineRule="auto"/>
        <w:ind w:firstLine="552"/>
        <w:jc w:val="both"/>
        <w:rPr>
          <w:rFonts w:hint="eastAsia" w:ascii="宋体" w:hAnsi="宋体" w:eastAsia="宋体" w:cs="宋体"/>
          <w:bCs/>
          <w:spacing w:val="-4"/>
          <w:kern w:val="0"/>
          <w:sz w:val="28"/>
          <w:szCs w:val="28"/>
          <w:lang w:eastAsia="zh-CN"/>
        </w:rPr>
      </w:pPr>
    </w:p>
    <w:p w14:paraId="5B27895E">
      <w:pPr>
        <w:spacing w:line="267" w:lineRule="auto"/>
        <w:ind w:firstLine="552"/>
        <w:jc w:val="both"/>
        <w:rPr>
          <w:rFonts w:hint="eastAsia" w:ascii="宋体" w:hAnsi="宋体" w:eastAsia="宋体" w:cs="宋体"/>
          <w:bCs/>
          <w:spacing w:val="-4"/>
          <w:kern w:val="0"/>
          <w:sz w:val="28"/>
          <w:szCs w:val="28"/>
          <w:lang w:eastAsia="zh-CN"/>
        </w:rPr>
      </w:pPr>
    </w:p>
    <w:p w14:paraId="42AA290A">
      <w:pPr>
        <w:spacing w:line="267" w:lineRule="auto"/>
        <w:ind w:firstLine="552"/>
        <w:jc w:val="both"/>
        <w:rPr>
          <w:rFonts w:hint="eastAsia" w:ascii="宋体" w:hAnsi="宋体" w:eastAsia="宋体" w:cs="宋体"/>
          <w:bCs/>
          <w:spacing w:val="-4"/>
          <w:kern w:val="0"/>
          <w:sz w:val="28"/>
          <w:szCs w:val="28"/>
          <w:lang w:eastAsia="zh-CN"/>
        </w:rPr>
      </w:pPr>
    </w:p>
    <w:p w14:paraId="7BB26CAC">
      <w:pPr>
        <w:spacing w:line="267" w:lineRule="auto"/>
        <w:ind w:firstLine="552"/>
        <w:jc w:val="both"/>
        <w:rPr>
          <w:rFonts w:hint="eastAsia" w:ascii="宋体" w:hAnsi="宋体" w:eastAsia="宋体" w:cs="宋体"/>
          <w:bCs/>
          <w:spacing w:val="-4"/>
          <w:kern w:val="0"/>
          <w:sz w:val="28"/>
          <w:szCs w:val="28"/>
          <w:lang w:eastAsia="zh-CN"/>
        </w:rPr>
      </w:pPr>
    </w:p>
    <w:p w14:paraId="0B1B25E4">
      <w:pPr>
        <w:spacing w:line="267" w:lineRule="auto"/>
        <w:ind w:firstLine="552"/>
        <w:jc w:val="both"/>
        <w:rPr>
          <w:rFonts w:hint="eastAsia" w:ascii="宋体" w:hAnsi="宋体" w:eastAsia="宋体" w:cs="宋体"/>
          <w:bCs/>
          <w:spacing w:val="-4"/>
          <w:kern w:val="0"/>
          <w:sz w:val="28"/>
          <w:szCs w:val="28"/>
          <w:lang w:eastAsia="zh-CN"/>
        </w:rPr>
      </w:pPr>
    </w:p>
    <w:p w14:paraId="7CF79639">
      <w:pPr>
        <w:spacing w:line="267" w:lineRule="auto"/>
        <w:ind w:firstLine="552"/>
        <w:jc w:val="both"/>
        <w:rPr>
          <w:rFonts w:hint="eastAsia" w:ascii="宋体" w:hAnsi="宋体" w:eastAsia="宋体" w:cs="宋体"/>
          <w:bCs/>
          <w:spacing w:val="-4"/>
          <w:kern w:val="0"/>
          <w:sz w:val="28"/>
          <w:szCs w:val="28"/>
          <w:lang w:eastAsia="zh-CN"/>
        </w:rPr>
      </w:pPr>
    </w:p>
    <w:p w14:paraId="08C7F7D8">
      <w:pPr>
        <w:spacing w:line="267" w:lineRule="auto"/>
        <w:ind w:firstLine="552"/>
        <w:jc w:val="both"/>
        <w:rPr>
          <w:rFonts w:hint="eastAsia" w:ascii="宋体" w:hAnsi="宋体" w:eastAsia="宋体" w:cs="宋体"/>
          <w:bCs/>
          <w:spacing w:val="-4"/>
          <w:kern w:val="0"/>
          <w:sz w:val="28"/>
          <w:szCs w:val="28"/>
          <w:lang w:eastAsia="zh-CN"/>
        </w:rPr>
      </w:pPr>
    </w:p>
    <w:p w14:paraId="0BB65FE7">
      <w:pPr>
        <w:spacing w:line="267" w:lineRule="auto"/>
        <w:ind w:firstLine="552"/>
        <w:jc w:val="both"/>
        <w:rPr>
          <w:rFonts w:hint="eastAsia" w:ascii="宋体" w:hAnsi="宋体" w:eastAsia="宋体" w:cs="宋体"/>
          <w:bCs/>
          <w:spacing w:val="-4"/>
          <w:kern w:val="0"/>
          <w:sz w:val="28"/>
          <w:szCs w:val="28"/>
          <w:lang w:eastAsia="zh-CN"/>
        </w:rPr>
      </w:pPr>
    </w:p>
    <w:p w14:paraId="4B0BC6BD">
      <w:pPr>
        <w:spacing w:line="267" w:lineRule="auto"/>
        <w:ind w:firstLine="552"/>
        <w:jc w:val="both"/>
        <w:rPr>
          <w:rFonts w:hint="eastAsia" w:ascii="宋体" w:hAnsi="宋体" w:eastAsia="宋体" w:cs="宋体"/>
          <w:bCs/>
          <w:spacing w:val="-4"/>
          <w:kern w:val="0"/>
          <w:sz w:val="28"/>
          <w:szCs w:val="28"/>
          <w:lang w:eastAsia="zh-CN"/>
        </w:rPr>
      </w:pPr>
    </w:p>
    <w:p w14:paraId="15C99904">
      <w:pPr>
        <w:spacing w:line="267" w:lineRule="auto"/>
        <w:ind w:firstLine="552"/>
        <w:jc w:val="both"/>
        <w:rPr>
          <w:rFonts w:hint="eastAsia" w:ascii="宋体" w:hAnsi="宋体" w:eastAsia="宋体" w:cs="宋体"/>
          <w:bCs/>
          <w:spacing w:val="-4"/>
          <w:kern w:val="0"/>
          <w:sz w:val="28"/>
          <w:szCs w:val="28"/>
          <w:lang w:eastAsia="zh-CN"/>
        </w:rPr>
      </w:pPr>
    </w:p>
    <w:p w14:paraId="23AC4E2A">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汨罗市机关事务服务中心</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09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23</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60"/>
          <w:sz w:val="40"/>
          <w:szCs w:val="40"/>
          <w:lang w:eastAsia="zh-CN"/>
        </w:rPr>
        <w:t>汨罗市机关事务服务中心</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573A07F">
      <w:pPr>
        <w:pStyle w:val="5"/>
        <w:keepNext w:val="0"/>
        <w:keepLines w:val="0"/>
        <w:pageBreakBefore w:val="0"/>
        <w:widowControl/>
        <w:numPr>
          <w:ilvl w:val="0"/>
          <w:numId w:val="1"/>
        </w:numPr>
        <w:shd w:val="clear" w:color="auto" w:fill="FFFFFF"/>
        <w:wordWrap/>
        <w:topLinePunct w:val="0"/>
        <w:bidi w:val="0"/>
        <w:spacing w:before="0" w:beforeAutospacing="0" w:after="0" w:afterAutospacing="0" w:line="560" w:lineRule="exact"/>
        <w:ind w:firstLine="640" w:firstLineChars="200"/>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20A81BF6">
      <w:pPr>
        <w:pStyle w:val="5"/>
        <w:keepNext w:val="0"/>
        <w:keepLines w:val="0"/>
        <w:pageBreakBefore w:val="0"/>
        <w:widowControl/>
        <w:numPr>
          <w:ilvl w:val="0"/>
          <w:numId w:val="0"/>
        </w:numPr>
        <w:shd w:val="clear" w:color="auto" w:fill="FFFFFF"/>
        <w:wordWrap/>
        <w:overflowPunct/>
        <w:topLinePunct w:val="0"/>
        <w:bidi w:val="0"/>
        <w:spacing w:before="0" w:beforeAutospacing="0" w:after="0" w:afterAutospacing="0" w:line="5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（一）主要职能</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color w:val="000000"/>
          <w:sz w:val="28"/>
          <w:szCs w:val="28"/>
        </w:rPr>
        <w:t xml:space="preserve">   汨罗市机关事务服务中心主要职责：负责全市“</w:t>
      </w:r>
      <w:r>
        <w:rPr>
          <w:rFonts w:hint="eastAsia" w:ascii="仿宋" w:hAnsi="仿宋" w:eastAsia="仿宋" w:cs="仿宋"/>
          <w:color w:val="000000"/>
          <w:sz w:val="28"/>
          <w:szCs w:val="28"/>
          <w:lang w:eastAsia="zh-CN"/>
        </w:rPr>
        <w:t>三</w:t>
      </w:r>
      <w:r>
        <w:rPr>
          <w:rFonts w:hint="eastAsia" w:ascii="仿宋" w:hAnsi="仿宋" w:eastAsia="仿宋" w:cs="仿宋"/>
          <w:color w:val="000000"/>
          <w:sz w:val="28"/>
          <w:szCs w:val="28"/>
        </w:rPr>
        <w:t>公一中心”工作，即公务接待、公共节能、办公用房、后勤服务中心等工作。</w:t>
      </w:r>
    </w:p>
    <w:p w14:paraId="046828F1">
      <w:pPr>
        <w:pStyle w:val="5"/>
        <w:keepNext w:val="0"/>
        <w:keepLines w:val="0"/>
        <w:pageBreakBefore w:val="0"/>
        <w:widowControl/>
        <w:wordWrap/>
        <w:overflowPunct/>
        <w:topLinePunct w:val="0"/>
        <w:bidi w:val="0"/>
        <w:spacing w:beforeAutospacing="0" w:afterAutospacing="0"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1、负责市委大院机关各项事务工作。</w:t>
      </w:r>
    </w:p>
    <w:p w14:paraId="3D394876">
      <w:pPr>
        <w:pStyle w:val="5"/>
        <w:keepNext w:val="0"/>
        <w:keepLines w:val="0"/>
        <w:pageBreakBefore w:val="0"/>
        <w:widowControl/>
        <w:wordWrap/>
        <w:overflowPunct/>
        <w:topLinePunct w:val="0"/>
        <w:bidi w:val="0"/>
        <w:spacing w:beforeAutospacing="0" w:afterAutospacing="0"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2、指导全市机关事务工作，负责市直机关事务的保障、管理和服务工作。</w:t>
      </w:r>
    </w:p>
    <w:p w14:paraId="4EDE838F">
      <w:pPr>
        <w:pStyle w:val="5"/>
        <w:keepNext w:val="0"/>
        <w:keepLines w:val="0"/>
        <w:pageBreakBefore w:val="0"/>
        <w:widowControl/>
        <w:wordWrap/>
        <w:overflowPunct/>
        <w:topLinePunct w:val="0"/>
        <w:bidi w:val="0"/>
        <w:spacing w:beforeAutospacing="0" w:afterAutospacing="0"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3、负责市委、市政府公务接待工作，指导全市党政机关国内公务接待工作。</w:t>
      </w:r>
    </w:p>
    <w:p w14:paraId="18CE18F2">
      <w:pPr>
        <w:pStyle w:val="5"/>
        <w:keepNext w:val="0"/>
        <w:keepLines w:val="0"/>
        <w:pageBreakBefore w:val="0"/>
        <w:widowControl/>
        <w:wordWrap/>
        <w:overflowPunct/>
        <w:topLinePunct w:val="0"/>
        <w:bidi w:val="0"/>
        <w:spacing w:beforeAutospacing="0" w:afterAutospacing="0"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4、对市直行政事业单位的办公用房实施管理，制订相关管理制度监督执行。</w:t>
      </w:r>
    </w:p>
    <w:p w14:paraId="216523CD">
      <w:pPr>
        <w:pStyle w:val="5"/>
        <w:keepNext w:val="0"/>
        <w:keepLines w:val="0"/>
        <w:pageBreakBefore w:val="0"/>
        <w:widowControl/>
        <w:wordWrap/>
        <w:overflowPunct/>
        <w:topLinePunct w:val="0"/>
        <w:bidi w:val="0"/>
        <w:spacing w:beforeAutospacing="0" w:afterAutospacing="0"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5、统筹协调全市公共机构节能工作，会同有关部门制定推动全市公共机构节能的规划，规章制度并组织实施。</w:t>
      </w:r>
    </w:p>
    <w:p w14:paraId="060F530B">
      <w:pPr>
        <w:pStyle w:val="5"/>
        <w:keepNext w:val="0"/>
        <w:keepLines w:val="0"/>
        <w:pageBreakBefore w:val="0"/>
        <w:widowControl/>
        <w:wordWrap/>
        <w:overflowPunct/>
        <w:topLinePunct w:val="0"/>
        <w:bidi w:val="0"/>
        <w:spacing w:beforeAutospacing="0" w:afterAutospacing="0"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6、按规定指导并组织实施、监督市直机关后勤服务工作。</w:t>
      </w:r>
    </w:p>
    <w:p w14:paraId="22E427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7、完成市委、市政府交办的其它事项。</w:t>
      </w:r>
    </w:p>
    <w:p w14:paraId="03A111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280" w:firstLineChars="100"/>
        <w:textAlignment w:val="auto"/>
        <w:rPr>
          <w:rFonts w:hint="eastAsia" w:ascii="仿宋" w:hAnsi="仿宋" w:eastAsia="仿宋" w:cs="仿宋"/>
          <w:i w:val="0"/>
          <w:iCs w:val="0"/>
          <w:caps w:val="0"/>
          <w:color w:val="595959"/>
          <w:spacing w:val="0"/>
          <w:sz w:val="28"/>
          <w:szCs w:val="28"/>
          <w:shd w:val="clear" w:color="auto" w:fill="FFFFFF"/>
          <w:lang w:val="en-US" w:eastAsia="zh-CN"/>
        </w:rPr>
      </w:pPr>
      <w:r>
        <w:rPr>
          <w:rFonts w:hint="eastAsia" w:ascii="仿宋" w:hAnsi="仿宋" w:eastAsia="仿宋" w:cs="仿宋"/>
          <w:color w:val="000000"/>
          <w:sz w:val="28"/>
          <w:szCs w:val="28"/>
        </w:rPr>
        <w:t>（二）机构设置情况</w:t>
      </w:r>
      <w:r>
        <w:rPr>
          <w:rFonts w:hint="eastAsia" w:ascii="仿宋" w:hAnsi="仿宋" w:eastAsia="仿宋" w:cs="仿宋"/>
          <w:sz w:val="28"/>
          <w:szCs w:val="28"/>
          <w:highlight w:val="none"/>
        </w:rPr>
        <w:t>。</w:t>
      </w:r>
      <w:r>
        <w:rPr>
          <w:rFonts w:hint="eastAsia" w:ascii="仿宋" w:hAnsi="仿宋" w:eastAsia="仿宋" w:cs="仿宋"/>
          <w:bCs/>
          <w:color w:val="000000" w:themeColor="text1"/>
          <w:kern w:val="0"/>
          <w:sz w:val="28"/>
          <w:szCs w:val="28"/>
          <w:lang w:val="en-US" w:eastAsia="zh-CN"/>
          <w14:textFill>
            <w14:solidFill>
              <w14:schemeClr w14:val="tx1"/>
            </w14:solidFill>
          </w14:textFill>
        </w:rPr>
        <w:t>汨罗市机关事务服务中心单位</w:t>
      </w:r>
      <w:r>
        <w:rPr>
          <w:rFonts w:hint="eastAsia" w:ascii="仿宋" w:hAnsi="仿宋" w:eastAsia="仿宋" w:cs="仿宋"/>
          <w:bCs/>
          <w:color w:val="000000" w:themeColor="text1"/>
          <w:kern w:val="0"/>
          <w:sz w:val="28"/>
          <w:szCs w:val="28"/>
          <w14:textFill>
            <w14:solidFill>
              <w14:schemeClr w14:val="tx1"/>
            </w14:solidFill>
          </w14:textFill>
        </w:rPr>
        <w:t>内设机构包括：</w:t>
      </w:r>
      <w:r>
        <w:rPr>
          <w:rFonts w:hint="eastAsia" w:ascii="仿宋" w:hAnsi="仿宋" w:eastAsia="仿宋" w:cs="仿宋"/>
          <w:bCs/>
          <w:color w:val="000000" w:themeColor="text1"/>
          <w:kern w:val="0"/>
          <w:sz w:val="28"/>
          <w:szCs w:val="28"/>
          <w:lang w:val="en-US" w:eastAsia="zh-CN"/>
          <w14:textFill>
            <w14:solidFill>
              <w14:schemeClr w14:val="tx1"/>
            </w14:solidFill>
          </w14:textFill>
        </w:rPr>
        <w:t>1、事务中心办公室；2、接待服务股；3、办公用房管理和基建维修股；4、公共机构节能股；5、财务股；6、政工人事股；7、后勤服务股，实有在职在岗人员24人。</w:t>
      </w:r>
    </w:p>
    <w:p w14:paraId="2B641025">
      <w:pPr>
        <w:keepNext w:val="0"/>
        <w:keepLines w:val="0"/>
        <w:pageBreakBefore w:val="0"/>
        <w:wordWrap/>
        <w:topLinePunct w:val="0"/>
        <w:bidi w:val="0"/>
        <w:adjustRightInd w:val="0"/>
        <w:spacing w:line="56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6FA0AEA7">
      <w:pPr>
        <w:keepNext w:val="0"/>
        <w:keepLines w:val="0"/>
        <w:pageBreakBefore w:val="0"/>
        <w:wordWrap/>
        <w:topLinePunct w:val="0"/>
        <w:bidi w:val="0"/>
        <w:adjustRightInd w:val="0"/>
        <w:spacing w:line="560" w:lineRule="exact"/>
        <w:rPr>
          <w:rFonts w:hint="eastAsia" w:ascii="仿宋" w:hAnsi="仿宋" w:eastAsia="仿宋" w:cs="宋体"/>
          <w:kern w:val="0"/>
          <w:sz w:val="28"/>
          <w:szCs w:val="28"/>
        </w:rPr>
      </w:pPr>
      <w:r>
        <w:rPr>
          <w:rFonts w:hint="eastAsia" w:ascii="Times New Roman" w:hAnsi="Times New Roman" w:eastAsia="楷体_GB2312"/>
          <w:b/>
          <w:kern w:val="0"/>
          <w:sz w:val="32"/>
          <w:szCs w:val="32"/>
          <w:highlight w:val="none"/>
          <w:lang w:val="en-US" w:eastAsia="zh-CN"/>
        </w:rPr>
        <w:t xml:space="preserve">        </w:t>
      </w: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年汨罗市机关事务服务中心整体支出</w:t>
      </w:r>
      <w:r>
        <w:rPr>
          <w:rFonts w:hint="eastAsia" w:ascii="仿宋" w:hAnsi="仿宋" w:eastAsia="仿宋" w:cs="宋体"/>
          <w:kern w:val="0"/>
          <w:sz w:val="28"/>
          <w:szCs w:val="28"/>
          <w:lang w:val="en-US" w:eastAsia="zh-CN"/>
        </w:rPr>
        <w:t>1364.20</w:t>
      </w:r>
      <w:r>
        <w:rPr>
          <w:rFonts w:hint="eastAsia" w:ascii="仿宋" w:hAnsi="仿宋" w:eastAsia="仿宋" w:cs="宋体"/>
          <w:kern w:val="0"/>
          <w:sz w:val="28"/>
          <w:szCs w:val="28"/>
        </w:rPr>
        <w:t>万元。</w:t>
      </w:r>
    </w:p>
    <w:p w14:paraId="32E231CD">
      <w:pPr>
        <w:keepNext w:val="0"/>
        <w:keepLines w:val="0"/>
        <w:pageBreakBefore w:val="0"/>
        <w:numPr>
          <w:ilvl w:val="0"/>
          <w:numId w:val="2"/>
        </w:numPr>
        <w:wordWrap/>
        <w:topLinePunct w:val="0"/>
        <w:bidi w:val="0"/>
        <w:adjustRightInd w:val="0"/>
        <w:spacing w:line="560" w:lineRule="exact"/>
        <w:ind w:firstLine="320" w:firstLineChars="1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基本支出情况</w:t>
      </w:r>
    </w:p>
    <w:p w14:paraId="4AA966BF">
      <w:pPr>
        <w:keepNext w:val="0"/>
        <w:keepLines w:val="0"/>
        <w:pageBreakBefore w:val="0"/>
        <w:numPr>
          <w:numId w:val="0"/>
        </w:numPr>
        <w:wordWrap/>
        <w:topLinePunct w:val="0"/>
        <w:bidi w:val="0"/>
        <w:adjustRightInd w:val="0"/>
        <w:spacing w:line="560" w:lineRule="exact"/>
        <w:ind w:firstLine="560" w:firstLineChars="200"/>
        <w:rPr>
          <w:rFonts w:ascii="Times New Roman" w:hAnsi="Times New Roman" w:eastAsia="仿宋_GB2312"/>
          <w:kern w:val="0"/>
          <w:sz w:val="32"/>
          <w:szCs w:val="32"/>
          <w:highlight w:val="none"/>
          <w:lang w:eastAsia="zh-CN"/>
        </w:rPr>
      </w:pP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基本支出是指为保障单位机构正常运转、完成日常工作任务而发生的各项支出，包括用于</w:t>
      </w:r>
      <w:r>
        <w:rPr>
          <w:rFonts w:hint="eastAsia" w:ascii="仿宋" w:hAnsi="仿宋" w:eastAsia="仿宋" w:cs="仿宋"/>
          <w:color w:val="000000" w:themeColor="text1"/>
          <w:sz w:val="28"/>
          <w:szCs w:val="28"/>
          <w14:textFill>
            <w14:solidFill>
              <w14:schemeClr w14:val="tx1"/>
            </w14:solidFill>
          </w14:textFill>
        </w:rPr>
        <w:t>基本工资、津贴补贴、奖金、伙食补助费</w:t>
      </w:r>
      <w:r>
        <w:rPr>
          <w:rFonts w:hint="eastAsia" w:ascii="仿宋" w:hAnsi="仿宋" w:eastAsia="仿宋" w:cs="仿宋"/>
          <w:color w:val="000000" w:themeColor="text1"/>
          <w:sz w:val="28"/>
          <w:szCs w:val="28"/>
          <w:lang w:eastAsia="zh-CN"/>
          <w14:textFill>
            <w14:solidFill>
              <w14:schemeClr w14:val="tx1"/>
            </w14:solidFill>
          </w14:textFill>
        </w:rPr>
        <w:t>、基本养老保险缴费、事业单位医疗、其他社会保障缴费、住房公积金、绩效工资、对个人和家庭的补助及公用经费等</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，202</w:t>
      </w: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4</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年</w:t>
      </w:r>
      <w:r>
        <w:rPr>
          <w:rFonts w:hint="eastAsia" w:ascii="仿宋" w:hAnsi="仿宋" w:eastAsia="仿宋" w:cs="仿宋"/>
          <w:color w:val="000000" w:themeColor="text1"/>
          <w:kern w:val="0"/>
          <w:sz w:val="28"/>
          <w:szCs w:val="28"/>
          <w14:textFill>
            <w14:solidFill>
              <w14:schemeClr w14:val="tx1"/>
            </w14:solidFill>
          </w14:textFill>
        </w:rPr>
        <w:t>基本支出</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年初预算数为</w:t>
      </w:r>
      <w:r>
        <w:rPr>
          <w:rFonts w:hint="eastAsia" w:ascii="仿宋" w:hAnsi="仿宋" w:eastAsia="仿宋" w:cs="仿宋"/>
          <w:color w:val="000000" w:themeColor="text1"/>
          <w:kern w:val="0"/>
          <w:sz w:val="28"/>
          <w:szCs w:val="28"/>
          <w:shd w:val="clear" w:color="auto" w:fill="FFFFFF"/>
          <w:lang w:val="en-US" w:eastAsia="zh-CN" w:bidi="ar"/>
          <w14:textFill>
            <w14:solidFill>
              <w14:schemeClr w14:val="tx1"/>
            </w14:solidFill>
          </w14:textFill>
        </w:rPr>
        <w:t>284.92</w:t>
      </w:r>
      <w:r>
        <w:rPr>
          <w:rFonts w:hint="eastAsia" w:ascii="仿宋" w:hAnsi="仿宋" w:eastAsia="仿宋" w:cs="仿宋"/>
          <w:color w:val="000000" w:themeColor="text1"/>
          <w:kern w:val="0"/>
          <w:sz w:val="28"/>
          <w:szCs w:val="28"/>
          <w:shd w:val="clear" w:color="auto" w:fill="FFFFFF"/>
          <w:lang w:bidi="ar"/>
          <w14:textFill>
            <w14:solidFill>
              <w14:schemeClr w14:val="tx1"/>
            </w14:solidFill>
          </w14:textFill>
        </w:rPr>
        <w:t>万元，</w:t>
      </w:r>
      <w:r>
        <w:rPr>
          <w:rFonts w:hint="eastAsia" w:ascii="仿宋" w:hAnsi="仿宋" w:eastAsia="仿宋" w:cs="仿宋"/>
          <w:color w:val="000000" w:themeColor="text1"/>
          <w:kern w:val="0"/>
          <w:sz w:val="28"/>
          <w:szCs w:val="28"/>
          <w14:textFill>
            <w14:solidFill>
              <w14:schemeClr w14:val="tx1"/>
            </w14:solidFill>
          </w14:textFill>
        </w:rPr>
        <w:t>决算为</w:t>
      </w:r>
      <w:r>
        <w:rPr>
          <w:rFonts w:hint="eastAsia" w:ascii="仿宋" w:hAnsi="仿宋" w:eastAsia="仿宋" w:cs="仿宋"/>
          <w:color w:val="000000" w:themeColor="text1"/>
          <w:kern w:val="0"/>
          <w:sz w:val="28"/>
          <w:szCs w:val="28"/>
          <w:lang w:val="en-US" w:eastAsia="zh-CN"/>
          <w14:textFill>
            <w14:solidFill>
              <w14:schemeClr w14:val="tx1"/>
            </w14:solidFill>
          </w14:textFill>
        </w:rPr>
        <w:t>425.53</w:t>
      </w:r>
      <w:r>
        <w:rPr>
          <w:rFonts w:hint="eastAsia" w:ascii="仿宋" w:hAnsi="仿宋" w:eastAsia="仿宋" w:cs="仿宋"/>
          <w:color w:val="000000" w:themeColor="text1"/>
          <w:kern w:val="0"/>
          <w:sz w:val="28"/>
          <w:szCs w:val="28"/>
          <w14:textFill>
            <w14:solidFill>
              <w14:schemeClr w14:val="tx1"/>
            </w14:solidFill>
          </w14:textFill>
        </w:rPr>
        <w:t>万元，其中：人员经费</w:t>
      </w:r>
      <w:r>
        <w:rPr>
          <w:rFonts w:hint="eastAsia" w:ascii="仿宋" w:hAnsi="仿宋" w:eastAsia="仿宋" w:cs="仿宋"/>
          <w:color w:val="000000" w:themeColor="text1"/>
          <w:kern w:val="0"/>
          <w:sz w:val="28"/>
          <w:szCs w:val="28"/>
          <w:lang w:val="en-US" w:eastAsia="zh-CN"/>
          <w14:textFill>
            <w14:solidFill>
              <w14:schemeClr w14:val="tx1"/>
            </w14:solidFill>
          </w14:textFill>
        </w:rPr>
        <w:t>269.61</w:t>
      </w:r>
      <w:r>
        <w:rPr>
          <w:rFonts w:hint="eastAsia" w:ascii="仿宋" w:hAnsi="仿宋" w:eastAsia="仿宋" w:cs="仿宋"/>
          <w:color w:val="000000" w:themeColor="text1"/>
          <w:kern w:val="0"/>
          <w:sz w:val="28"/>
          <w:szCs w:val="28"/>
          <w14:textFill>
            <w14:solidFill>
              <w14:schemeClr w14:val="tx1"/>
            </w14:solidFill>
          </w14:textFill>
        </w:rPr>
        <w:t>万元，主要用于</w:t>
      </w:r>
      <w:r>
        <w:rPr>
          <w:rFonts w:hint="eastAsia" w:ascii="仿宋" w:hAnsi="仿宋" w:eastAsia="仿宋" w:cs="仿宋"/>
          <w:color w:val="000000" w:themeColor="text1"/>
          <w:sz w:val="28"/>
          <w:szCs w:val="28"/>
          <w14:textFill>
            <w14:solidFill>
              <w14:schemeClr w14:val="tx1"/>
            </w14:solidFill>
          </w14:textFill>
        </w:rPr>
        <w:t>基本工资、津贴补贴、奖金、伙食补助费</w:t>
      </w:r>
      <w:r>
        <w:rPr>
          <w:rFonts w:hint="eastAsia" w:ascii="仿宋" w:hAnsi="仿宋" w:eastAsia="仿宋" w:cs="仿宋"/>
          <w:color w:val="000000" w:themeColor="text1"/>
          <w:sz w:val="28"/>
          <w:szCs w:val="28"/>
          <w:lang w:eastAsia="zh-CN"/>
          <w14:textFill>
            <w14:solidFill>
              <w14:schemeClr w14:val="tx1"/>
            </w14:solidFill>
          </w14:textFill>
        </w:rPr>
        <w:t>、基本养老保险缴费、事业单位医疗、其他社会保障缴费、住房公积金、绩效工资、对个人和家庭的补助等</w:t>
      </w:r>
      <w:r>
        <w:rPr>
          <w:rFonts w:hint="eastAsia" w:ascii="仿宋" w:hAnsi="仿宋" w:eastAsia="仿宋" w:cs="仿宋"/>
          <w:color w:val="000000" w:themeColor="text1"/>
          <w:kern w:val="0"/>
          <w:sz w:val="28"/>
          <w:szCs w:val="28"/>
          <w14:textFill>
            <w14:solidFill>
              <w14:schemeClr w14:val="tx1"/>
            </w14:solidFill>
          </w14:textFill>
        </w:rPr>
        <w:t>；日常公用经费</w:t>
      </w:r>
      <w:r>
        <w:rPr>
          <w:rFonts w:hint="eastAsia" w:ascii="仿宋" w:hAnsi="仿宋" w:eastAsia="仿宋" w:cs="仿宋"/>
          <w:color w:val="000000" w:themeColor="text1"/>
          <w:kern w:val="0"/>
          <w:sz w:val="28"/>
          <w:szCs w:val="28"/>
          <w:lang w:val="en-US" w:eastAsia="zh-CN"/>
          <w14:textFill>
            <w14:solidFill>
              <w14:schemeClr w14:val="tx1"/>
            </w14:solidFill>
          </w14:textFill>
        </w:rPr>
        <w:t>155.92</w:t>
      </w:r>
      <w:r>
        <w:rPr>
          <w:rFonts w:hint="eastAsia" w:ascii="仿宋" w:hAnsi="仿宋" w:eastAsia="仿宋" w:cs="仿宋"/>
          <w:color w:val="000000" w:themeColor="text1"/>
          <w:kern w:val="0"/>
          <w:sz w:val="28"/>
          <w:szCs w:val="28"/>
          <w14:textFill>
            <w14:solidFill>
              <w14:schemeClr w14:val="tx1"/>
            </w14:solidFill>
          </w14:textFill>
        </w:rPr>
        <w:t>万元，主要用于日常办公开支</w:t>
      </w:r>
      <w:r>
        <w:rPr>
          <w:rFonts w:hint="eastAsia" w:ascii="仿宋" w:hAnsi="仿宋" w:eastAsia="仿宋" w:cs="仿宋"/>
          <w:color w:val="000000" w:themeColor="text1"/>
          <w:kern w:val="0"/>
          <w:sz w:val="28"/>
          <w:szCs w:val="28"/>
          <w:lang w:eastAsia="zh-CN"/>
          <w14:textFill>
            <w14:solidFill>
              <w14:schemeClr w14:val="tx1"/>
            </w14:solidFill>
          </w14:textFill>
        </w:rPr>
        <w:t>及</w:t>
      </w:r>
      <w:r>
        <w:rPr>
          <w:rFonts w:hint="eastAsia" w:ascii="仿宋" w:hAnsi="仿宋" w:eastAsia="仿宋" w:cs="仿宋"/>
          <w:color w:val="000000" w:themeColor="text1"/>
          <w:sz w:val="28"/>
          <w:szCs w:val="28"/>
          <w:lang w:val="en-US" w:eastAsia="zh-CN"/>
          <w14:textFill>
            <w14:solidFill>
              <w14:schemeClr w14:val="tx1"/>
            </w14:solidFill>
          </w14:textFill>
        </w:rPr>
        <w:t>根据中共汨罗市委常委会会议纪要汨常〔2023〕8号文件精神要求，由我单位采取劳务派遣方式新增4名社聘人员到市民兵训练基地工作，市人武部营院绿化、保洁、设施维护等相关事宜统一由我单位负责承办，相关经费由财政统筹保障。</w:t>
      </w:r>
      <w:r>
        <w:rPr>
          <w:rFonts w:hint="eastAsia" w:ascii="仿宋" w:hAnsi="仿宋" w:eastAsia="仿宋" w:cs="仿宋"/>
          <w:color w:val="000000" w:themeColor="text1"/>
          <w:kern w:val="0"/>
          <w:sz w:val="28"/>
          <w:szCs w:val="28"/>
          <w14:textFill>
            <w14:solidFill>
              <w14:schemeClr w14:val="tx1"/>
            </w14:solidFill>
          </w14:textFill>
        </w:rPr>
        <w:t>202</w:t>
      </w: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年市机关事务中心一般公共预算财政拨款“三公”经费支出年初预算为</w:t>
      </w: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万元，决算支出为</w:t>
      </w:r>
      <w:r>
        <w:rPr>
          <w:rFonts w:hint="eastAsia" w:ascii="仿宋" w:hAnsi="仿宋" w:eastAsia="仿宋" w:cs="仿宋"/>
          <w:color w:val="000000" w:themeColor="text1"/>
          <w:kern w:val="0"/>
          <w:sz w:val="28"/>
          <w:szCs w:val="28"/>
          <w:lang w:val="en-US" w:eastAsia="zh-CN"/>
          <w14:textFill>
            <w14:solidFill>
              <w14:schemeClr w14:val="tx1"/>
            </w14:solidFill>
          </w14:textFill>
        </w:rPr>
        <w:t>70.25</w:t>
      </w:r>
      <w:r>
        <w:rPr>
          <w:rFonts w:hint="eastAsia" w:ascii="仿宋" w:hAnsi="仿宋" w:eastAsia="仿宋" w:cs="仿宋"/>
          <w:color w:val="000000" w:themeColor="text1"/>
          <w:kern w:val="0"/>
          <w:sz w:val="28"/>
          <w:szCs w:val="28"/>
          <w14:textFill>
            <w14:solidFill>
              <w14:schemeClr w14:val="tx1"/>
            </w14:solidFill>
          </w14:textFill>
        </w:rPr>
        <w:t>万元</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其中：公务用车运行维护费0万元，出国经费0万元，公务接待费</w:t>
      </w:r>
      <w:r>
        <w:rPr>
          <w:rFonts w:hint="eastAsia" w:ascii="仿宋" w:hAnsi="仿宋" w:eastAsia="仿宋" w:cs="仿宋"/>
          <w:color w:val="000000" w:themeColor="text1"/>
          <w:kern w:val="0"/>
          <w:sz w:val="28"/>
          <w:szCs w:val="28"/>
          <w:lang w:val="en-US" w:eastAsia="zh-CN"/>
          <w14:textFill>
            <w14:solidFill>
              <w14:schemeClr w14:val="tx1"/>
            </w14:solidFill>
          </w14:textFill>
        </w:rPr>
        <w:t>70.25</w:t>
      </w:r>
      <w:r>
        <w:rPr>
          <w:rFonts w:hint="eastAsia" w:ascii="仿宋" w:hAnsi="仿宋" w:eastAsia="仿宋" w:cs="仿宋"/>
          <w:color w:val="000000" w:themeColor="text1"/>
          <w:kern w:val="0"/>
          <w:sz w:val="28"/>
          <w:szCs w:val="28"/>
          <w14:textFill>
            <w14:solidFill>
              <w14:schemeClr w14:val="tx1"/>
            </w14:solidFill>
          </w14:textFill>
        </w:rPr>
        <w:t>万元，未购置公务用车。202</w:t>
      </w:r>
      <w:r>
        <w:rPr>
          <w:rFonts w:hint="eastAsia" w:ascii="仿宋" w:hAnsi="仿宋" w:eastAsia="仿宋" w:cs="仿宋"/>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年度无因公出国（境）费支出及团组数和人数；公务接待</w:t>
      </w:r>
      <w:r>
        <w:rPr>
          <w:rFonts w:hint="eastAsia" w:ascii="仿宋" w:hAnsi="仿宋" w:eastAsia="仿宋" w:cs="仿宋"/>
          <w:color w:val="000000" w:themeColor="text1"/>
          <w:kern w:val="0"/>
          <w:sz w:val="28"/>
          <w:szCs w:val="28"/>
          <w:lang w:val="en-US" w:eastAsia="zh-CN"/>
          <w14:textFill>
            <w14:solidFill>
              <w14:schemeClr w14:val="tx1"/>
            </w14:solidFill>
          </w14:textFill>
        </w:rPr>
        <w:t>125</w:t>
      </w:r>
      <w:r>
        <w:rPr>
          <w:rFonts w:hint="eastAsia" w:ascii="仿宋" w:hAnsi="仿宋" w:eastAsia="仿宋" w:cs="仿宋"/>
          <w:color w:val="000000" w:themeColor="text1"/>
          <w:kern w:val="0"/>
          <w:sz w:val="28"/>
          <w:szCs w:val="28"/>
          <w14:textFill>
            <w14:solidFill>
              <w14:schemeClr w14:val="tx1"/>
            </w14:solidFill>
          </w14:textFill>
        </w:rPr>
        <w:t>批次</w:t>
      </w:r>
      <w:r>
        <w:rPr>
          <w:rFonts w:hint="eastAsia" w:ascii="仿宋" w:hAnsi="仿宋" w:eastAsia="仿宋" w:cs="仿宋"/>
          <w:color w:val="000000" w:themeColor="text1"/>
          <w:kern w:val="0"/>
          <w:sz w:val="28"/>
          <w:szCs w:val="28"/>
          <w:lang w:val="en-US" w:eastAsia="zh-CN"/>
          <w14:textFill>
            <w14:solidFill>
              <w14:schemeClr w14:val="tx1"/>
            </w14:solidFill>
          </w14:textFill>
        </w:rPr>
        <w:t>6500</w:t>
      </w:r>
      <w:r>
        <w:rPr>
          <w:rFonts w:hint="eastAsia" w:ascii="仿宋" w:hAnsi="仿宋" w:eastAsia="仿宋" w:cs="仿宋"/>
          <w:color w:val="000000" w:themeColor="text1"/>
          <w:kern w:val="0"/>
          <w:sz w:val="28"/>
          <w:szCs w:val="28"/>
          <w14:textFill>
            <w14:solidFill>
              <w14:schemeClr w14:val="tx1"/>
            </w14:solidFill>
          </w14:textFill>
        </w:rPr>
        <w:t>人次。</w:t>
      </w:r>
      <w:r>
        <w:rPr>
          <w:rFonts w:hint="eastAsia" w:ascii="仿宋" w:hAnsi="仿宋" w:eastAsia="仿宋" w:cs="仿宋"/>
          <w:color w:val="000000" w:themeColor="text1"/>
          <w:kern w:val="0"/>
          <w:sz w:val="28"/>
          <w:szCs w:val="28"/>
          <w:lang w:eastAsia="zh-CN"/>
          <w14:textFill>
            <w14:solidFill>
              <w14:schemeClr w14:val="tx1"/>
            </w14:solidFill>
          </w14:textFill>
        </w:rPr>
        <w:t>是由于</w:t>
      </w:r>
      <w:r>
        <w:rPr>
          <w:rFonts w:hint="eastAsia" w:ascii="仿宋" w:hAnsi="仿宋" w:eastAsia="仿宋" w:cs="仿宋"/>
          <w:color w:val="000000" w:themeColor="text1"/>
          <w:sz w:val="28"/>
          <w:szCs w:val="28"/>
          <w:lang w:val="en-US" w:eastAsia="zh-CN"/>
          <w14:textFill>
            <w14:solidFill>
              <w14:schemeClr w14:val="tx1"/>
            </w14:solidFill>
          </w14:textFill>
        </w:rPr>
        <w:t>我单位</w:t>
      </w:r>
      <w:r>
        <w:rPr>
          <w:rFonts w:hint="eastAsia" w:ascii="仿宋" w:hAnsi="仿宋" w:eastAsia="仿宋" w:cs="仿宋"/>
          <w:color w:val="000000" w:themeColor="text1"/>
          <w:sz w:val="28"/>
          <w:szCs w:val="28"/>
          <w:lang w:val="en-US" w:eastAsia="zh-CN"/>
          <w14:textFill>
            <w14:solidFill>
              <w14:schemeClr w14:val="tx1"/>
            </w14:solidFill>
          </w14:textFill>
        </w:rPr>
        <w:t>负责市委、市政府的公务接待工作，公务接待年初未作预算安排，所需费用按季度统一向市政府申报经费，由财政根据审核金额拨款。</w:t>
      </w:r>
    </w:p>
    <w:p w14:paraId="00657FCB">
      <w:pPr>
        <w:pStyle w:val="10"/>
        <w:keepNext w:val="0"/>
        <w:keepLines w:val="0"/>
        <w:pageBreakBefore w:val="0"/>
        <w:numPr>
          <w:ilvl w:val="0"/>
          <w:numId w:val="3"/>
        </w:numPr>
        <w:wordWrap/>
        <w:topLinePunct w:val="0"/>
        <w:bidi w:val="0"/>
        <w:adjustRightInd w:val="0"/>
        <w:spacing w:line="56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397BE93A">
      <w:pPr>
        <w:keepNext w:val="0"/>
        <w:keepLines w:val="0"/>
        <w:pageBreakBefore w:val="0"/>
        <w:wordWrap/>
        <w:topLinePunct w:val="0"/>
        <w:bidi w:val="0"/>
        <w:adjustRightInd w:val="0"/>
        <w:spacing w:line="560" w:lineRule="exact"/>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w:t>
      </w:r>
      <w:r>
        <w:rPr>
          <w:rFonts w:hint="eastAsia" w:ascii="仿宋" w:hAnsi="仿宋" w:eastAsia="仿宋" w:cs="宋体"/>
          <w:color w:val="000000"/>
          <w:kern w:val="0"/>
          <w:sz w:val="28"/>
          <w:szCs w:val="28"/>
          <w:shd w:val="clear" w:color="auto" w:fill="FFFFFF"/>
          <w:lang w:bidi="ar"/>
        </w:rPr>
        <w:t>项目支出是指单位为完成特定行政工作任务或事业发展目标而发生的支出，包括有关业务工作经费和运行维护经费。年初预算数为102万元，其中：市委大院维护管理项目42万元，市委机关后勤项目60万元。决算数为</w:t>
      </w:r>
      <w:r>
        <w:rPr>
          <w:rFonts w:hint="eastAsia" w:ascii="仿宋" w:hAnsi="仿宋" w:eastAsia="仿宋" w:cs="宋体"/>
          <w:color w:val="000000"/>
          <w:kern w:val="0"/>
          <w:sz w:val="28"/>
          <w:szCs w:val="28"/>
          <w:shd w:val="clear" w:color="auto" w:fill="FFFFFF"/>
          <w:lang w:val="en-US" w:eastAsia="zh-CN" w:bidi="ar"/>
        </w:rPr>
        <w:t>938.67</w:t>
      </w:r>
      <w:r>
        <w:rPr>
          <w:rFonts w:hint="eastAsia" w:ascii="仿宋" w:hAnsi="仿宋" w:eastAsia="仿宋" w:cs="宋体"/>
          <w:color w:val="000000"/>
          <w:kern w:val="0"/>
          <w:sz w:val="28"/>
          <w:szCs w:val="28"/>
          <w:shd w:val="clear" w:color="auto" w:fill="FFFFFF"/>
          <w:lang w:bidi="ar"/>
        </w:rPr>
        <w:t>万元，其中：市委大院维护管理项目</w:t>
      </w:r>
      <w:r>
        <w:rPr>
          <w:rFonts w:hint="eastAsia" w:ascii="仿宋" w:hAnsi="仿宋" w:eastAsia="仿宋" w:cs="宋体"/>
          <w:color w:val="000000"/>
          <w:kern w:val="0"/>
          <w:sz w:val="28"/>
          <w:szCs w:val="28"/>
          <w:shd w:val="clear" w:color="auto" w:fill="FFFFFF"/>
          <w:lang w:val="en-US" w:eastAsia="zh-CN" w:bidi="ar"/>
        </w:rPr>
        <w:t>74.56</w:t>
      </w:r>
      <w:r>
        <w:rPr>
          <w:rFonts w:hint="eastAsia" w:ascii="仿宋" w:hAnsi="仿宋" w:eastAsia="仿宋" w:cs="宋体"/>
          <w:color w:val="000000"/>
          <w:kern w:val="0"/>
          <w:sz w:val="28"/>
          <w:szCs w:val="28"/>
          <w:shd w:val="clear" w:color="auto" w:fill="FFFFFF"/>
          <w:lang w:bidi="ar"/>
        </w:rPr>
        <w:t>万元</w:t>
      </w:r>
      <w:r>
        <w:rPr>
          <w:rFonts w:hint="eastAsia" w:ascii="仿宋" w:hAnsi="仿宋" w:eastAsia="仿宋" w:cs="宋体"/>
          <w:color w:val="000000"/>
          <w:kern w:val="0"/>
          <w:sz w:val="28"/>
          <w:szCs w:val="28"/>
          <w:shd w:val="clear" w:color="auto" w:fill="FFFFFF"/>
          <w:lang w:eastAsia="zh-CN" w:bidi="ar"/>
        </w:rPr>
        <w:t>、</w:t>
      </w:r>
      <w:r>
        <w:rPr>
          <w:rFonts w:hint="eastAsia" w:ascii="仿宋" w:hAnsi="仿宋" w:eastAsia="仿宋" w:cs="宋体"/>
          <w:color w:val="000000"/>
          <w:kern w:val="0"/>
          <w:sz w:val="28"/>
          <w:szCs w:val="28"/>
          <w:shd w:val="clear" w:color="auto" w:fill="FFFFFF"/>
          <w:lang w:bidi="ar"/>
        </w:rPr>
        <w:t>市委机关后勤项目</w:t>
      </w:r>
      <w:r>
        <w:rPr>
          <w:rFonts w:hint="eastAsia" w:ascii="仿宋" w:hAnsi="仿宋" w:eastAsia="仿宋" w:cs="宋体"/>
          <w:color w:val="000000"/>
          <w:kern w:val="0"/>
          <w:sz w:val="28"/>
          <w:szCs w:val="28"/>
          <w:shd w:val="clear" w:color="auto" w:fill="FFFFFF"/>
          <w:lang w:val="en-US" w:eastAsia="zh-CN" w:bidi="ar"/>
        </w:rPr>
        <w:t>162.96</w:t>
      </w:r>
      <w:r>
        <w:rPr>
          <w:rFonts w:hint="eastAsia" w:ascii="仿宋" w:hAnsi="仿宋" w:eastAsia="仿宋" w:cs="宋体"/>
          <w:color w:val="000000"/>
          <w:kern w:val="0"/>
          <w:sz w:val="28"/>
          <w:szCs w:val="28"/>
          <w:shd w:val="clear" w:color="auto" w:fill="FFFFFF"/>
          <w:lang w:bidi="ar"/>
        </w:rPr>
        <w:t>万元</w:t>
      </w:r>
      <w:r>
        <w:rPr>
          <w:rFonts w:hint="eastAsia" w:ascii="仿宋" w:hAnsi="仿宋" w:eastAsia="仿宋" w:cs="宋体"/>
          <w:color w:val="000000"/>
          <w:kern w:val="0"/>
          <w:sz w:val="28"/>
          <w:szCs w:val="28"/>
          <w:shd w:val="clear" w:color="auto" w:fill="FFFFFF"/>
          <w:lang w:eastAsia="zh-CN" w:bidi="ar"/>
        </w:rPr>
        <w:t>、接待专项</w:t>
      </w:r>
      <w:r>
        <w:rPr>
          <w:rFonts w:hint="eastAsia" w:ascii="仿宋" w:hAnsi="仿宋" w:eastAsia="仿宋" w:cs="宋体"/>
          <w:color w:val="000000"/>
          <w:kern w:val="0"/>
          <w:sz w:val="28"/>
          <w:szCs w:val="28"/>
          <w:shd w:val="clear" w:color="auto" w:fill="FFFFFF"/>
          <w:lang w:val="en-US" w:eastAsia="zh-CN" w:bidi="ar"/>
        </w:rPr>
        <w:t>101.15万元、接待专项年初未安排预算，主要原因是1、2024年2个龙舟赛在我市开展，接待任务加重，所产生的接待费用增加；</w:t>
      </w:r>
      <w:r>
        <w:rPr>
          <w:rFonts w:hint="eastAsia" w:ascii="仿宋" w:hAnsi="仿宋" w:eastAsia="仿宋" w:cs="仿宋"/>
          <w:color w:val="000000"/>
          <w:kern w:val="0"/>
          <w:sz w:val="28"/>
          <w:szCs w:val="28"/>
          <w:shd w:val="clear" w:color="auto" w:fill="FFFFFF"/>
          <w:lang w:val="en-US" w:eastAsia="zh-CN" w:bidi="ar"/>
        </w:rPr>
        <w:t>2、</w:t>
      </w:r>
      <w:r>
        <w:rPr>
          <w:rFonts w:hint="eastAsia" w:ascii="仿宋" w:hAnsi="仿宋" w:eastAsia="仿宋" w:cs="仿宋"/>
          <w:sz w:val="28"/>
          <w:szCs w:val="28"/>
          <w:lang w:eastAsia="zh-CN"/>
        </w:rPr>
        <w:t>根据岳阳市发展和改革委员会文件，岳发改审</w:t>
      </w:r>
      <w:r>
        <w:rPr>
          <w:rFonts w:hint="eastAsia" w:ascii="仿宋" w:hAnsi="仿宋" w:eastAsia="仿宋" w:cs="仿宋"/>
          <w:color w:val="000000" w:themeColor="text1"/>
          <w:sz w:val="28"/>
          <w:szCs w:val="28"/>
          <w:lang w:val="en-US" w:eastAsia="zh-CN"/>
          <w14:textFill>
            <w14:solidFill>
              <w14:schemeClr w14:val="tx1"/>
            </w14:solidFill>
          </w14:textFill>
        </w:rPr>
        <w:t>〔2023〕</w:t>
      </w:r>
      <w:r>
        <w:rPr>
          <w:rFonts w:hint="eastAsia" w:ascii="仿宋" w:hAnsi="仿宋" w:eastAsia="仿宋" w:cs="仿宋"/>
          <w:sz w:val="28"/>
          <w:szCs w:val="28"/>
          <w:lang w:val="en-US" w:eastAsia="zh-CN"/>
        </w:rPr>
        <w:t>27号文件精神指出我单位作为汨罗市凯旋小区保障性租赁住房建设项目申报主体，根据关于汨罗市凯旋小区保障性租赁住房建设项目资金拨付、支付问题的会议纪要，汨府阅﹝2023﹞23号文件精神，我单位在市财政局监管调度下，序时向中标单位专门账户拨付建设工程款</w:t>
      </w:r>
      <w:r>
        <w:rPr>
          <w:rFonts w:hint="eastAsia" w:ascii="仿宋" w:hAnsi="仿宋" w:eastAsia="仿宋" w:cs="仿宋"/>
          <w:color w:val="000000"/>
          <w:kern w:val="0"/>
          <w:sz w:val="28"/>
          <w:szCs w:val="28"/>
          <w:shd w:val="clear" w:color="auto" w:fill="FFFFFF"/>
          <w:lang w:val="en-US" w:eastAsia="zh-CN" w:bidi="ar"/>
        </w:rPr>
        <w:t>600万元。</w:t>
      </w:r>
    </w:p>
    <w:p w14:paraId="516D3C52">
      <w:pPr>
        <w:keepNext w:val="0"/>
        <w:keepLines w:val="0"/>
        <w:pageBreakBefore w:val="0"/>
        <w:wordWrap/>
        <w:topLinePunct w:val="0"/>
        <w:bidi w:val="0"/>
        <w:adjustRightInd w:val="0"/>
        <w:spacing w:line="56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0F870CB4">
      <w:pPr>
        <w:keepNext w:val="0"/>
        <w:keepLines w:val="0"/>
        <w:pageBreakBefore w:val="0"/>
        <w:wordWrap/>
        <w:topLinePunct w:val="0"/>
        <w:bidi w:val="0"/>
        <w:adjustRightInd w:val="0"/>
        <w:spacing w:line="56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年度汨罗市机关事务中心没有政府性基金预算支出。</w:t>
      </w:r>
    </w:p>
    <w:p w14:paraId="2A755169">
      <w:pPr>
        <w:keepNext w:val="0"/>
        <w:keepLines w:val="0"/>
        <w:pageBreakBefore w:val="0"/>
        <w:wordWrap/>
        <w:topLinePunct w:val="0"/>
        <w:bidi w:val="0"/>
        <w:adjustRightInd w:val="0"/>
        <w:spacing w:line="56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657E44F8">
      <w:pPr>
        <w:keepNext w:val="0"/>
        <w:keepLines w:val="0"/>
        <w:pageBreakBefore w:val="0"/>
        <w:wordWrap/>
        <w:topLinePunct w:val="0"/>
        <w:bidi w:val="0"/>
        <w:adjustRightInd w:val="0"/>
        <w:spacing w:line="560" w:lineRule="exact"/>
        <w:ind w:firstLine="560" w:firstLineChars="200"/>
        <w:jc w:val="both"/>
        <w:rPr>
          <w:rFonts w:hint="eastAsia" w:ascii="仿宋" w:hAnsi="仿宋" w:eastAsia="仿宋" w:cs="宋体"/>
          <w:kern w:val="0"/>
          <w:sz w:val="32"/>
          <w:szCs w:val="32"/>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年度汨罗市机关事务中心没有国有资本经营预算支出</w:t>
      </w:r>
      <w:r>
        <w:rPr>
          <w:rFonts w:hint="eastAsia" w:ascii="仿宋" w:hAnsi="仿宋" w:eastAsia="仿宋" w:cs="宋体"/>
          <w:kern w:val="0"/>
          <w:sz w:val="32"/>
          <w:szCs w:val="32"/>
        </w:rPr>
        <w:t>。</w:t>
      </w:r>
    </w:p>
    <w:p w14:paraId="07F1EBC0">
      <w:pPr>
        <w:keepNext w:val="0"/>
        <w:keepLines w:val="0"/>
        <w:pageBreakBefore w:val="0"/>
        <w:wordWrap/>
        <w:topLinePunct w:val="0"/>
        <w:bidi w:val="0"/>
        <w:adjustRightInd w:val="0"/>
        <w:spacing w:line="56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19095504">
      <w:pPr>
        <w:keepNext w:val="0"/>
        <w:keepLines w:val="0"/>
        <w:pageBreakBefore w:val="0"/>
        <w:wordWrap/>
        <w:topLinePunct w:val="0"/>
        <w:bidi w:val="0"/>
        <w:adjustRightInd w:val="0"/>
        <w:spacing w:line="56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4</w:t>
      </w:r>
      <w:r>
        <w:rPr>
          <w:rFonts w:hint="eastAsia" w:ascii="仿宋" w:hAnsi="仿宋" w:eastAsia="仿宋" w:cs="宋体"/>
          <w:kern w:val="0"/>
          <w:sz w:val="28"/>
          <w:szCs w:val="28"/>
        </w:rPr>
        <w:t>年度汨罗市机关事务中心没有社会保险基金预算支出。</w:t>
      </w:r>
    </w:p>
    <w:p w14:paraId="03087A41">
      <w:pPr>
        <w:keepNext w:val="0"/>
        <w:keepLines w:val="0"/>
        <w:pageBreakBefore w:val="0"/>
        <w:wordWrap/>
        <w:topLinePunct w:val="0"/>
        <w:bidi w:val="0"/>
        <w:spacing w:line="56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4D33A17F">
      <w:pPr>
        <w:keepNext w:val="0"/>
        <w:keepLines w:val="0"/>
        <w:pageBreakBefore w:val="0"/>
        <w:wordWrap/>
        <w:topLinePunct w:val="0"/>
        <w:bidi w:val="0"/>
        <w:spacing w:line="560" w:lineRule="exact"/>
        <w:ind w:firstLine="560" w:firstLineChars="200"/>
        <w:jc w:val="both"/>
        <w:rPr>
          <w:rFonts w:ascii="方正黑体_GBK" w:eastAsia="方正黑体_GBK"/>
          <w:kern w:val="0"/>
          <w:sz w:val="32"/>
          <w:szCs w:val="32"/>
          <w:lang w:eastAsia="zh-CN"/>
        </w:rPr>
      </w:pPr>
      <w:r>
        <w:rPr>
          <w:rFonts w:hint="eastAsia" w:ascii="仿宋" w:hAnsi="仿宋" w:eastAsia="仿宋" w:cs="宋体"/>
          <w:kern w:val="0"/>
          <w:sz w:val="28"/>
          <w:szCs w:val="28"/>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w:t>
      </w:r>
      <w:r>
        <w:rPr>
          <w:rFonts w:hint="eastAsia" w:ascii="仿宋" w:hAnsi="仿宋" w:eastAsia="仿宋" w:cs="宋体"/>
          <w:kern w:val="0"/>
          <w:sz w:val="28"/>
          <w:szCs w:val="28"/>
        </w:rPr>
        <w:br w:type="textWrapping"/>
      </w:r>
      <w:r>
        <w:rPr>
          <w:rFonts w:hint="eastAsia" w:ascii="仿宋" w:hAnsi="仿宋" w:eastAsia="仿宋" w:cs="宋体"/>
          <w:kern w:val="0"/>
          <w:sz w:val="32"/>
          <w:szCs w:val="32"/>
          <w:lang w:val="en-US" w:eastAsia="zh-CN"/>
        </w:rPr>
        <w:t xml:space="preserve"> </w:t>
      </w:r>
      <w:r>
        <w:rPr>
          <w:rFonts w:hint="eastAsia" w:ascii="方正黑体_GBK" w:eastAsia="方正黑体_GBK"/>
          <w:kern w:val="0"/>
          <w:sz w:val="32"/>
          <w:szCs w:val="32"/>
          <w:lang w:eastAsia="zh-CN"/>
        </w:rPr>
        <w:t>七、存在的问题及原因分析</w:t>
      </w:r>
    </w:p>
    <w:p w14:paraId="21E6073D">
      <w:pPr>
        <w:keepNext w:val="0"/>
        <w:keepLines w:val="0"/>
        <w:pageBreakBefore w:val="0"/>
        <w:numPr>
          <w:ilvl w:val="0"/>
          <w:numId w:val="0"/>
        </w:numPr>
        <w:wordWrap/>
        <w:topLinePunct w:val="0"/>
        <w:bidi w:val="0"/>
        <w:spacing w:line="560" w:lineRule="exact"/>
        <w:ind w:firstLine="560" w:firstLineChars="200"/>
        <w:jc w:val="both"/>
        <w:rPr>
          <w:rFonts w:hint="eastAsia" w:ascii="方正黑体_GBK" w:eastAsia="方正黑体_GBK"/>
          <w:kern w:val="0"/>
          <w:sz w:val="32"/>
          <w:szCs w:val="32"/>
          <w:lang w:eastAsia="zh-CN"/>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在固定资产管理方面的制度尚不够健全。</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2.履职时在经济效益和社会效益实现上还有进步空间。</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 xml:space="preserve"> 3.资金使用效率有待进一步提高。</w:t>
      </w:r>
      <w:r>
        <w:rPr>
          <w:rFonts w:hint="eastAsia" w:ascii="仿宋" w:hAnsi="仿宋" w:eastAsia="仿宋" w:cs="宋体"/>
          <w:kern w:val="0"/>
          <w:sz w:val="32"/>
          <w:szCs w:val="32"/>
        </w:rPr>
        <w:br w:type="textWrapping"/>
      </w:r>
      <w:r>
        <w:rPr>
          <w:rFonts w:hint="eastAsia" w:ascii="仿宋" w:hAnsi="仿宋" w:eastAsia="仿宋" w:cs="宋体"/>
          <w:kern w:val="0"/>
          <w:sz w:val="28"/>
          <w:szCs w:val="28"/>
          <w:lang w:val="en-US" w:eastAsia="zh-CN"/>
        </w:rPr>
        <w:t xml:space="preserve">  </w:t>
      </w:r>
      <w:r>
        <w:rPr>
          <w:rFonts w:hint="eastAsia" w:ascii="方正黑体_GBK" w:eastAsia="方正黑体_GBK"/>
          <w:kern w:val="0"/>
          <w:sz w:val="32"/>
          <w:szCs w:val="32"/>
          <w:lang w:eastAsia="zh-CN"/>
        </w:rPr>
        <w:t>八、下一步改进措施</w:t>
      </w:r>
    </w:p>
    <w:p w14:paraId="3A271773">
      <w:pPr>
        <w:keepNext w:val="0"/>
        <w:keepLines w:val="0"/>
        <w:pageBreakBefore w:val="0"/>
        <w:numPr>
          <w:ilvl w:val="0"/>
          <w:numId w:val="0"/>
        </w:numPr>
        <w:wordWrap/>
        <w:topLinePunct w:val="0"/>
        <w:bidi w:val="0"/>
        <w:spacing w:line="560" w:lineRule="exact"/>
        <w:ind w:firstLine="560" w:firstLineChars="200"/>
        <w:jc w:val="both"/>
        <w:rPr>
          <w:rFonts w:hint="eastAsia" w:ascii="方正黑体_GBK" w:eastAsia="方正黑体_GBK"/>
          <w:kern w:val="0"/>
          <w:sz w:val="32"/>
          <w:szCs w:val="32"/>
          <w:lang w:eastAsia="zh-CN"/>
        </w:rPr>
      </w:pPr>
      <w:r>
        <w:rPr>
          <w:rFonts w:hint="eastAsia" w:ascii="仿宋" w:hAnsi="仿宋" w:eastAsia="仿宋" w:cs="宋体"/>
          <w:kern w:val="0"/>
          <w:sz w:val="28"/>
          <w:szCs w:val="28"/>
        </w:rPr>
        <w:t>1.进一步完善财务制度，规范财经纪律，加强财务管理，提高财务工作水平。</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2.充实财务人员，加强财务人员培训，不断提高财务人员素质。</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3.进一步提高各项内部管理制度执行效率，如预算管理制度、资产管理制度、办案费用管理制度需进一步细化，更贴合单位实际工作，并严格遵守，按要求执行到底。</w:t>
      </w:r>
    </w:p>
    <w:p w14:paraId="37ACA1CA">
      <w:pPr>
        <w:keepNext w:val="0"/>
        <w:keepLines w:val="0"/>
        <w:pageBreakBefore w:val="0"/>
        <w:wordWrap/>
        <w:topLinePunct w:val="0"/>
        <w:bidi w:val="0"/>
        <w:spacing w:line="560" w:lineRule="exact"/>
        <w:ind w:firstLine="320" w:firstLineChars="1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385ABAA0">
      <w:pPr>
        <w:keepNext w:val="0"/>
        <w:keepLines w:val="0"/>
        <w:pageBreakBefore w:val="0"/>
        <w:wordWrap/>
        <w:topLinePunct w:val="0"/>
        <w:bidi w:val="0"/>
        <w:spacing w:line="560" w:lineRule="exact"/>
        <w:ind w:firstLine="280" w:firstLineChars="100"/>
        <w:jc w:val="both"/>
        <w:rPr>
          <w:rFonts w:hint="eastAsia" w:eastAsia="黑体"/>
          <w:kern w:val="0"/>
          <w:sz w:val="32"/>
          <w:szCs w:val="32"/>
          <w:lang w:eastAsia="zh-CN"/>
        </w:rPr>
      </w:pPr>
      <w:r>
        <w:rPr>
          <w:rFonts w:hint="eastAsia" w:ascii="仿宋" w:hAnsi="仿宋" w:eastAsia="仿宋" w:cs="宋体"/>
          <w:kern w:val="0"/>
          <w:sz w:val="28"/>
          <w:szCs w:val="28"/>
        </w:rPr>
        <w:t>绩效自评分数97分，拟于政府网公开并接受社会监督。</w:t>
      </w:r>
    </w:p>
    <w:p w14:paraId="03E13B94">
      <w:pPr>
        <w:keepNext w:val="0"/>
        <w:keepLines w:val="0"/>
        <w:pageBreakBefore w:val="0"/>
        <w:wordWrap/>
        <w:topLinePunct w:val="0"/>
        <w:bidi w:val="0"/>
        <w:spacing w:line="560" w:lineRule="exact"/>
        <w:ind w:firstLine="320" w:firstLineChars="1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keepNext w:val="0"/>
        <w:keepLines w:val="0"/>
        <w:pageBreakBefore w:val="0"/>
        <w:wordWrap/>
        <w:topLinePunct w:val="0"/>
        <w:bidi w:val="0"/>
        <w:spacing w:line="560" w:lineRule="exact"/>
        <w:ind w:firstLine="640" w:firstLineChars="200"/>
        <w:jc w:val="both"/>
        <w:rPr>
          <w:rFonts w:eastAsia="仿宋_GB2312"/>
          <w:kern w:val="0"/>
          <w:sz w:val="32"/>
          <w:szCs w:val="32"/>
          <w:lang w:eastAsia="zh-CN"/>
        </w:rPr>
      </w:pPr>
    </w:p>
    <w:p w14:paraId="74550A2A">
      <w:pPr>
        <w:keepNext w:val="0"/>
        <w:keepLines w:val="0"/>
        <w:pageBreakBefore w:val="0"/>
        <w:wordWrap/>
        <w:topLinePunct w:val="0"/>
        <w:bidi w:val="0"/>
        <w:spacing w:line="56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keepNext w:val="0"/>
        <w:keepLines w:val="0"/>
        <w:pageBreakBefore w:val="0"/>
        <w:wordWrap/>
        <w:topLinePunct w:val="0"/>
        <w:bidi w:val="0"/>
        <w:spacing w:line="56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keepNext w:val="0"/>
        <w:keepLines w:val="0"/>
        <w:pageBreakBefore w:val="0"/>
        <w:wordWrap/>
        <w:topLinePunct w:val="0"/>
        <w:bidi w:val="0"/>
        <w:spacing w:line="56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keepNext w:val="0"/>
        <w:keepLines w:val="0"/>
        <w:pageBreakBefore w:val="0"/>
        <w:wordWrap/>
        <w:topLinePunct w:val="0"/>
        <w:bidi w:val="0"/>
        <w:spacing w:line="56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keepNext w:val="0"/>
        <w:keepLines w:val="0"/>
        <w:pageBreakBefore w:val="0"/>
        <w:wordWrap/>
        <w:topLinePunct w:val="0"/>
        <w:bidi w:val="0"/>
        <w:spacing w:line="56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keepNext w:val="0"/>
        <w:keepLines w:val="0"/>
        <w:pageBreakBefore w:val="0"/>
        <w:wordWrap/>
        <w:topLinePunct w:val="0"/>
        <w:bidi w:val="0"/>
        <w:spacing w:line="56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keepNext w:val="0"/>
        <w:keepLines w:val="0"/>
        <w:pageBreakBefore w:val="0"/>
        <w:wordWrap/>
        <w:topLinePunct w:val="0"/>
        <w:bidi w:val="0"/>
        <w:spacing w:line="56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keepNext w:val="0"/>
        <w:keepLines w:val="0"/>
        <w:pageBreakBefore w:val="0"/>
        <w:wordWrap/>
        <w:topLinePunct w:val="0"/>
        <w:bidi w:val="0"/>
        <w:spacing w:line="560" w:lineRule="exact"/>
        <w:ind w:firstLine="640" w:firstLineChars="200"/>
        <w:jc w:val="both"/>
        <w:rPr>
          <w:rFonts w:hint="eastAsia" w:eastAsia="仿宋_GB2312"/>
          <w:kern w:val="0"/>
          <w:sz w:val="32"/>
          <w:szCs w:val="32"/>
          <w:highlight w:val="none"/>
          <w:lang w:eastAsia="zh-CN"/>
        </w:rPr>
      </w:pPr>
    </w:p>
    <w:p w14:paraId="18C27175">
      <w:pPr>
        <w:keepNext w:val="0"/>
        <w:keepLines w:val="0"/>
        <w:pageBreakBefore w:val="0"/>
        <w:wordWrap/>
        <w:topLinePunct w:val="0"/>
        <w:bidi w:val="0"/>
        <w:spacing w:line="560" w:lineRule="exact"/>
        <w:ind w:firstLine="640" w:firstLineChars="200"/>
        <w:jc w:val="both"/>
        <w:rPr>
          <w:rFonts w:hint="eastAsia" w:eastAsia="仿宋_GB2312"/>
          <w:kern w:val="0"/>
          <w:sz w:val="32"/>
          <w:szCs w:val="32"/>
          <w:lang w:eastAsia="zh-CN"/>
        </w:rPr>
      </w:pPr>
    </w:p>
    <w:p w14:paraId="496A870F">
      <w:pPr>
        <w:keepNext w:val="0"/>
        <w:keepLines w:val="0"/>
        <w:pageBreakBefore w:val="0"/>
        <w:wordWrap/>
        <w:topLinePunct w:val="0"/>
        <w:bidi w:val="0"/>
        <w:spacing w:line="560" w:lineRule="exact"/>
        <w:ind w:firstLine="640" w:firstLineChars="200"/>
        <w:jc w:val="both"/>
        <w:rPr>
          <w:rFonts w:hint="eastAsia" w:eastAsia="仿宋_GB2312"/>
          <w:kern w:val="0"/>
          <w:sz w:val="32"/>
          <w:szCs w:val="32"/>
          <w:lang w:eastAsia="zh-CN"/>
        </w:rPr>
      </w:pPr>
    </w:p>
    <w:p w14:paraId="3BBE3685">
      <w:pPr>
        <w:keepNext w:val="0"/>
        <w:keepLines w:val="0"/>
        <w:pageBreakBefore w:val="0"/>
        <w:wordWrap/>
        <w:topLinePunct w:val="0"/>
        <w:bidi w:val="0"/>
        <w:spacing w:line="560" w:lineRule="exact"/>
        <w:ind w:firstLine="640" w:firstLineChars="200"/>
        <w:jc w:val="both"/>
        <w:rPr>
          <w:rFonts w:hint="eastAsia" w:eastAsia="仿宋_GB2312"/>
          <w:kern w:val="0"/>
          <w:sz w:val="32"/>
          <w:szCs w:val="32"/>
          <w:lang w:eastAsia="zh-CN"/>
        </w:rPr>
      </w:pPr>
    </w:p>
    <w:p w14:paraId="1A7C30C8">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C9F18CE">
      <w:pPr>
        <w:spacing w:before="201" w:line="578" w:lineRule="exact"/>
        <w:jc w:val="center"/>
        <w:rPr>
          <w:rFonts w:ascii="Times New Roman" w:hAnsi="Times New Roman" w:eastAsia="Times New Roman" w:cs="Times New Roman"/>
          <w:spacing w:val="15"/>
          <w:position w:val="10"/>
          <w:sz w:val="42"/>
          <w:szCs w:val="42"/>
        </w:rPr>
      </w:pPr>
    </w:p>
    <w:p w14:paraId="3D07F04B">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市委大院维护管理</w:t>
      </w:r>
      <w:r>
        <w:rPr>
          <w:rFonts w:ascii="黑体" w:hAnsi="黑体" w:eastAsia="黑体" w:cs="黑体"/>
          <w:spacing w:val="15"/>
          <w:position w:val="10"/>
          <w:sz w:val="42"/>
          <w:szCs w:val="42"/>
        </w:rPr>
        <w:t>项目支出</w:t>
      </w:r>
    </w:p>
    <w:p w14:paraId="5035F9FC">
      <w:pPr>
        <w:spacing w:before="201" w:line="578" w:lineRule="exact"/>
        <w:jc w:val="center"/>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firstLine="3172" w:firstLineChars="13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09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23</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7" w:type="default"/>
          <w:pgSz w:w="11900" w:h="16820"/>
          <w:pgMar w:top="1429" w:right="1782" w:bottom="1158" w:left="1450" w:header="0" w:footer="850" w:gutter="0"/>
          <w:cols w:space="720" w:num="1"/>
        </w:sectPr>
      </w:pPr>
    </w:p>
    <w:p w14:paraId="28BCDE33">
      <w:pPr>
        <w:spacing w:before="1" w:line="220" w:lineRule="auto"/>
        <w:ind w:firstLine="2200" w:firstLineChars="500"/>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w:t>
      </w:r>
      <w:r>
        <w:rPr>
          <w:rFonts w:hint="eastAsia" w:ascii="楷体" w:hAnsi="楷体" w:eastAsia="楷体" w:cs="楷体"/>
          <w:spacing w:val="25"/>
          <w:sz w:val="31"/>
          <w:szCs w:val="31"/>
          <w:lang w:eastAsia="zh-CN"/>
        </w:rPr>
        <w:t>市委大院维护管理</w:t>
      </w:r>
      <w:r>
        <w:rPr>
          <w:rFonts w:ascii="楷体" w:hAnsi="楷体" w:eastAsia="楷体" w:cs="楷体"/>
          <w:spacing w:val="25"/>
          <w:sz w:val="31"/>
          <w:szCs w:val="31"/>
        </w:rPr>
        <w:t>)</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F534E8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7A7DA25C">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840" w:firstLineChars="300"/>
        <w:textAlignment w:val="baseline"/>
        <w:rPr>
          <w:rFonts w:hint="eastAsia" w:eastAsia="仿宋_GB2312"/>
          <w:kern w:val="0"/>
          <w:sz w:val="32"/>
          <w:szCs w:val="32"/>
          <w:lang w:eastAsia="zh-CN"/>
        </w:rPr>
      </w:pPr>
      <w:r>
        <w:rPr>
          <w:rFonts w:hint="eastAsia" w:ascii="仿宋" w:hAnsi="仿宋" w:eastAsia="仿宋" w:cs="仿宋"/>
          <w:sz w:val="28"/>
          <w:szCs w:val="28"/>
        </w:rPr>
        <w:t>市委机关大院占地面积3.36万㎡，共有办公楼6栋，居民楼12栋，食堂</w:t>
      </w:r>
      <w:r>
        <w:rPr>
          <w:rFonts w:hint="eastAsia" w:ascii="仿宋" w:hAnsi="仿宋" w:eastAsia="仿宋" w:cs="仿宋"/>
          <w:sz w:val="28"/>
          <w:szCs w:val="28"/>
          <w:lang w:val="en-US" w:eastAsia="zh-CN"/>
        </w:rPr>
        <w:t>2</w:t>
      </w:r>
      <w:r>
        <w:rPr>
          <w:rFonts w:hint="eastAsia" w:ascii="仿宋" w:hAnsi="仿宋" w:eastAsia="仿宋" w:cs="仿宋"/>
          <w:sz w:val="28"/>
          <w:szCs w:val="28"/>
        </w:rPr>
        <w:t>栋，篮球场1个，绿化覆盖率达60%以上，是我市党政机关领导</w:t>
      </w:r>
      <w:r>
        <w:rPr>
          <w:rFonts w:hint="eastAsia" w:ascii="仿宋" w:hAnsi="仿宋" w:eastAsia="仿宋" w:cs="仿宋"/>
          <w:sz w:val="28"/>
          <w:szCs w:val="28"/>
          <w:lang w:eastAsia="zh-CN"/>
        </w:rPr>
        <w:t>等</w:t>
      </w:r>
      <w:r>
        <w:rPr>
          <w:rFonts w:hint="eastAsia" w:ascii="仿宋" w:hAnsi="仿宋" w:eastAsia="仿宋" w:cs="仿宋"/>
          <w:sz w:val="28"/>
          <w:szCs w:val="28"/>
          <w:lang w:val="en-US" w:eastAsia="zh-CN"/>
        </w:rPr>
        <w:t>17家市直单位职工</w:t>
      </w:r>
      <w:r>
        <w:rPr>
          <w:rFonts w:hint="eastAsia" w:ascii="仿宋" w:hAnsi="仿宋" w:eastAsia="仿宋" w:cs="仿宋"/>
          <w:sz w:val="28"/>
          <w:szCs w:val="28"/>
        </w:rPr>
        <w:t>工作的主要场所。汨罗市机关事务服务中心始建于1978年，现有编织26人，在编干职工25人，退休人员45人。主要负责1、市委机关大院公共区域综合管理，制定并组织实施有关管理规章制度；2、负责市委机关大院及附属用房等建设的财政预算资金和基建工作，3、负责市委办公大楼内召开的各类会议的会务、后勤工作；4、负责市委机关大院的安全保卫、消防、绿化、卫生保洁等后勤保障工作等。202</w:t>
      </w:r>
      <w:r>
        <w:rPr>
          <w:rFonts w:hint="eastAsia" w:ascii="仿宋" w:hAnsi="仿宋" w:eastAsia="仿宋" w:cs="仿宋"/>
          <w:sz w:val="28"/>
          <w:szCs w:val="28"/>
          <w:lang w:val="en-US" w:eastAsia="zh-CN"/>
        </w:rPr>
        <w:t>4</w:t>
      </w:r>
      <w:r>
        <w:rPr>
          <w:rFonts w:hint="eastAsia" w:ascii="仿宋" w:hAnsi="仿宋" w:eastAsia="仿宋" w:cs="仿宋"/>
          <w:sz w:val="28"/>
          <w:szCs w:val="28"/>
        </w:rPr>
        <w:t>年本项目年初预算42万元，决算数为</w:t>
      </w:r>
      <w:r>
        <w:rPr>
          <w:rFonts w:hint="eastAsia" w:ascii="仿宋" w:hAnsi="仿宋" w:eastAsia="仿宋" w:cs="仿宋"/>
          <w:sz w:val="28"/>
          <w:szCs w:val="28"/>
          <w:lang w:val="en-US" w:eastAsia="zh-CN"/>
        </w:rPr>
        <w:t>74.56</w:t>
      </w:r>
      <w:r>
        <w:rPr>
          <w:rFonts w:hint="eastAsia" w:ascii="仿宋" w:hAnsi="仿宋" w:eastAsia="仿宋" w:cs="仿宋"/>
          <w:sz w:val="28"/>
          <w:szCs w:val="28"/>
        </w:rPr>
        <w:t>万元。</w:t>
      </w:r>
    </w:p>
    <w:p w14:paraId="6A425159">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7AF6A4F9">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Times New Roman" w:hAnsi="Times New Roman"/>
          <w:sz w:val="28"/>
          <w:szCs w:val="28"/>
        </w:rPr>
      </w:pPr>
      <w:bookmarkStart w:id="0" w:name="_GoBack"/>
      <w:bookmarkEnd w:id="0"/>
      <w:r>
        <w:rPr>
          <w:rFonts w:hint="eastAsia" w:ascii="仿宋" w:hAnsi="仿宋" w:eastAsia="仿宋" w:cs="仿宋"/>
          <w:sz w:val="28"/>
          <w:szCs w:val="28"/>
        </w:rPr>
        <w:t>坚持财经制度，经费开支坚持做到专款专用，厉行节约，控制成本。</w:t>
      </w:r>
    </w:p>
    <w:p w14:paraId="77C173CB">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93A6928">
      <w:pPr>
        <w:pStyle w:val="2"/>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right="0" w:rightChars="0" w:firstLine="840" w:firstLineChars="300"/>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年本项目安排分管领导，按专项资金的用途专款专用，达到预期指标。产出指标、效益指标、满意度指标均达到预期指标。完成情况良好。</w:t>
      </w:r>
    </w:p>
    <w:p w14:paraId="6732EB4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7CF3C2F7">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ascii="黑体" w:hAnsi="黑体" w:eastAsia="黑体" w:cs="黑体"/>
          <w:b/>
          <w:bCs/>
          <w:spacing w:val="-15"/>
          <w:sz w:val="31"/>
          <w:szCs w:val="31"/>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以习近平总书记“整体、动态、开放、相对、共同”安全观为指引，推动各项工作更加科学、高效，实现了整体形象的全面提升。及时、准确做好大院公共基础设施设备维修维护工作，优化公共区域环境卫生，生活环境舒适， 获得社会好评，有幸福感。</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184FC571">
      <w:pPr>
        <w:keepNext w:val="0"/>
        <w:keepLines w:val="0"/>
        <w:pageBreakBefore w:val="0"/>
        <w:widowControl/>
        <w:kinsoku w:val="0"/>
        <w:wordWrap/>
        <w:overflowPunct/>
        <w:topLinePunct w:val="0"/>
        <w:autoSpaceDE w:val="0"/>
        <w:autoSpaceDN w:val="0"/>
        <w:bidi w:val="0"/>
        <w:adjustRightInd w:val="0"/>
        <w:snapToGrid w:val="0"/>
        <w:spacing w:line="560" w:lineRule="exact"/>
        <w:ind w:firstLine="840" w:firstLineChars="300"/>
        <w:textAlignment w:val="baseline"/>
        <w:outlineLvl w:val="0"/>
        <w:rPr>
          <w:rFonts w:ascii="黑体" w:hAnsi="黑体" w:eastAsia="黑体" w:cs="黑体"/>
          <w:b/>
          <w:bCs/>
          <w:spacing w:val="-15"/>
          <w:sz w:val="31"/>
          <w:szCs w:val="31"/>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年，机关事务中心加强大院管理，确保市委大院安全保卫工作质量，保证各部门单位人员工作有序进行。大院绿化植被维护，确保绿植四季常绿，改善生态环境，提高城市绿化景观。 </w:t>
      </w:r>
      <w:r>
        <w:rPr>
          <w:rFonts w:hint="eastAsia" w:ascii="Times New Roman" w:hAnsi="宋体"/>
          <w:sz w:val="28"/>
          <w:szCs w:val="28"/>
        </w:rPr>
        <w:t xml:space="preserve"> </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7473AF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228"/>
        <w:jc w:val="both"/>
        <w:textAlignment w:val="baseline"/>
        <w:rPr>
          <w:rFonts w:hint="eastAsia" w:ascii="仿宋" w:hAnsi="仿宋" w:eastAsia="仿宋" w:cs="仿宋"/>
          <w:b/>
          <w:bCs/>
          <w:snapToGrid w:val="0"/>
          <w:color w:val="000000"/>
          <w:spacing w:val="-15"/>
          <w:kern w:val="0"/>
          <w:sz w:val="28"/>
          <w:szCs w:val="28"/>
          <w:lang w:val="en-US" w:eastAsia="zh-CN" w:bidi="ar-SA"/>
        </w:rPr>
      </w:pPr>
      <w:r>
        <w:rPr>
          <w:rFonts w:hint="eastAsia" w:ascii="仿宋" w:hAnsi="仿宋" w:eastAsia="仿宋" w:cs="仿宋"/>
          <w:sz w:val="28"/>
          <w:szCs w:val="28"/>
        </w:rPr>
        <w:t>在项目资金的申报、批复及预算调整上，我们严格按程序办理，资金申报上，严格报送审批程序，保证并监管资金落实。</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7A40D08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仿宋" w:hAnsi="仿宋" w:eastAsia="仿宋" w:cs="仿宋"/>
          <w:sz w:val="28"/>
          <w:szCs w:val="28"/>
        </w:rPr>
        <w:t>严格督促项目实施和资金使用，切实发挥好财政资金使用效益，确保财政资金使用依法、规范、安全、高效。</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4CA3C25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b/>
          <w:bCs/>
          <w:snapToGrid w:val="0"/>
          <w:color w:val="000000"/>
          <w:spacing w:val="-15"/>
          <w:kern w:val="0"/>
          <w:sz w:val="28"/>
          <w:szCs w:val="28"/>
          <w:lang w:val="en-US" w:eastAsia="zh-CN" w:bidi="ar-SA"/>
        </w:rPr>
      </w:pPr>
      <w:r>
        <w:rPr>
          <w:rFonts w:hint="eastAsia" w:ascii="仿宋" w:hAnsi="仿宋" w:eastAsia="仿宋" w:cs="仿宋"/>
          <w:sz w:val="28"/>
          <w:szCs w:val="28"/>
        </w:rPr>
        <w:t>完成了目标任务。</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2AAAE57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ascii="黑体" w:hAnsi="黑体" w:eastAsia="黑体" w:cs="黑体"/>
          <w:b/>
          <w:bCs/>
          <w:spacing w:val="-15"/>
          <w:sz w:val="31"/>
          <w:szCs w:val="31"/>
        </w:rPr>
      </w:pPr>
      <w:r>
        <w:rPr>
          <w:rFonts w:hint="eastAsia" w:ascii="仿宋" w:hAnsi="仿宋" w:eastAsia="仿宋" w:cs="仿宋"/>
          <w:sz w:val="28"/>
          <w:szCs w:val="28"/>
        </w:rPr>
        <w:t>专项资金落实到位，严格按照相关财务制度执行。随着城市发展增快，人民群众对生活和工作质量要求的不断提高，现预算资金已不能满意实际经费开支，资金缺口较大。</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2101FE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虽然财政资金使用规范，但也还存在可用财力偏小，不能满足日益增长的</w:t>
      </w:r>
      <w:r>
        <w:rPr>
          <w:rFonts w:hint="eastAsia" w:ascii="仿宋" w:hAnsi="仿宋" w:eastAsia="仿宋" w:cs="仿宋"/>
          <w:sz w:val="28"/>
          <w:szCs w:val="28"/>
          <w:lang w:eastAsia="zh-CN"/>
        </w:rPr>
        <w:t>机关事务管理</w:t>
      </w:r>
      <w:r>
        <w:rPr>
          <w:rFonts w:hint="eastAsia" w:ascii="仿宋" w:hAnsi="仿宋" w:eastAsia="仿宋" w:cs="仿宋"/>
          <w:sz w:val="28"/>
          <w:szCs w:val="28"/>
        </w:rPr>
        <w:t>工作需要，资金支出的绩效评价还有待加强等问题。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46E6B0F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ascii="黑体" w:hAnsi="黑体" w:eastAsia="黑体" w:cs="黑体"/>
          <w:b/>
          <w:bCs/>
          <w:spacing w:val="-15"/>
          <w:sz w:val="31"/>
          <w:szCs w:val="31"/>
        </w:rPr>
      </w:pPr>
      <w:r>
        <w:rPr>
          <w:rFonts w:hint="eastAsia" w:ascii="仿宋" w:hAnsi="仿宋" w:eastAsia="仿宋" w:cs="仿宋"/>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177CD87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70" w:firstLineChars="228"/>
        <w:textAlignment w:val="baseline"/>
        <w:outlineLvl w:val="0"/>
        <w:rPr>
          <w:rFonts w:hint="eastAsia" w:ascii="仿宋" w:hAnsi="仿宋" w:eastAsia="仿宋" w:cs="仿宋"/>
          <w:b w:val="0"/>
          <w:bCs w:val="0"/>
          <w:spacing w:val="-15"/>
          <w:sz w:val="28"/>
          <w:szCs w:val="28"/>
          <w:lang w:eastAsia="zh-CN"/>
        </w:rPr>
      </w:pPr>
      <w:r>
        <w:rPr>
          <w:rFonts w:hint="eastAsia" w:ascii="仿宋" w:hAnsi="仿宋" w:eastAsia="仿宋" w:cs="仿宋"/>
          <w:b w:val="0"/>
          <w:bCs w:val="0"/>
          <w:spacing w:val="-15"/>
          <w:sz w:val="28"/>
          <w:szCs w:val="28"/>
          <w:lang w:eastAsia="zh-CN"/>
        </w:rPr>
        <w:t>无</w:t>
      </w:r>
    </w:p>
    <w:p w14:paraId="17AD741D">
      <w:pPr>
        <w:spacing w:before="1" w:line="220" w:lineRule="auto"/>
        <w:ind w:left="3069"/>
        <w:rPr>
          <w:rFonts w:hint="eastAsia" w:ascii="黑体" w:hAnsi="黑体" w:eastAsia="黑体" w:cs="黑体"/>
          <w:spacing w:val="10"/>
          <w:sz w:val="42"/>
          <w:szCs w:val="42"/>
        </w:rPr>
      </w:pPr>
    </w:p>
    <w:p w14:paraId="54EF5515">
      <w:pPr>
        <w:spacing w:before="1" w:line="220" w:lineRule="auto"/>
        <w:ind w:left="3069"/>
        <w:rPr>
          <w:rFonts w:hint="eastAsia" w:ascii="黑体" w:hAnsi="黑体" w:eastAsia="黑体" w:cs="黑体"/>
          <w:spacing w:val="10"/>
          <w:sz w:val="42"/>
          <w:szCs w:val="42"/>
        </w:rPr>
      </w:pPr>
    </w:p>
    <w:p w14:paraId="0FF24FB4">
      <w:pPr>
        <w:spacing w:before="1" w:line="220" w:lineRule="auto"/>
        <w:ind w:left="3069"/>
        <w:rPr>
          <w:rFonts w:hint="eastAsia" w:ascii="黑体" w:hAnsi="黑体" w:eastAsia="黑体" w:cs="黑体"/>
          <w:spacing w:val="10"/>
          <w:sz w:val="42"/>
          <w:szCs w:val="42"/>
        </w:rPr>
      </w:pPr>
    </w:p>
    <w:p w14:paraId="1BE0EE9F">
      <w:pPr>
        <w:spacing w:before="1" w:line="220" w:lineRule="auto"/>
        <w:ind w:left="3069"/>
        <w:rPr>
          <w:rFonts w:hint="eastAsia" w:ascii="黑体" w:hAnsi="黑体" w:eastAsia="黑体" w:cs="黑体"/>
          <w:spacing w:val="10"/>
          <w:sz w:val="42"/>
          <w:szCs w:val="42"/>
        </w:rPr>
      </w:pPr>
    </w:p>
    <w:p w14:paraId="43103125">
      <w:pPr>
        <w:spacing w:before="1" w:line="220" w:lineRule="auto"/>
        <w:ind w:left="3069"/>
        <w:rPr>
          <w:rFonts w:hint="eastAsia" w:ascii="黑体" w:hAnsi="黑体" w:eastAsia="黑体" w:cs="黑体"/>
          <w:spacing w:val="10"/>
          <w:sz w:val="42"/>
          <w:szCs w:val="42"/>
        </w:rPr>
      </w:pPr>
    </w:p>
    <w:p w14:paraId="21D39CBE">
      <w:pPr>
        <w:spacing w:before="1" w:line="220" w:lineRule="auto"/>
        <w:ind w:left="3069"/>
        <w:rPr>
          <w:rFonts w:hint="eastAsia" w:ascii="黑体" w:hAnsi="黑体" w:eastAsia="黑体" w:cs="黑体"/>
          <w:spacing w:val="10"/>
          <w:sz w:val="42"/>
          <w:szCs w:val="42"/>
        </w:rPr>
      </w:pPr>
    </w:p>
    <w:p w14:paraId="040439AA">
      <w:pPr>
        <w:spacing w:before="1" w:line="220" w:lineRule="auto"/>
        <w:ind w:left="3069"/>
        <w:rPr>
          <w:rFonts w:hint="eastAsia" w:ascii="黑体" w:hAnsi="黑体" w:eastAsia="黑体" w:cs="黑体"/>
          <w:spacing w:val="10"/>
          <w:sz w:val="42"/>
          <w:szCs w:val="42"/>
        </w:rPr>
      </w:pPr>
    </w:p>
    <w:p w14:paraId="52AE5653">
      <w:pPr>
        <w:spacing w:before="1" w:line="220" w:lineRule="auto"/>
        <w:ind w:left="3069"/>
        <w:rPr>
          <w:rFonts w:hint="eastAsia" w:ascii="黑体" w:hAnsi="黑体" w:eastAsia="黑体" w:cs="黑体"/>
          <w:spacing w:val="10"/>
          <w:sz w:val="42"/>
          <w:szCs w:val="42"/>
        </w:rPr>
      </w:pPr>
    </w:p>
    <w:p w14:paraId="511D6761">
      <w:pPr>
        <w:spacing w:before="1" w:line="220" w:lineRule="auto"/>
        <w:ind w:left="3069"/>
        <w:rPr>
          <w:rFonts w:hint="eastAsia" w:ascii="黑体" w:hAnsi="黑体" w:eastAsia="黑体" w:cs="黑体"/>
          <w:spacing w:val="10"/>
          <w:sz w:val="42"/>
          <w:szCs w:val="42"/>
        </w:rPr>
      </w:pPr>
    </w:p>
    <w:p w14:paraId="292DCA60">
      <w:pPr>
        <w:spacing w:before="1" w:line="220" w:lineRule="auto"/>
        <w:ind w:left="3069"/>
        <w:rPr>
          <w:rFonts w:hint="eastAsia" w:ascii="黑体" w:hAnsi="黑体" w:eastAsia="黑体" w:cs="黑体"/>
          <w:spacing w:val="10"/>
          <w:sz w:val="42"/>
          <w:szCs w:val="42"/>
        </w:rPr>
      </w:pPr>
    </w:p>
    <w:p w14:paraId="3E2A4B8C">
      <w:pPr>
        <w:spacing w:before="1" w:line="220" w:lineRule="auto"/>
        <w:ind w:left="3069"/>
        <w:rPr>
          <w:rFonts w:hint="eastAsia" w:ascii="黑体" w:hAnsi="黑体" w:eastAsia="黑体" w:cs="黑体"/>
          <w:spacing w:val="10"/>
          <w:sz w:val="42"/>
          <w:szCs w:val="42"/>
        </w:rPr>
      </w:pPr>
    </w:p>
    <w:p w14:paraId="136913F8">
      <w:pPr>
        <w:spacing w:before="1" w:line="220" w:lineRule="auto"/>
        <w:ind w:left="3069"/>
        <w:rPr>
          <w:rFonts w:hint="eastAsia" w:ascii="黑体" w:hAnsi="黑体" w:eastAsia="黑体" w:cs="黑体"/>
          <w:spacing w:val="10"/>
          <w:sz w:val="42"/>
          <w:szCs w:val="42"/>
        </w:rPr>
      </w:pPr>
    </w:p>
    <w:p w14:paraId="20411978">
      <w:pPr>
        <w:spacing w:before="1" w:line="220" w:lineRule="auto"/>
        <w:ind w:left="3069"/>
        <w:rPr>
          <w:rFonts w:hint="eastAsia" w:ascii="黑体" w:hAnsi="黑体" w:eastAsia="黑体" w:cs="黑体"/>
          <w:spacing w:val="10"/>
          <w:sz w:val="42"/>
          <w:szCs w:val="42"/>
        </w:rPr>
      </w:pPr>
    </w:p>
    <w:p w14:paraId="549A8717">
      <w:pPr>
        <w:spacing w:before="1" w:line="220" w:lineRule="auto"/>
        <w:ind w:left="3069"/>
        <w:rPr>
          <w:rFonts w:hint="eastAsia" w:ascii="黑体" w:hAnsi="黑体" w:eastAsia="黑体" w:cs="黑体"/>
          <w:spacing w:val="10"/>
          <w:sz w:val="42"/>
          <w:szCs w:val="42"/>
        </w:rPr>
      </w:pPr>
    </w:p>
    <w:p w14:paraId="14F5FE0D">
      <w:pPr>
        <w:spacing w:before="1" w:line="220" w:lineRule="auto"/>
        <w:ind w:left="3069"/>
        <w:rPr>
          <w:rFonts w:hint="eastAsia" w:ascii="黑体" w:hAnsi="黑体" w:eastAsia="黑体" w:cs="黑体"/>
          <w:spacing w:val="10"/>
          <w:sz w:val="42"/>
          <w:szCs w:val="42"/>
        </w:rPr>
      </w:pPr>
    </w:p>
    <w:p w14:paraId="2FCF8A74">
      <w:pPr>
        <w:spacing w:before="1" w:line="220" w:lineRule="auto"/>
        <w:ind w:left="3069"/>
        <w:rPr>
          <w:rFonts w:hint="eastAsia" w:ascii="黑体" w:hAnsi="黑体" w:eastAsia="黑体" w:cs="黑体"/>
          <w:spacing w:val="10"/>
          <w:sz w:val="42"/>
          <w:szCs w:val="42"/>
        </w:rPr>
      </w:pPr>
    </w:p>
    <w:p w14:paraId="43BE687D">
      <w:pPr>
        <w:spacing w:before="1" w:line="220" w:lineRule="auto"/>
        <w:ind w:left="3069"/>
        <w:rPr>
          <w:rFonts w:hint="eastAsia" w:ascii="黑体" w:hAnsi="黑体" w:eastAsia="黑体" w:cs="黑体"/>
          <w:spacing w:val="10"/>
          <w:sz w:val="42"/>
          <w:szCs w:val="42"/>
        </w:rPr>
      </w:pPr>
    </w:p>
    <w:p w14:paraId="45EA2804">
      <w:pPr>
        <w:spacing w:before="1" w:line="220" w:lineRule="auto"/>
        <w:ind w:left="3069"/>
        <w:rPr>
          <w:rFonts w:hint="eastAsia" w:ascii="黑体" w:hAnsi="黑体" w:eastAsia="黑体" w:cs="黑体"/>
          <w:spacing w:val="10"/>
          <w:sz w:val="42"/>
          <w:szCs w:val="42"/>
        </w:rPr>
      </w:pPr>
    </w:p>
    <w:p w14:paraId="65812EA4">
      <w:pPr>
        <w:spacing w:before="1" w:line="220" w:lineRule="auto"/>
        <w:ind w:left="3069"/>
        <w:rPr>
          <w:rFonts w:hint="eastAsia" w:ascii="黑体" w:hAnsi="黑体" w:eastAsia="黑体" w:cs="黑体"/>
          <w:spacing w:val="10"/>
          <w:sz w:val="42"/>
          <w:szCs w:val="42"/>
        </w:rPr>
      </w:pPr>
    </w:p>
    <w:p w14:paraId="0A0A4F01">
      <w:pPr>
        <w:spacing w:before="1" w:line="220" w:lineRule="auto"/>
        <w:ind w:left="3069"/>
        <w:rPr>
          <w:rFonts w:hint="eastAsia" w:ascii="黑体" w:hAnsi="黑体" w:eastAsia="黑体" w:cs="黑体"/>
          <w:spacing w:val="10"/>
          <w:sz w:val="42"/>
          <w:szCs w:val="42"/>
        </w:rPr>
      </w:pPr>
    </w:p>
    <w:p w14:paraId="5CCD4D44">
      <w:pPr>
        <w:spacing w:before="1" w:line="220" w:lineRule="auto"/>
        <w:ind w:left="3069"/>
        <w:rPr>
          <w:rFonts w:hint="eastAsia" w:ascii="黑体" w:hAnsi="黑体" w:eastAsia="黑体" w:cs="黑体"/>
          <w:spacing w:val="10"/>
          <w:sz w:val="42"/>
          <w:szCs w:val="42"/>
        </w:rPr>
      </w:pPr>
    </w:p>
    <w:p w14:paraId="64F450E3">
      <w:pPr>
        <w:spacing w:before="1" w:line="220" w:lineRule="auto"/>
        <w:ind w:left="3069"/>
        <w:rPr>
          <w:rFonts w:hint="eastAsia" w:ascii="黑体" w:hAnsi="黑体" w:eastAsia="黑体" w:cs="黑体"/>
          <w:spacing w:val="10"/>
          <w:sz w:val="42"/>
          <w:szCs w:val="42"/>
        </w:rPr>
      </w:pPr>
    </w:p>
    <w:p w14:paraId="12670C65">
      <w:pPr>
        <w:spacing w:line="267" w:lineRule="auto"/>
        <w:jc w:val="both"/>
        <w:rPr>
          <w:rFonts w:hint="eastAsia" w:ascii="宋体" w:hAnsi="宋体" w:eastAsia="宋体" w:cs="宋体"/>
          <w:bCs/>
          <w:spacing w:val="-4"/>
          <w:kern w:val="0"/>
          <w:sz w:val="28"/>
          <w:szCs w:val="28"/>
          <w:lang w:eastAsia="zh-CN"/>
        </w:rPr>
      </w:pPr>
    </w:p>
    <w:p w14:paraId="7C251D58">
      <w:pPr>
        <w:spacing w:line="267" w:lineRule="auto"/>
        <w:jc w:val="both"/>
        <w:rPr>
          <w:rFonts w:hint="eastAsia" w:ascii="宋体" w:hAnsi="宋体" w:eastAsia="宋体" w:cs="宋体"/>
          <w:bCs/>
          <w:spacing w:val="-4"/>
          <w:kern w:val="0"/>
          <w:sz w:val="28"/>
          <w:szCs w:val="28"/>
          <w:lang w:eastAsia="zh-CN"/>
        </w:rPr>
      </w:pPr>
    </w:p>
    <w:p w14:paraId="08F5E234">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231F2807">
      <w:pPr>
        <w:spacing w:before="201" w:line="578" w:lineRule="exact"/>
        <w:jc w:val="center"/>
        <w:rPr>
          <w:rFonts w:ascii="Times New Roman" w:hAnsi="Times New Roman" w:eastAsia="Times New Roman" w:cs="Times New Roman"/>
          <w:spacing w:val="15"/>
          <w:position w:val="10"/>
          <w:sz w:val="42"/>
          <w:szCs w:val="42"/>
        </w:rPr>
      </w:pPr>
    </w:p>
    <w:p w14:paraId="2F6CFA9F">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市委机关后勤</w:t>
      </w:r>
      <w:r>
        <w:rPr>
          <w:rFonts w:ascii="黑体" w:hAnsi="黑体" w:eastAsia="黑体" w:cs="黑体"/>
          <w:spacing w:val="15"/>
          <w:position w:val="10"/>
          <w:sz w:val="42"/>
          <w:szCs w:val="42"/>
        </w:rPr>
        <w:t>项目支出</w:t>
      </w:r>
    </w:p>
    <w:p w14:paraId="3C5521D6">
      <w:pPr>
        <w:spacing w:before="201" w:line="578" w:lineRule="exact"/>
        <w:jc w:val="center"/>
        <w:rPr>
          <w:rFonts w:ascii="黑体" w:hAnsi="黑体" w:eastAsia="黑体" w:cs="黑体"/>
          <w:sz w:val="42"/>
          <w:szCs w:val="42"/>
        </w:rPr>
      </w:pPr>
      <w:r>
        <w:rPr>
          <w:rFonts w:ascii="黑体" w:hAnsi="黑体" w:eastAsia="黑体" w:cs="黑体"/>
          <w:spacing w:val="10"/>
          <w:sz w:val="42"/>
          <w:szCs w:val="42"/>
        </w:rPr>
        <w:t>绩效自评报告</w:t>
      </w:r>
    </w:p>
    <w:p w14:paraId="07CAAE32">
      <w:pPr>
        <w:spacing w:line="246" w:lineRule="auto"/>
        <w:rPr>
          <w:rFonts w:ascii="Arial"/>
          <w:sz w:val="21"/>
        </w:rPr>
      </w:pPr>
    </w:p>
    <w:p w14:paraId="52ED3747">
      <w:pPr>
        <w:spacing w:line="246" w:lineRule="auto"/>
        <w:rPr>
          <w:rFonts w:ascii="Arial"/>
          <w:sz w:val="21"/>
        </w:rPr>
      </w:pPr>
    </w:p>
    <w:p w14:paraId="7128503F">
      <w:pPr>
        <w:spacing w:line="246" w:lineRule="auto"/>
        <w:rPr>
          <w:rFonts w:ascii="Arial"/>
          <w:sz w:val="21"/>
        </w:rPr>
      </w:pPr>
    </w:p>
    <w:p w14:paraId="11A0A227">
      <w:pPr>
        <w:spacing w:line="246" w:lineRule="auto"/>
        <w:rPr>
          <w:rFonts w:ascii="Arial"/>
          <w:sz w:val="21"/>
        </w:rPr>
      </w:pPr>
    </w:p>
    <w:p w14:paraId="6F72CFAF">
      <w:pPr>
        <w:spacing w:line="246" w:lineRule="auto"/>
        <w:rPr>
          <w:rFonts w:ascii="Arial"/>
          <w:sz w:val="21"/>
        </w:rPr>
      </w:pPr>
    </w:p>
    <w:p w14:paraId="49B37279">
      <w:pPr>
        <w:spacing w:line="246" w:lineRule="auto"/>
        <w:rPr>
          <w:rFonts w:ascii="Arial"/>
          <w:sz w:val="21"/>
        </w:rPr>
      </w:pPr>
    </w:p>
    <w:p w14:paraId="4B74D9D2">
      <w:pPr>
        <w:spacing w:line="246" w:lineRule="auto"/>
        <w:rPr>
          <w:rFonts w:ascii="Arial"/>
          <w:sz w:val="21"/>
        </w:rPr>
      </w:pPr>
    </w:p>
    <w:p w14:paraId="1DF39FA1">
      <w:pPr>
        <w:spacing w:line="246" w:lineRule="auto"/>
        <w:rPr>
          <w:rFonts w:ascii="Arial"/>
          <w:sz w:val="21"/>
        </w:rPr>
      </w:pPr>
    </w:p>
    <w:p w14:paraId="58F3CDB8">
      <w:pPr>
        <w:spacing w:line="246" w:lineRule="auto"/>
        <w:rPr>
          <w:rFonts w:ascii="Arial"/>
          <w:sz w:val="21"/>
        </w:rPr>
      </w:pPr>
    </w:p>
    <w:p w14:paraId="55BA9D64">
      <w:pPr>
        <w:spacing w:line="246" w:lineRule="auto"/>
        <w:rPr>
          <w:rFonts w:ascii="Arial"/>
          <w:sz w:val="21"/>
        </w:rPr>
      </w:pPr>
    </w:p>
    <w:p w14:paraId="3D386F69">
      <w:pPr>
        <w:spacing w:line="246" w:lineRule="auto"/>
        <w:rPr>
          <w:rFonts w:ascii="Arial"/>
          <w:sz w:val="21"/>
        </w:rPr>
      </w:pPr>
    </w:p>
    <w:p w14:paraId="6957D9FE">
      <w:pPr>
        <w:spacing w:line="246" w:lineRule="auto"/>
        <w:rPr>
          <w:rFonts w:ascii="Arial"/>
          <w:sz w:val="21"/>
        </w:rPr>
      </w:pPr>
    </w:p>
    <w:p w14:paraId="6FA4F1B7">
      <w:pPr>
        <w:spacing w:line="246" w:lineRule="auto"/>
        <w:rPr>
          <w:rFonts w:ascii="Arial"/>
          <w:sz w:val="21"/>
        </w:rPr>
      </w:pPr>
    </w:p>
    <w:p w14:paraId="404AE496">
      <w:pPr>
        <w:spacing w:line="246" w:lineRule="auto"/>
        <w:rPr>
          <w:rFonts w:ascii="Arial"/>
          <w:sz w:val="21"/>
        </w:rPr>
      </w:pPr>
    </w:p>
    <w:p w14:paraId="4909E0E2">
      <w:pPr>
        <w:spacing w:line="246" w:lineRule="auto"/>
        <w:rPr>
          <w:rFonts w:ascii="Arial"/>
          <w:sz w:val="21"/>
        </w:rPr>
      </w:pPr>
    </w:p>
    <w:p w14:paraId="3CD5389B">
      <w:pPr>
        <w:spacing w:line="246" w:lineRule="auto"/>
        <w:rPr>
          <w:rFonts w:ascii="Arial"/>
          <w:sz w:val="21"/>
        </w:rPr>
      </w:pPr>
    </w:p>
    <w:p w14:paraId="6E33A926">
      <w:pPr>
        <w:spacing w:line="246" w:lineRule="auto"/>
        <w:rPr>
          <w:rFonts w:ascii="Arial"/>
          <w:sz w:val="21"/>
        </w:rPr>
      </w:pPr>
    </w:p>
    <w:p w14:paraId="2F8FF90A">
      <w:pPr>
        <w:spacing w:line="247" w:lineRule="auto"/>
        <w:rPr>
          <w:rFonts w:ascii="Arial"/>
          <w:sz w:val="21"/>
        </w:rPr>
      </w:pPr>
    </w:p>
    <w:p w14:paraId="01C6EFCE">
      <w:pPr>
        <w:spacing w:line="247" w:lineRule="auto"/>
        <w:rPr>
          <w:rFonts w:ascii="Arial"/>
          <w:sz w:val="21"/>
        </w:rPr>
      </w:pPr>
    </w:p>
    <w:p w14:paraId="5B63D43A">
      <w:pPr>
        <w:spacing w:line="247" w:lineRule="auto"/>
        <w:rPr>
          <w:rFonts w:ascii="Arial"/>
          <w:sz w:val="21"/>
        </w:rPr>
      </w:pPr>
    </w:p>
    <w:p w14:paraId="35FC7C2C">
      <w:pPr>
        <w:spacing w:line="247" w:lineRule="auto"/>
        <w:rPr>
          <w:rFonts w:ascii="Arial"/>
          <w:sz w:val="21"/>
        </w:rPr>
      </w:pPr>
    </w:p>
    <w:p w14:paraId="6E93F324">
      <w:pPr>
        <w:spacing w:line="247" w:lineRule="auto"/>
        <w:rPr>
          <w:rFonts w:ascii="Arial"/>
          <w:sz w:val="21"/>
        </w:rPr>
      </w:pPr>
    </w:p>
    <w:p w14:paraId="765CA222">
      <w:pPr>
        <w:spacing w:line="247" w:lineRule="auto"/>
        <w:rPr>
          <w:rFonts w:ascii="Arial"/>
          <w:sz w:val="21"/>
        </w:rPr>
      </w:pPr>
    </w:p>
    <w:p w14:paraId="3044013F">
      <w:pPr>
        <w:spacing w:line="247" w:lineRule="auto"/>
        <w:rPr>
          <w:rFonts w:ascii="Arial"/>
          <w:sz w:val="21"/>
        </w:rPr>
      </w:pPr>
    </w:p>
    <w:p w14:paraId="77205D83">
      <w:pPr>
        <w:spacing w:line="247" w:lineRule="auto"/>
        <w:rPr>
          <w:rFonts w:ascii="Arial"/>
          <w:sz w:val="21"/>
        </w:rPr>
      </w:pPr>
    </w:p>
    <w:p w14:paraId="362F2986">
      <w:pPr>
        <w:spacing w:line="247" w:lineRule="auto"/>
        <w:rPr>
          <w:rFonts w:ascii="Arial"/>
          <w:sz w:val="21"/>
        </w:rPr>
      </w:pPr>
    </w:p>
    <w:p w14:paraId="3317F5FF">
      <w:pPr>
        <w:spacing w:line="247" w:lineRule="auto"/>
        <w:rPr>
          <w:rFonts w:ascii="Arial"/>
          <w:sz w:val="21"/>
        </w:rPr>
      </w:pPr>
    </w:p>
    <w:p w14:paraId="38260360">
      <w:pPr>
        <w:spacing w:line="247" w:lineRule="auto"/>
        <w:rPr>
          <w:rFonts w:ascii="Arial"/>
          <w:sz w:val="21"/>
        </w:rPr>
      </w:pPr>
    </w:p>
    <w:p w14:paraId="77BCAF6D">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484154C9">
      <w:pPr>
        <w:pStyle w:val="2"/>
        <w:spacing w:before="289" w:line="610" w:lineRule="exact"/>
        <w:ind w:firstLine="3172" w:firstLineChars="13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09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23</w:t>
      </w:r>
      <w:r>
        <w:rPr>
          <w:spacing w:val="12"/>
          <w:position w:val="26"/>
          <w:sz w:val="27"/>
          <w:szCs w:val="27"/>
          <w:highlight w:val="none"/>
        </w:rPr>
        <w:t xml:space="preserve">  </w:t>
      </w:r>
      <w:r>
        <w:rPr>
          <w:spacing w:val="-13"/>
          <w:position w:val="26"/>
          <w:sz w:val="27"/>
          <w:szCs w:val="27"/>
        </w:rPr>
        <w:t>日</w:t>
      </w:r>
    </w:p>
    <w:p w14:paraId="7F2A0112">
      <w:pPr>
        <w:pStyle w:val="2"/>
        <w:spacing w:before="1" w:line="223" w:lineRule="auto"/>
        <w:ind w:left="3560"/>
        <w:rPr>
          <w:sz w:val="24"/>
          <w:szCs w:val="24"/>
        </w:rPr>
      </w:pPr>
      <w:r>
        <w:rPr>
          <w:spacing w:val="7"/>
          <w:sz w:val="24"/>
          <w:szCs w:val="24"/>
        </w:rPr>
        <w:t>(此面为封面)</w:t>
      </w:r>
    </w:p>
    <w:p w14:paraId="45E3D6A3">
      <w:pPr>
        <w:spacing w:line="223" w:lineRule="auto"/>
        <w:rPr>
          <w:sz w:val="24"/>
          <w:szCs w:val="24"/>
        </w:rPr>
        <w:sectPr>
          <w:footerReference r:id="rId8" w:type="default"/>
          <w:pgSz w:w="11900" w:h="16820"/>
          <w:pgMar w:top="1429" w:right="1782" w:bottom="1158" w:left="1450" w:header="0" w:footer="850" w:gutter="0"/>
          <w:cols w:space="720" w:num="1"/>
        </w:sectPr>
      </w:pPr>
    </w:p>
    <w:p w14:paraId="6A9B18E2">
      <w:pPr>
        <w:spacing w:before="1" w:line="220" w:lineRule="auto"/>
        <w:ind w:firstLine="2640" w:firstLineChars="600"/>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2BAD15B2">
      <w:pPr>
        <w:spacing w:before="190" w:line="227" w:lineRule="auto"/>
        <w:jc w:val="center"/>
        <w:rPr>
          <w:rFonts w:ascii="楷体" w:hAnsi="楷体" w:eastAsia="楷体" w:cs="楷体"/>
          <w:sz w:val="31"/>
          <w:szCs w:val="31"/>
        </w:rPr>
      </w:pPr>
      <w:r>
        <w:rPr>
          <w:rFonts w:ascii="楷体" w:hAnsi="楷体" w:eastAsia="楷体" w:cs="楷体"/>
          <w:spacing w:val="25"/>
          <w:sz w:val="31"/>
          <w:szCs w:val="31"/>
        </w:rPr>
        <w:t>(</w:t>
      </w:r>
      <w:r>
        <w:rPr>
          <w:rFonts w:hint="eastAsia" w:ascii="楷体" w:hAnsi="楷体" w:eastAsia="楷体" w:cs="楷体"/>
          <w:spacing w:val="25"/>
          <w:sz w:val="31"/>
          <w:szCs w:val="31"/>
          <w:lang w:eastAsia="zh-CN"/>
        </w:rPr>
        <w:t>市委机关后勤专项</w:t>
      </w:r>
      <w:r>
        <w:rPr>
          <w:rFonts w:ascii="楷体" w:hAnsi="楷体" w:eastAsia="楷体" w:cs="楷体"/>
          <w:spacing w:val="25"/>
          <w:sz w:val="31"/>
          <w:szCs w:val="31"/>
        </w:rPr>
        <w:t>)</w:t>
      </w:r>
    </w:p>
    <w:p w14:paraId="0285A4E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C3B478F">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4C4A3F73">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840" w:firstLineChars="300"/>
        <w:textAlignment w:val="baseline"/>
        <w:rPr>
          <w:rFonts w:hint="eastAsia" w:eastAsia="仿宋_GB2312"/>
          <w:kern w:val="0"/>
          <w:sz w:val="32"/>
          <w:szCs w:val="32"/>
          <w:lang w:eastAsia="zh-CN"/>
        </w:rPr>
      </w:pPr>
      <w:r>
        <w:rPr>
          <w:rFonts w:hint="eastAsia" w:ascii="仿宋" w:hAnsi="仿宋" w:eastAsia="仿宋" w:cs="仿宋"/>
          <w:sz w:val="28"/>
          <w:szCs w:val="28"/>
        </w:rPr>
        <w:t>为保障机关后勤工作正常开展，202</w:t>
      </w:r>
      <w:r>
        <w:rPr>
          <w:rFonts w:hint="eastAsia" w:ascii="仿宋" w:hAnsi="仿宋" w:eastAsia="仿宋" w:cs="仿宋"/>
          <w:sz w:val="28"/>
          <w:szCs w:val="28"/>
          <w:lang w:val="en-US" w:eastAsia="zh-CN"/>
        </w:rPr>
        <w:t>4</w:t>
      </w:r>
      <w:r>
        <w:rPr>
          <w:rFonts w:hint="eastAsia" w:ascii="仿宋" w:hAnsi="仿宋" w:eastAsia="仿宋" w:cs="仿宋"/>
          <w:sz w:val="28"/>
          <w:szCs w:val="28"/>
        </w:rPr>
        <w:t>年度市委机关后勤专项年初预算60万元，</w:t>
      </w:r>
      <w:r>
        <w:rPr>
          <w:rFonts w:hint="eastAsia" w:ascii="仿宋" w:hAnsi="仿宋" w:eastAsia="仿宋" w:cs="仿宋"/>
          <w:sz w:val="28"/>
          <w:szCs w:val="28"/>
          <w:lang w:eastAsia="zh-CN"/>
        </w:rPr>
        <w:t>决算支出</w:t>
      </w:r>
      <w:r>
        <w:rPr>
          <w:rFonts w:hint="eastAsia" w:ascii="仿宋" w:hAnsi="仿宋" w:eastAsia="仿宋" w:cs="仿宋"/>
          <w:sz w:val="28"/>
          <w:szCs w:val="28"/>
          <w:lang w:val="en-US" w:eastAsia="zh-CN"/>
        </w:rPr>
        <w:t>162.96万元，主要</w:t>
      </w:r>
      <w:r>
        <w:rPr>
          <w:rFonts w:hint="eastAsia" w:ascii="仿宋" w:hAnsi="仿宋" w:eastAsia="仿宋" w:cs="仿宋"/>
          <w:sz w:val="28"/>
          <w:szCs w:val="28"/>
        </w:rPr>
        <w:t>用于市委机关大院食堂综合管理、非汨罗籍异地市级领导履职期间食宿管理及周转房公共基础设施和住房修缮维护管理；制定并组织实施有关管理规章制度；市委机关17家单位近</w:t>
      </w:r>
      <w:r>
        <w:rPr>
          <w:rFonts w:hint="eastAsia" w:ascii="仿宋" w:hAnsi="仿宋" w:eastAsia="仿宋" w:cs="仿宋"/>
          <w:sz w:val="28"/>
          <w:szCs w:val="28"/>
          <w:lang w:val="en-US" w:eastAsia="zh-CN"/>
        </w:rPr>
        <w:t>2</w:t>
      </w:r>
      <w:r>
        <w:rPr>
          <w:rFonts w:hint="eastAsia" w:ascii="仿宋" w:hAnsi="仿宋" w:eastAsia="仿宋" w:cs="仿宋"/>
          <w:sz w:val="28"/>
          <w:szCs w:val="28"/>
        </w:rPr>
        <w:t>00多人的工作用餐等；为就餐人员提供舒适的就餐环境和干净、卫生、健康的食材。保障机关后勤正常运转等。</w:t>
      </w:r>
    </w:p>
    <w:p w14:paraId="4E2190F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0E09DF3B">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leftChars="200" w:firstLine="560" w:firstLineChars="200"/>
        <w:jc w:val="both"/>
        <w:textAlignment w:val="baseline"/>
        <w:rPr>
          <w:rFonts w:hint="eastAsia" w:ascii="Times New Roman" w:hAnsi="Times New Roman"/>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年度市委机关后勤经费共支出</w:t>
      </w:r>
      <w:r>
        <w:rPr>
          <w:rFonts w:hint="eastAsia" w:ascii="仿宋" w:hAnsi="仿宋" w:eastAsia="仿宋" w:cs="仿宋"/>
          <w:sz w:val="28"/>
          <w:szCs w:val="28"/>
          <w:lang w:val="en-US" w:eastAsia="zh-CN"/>
        </w:rPr>
        <w:t>162.96</w:t>
      </w:r>
      <w:r>
        <w:rPr>
          <w:rFonts w:hint="eastAsia" w:ascii="仿宋" w:hAnsi="仿宋" w:eastAsia="仿宋" w:cs="仿宋"/>
          <w:sz w:val="28"/>
          <w:szCs w:val="28"/>
        </w:rPr>
        <w:t>万元。主要用于：确保大院工作人员工作日的早、中两餐就餐工作，优化食堂区域用餐环境，力求卫生，舒适；确保就餐人员食材质量，保证各部门单位人员用餐愉快，工作有序进行；负责食堂用具、餐具卫生；设施设备维护到位，确保用餐安全，改善用餐环境，提高工作效率。追加经费的主要原因是新增食堂1个、就餐人员增加，成本相应增加，年初未纳入预算。在使用专项资金时，严格执行专项资金使用制度和财务制度，同时对各项专项资金的使用流程进行监督，定时查看财务表报检查专项资金使用情况。</w:t>
      </w:r>
      <w:r>
        <w:rPr>
          <w:rFonts w:hint="eastAsia" w:ascii="Times New Roman" w:hAnsi="Times New Roman"/>
          <w:sz w:val="28"/>
          <w:szCs w:val="28"/>
        </w:rPr>
        <w:t xml:space="preserve"> </w:t>
      </w:r>
    </w:p>
    <w:p w14:paraId="34580108">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20DBB799">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leftChars="200" w:firstLine="56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年本项目安排分管领导，按专项资金的用途专款专用，达到预期指标。产出指标、效益指标、满意度指标均达到预期指标。完成情况良好。  </w:t>
      </w:r>
    </w:p>
    <w:p w14:paraId="5B75FBD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F4411E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ascii="黑体" w:hAnsi="黑体" w:eastAsia="黑体" w:cs="黑体"/>
          <w:b/>
          <w:bCs/>
          <w:spacing w:val="-15"/>
          <w:sz w:val="31"/>
          <w:szCs w:val="31"/>
        </w:rPr>
      </w:pPr>
      <w:r>
        <w:rPr>
          <w:rFonts w:hint="eastAsia" w:ascii="仿宋" w:hAnsi="仿宋" w:eastAsia="仿宋" w:cs="仿宋"/>
          <w:sz w:val="28"/>
          <w:szCs w:val="28"/>
        </w:rPr>
        <w:t>该项目汨罗市财政编制预算，项目资金60万元，该项目实际支出</w:t>
      </w:r>
      <w:r>
        <w:rPr>
          <w:rFonts w:hint="eastAsia" w:ascii="仿宋" w:hAnsi="仿宋" w:eastAsia="仿宋" w:cs="仿宋"/>
          <w:sz w:val="28"/>
          <w:szCs w:val="28"/>
          <w:lang w:val="en-US" w:eastAsia="zh-CN"/>
        </w:rPr>
        <w:t>162.96</w:t>
      </w:r>
      <w:r>
        <w:rPr>
          <w:rFonts w:hint="eastAsia" w:ascii="仿宋" w:hAnsi="仿宋" w:eastAsia="仿宋" w:cs="仿宋"/>
          <w:sz w:val="28"/>
          <w:szCs w:val="28"/>
        </w:rPr>
        <w:t>万元，主要是负责机关后勤食堂基础设施管理，为机关工作人员创造良好的用餐环境，能更好的为人民群众服务。</w:t>
      </w:r>
    </w:p>
    <w:p w14:paraId="18D2721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17CCD86C">
      <w:pPr>
        <w:keepNext w:val="0"/>
        <w:keepLines w:val="0"/>
        <w:pageBreakBefore w:val="0"/>
        <w:widowControl/>
        <w:kinsoku w:val="0"/>
        <w:wordWrap/>
        <w:overflowPunct/>
        <w:topLinePunct w:val="0"/>
        <w:autoSpaceDE w:val="0"/>
        <w:autoSpaceDN w:val="0"/>
        <w:bidi w:val="0"/>
        <w:adjustRightInd w:val="0"/>
        <w:snapToGrid w:val="0"/>
        <w:spacing w:line="560" w:lineRule="exact"/>
        <w:ind w:left="838" w:leftChars="399" w:firstLine="0" w:firstLineChars="0"/>
        <w:jc w:val="left"/>
        <w:textAlignment w:val="baseline"/>
        <w:rPr>
          <w:rFonts w:ascii="黑体" w:hAnsi="黑体" w:eastAsia="黑体" w:cs="黑体"/>
          <w:b/>
          <w:bCs/>
          <w:spacing w:val="-15"/>
          <w:sz w:val="31"/>
          <w:szCs w:val="31"/>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食堂综合管理工作达到预期目标；                                                                                       </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非汨罗籍异地领导履职期间生活得到保障，管理有序；                                                                                                                                         </w:t>
      </w:r>
      <w:r>
        <w:rPr>
          <w:rFonts w:hint="eastAsia" w:ascii="仿宋" w:hAnsi="仿宋" w:eastAsia="仿宋" w:cs="仿宋"/>
          <w:sz w:val="28"/>
          <w:szCs w:val="28"/>
          <w:lang w:val="en-US" w:eastAsia="zh-CN"/>
        </w:rPr>
        <w:t>3、</w:t>
      </w:r>
      <w:r>
        <w:rPr>
          <w:rFonts w:hint="eastAsia" w:ascii="仿宋" w:hAnsi="仿宋" w:eastAsia="仿宋" w:cs="仿宋"/>
          <w:sz w:val="28"/>
          <w:szCs w:val="28"/>
        </w:rPr>
        <w:t>保证市委机关食堂的用餐环境安全、卫生、消防、食材健康、味道</w:t>
      </w:r>
      <w:r>
        <w:rPr>
          <w:rFonts w:hint="eastAsia" w:ascii="仿宋" w:hAnsi="仿宋" w:eastAsia="仿宋" w:cs="仿宋"/>
          <w:sz w:val="28"/>
          <w:szCs w:val="28"/>
          <w:lang w:eastAsia="zh-CN"/>
        </w:rPr>
        <w:t>可</w:t>
      </w:r>
      <w:r>
        <w:rPr>
          <w:rFonts w:hint="eastAsia" w:ascii="仿宋" w:hAnsi="仿宋" w:eastAsia="仿宋" w:cs="仿宋"/>
          <w:sz w:val="28"/>
          <w:szCs w:val="28"/>
        </w:rPr>
        <w:t>口等后勤保障工作</w:t>
      </w:r>
      <w:r>
        <w:rPr>
          <w:rFonts w:hint="eastAsia" w:ascii="Times New Roman" w:hAnsi="Times New Roman"/>
          <w:sz w:val="28"/>
          <w:szCs w:val="28"/>
        </w:rPr>
        <w:t>。</w:t>
      </w:r>
    </w:p>
    <w:p w14:paraId="4223BC1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A40AE8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6CB40276">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b/>
          <w:bCs/>
          <w:snapToGrid w:val="0"/>
          <w:color w:val="000000"/>
          <w:spacing w:val="-15"/>
          <w:kern w:val="0"/>
          <w:sz w:val="28"/>
          <w:szCs w:val="28"/>
          <w:lang w:val="en-US" w:eastAsia="zh-CN" w:bidi="ar-SA"/>
        </w:rPr>
      </w:pPr>
      <w:r>
        <w:rPr>
          <w:rFonts w:hint="eastAsia" w:ascii="仿宋" w:hAnsi="仿宋" w:eastAsia="仿宋" w:cs="仿宋"/>
          <w:sz w:val="28"/>
          <w:szCs w:val="28"/>
        </w:rPr>
        <w:t>在项目资金的申报、批复及预算调整上，我们严格按程序办理，资金申报上，严格报送审批程序，保证并监管资金落实。</w:t>
      </w:r>
    </w:p>
    <w:p w14:paraId="5DC0AF5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0CC5F37F">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仿宋" w:hAnsi="仿宋" w:eastAsia="仿宋" w:cs="仿宋"/>
          <w:sz w:val="28"/>
          <w:szCs w:val="28"/>
        </w:rPr>
        <w:t>严格督促项目实施和资金使用，切实发挥好财政资金使用效益，专款专用，没有存在挪用或超范围开支的情况，确保财政资金使用依法、规范、安全、高效。在财务管理上，严格按照要求进行资金分配支出，会计核算规范。</w:t>
      </w:r>
    </w:p>
    <w:p w14:paraId="62A0315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601230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仿宋" w:hAnsi="仿宋" w:eastAsia="仿宋" w:cs="仿宋"/>
          <w:sz w:val="28"/>
          <w:szCs w:val="28"/>
        </w:rPr>
        <w:t>根据每月实际需求申报计划并及时到位，该项目严格按照相关财务制度执行，完成了目标任务。</w:t>
      </w:r>
    </w:p>
    <w:p w14:paraId="42697E8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48D25A8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ascii="黑体" w:hAnsi="黑体" w:eastAsia="黑体" w:cs="黑体"/>
          <w:b/>
          <w:bCs/>
          <w:spacing w:val="-15"/>
          <w:sz w:val="31"/>
          <w:szCs w:val="31"/>
        </w:rPr>
      </w:pPr>
      <w:r>
        <w:rPr>
          <w:rFonts w:hint="eastAsia" w:ascii="仿宋" w:hAnsi="仿宋" w:eastAsia="仿宋" w:cs="仿宋"/>
          <w:sz w:val="28"/>
          <w:szCs w:val="28"/>
        </w:rPr>
        <w:t>全面工作从严、从紧，专项资金落实到位，充分发挥了监督保障执行、促进完善发展作用，工作质量进一步得到提升。</w:t>
      </w:r>
    </w:p>
    <w:p w14:paraId="161CFB0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764C6C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虽然财政资金使用规范，但也还存在可用财力偏小，不能满足日益增长的后勤工作需要，资金支出的绩效评价还有待加强等问题。</w:t>
      </w:r>
    </w:p>
    <w:p w14:paraId="36360D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B90ABAD">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ascii="黑体" w:hAnsi="黑体" w:eastAsia="黑体" w:cs="黑体"/>
          <w:b/>
          <w:bCs/>
          <w:spacing w:val="-15"/>
          <w:sz w:val="31"/>
          <w:szCs w:val="31"/>
        </w:rPr>
      </w:pPr>
      <w:r>
        <w:rPr>
          <w:rFonts w:hint="eastAsia" w:ascii="仿宋" w:hAnsi="仿宋" w:eastAsia="仿宋" w:cs="仿宋"/>
          <w:sz w:val="28"/>
          <w:szCs w:val="28"/>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4CBFA7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2672F8D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38" w:firstLineChars="228"/>
        <w:textAlignment w:val="baseline"/>
        <w:outlineLvl w:val="0"/>
        <w:rPr>
          <w:rFonts w:hint="eastAsia" w:ascii="仿宋" w:hAnsi="仿宋" w:eastAsia="仿宋" w:cs="仿宋"/>
          <w:b w:val="0"/>
          <w:bCs w:val="0"/>
          <w:spacing w:val="-15"/>
          <w:sz w:val="31"/>
          <w:szCs w:val="31"/>
          <w:lang w:eastAsia="zh-CN"/>
        </w:rPr>
      </w:pPr>
      <w:r>
        <w:rPr>
          <w:rFonts w:hint="eastAsia" w:ascii="仿宋" w:hAnsi="仿宋" w:eastAsia="仿宋" w:cs="仿宋"/>
          <w:b w:val="0"/>
          <w:bCs w:val="0"/>
          <w:spacing w:val="-15"/>
          <w:sz w:val="31"/>
          <w:szCs w:val="31"/>
          <w:lang w:eastAsia="zh-CN"/>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E2A0E82-B10B-4ED6-8D5A-05BA66C09818}"/>
  </w:font>
  <w:font w:name="黑体">
    <w:panose1 w:val="02010609060101010101"/>
    <w:charset w:val="86"/>
    <w:family w:val="auto"/>
    <w:pitch w:val="default"/>
    <w:sig w:usb0="800002BF" w:usb1="38CF7CFA" w:usb2="00000016" w:usb3="00000000" w:csb0="00040001" w:csb1="00000000"/>
    <w:embedRegular r:id="rId2" w:fontKey="{5C285E2E-B25E-4CEC-B270-8ECCF121FA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3" w:fontKey="{7DC97C30-0F6D-4BF4-A072-B71D7B7C9821}"/>
  </w:font>
  <w:font w:name="仿宋_GB2312">
    <w:altName w:val="仿宋"/>
    <w:panose1 w:val="02010609030101010101"/>
    <w:charset w:val="86"/>
    <w:family w:val="modern"/>
    <w:pitch w:val="default"/>
    <w:sig w:usb0="00000000" w:usb1="00000000" w:usb2="00000000" w:usb3="00000000" w:csb0="00040000" w:csb1="00000000"/>
    <w:embedRegular r:id="rId4" w:fontKey="{9C7242F9-2F7D-4354-AC74-6960538B27B3}"/>
  </w:font>
  <w:font w:name="方正小标宋简体">
    <w:panose1 w:val="02000000000000000000"/>
    <w:charset w:val="86"/>
    <w:family w:val="script"/>
    <w:pitch w:val="default"/>
    <w:sig w:usb0="00000001" w:usb1="08000000" w:usb2="00000000" w:usb3="00000000" w:csb0="00040000" w:csb1="00000000"/>
    <w:embedRegular r:id="rId5" w:fontKey="{3D41A1AF-CD30-49FF-9EA2-3B2F2ABAF046}"/>
  </w:font>
  <w:font w:name="方正仿宋_GB18030">
    <w:panose1 w:val="02000000000000000000"/>
    <w:charset w:val="86"/>
    <w:family w:val="auto"/>
    <w:pitch w:val="default"/>
    <w:sig w:usb0="00000001" w:usb1="08000000" w:usb2="00000000" w:usb3="00000000" w:csb0="00040000" w:csb1="00000000"/>
    <w:embedRegular r:id="rId6" w:fontKey="{90B71676-C237-4568-804A-82D55D8BF46A}"/>
  </w:font>
  <w:font w:name="楷体_GB2312">
    <w:altName w:val="楷体"/>
    <w:panose1 w:val="02010609030101010101"/>
    <w:charset w:val="86"/>
    <w:family w:val="modern"/>
    <w:pitch w:val="default"/>
    <w:sig w:usb0="00000000" w:usb1="00000000" w:usb2="00000000" w:usb3="00000000" w:csb0="00040000" w:csb1="00000000"/>
    <w:embedRegular r:id="rId7" w:fontKey="{37AE6CFA-F768-4184-9328-8759CABE160B}"/>
  </w:font>
  <w:font w:name="楷体">
    <w:panose1 w:val="02010609060101010101"/>
    <w:charset w:val="86"/>
    <w:family w:val="auto"/>
    <w:pitch w:val="default"/>
    <w:sig w:usb0="800002BF" w:usb1="38CF7CFA" w:usb2="00000016" w:usb3="00000000" w:csb0="00040001" w:csb1="00000000"/>
    <w:embedRegular r:id="rId8" w:fontKey="{0DBAF508-0405-46F8-9A3A-E688AB841AF1}"/>
  </w:font>
  <w:font w:name="方正黑体_GBK">
    <w:altName w:val="微软雅黑"/>
    <w:panose1 w:val="03000509000000000000"/>
    <w:charset w:val="86"/>
    <w:family w:val="script"/>
    <w:pitch w:val="default"/>
    <w:sig w:usb0="00000000" w:usb1="00000000" w:usb2="00000000" w:usb3="00000000" w:csb0="00040000" w:csb1="00000000"/>
    <w:embedRegular r:id="rId9" w:fontKey="{AB68DB29-33BE-4404-B71B-89248A37AEE3}"/>
  </w:font>
  <w:font w:name="微软雅黑">
    <w:panose1 w:val="020B0503020204020204"/>
    <w:charset w:val="86"/>
    <w:family w:val="auto"/>
    <w:pitch w:val="default"/>
    <w:sig w:usb0="80000287" w:usb1="280F3C52"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 w:name="Aharoni">
    <w:panose1 w:val="02010803020104030203"/>
    <w:charset w:val="00"/>
    <w:family w:val="auto"/>
    <w:pitch w:val="default"/>
    <w:sig w:usb0="00000801" w:usb1="00000000" w:usb2="00000000" w:usb3="00000000" w:csb0="00000020" w:csb1="00200000"/>
  </w:font>
  <w:font w:name="Browallia New">
    <w:panose1 w:val="020B06040202020202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C93F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56310"/>
    <w:multiLevelType w:val="singleLevel"/>
    <w:tmpl w:val="C4056310"/>
    <w:lvl w:ilvl="0" w:tentative="0">
      <w:start w:val="1"/>
      <w:numFmt w:val="chineseCounting"/>
      <w:suff w:val="nothing"/>
      <w:lvlText w:val="%1、"/>
      <w:lvlJc w:val="left"/>
      <w:rPr>
        <w:rFonts w:hint="eastAsia"/>
      </w:rPr>
    </w:lvl>
  </w:abstractNum>
  <w:abstractNum w:abstractNumId="1">
    <w:nsid w:val="FA74C564"/>
    <w:multiLevelType w:val="singleLevel"/>
    <w:tmpl w:val="FA74C564"/>
    <w:lvl w:ilvl="0" w:tentative="0">
      <w:start w:val="1"/>
      <w:numFmt w:val="chineseCounting"/>
      <w:suff w:val="nothing"/>
      <w:lvlText w:val="（%1）"/>
      <w:lvlJc w:val="left"/>
      <w:rPr>
        <w:rFonts w:hint="eastAsia"/>
      </w:rPr>
    </w:lvl>
  </w:abstractNum>
  <w:abstractNum w:abstractNumId="2">
    <w:nsid w:val="0DE27AD9"/>
    <w:multiLevelType w:val="singleLevel"/>
    <w:tmpl w:val="0DE27AD9"/>
    <w:lvl w:ilvl="0" w:tentative="0">
      <w:start w:val="1"/>
      <w:numFmt w:val="chineseCounting"/>
      <w:suff w:val="nothing"/>
      <w:lvlText w:val="（%1）"/>
      <w:lvlJc w:val="left"/>
      <w:rPr>
        <w:rFonts w:hint="eastAsia"/>
      </w:rPr>
    </w:lvl>
  </w:abstractNum>
  <w:abstractNum w:abstractNumId="3">
    <w:nsid w:val="106F0E29"/>
    <w:multiLevelType w:val="singleLevel"/>
    <w:tmpl w:val="106F0E29"/>
    <w:lvl w:ilvl="0" w:tentative="0">
      <w:start w:val="1"/>
      <w:numFmt w:val="chineseCounting"/>
      <w:suff w:val="nothing"/>
      <w:lvlText w:val="（%1）"/>
      <w:lvlJc w:val="left"/>
      <w:rPr>
        <w:rFonts w:hint="eastAsia"/>
      </w:rPr>
    </w:lvl>
  </w:abstractNum>
  <w:abstractNum w:abstractNumId="4">
    <w:nsid w:val="33DCE142"/>
    <w:multiLevelType w:val="singleLevel"/>
    <w:tmpl w:val="33DCE142"/>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0303924"/>
    <w:rsid w:val="00A010BF"/>
    <w:rsid w:val="01081D6E"/>
    <w:rsid w:val="01AF3811"/>
    <w:rsid w:val="01CC5EE4"/>
    <w:rsid w:val="01D0223D"/>
    <w:rsid w:val="022D3638"/>
    <w:rsid w:val="02A66C6F"/>
    <w:rsid w:val="03795BF7"/>
    <w:rsid w:val="04441D61"/>
    <w:rsid w:val="057A4A8F"/>
    <w:rsid w:val="06907E78"/>
    <w:rsid w:val="07D72EEC"/>
    <w:rsid w:val="086E756B"/>
    <w:rsid w:val="08791F38"/>
    <w:rsid w:val="090441B5"/>
    <w:rsid w:val="09491B6D"/>
    <w:rsid w:val="09622C8A"/>
    <w:rsid w:val="09E0077E"/>
    <w:rsid w:val="0A0B6094"/>
    <w:rsid w:val="0A393AD4"/>
    <w:rsid w:val="0A601454"/>
    <w:rsid w:val="0A7E3AF3"/>
    <w:rsid w:val="0AC41E4E"/>
    <w:rsid w:val="0ACF37E5"/>
    <w:rsid w:val="0AF87123"/>
    <w:rsid w:val="0B400BC6"/>
    <w:rsid w:val="0BEF7729"/>
    <w:rsid w:val="0C0A7D34"/>
    <w:rsid w:val="0C756FEA"/>
    <w:rsid w:val="0DE969F5"/>
    <w:rsid w:val="0E3C4511"/>
    <w:rsid w:val="0E68228D"/>
    <w:rsid w:val="0EA6787F"/>
    <w:rsid w:val="0F5F262B"/>
    <w:rsid w:val="0FA638D0"/>
    <w:rsid w:val="0FDC5544"/>
    <w:rsid w:val="0FF3288D"/>
    <w:rsid w:val="1046723A"/>
    <w:rsid w:val="106F2403"/>
    <w:rsid w:val="10E827BD"/>
    <w:rsid w:val="13F90CA2"/>
    <w:rsid w:val="148F527B"/>
    <w:rsid w:val="15205ED3"/>
    <w:rsid w:val="15233C15"/>
    <w:rsid w:val="15276E52"/>
    <w:rsid w:val="1572605D"/>
    <w:rsid w:val="15BC618A"/>
    <w:rsid w:val="17463BEB"/>
    <w:rsid w:val="178B0954"/>
    <w:rsid w:val="19A42F66"/>
    <w:rsid w:val="19D32FBC"/>
    <w:rsid w:val="1DCD42AA"/>
    <w:rsid w:val="1DD01C83"/>
    <w:rsid w:val="1E580955"/>
    <w:rsid w:val="1E6A4395"/>
    <w:rsid w:val="1F0B23A3"/>
    <w:rsid w:val="1F3507CD"/>
    <w:rsid w:val="20735A50"/>
    <w:rsid w:val="207769B4"/>
    <w:rsid w:val="2248272C"/>
    <w:rsid w:val="24FA5429"/>
    <w:rsid w:val="25557A3D"/>
    <w:rsid w:val="255930ED"/>
    <w:rsid w:val="26EA5ED7"/>
    <w:rsid w:val="275E50AC"/>
    <w:rsid w:val="279F712B"/>
    <w:rsid w:val="27A93B82"/>
    <w:rsid w:val="27B0758A"/>
    <w:rsid w:val="298C4F45"/>
    <w:rsid w:val="29AB72B4"/>
    <w:rsid w:val="2A443FBA"/>
    <w:rsid w:val="2AE00186"/>
    <w:rsid w:val="2B3475A1"/>
    <w:rsid w:val="2B5D17D7"/>
    <w:rsid w:val="2BED4D07"/>
    <w:rsid w:val="2CAD22EA"/>
    <w:rsid w:val="2D012636"/>
    <w:rsid w:val="2D957F46"/>
    <w:rsid w:val="2E6A7D67"/>
    <w:rsid w:val="2FE73D65"/>
    <w:rsid w:val="30080DAF"/>
    <w:rsid w:val="308216BE"/>
    <w:rsid w:val="330E1609"/>
    <w:rsid w:val="331309CD"/>
    <w:rsid w:val="33E90BE3"/>
    <w:rsid w:val="341B4C6F"/>
    <w:rsid w:val="34BF2BBB"/>
    <w:rsid w:val="34FE1149"/>
    <w:rsid w:val="35B64A1B"/>
    <w:rsid w:val="361B02C4"/>
    <w:rsid w:val="372907BF"/>
    <w:rsid w:val="374303C4"/>
    <w:rsid w:val="375241BA"/>
    <w:rsid w:val="37632CC0"/>
    <w:rsid w:val="37C627EE"/>
    <w:rsid w:val="3879798B"/>
    <w:rsid w:val="3A550786"/>
    <w:rsid w:val="3A6A181A"/>
    <w:rsid w:val="3AEA70D7"/>
    <w:rsid w:val="3B7A130F"/>
    <w:rsid w:val="3BDE401E"/>
    <w:rsid w:val="3C001E80"/>
    <w:rsid w:val="3D933161"/>
    <w:rsid w:val="3E9A1FA2"/>
    <w:rsid w:val="3EE53B65"/>
    <w:rsid w:val="3F731171"/>
    <w:rsid w:val="402B55A8"/>
    <w:rsid w:val="40453D92"/>
    <w:rsid w:val="407671FC"/>
    <w:rsid w:val="409E2D40"/>
    <w:rsid w:val="41A61A16"/>
    <w:rsid w:val="422F6EA6"/>
    <w:rsid w:val="42A67657"/>
    <w:rsid w:val="437E02EE"/>
    <w:rsid w:val="4396021F"/>
    <w:rsid w:val="43E20674"/>
    <w:rsid w:val="449D7599"/>
    <w:rsid w:val="45537DEC"/>
    <w:rsid w:val="472A4549"/>
    <w:rsid w:val="494A1329"/>
    <w:rsid w:val="495A2347"/>
    <w:rsid w:val="4D356B4B"/>
    <w:rsid w:val="4E4E19C6"/>
    <w:rsid w:val="4EEC684A"/>
    <w:rsid w:val="4F5125F7"/>
    <w:rsid w:val="4F8B6063"/>
    <w:rsid w:val="4FF47F07"/>
    <w:rsid w:val="50760AC1"/>
    <w:rsid w:val="507E34D2"/>
    <w:rsid w:val="50F81776"/>
    <w:rsid w:val="52B551A5"/>
    <w:rsid w:val="52FA3F96"/>
    <w:rsid w:val="542B571F"/>
    <w:rsid w:val="55055F70"/>
    <w:rsid w:val="553048C0"/>
    <w:rsid w:val="55850F17"/>
    <w:rsid w:val="5689497F"/>
    <w:rsid w:val="57AE6D93"/>
    <w:rsid w:val="58E04635"/>
    <w:rsid w:val="591A49F9"/>
    <w:rsid w:val="59F34E08"/>
    <w:rsid w:val="5A9C7376"/>
    <w:rsid w:val="5BA16F7A"/>
    <w:rsid w:val="5C205ED7"/>
    <w:rsid w:val="5C8F2565"/>
    <w:rsid w:val="5D261179"/>
    <w:rsid w:val="5D812854"/>
    <w:rsid w:val="5E3C4FFE"/>
    <w:rsid w:val="5E451AD3"/>
    <w:rsid w:val="5EB36A3D"/>
    <w:rsid w:val="5EF808F3"/>
    <w:rsid w:val="5F4655BD"/>
    <w:rsid w:val="5FB623A7"/>
    <w:rsid w:val="60367B4F"/>
    <w:rsid w:val="62B334AF"/>
    <w:rsid w:val="64CB4544"/>
    <w:rsid w:val="65091AAC"/>
    <w:rsid w:val="657352F7"/>
    <w:rsid w:val="673F4E1F"/>
    <w:rsid w:val="677839C8"/>
    <w:rsid w:val="6A0E365F"/>
    <w:rsid w:val="6B202439"/>
    <w:rsid w:val="6BB1387F"/>
    <w:rsid w:val="6BC32B29"/>
    <w:rsid w:val="6BE50451"/>
    <w:rsid w:val="6C164AAF"/>
    <w:rsid w:val="6CB97C75"/>
    <w:rsid w:val="6D075A1F"/>
    <w:rsid w:val="6D6F091A"/>
    <w:rsid w:val="6D9C5B49"/>
    <w:rsid w:val="6E3851B0"/>
    <w:rsid w:val="6EBE3907"/>
    <w:rsid w:val="6F15388F"/>
    <w:rsid w:val="6F410095"/>
    <w:rsid w:val="6F631DB9"/>
    <w:rsid w:val="6F8779FC"/>
    <w:rsid w:val="6FB1735A"/>
    <w:rsid w:val="704A4D27"/>
    <w:rsid w:val="710C022E"/>
    <w:rsid w:val="7144458D"/>
    <w:rsid w:val="71664926"/>
    <w:rsid w:val="71DF2872"/>
    <w:rsid w:val="727B25A9"/>
    <w:rsid w:val="738048DD"/>
    <w:rsid w:val="74895648"/>
    <w:rsid w:val="74B311FA"/>
    <w:rsid w:val="75581ED5"/>
    <w:rsid w:val="756E1FC7"/>
    <w:rsid w:val="75B275F6"/>
    <w:rsid w:val="76E539FB"/>
    <w:rsid w:val="7750356B"/>
    <w:rsid w:val="77A85155"/>
    <w:rsid w:val="784167CA"/>
    <w:rsid w:val="79115111"/>
    <w:rsid w:val="79456911"/>
    <w:rsid w:val="795F7B03"/>
    <w:rsid w:val="7982471D"/>
    <w:rsid w:val="7A145149"/>
    <w:rsid w:val="7A1E16FE"/>
    <w:rsid w:val="7B3E51CB"/>
    <w:rsid w:val="7C21103E"/>
    <w:rsid w:val="7C507B69"/>
    <w:rsid w:val="7CFA7150"/>
    <w:rsid w:val="7DB10D46"/>
    <w:rsid w:val="7DEB371B"/>
    <w:rsid w:val="7E3F7E95"/>
    <w:rsid w:val="7ED54355"/>
    <w:rsid w:val="7ED67756"/>
    <w:rsid w:val="7F7F41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szCs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2484</Words>
  <Characters>2862</Characters>
  <TotalTime>4</TotalTime>
  <ScaleCrop>false</ScaleCrop>
  <LinksUpToDate>false</LinksUpToDate>
  <CharactersWithSpaces>2897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伏威</cp:lastModifiedBy>
  <cp:lastPrinted>2024-05-21T14:05:00Z</cp:lastPrinted>
  <dcterms:modified xsi:type="dcterms:W3CDTF">2025-09-23T12:14:23Z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A1E9AC54BF58440288AD196632C2A254_12</vt:lpwstr>
  </property>
  <property fmtid="{D5CDD505-2E9C-101B-9397-08002B2CF9AE}" pid="7" name="KSOTemplateDocerSaveRecord">
    <vt:lpwstr>eyJoZGlkIjoiMTkyNDBiZjVmYTk5ZGI3ZWVhOTNjOWFkZDM3MDliYzMiLCJ1c2VySWQiOiIxNjM4OTY2ODM4In0=</vt:lpwstr>
  </property>
</Properties>
</file>