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9B6C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none" w:color="auto" w:sz="0" w:space="0"/>
          <w:lang w:val="en-US" w:eastAsia="zh-CN" w:bidi="ar"/>
        </w:rPr>
      </w:pPr>
    </w:p>
    <w:tbl>
      <w:tblPr>
        <w:tblW w:w="75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06"/>
        <w:gridCol w:w="759"/>
        <w:gridCol w:w="759"/>
        <w:gridCol w:w="1120"/>
        <w:gridCol w:w="769"/>
        <w:gridCol w:w="578"/>
        <w:gridCol w:w="1481"/>
      </w:tblGrid>
      <w:tr w14:paraId="7100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743" w:type="dxa"/>
            <w:gridSpan w:val="7"/>
            <w:tcBorders>
              <w:top w:val="single" w:color="auto" w:sz="4" w:space="0"/>
              <w:left w:val="single" w:color="auto" w:sz="4" w:space="0"/>
              <w:bottom w:val="single" w:color="000000" w:sz="4" w:space="0"/>
              <w:right w:val="single" w:color="auto" w:sz="4" w:space="0"/>
            </w:tcBorders>
            <w:shd w:val="clear"/>
            <w:noWrap/>
            <w:vAlign w:val="center"/>
          </w:tcPr>
          <w:p w14:paraId="6F060E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基础数据表</w:t>
            </w:r>
          </w:p>
        </w:tc>
      </w:tr>
      <w:tr w14:paraId="61A8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auto" w:sz="4" w:space="0"/>
              <w:bottom w:val="single" w:color="auto" w:sz="4" w:space="0"/>
              <w:right w:val="single" w:color="000000" w:sz="4" w:space="0"/>
            </w:tcBorders>
            <w:shd w:val="clear"/>
            <w:noWrap/>
            <w:vAlign w:val="center"/>
          </w:tcPr>
          <w:p w14:paraId="6797D3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auto" w:sz="4" w:space="0"/>
              <w:right w:val="single" w:color="000000" w:sz="4" w:space="0"/>
            </w:tcBorders>
            <w:shd w:val="clear"/>
            <w:noWrap/>
            <w:vAlign w:val="center"/>
          </w:tcPr>
          <w:p w14:paraId="1F3D90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auto" w:sz="4" w:space="0"/>
              <w:right w:val="single" w:color="000000" w:sz="4" w:space="0"/>
            </w:tcBorders>
            <w:shd w:val="clear"/>
            <w:noWrap/>
            <w:vAlign w:val="center"/>
          </w:tcPr>
          <w:p w14:paraId="5B7F9C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auto" w:sz="4" w:space="0"/>
              <w:right w:val="single" w:color="auto" w:sz="4" w:space="0"/>
            </w:tcBorders>
            <w:shd w:val="clear"/>
            <w:noWrap/>
            <w:vAlign w:val="center"/>
          </w:tcPr>
          <w:p w14:paraId="193E08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控制率</w:t>
            </w:r>
          </w:p>
        </w:tc>
      </w:tr>
      <w:tr w14:paraId="70CA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single" w:color="auto" w:sz="4" w:space="0"/>
              <w:left w:val="single" w:color="auto" w:sz="4" w:space="0"/>
              <w:bottom w:val="single" w:color="000000" w:sz="4" w:space="0"/>
              <w:right w:val="single" w:color="000000" w:sz="4" w:space="0"/>
            </w:tcBorders>
            <w:shd w:val="clear"/>
            <w:noWrap/>
            <w:vAlign w:val="center"/>
          </w:tcPr>
          <w:p w14:paraId="3B2D24B6">
            <w:pPr>
              <w:jc w:val="center"/>
              <w:rPr>
                <w:rFonts w:hint="eastAsia" w:ascii="宋体" w:hAnsi="宋体" w:eastAsia="宋体" w:cs="宋体"/>
                <w:b/>
                <w:bCs/>
                <w:i w:val="0"/>
                <w:iCs w:val="0"/>
                <w:color w:val="000000"/>
                <w:sz w:val="18"/>
                <w:szCs w:val="18"/>
                <w:u w:val="none"/>
              </w:rPr>
            </w:pPr>
          </w:p>
        </w:tc>
        <w:tc>
          <w:tcPr>
            <w:tcW w:w="0" w:type="auto"/>
            <w:gridSpan w:val="2"/>
            <w:tcBorders>
              <w:top w:val="single" w:color="auto" w:sz="4" w:space="0"/>
              <w:left w:val="single" w:color="000000" w:sz="4" w:space="0"/>
              <w:bottom w:val="single" w:color="000000" w:sz="4" w:space="0"/>
              <w:right w:val="single" w:color="000000" w:sz="4" w:space="0"/>
            </w:tcBorders>
            <w:shd w:val="clear"/>
            <w:noWrap/>
            <w:vAlign w:val="center"/>
          </w:tcPr>
          <w:p w14:paraId="5F08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gridSpan w:val="2"/>
            <w:tcBorders>
              <w:top w:val="single" w:color="auto" w:sz="4" w:space="0"/>
              <w:left w:val="single" w:color="000000" w:sz="4" w:space="0"/>
              <w:bottom w:val="single" w:color="000000" w:sz="4" w:space="0"/>
              <w:right w:val="single" w:color="000000" w:sz="4" w:space="0"/>
            </w:tcBorders>
            <w:shd w:val="clear"/>
            <w:noWrap/>
            <w:vAlign w:val="center"/>
          </w:tcPr>
          <w:p w14:paraId="052B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gridSpan w:val="2"/>
            <w:tcBorders>
              <w:top w:val="single" w:color="auto" w:sz="4" w:space="0"/>
              <w:left w:val="single" w:color="000000" w:sz="4" w:space="0"/>
              <w:bottom w:val="single" w:color="000000" w:sz="4" w:space="0"/>
              <w:right w:val="single" w:color="000000" w:sz="4" w:space="0"/>
            </w:tcBorders>
            <w:shd w:val="clear"/>
            <w:noWrap/>
            <w:vAlign w:val="center"/>
          </w:tcPr>
          <w:p w14:paraId="4E600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r>
      <w:tr w14:paraId="2E02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33D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C7EA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264A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2321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2024年决算数</w:t>
            </w:r>
          </w:p>
        </w:tc>
      </w:tr>
      <w:tr w14:paraId="1997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8C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FD5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614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27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610D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8E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3AF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55F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106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3494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E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E98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E49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5BF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3E83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7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3CC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CC9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EBC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2D51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BD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C3D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931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C14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0640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F1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EB3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D5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937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76FA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3B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D3E5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9BB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812.42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13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812.42</w:t>
            </w:r>
          </w:p>
        </w:tc>
      </w:tr>
      <w:tr w14:paraId="15DE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6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086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E9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720.42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6A9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720.42</w:t>
            </w:r>
          </w:p>
        </w:tc>
      </w:tr>
      <w:tr w14:paraId="72F5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FB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1E502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631D6D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9E7FEA">
            <w:pPr>
              <w:jc w:val="center"/>
              <w:rPr>
                <w:rFonts w:hint="eastAsia" w:ascii="宋体" w:hAnsi="宋体" w:eastAsia="宋体" w:cs="宋体"/>
                <w:i w:val="0"/>
                <w:iCs w:val="0"/>
                <w:color w:val="000000"/>
                <w:sz w:val="18"/>
                <w:szCs w:val="18"/>
                <w:u w:val="none"/>
              </w:rPr>
            </w:pPr>
          </w:p>
        </w:tc>
      </w:tr>
      <w:tr w14:paraId="5621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17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A48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940A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E3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r>
      <w:tr w14:paraId="72E1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80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代表经费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AB1D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BFF7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EC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r>
      <w:tr w14:paraId="400A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0E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乡镇代表工作站建设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3D1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4D4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21F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r>
      <w:tr w14:paraId="74EA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F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47D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84.19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1C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132.05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B1C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183.19</w:t>
            </w:r>
          </w:p>
        </w:tc>
      </w:tr>
      <w:tr w14:paraId="3040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0A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2B9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BB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18A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8.23</w:t>
            </w:r>
          </w:p>
        </w:tc>
      </w:tr>
      <w:tr w14:paraId="3340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4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72E0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22.22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F2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075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18.04</w:t>
            </w:r>
          </w:p>
        </w:tc>
      </w:tr>
      <w:tr w14:paraId="7140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85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F4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F1B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9638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26.06</w:t>
            </w:r>
          </w:p>
        </w:tc>
      </w:tr>
      <w:tr w14:paraId="1EAC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79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1BF3D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059B18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DA3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30BA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8D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64B8A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C39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8B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6169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BB79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（2024年完工项目）</w:t>
            </w:r>
          </w:p>
        </w:tc>
        <w:tc>
          <w:tcPr>
            <w:tcW w:w="1088" w:type="dxa"/>
            <w:tcBorders>
              <w:top w:val="single" w:color="000000" w:sz="4" w:space="0"/>
              <w:left w:val="single" w:color="000000" w:sz="4" w:space="0"/>
              <w:bottom w:val="single" w:color="000000" w:sz="4" w:space="0"/>
              <w:right w:val="single" w:color="000000" w:sz="4" w:space="0"/>
            </w:tcBorders>
            <w:shd w:val="clear"/>
            <w:vAlign w:val="center"/>
          </w:tcPr>
          <w:p w14:paraId="0D1543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批复规模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489" w:type="dxa"/>
            <w:tcBorders>
              <w:top w:val="single" w:color="000000" w:sz="4" w:space="0"/>
              <w:left w:val="single" w:color="000000" w:sz="4" w:space="0"/>
              <w:bottom w:val="single" w:color="000000" w:sz="4" w:space="0"/>
              <w:right w:val="single" w:color="000000" w:sz="4" w:space="0"/>
            </w:tcBorders>
            <w:shd w:val="clear"/>
            <w:vAlign w:val="center"/>
          </w:tcPr>
          <w:p w14:paraId="4B8804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实际规模</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CE0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规模控制率</w:t>
            </w:r>
          </w:p>
        </w:tc>
        <w:tc>
          <w:tcPr>
            <w:tcW w:w="873" w:type="dxa"/>
            <w:tcBorders>
              <w:top w:val="single" w:color="000000" w:sz="4" w:space="0"/>
              <w:left w:val="single" w:color="000000" w:sz="4" w:space="0"/>
              <w:bottom w:val="single" w:color="000000" w:sz="4" w:space="0"/>
              <w:right w:val="single" w:color="000000" w:sz="4" w:space="0"/>
            </w:tcBorders>
            <w:shd w:val="clear"/>
            <w:vAlign w:val="center"/>
          </w:tcPr>
          <w:p w14:paraId="2675DE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1279" w:type="dxa"/>
            <w:tcBorders>
              <w:top w:val="single" w:color="000000" w:sz="4" w:space="0"/>
              <w:left w:val="single" w:color="000000" w:sz="4" w:space="0"/>
              <w:bottom w:val="single" w:color="000000" w:sz="4" w:space="0"/>
              <w:right w:val="single" w:color="000000" w:sz="4" w:space="0"/>
            </w:tcBorders>
            <w:shd w:val="clear"/>
            <w:vAlign w:val="center"/>
          </w:tcPr>
          <w:p w14:paraId="770684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86D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投资概算控制率</w:t>
            </w:r>
          </w:p>
        </w:tc>
      </w:tr>
      <w:tr w14:paraId="3C49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F63B17">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50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AB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D1B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77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0E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009FE">
            <w:pPr>
              <w:jc w:val="center"/>
              <w:rPr>
                <w:rFonts w:hint="eastAsia" w:ascii="宋体" w:hAnsi="宋体" w:eastAsia="宋体" w:cs="宋体"/>
                <w:i w:val="0"/>
                <w:iCs w:val="0"/>
                <w:color w:val="000000"/>
                <w:sz w:val="18"/>
                <w:szCs w:val="18"/>
                <w:u w:val="none"/>
              </w:rPr>
            </w:pPr>
          </w:p>
        </w:tc>
      </w:tr>
      <w:tr w14:paraId="5768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A91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568AA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1、加强宣传教育、树立节约意识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2、优化资源配置、减少浪费现象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3、推行绿色办公、降低运转成本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4、建立监督机制、确保措施落实</w:t>
            </w:r>
          </w:p>
        </w:tc>
      </w:tr>
    </w:tbl>
    <w:p w14:paraId="332ED57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none" w:color="auto" w:sz="0" w:space="0"/>
          <w:lang w:val="en-US" w:eastAsia="zh-CN" w:bidi="ar"/>
        </w:rPr>
      </w:pPr>
    </w:p>
    <w:tbl>
      <w:tblPr>
        <w:tblW w:w="941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14"/>
        <w:gridCol w:w="414"/>
        <w:gridCol w:w="656"/>
        <w:gridCol w:w="1314"/>
        <w:gridCol w:w="700"/>
        <w:gridCol w:w="1114"/>
        <w:gridCol w:w="1786"/>
        <w:gridCol w:w="629"/>
        <w:gridCol w:w="828"/>
        <w:gridCol w:w="800"/>
        <w:gridCol w:w="757"/>
      </w:tblGrid>
      <w:tr w14:paraId="5407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9412"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4BC378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自评表</w:t>
            </w:r>
          </w:p>
        </w:tc>
      </w:tr>
      <w:tr w14:paraId="08CA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6FF77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预算部门名称</w:t>
            </w:r>
          </w:p>
        </w:tc>
        <w:tc>
          <w:tcPr>
            <w:tcW w:w="7928"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564E5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汨罗市人民代表大会常务委员会</w:t>
            </w:r>
          </w:p>
        </w:tc>
      </w:tr>
      <w:tr w14:paraId="36F4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84"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33670FA">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bdr w:val="none" w:color="auto" w:sz="0" w:space="0"/>
                <w:lang w:val="en-US" w:eastAsia="zh-CN" w:bidi="ar"/>
              </w:rPr>
              <w:t>年度预算申请</w:t>
            </w:r>
            <w:r>
              <w:rPr>
                <w:rFonts w:hint="eastAsia" w:ascii="Microsoft YaHei UI" w:hAnsi="Microsoft YaHei UI" w:eastAsia="Microsoft YaHei UI" w:cs="Microsoft YaHei UI"/>
                <w:i w:val="0"/>
                <w:iCs w:val="0"/>
                <w:color w:val="000000"/>
                <w:kern w:val="0"/>
                <w:sz w:val="20"/>
                <w:szCs w:val="20"/>
                <w:u w:val="none"/>
                <w:bdr w:val="none" w:color="auto" w:sz="0" w:space="0"/>
                <w:lang w:val="en-US" w:eastAsia="zh-CN" w:bidi="ar"/>
              </w:rPr>
              <w:br w:type="textWrapping"/>
            </w:r>
            <w:r>
              <w:rPr>
                <w:rFonts w:hint="eastAsia" w:ascii="Microsoft YaHei UI" w:hAnsi="Microsoft YaHei UI" w:eastAsia="Microsoft YaHei UI" w:cs="Microsoft YaHei UI"/>
                <w:i w:val="0"/>
                <w:iCs w:val="0"/>
                <w:color w:val="000000"/>
                <w:kern w:val="0"/>
                <w:sz w:val="20"/>
                <w:szCs w:val="20"/>
                <w:u w:val="none"/>
                <w:bdr w:val="none" w:color="auto" w:sz="0" w:space="0"/>
                <w:lang w:val="en-US" w:eastAsia="zh-CN" w:bidi="ar"/>
              </w:rPr>
              <w:t>(万元)</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4F44DFF2">
            <w:pPr>
              <w:jc w:val="center"/>
              <w:rPr>
                <w:rFonts w:hint="eastAsia" w:ascii="宋体" w:hAnsi="宋体" w:eastAsia="宋体" w:cs="宋体"/>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4BD9533B">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年初预算数</w:t>
            </w:r>
            <w:r>
              <w:rPr>
                <w:rFonts w:hint="default" w:ascii="仿宋_GB2312" w:hAnsi="宋体" w:eastAsia="仿宋_GB2312" w:cs="仿宋_GB2312"/>
                <w:b/>
                <w:bCs/>
                <w:i w:val="0"/>
                <w:iCs w:val="0"/>
                <w:color w:val="000000"/>
                <w:kern w:val="0"/>
                <w:sz w:val="16"/>
                <w:szCs w:val="16"/>
                <w:u w:val="none"/>
                <w:bdr w:val="none" w:color="auto" w:sz="0" w:space="0"/>
                <w:lang w:val="en-US" w:eastAsia="zh-CN" w:bidi="ar"/>
              </w:rPr>
              <w:br w:type="textWrapping"/>
            </w: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(万元)</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F5A1D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全年预算数</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（万元）</w:t>
            </w:r>
          </w:p>
        </w:tc>
        <w:tc>
          <w:tcPr>
            <w:tcW w:w="241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EE599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全年执行数</w:t>
            </w:r>
            <w:r>
              <w:rPr>
                <w:rFonts w:hint="eastAsia" w:ascii="宋体" w:hAnsi="宋体" w:eastAsia="宋体" w:cs="宋体"/>
                <w:b/>
                <w:bCs/>
                <w:i w:val="0"/>
                <w:iCs w:val="0"/>
                <w:color w:val="000000"/>
                <w:kern w:val="0"/>
                <w:sz w:val="16"/>
                <w:szCs w:val="16"/>
                <w:u w:val="none"/>
                <w:bdr w:val="none" w:color="auto" w:sz="0" w:space="0"/>
                <w:lang w:val="en-US" w:eastAsia="zh-CN" w:bidi="ar"/>
              </w:rPr>
              <w:br w:type="textWrapping"/>
            </w:r>
            <w:r>
              <w:rPr>
                <w:rFonts w:hint="eastAsia" w:ascii="宋体" w:hAnsi="宋体" w:eastAsia="宋体" w:cs="宋体"/>
                <w:b/>
                <w:bCs/>
                <w:i w:val="0"/>
                <w:iCs w:val="0"/>
                <w:color w:val="000000"/>
                <w:kern w:val="0"/>
                <w:sz w:val="16"/>
                <w:szCs w:val="16"/>
                <w:u w:val="none"/>
                <w:bdr w:val="none" w:color="auto" w:sz="0" w:space="0"/>
                <w:lang w:val="en-US" w:eastAsia="zh-CN" w:bidi="ar"/>
              </w:rPr>
              <w:t>（万元）</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2321B03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分值</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CE897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执行率</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AB928E2">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bdr w:val="none" w:color="auto" w:sz="0" w:space="0"/>
                <w:lang w:val="en-US" w:eastAsia="zh-CN" w:bidi="ar"/>
              </w:rPr>
              <w:t>得分</w:t>
            </w:r>
          </w:p>
        </w:tc>
      </w:tr>
      <w:tr w14:paraId="6B83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0F49BE1">
            <w:pPr>
              <w:jc w:val="center"/>
              <w:rPr>
                <w:rFonts w:hint="eastAsia" w:ascii="Microsoft YaHei UI" w:hAnsi="Microsoft YaHei UI" w:eastAsia="Microsoft YaHei UI" w:cs="Microsoft YaHei UI"/>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3C13439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年度资金总额：</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2A9C0F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843.84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37E39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1538.00</w:t>
            </w:r>
          </w:p>
        </w:tc>
        <w:tc>
          <w:tcPr>
            <w:tcW w:w="2415" w:type="dxa"/>
            <w:gridSpan w:val="2"/>
            <w:tcBorders>
              <w:top w:val="single" w:color="000000" w:sz="4" w:space="0"/>
              <w:left w:val="single" w:color="000000" w:sz="4" w:space="0"/>
              <w:bottom w:val="single" w:color="000000" w:sz="4" w:space="0"/>
              <w:right w:val="single" w:color="000000" w:sz="4" w:space="0"/>
            </w:tcBorders>
            <w:shd w:val="clear"/>
            <w:vAlign w:val="center"/>
          </w:tcPr>
          <w:p w14:paraId="1512D3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1537.65</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63BF7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99199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B400E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10.00</w:t>
            </w:r>
          </w:p>
        </w:tc>
      </w:tr>
      <w:tr w14:paraId="0332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CD32463">
            <w:pPr>
              <w:jc w:val="center"/>
              <w:rPr>
                <w:rFonts w:hint="eastAsia" w:ascii="Microsoft YaHei UI" w:hAnsi="Microsoft YaHei UI" w:eastAsia="Microsoft YaHei UI" w:cs="Microsoft YaHei UI"/>
                <w:i w:val="0"/>
                <w:iCs w:val="0"/>
                <w:color w:val="000000"/>
                <w:sz w:val="20"/>
                <w:szCs w:val="20"/>
                <w:u w:val="none"/>
              </w:rPr>
            </w:pPr>
          </w:p>
        </w:tc>
        <w:tc>
          <w:tcPr>
            <w:tcW w:w="5543" w:type="dxa"/>
            <w:gridSpan w:val="5"/>
            <w:tcBorders>
              <w:top w:val="single" w:color="000000" w:sz="4" w:space="0"/>
              <w:left w:val="single" w:color="000000" w:sz="4" w:space="0"/>
              <w:bottom w:val="single" w:color="000000" w:sz="4" w:space="0"/>
              <w:right w:val="single" w:color="000000" w:sz="4" w:space="0"/>
            </w:tcBorders>
            <w:shd w:val="clear"/>
            <w:vAlign w:val="center"/>
          </w:tcPr>
          <w:p w14:paraId="68BAE3F3">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按收入性质分：</w:t>
            </w:r>
          </w:p>
        </w:tc>
        <w:tc>
          <w:tcPr>
            <w:tcW w:w="2385" w:type="dxa"/>
            <w:gridSpan w:val="3"/>
            <w:tcBorders>
              <w:top w:val="single" w:color="000000" w:sz="4" w:space="0"/>
              <w:left w:val="single" w:color="000000" w:sz="4" w:space="0"/>
              <w:bottom w:val="single" w:color="000000" w:sz="4" w:space="0"/>
              <w:right w:val="single" w:color="000000" w:sz="4" w:space="0"/>
            </w:tcBorders>
            <w:shd w:val="clear"/>
            <w:vAlign w:val="center"/>
          </w:tcPr>
          <w:p w14:paraId="79A9C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按支出性质分：</w:t>
            </w:r>
          </w:p>
        </w:tc>
      </w:tr>
      <w:tr w14:paraId="6C5A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3BB15F1">
            <w:pPr>
              <w:jc w:val="center"/>
              <w:rPr>
                <w:rFonts w:hint="eastAsia" w:ascii="Microsoft YaHei UI" w:hAnsi="Microsoft YaHei UI" w:eastAsia="Microsoft YaHei UI" w:cs="Microsoft YaHei UI"/>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259E36DF">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一般公共预算：</w:t>
            </w:r>
          </w:p>
        </w:tc>
        <w:tc>
          <w:tcPr>
            <w:tcW w:w="4229" w:type="dxa"/>
            <w:gridSpan w:val="4"/>
            <w:tcBorders>
              <w:top w:val="single" w:color="000000" w:sz="4" w:space="0"/>
              <w:left w:val="single" w:color="000000" w:sz="4" w:space="0"/>
              <w:bottom w:val="single" w:color="000000" w:sz="4" w:space="0"/>
              <w:right w:val="single" w:color="000000" w:sz="4" w:space="0"/>
            </w:tcBorders>
            <w:shd w:val="clear"/>
            <w:vAlign w:val="center"/>
          </w:tcPr>
          <w:p w14:paraId="24631B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1538.00</w:t>
            </w:r>
          </w:p>
        </w:tc>
        <w:tc>
          <w:tcPr>
            <w:tcW w:w="82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07C2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其中:基本支出：</w:t>
            </w:r>
          </w:p>
        </w:tc>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2FB60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725.23</w:t>
            </w:r>
          </w:p>
        </w:tc>
      </w:tr>
      <w:tr w14:paraId="0067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0BF2620">
            <w:pPr>
              <w:jc w:val="center"/>
              <w:rPr>
                <w:rFonts w:hint="eastAsia" w:ascii="Microsoft YaHei UI" w:hAnsi="Microsoft YaHei UI" w:eastAsia="Microsoft YaHei UI" w:cs="Microsoft YaHei UI"/>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17D0C004">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政府性基金拨款：</w:t>
            </w:r>
          </w:p>
        </w:tc>
        <w:tc>
          <w:tcPr>
            <w:tcW w:w="4229" w:type="dxa"/>
            <w:gridSpan w:val="4"/>
            <w:tcBorders>
              <w:top w:val="single" w:color="000000" w:sz="4" w:space="0"/>
              <w:left w:val="single" w:color="000000" w:sz="4" w:space="0"/>
              <w:bottom w:val="single" w:color="000000" w:sz="4" w:space="0"/>
              <w:right w:val="single" w:color="000000" w:sz="4" w:space="0"/>
            </w:tcBorders>
            <w:shd w:val="clear"/>
            <w:vAlign w:val="center"/>
          </w:tcPr>
          <w:p w14:paraId="25194B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w:t>
            </w:r>
          </w:p>
        </w:tc>
        <w:tc>
          <w:tcPr>
            <w:tcW w:w="8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D51027">
            <w:pPr>
              <w:jc w:val="center"/>
              <w:rPr>
                <w:rFonts w:hint="eastAsia" w:ascii="宋体" w:hAnsi="宋体" w:eastAsia="宋体" w:cs="宋体"/>
                <w:b/>
                <w:bCs/>
                <w:i w:val="0"/>
                <w:iCs w:val="0"/>
                <w:color w:val="000000"/>
                <w:sz w:val="20"/>
                <w:szCs w:val="20"/>
                <w:u w:val="none"/>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B4567D8">
            <w:pPr>
              <w:jc w:val="center"/>
              <w:rPr>
                <w:rFonts w:hint="default" w:ascii="Times New Roman" w:hAnsi="Times New Roman" w:eastAsia="宋体" w:cs="Times New Roman"/>
                <w:i w:val="0"/>
                <w:iCs w:val="0"/>
                <w:color w:val="000000"/>
                <w:sz w:val="20"/>
                <w:szCs w:val="20"/>
                <w:u w:val="none"/>
              </w:rPr>
            </w:pPr>
          </w:p>
        </w:tc>
      </w:tr>
      <w:tr w14:paraId="048B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378CE48">
            <w:pPr>
              <w:jc w:val="center"/>
              <w:rPr>
                <w:rFonts w:hint="eastAsia" w:ascii="Microsoft YaHei UI" w:hAnsi="Microsoft YaHei UI" w:eastAsia="Microsoft YaHei UI" w:cs="Microsoft YaHei UI"/>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0A9C275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纳入专户管理的非税收入拨款：</w:t>
            </w:r>
          </w:p>
        </w:tc>
        <w:tc>
          <w:tcPr>
            <w:tcW w:w="4229" w:type="dxa"/>
            <w:gridSpan w:val="4"/>
            <w:tcBorders>
              <w:top w:val="single" w:color="000000" w:sz="4" w:space="0"/>
              <w:left w:val="single" w:color="000000" w:sz="4" w:space="0"/>
              <w:bottom w:val="single" w:color="000000" w:sz="4" w:space="0"/>
              <w:right w:val="single" w:color="000000" w:sz="4" w:space="0"/>
            </w:tcBorders>
            <w:shd w:val="clear"/>
            <w:vAlign w:val="center"/>
          </w:tcPr>
          <w:p w14:paraId="03A914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w:t>
            </w:r>
          </w:p>
        </w:tc>
        <w:tc>
          <w:tcPr>
            <w:tcW w:w="82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8CF7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项目支出：</w:t>
            </w:r>
          </w:p>
        </w:tc>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F04F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812.42</w:t>
            </w:r>
          </w:p>
        </w:tc>
      </w:tr>
      <w:tr w14:paraId="2238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C22BE73">
            <w:pPr>
              <w:jc w:val="center"/>
              <w:rPr>
                <w:rFonts w:hint="eastAsia" w:ascii="Microsoft YaHei UI" w:hAnsi="Microsoft YaHei UI" w:eastAsia="Microsoft YaHei UI" w:cs="Microsoft YaHei UI"/>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29900629">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其他资金</w:t>
            </w:r>
          </w:p>
        </w:tc>
        <w:tc>
          <w:tcPr>
            <w:tcW w:w="4229" w:type="dxa"/>
            <w:gridSpan w:val="4"/>
            <w:tcBorders>
              <w:top w:val="single" w:color="000000" w:sz="4" w:space="0"/>
              <w:left w:val="single" w:color="000000" w:sz="4" w:space="0"/>
              <w:bottom w:val="single" w:color="000000" w:sz="4" w:space="0"/>
              <w:right w:val="single" w:color="000000" w:sz="4" w:space="0"/>
            </w:tcBorders>
            <w:shd w:val="clear"/>
            <w:vAlign w:val="center"/>
          </w:tcPr>
          <w:p w14:paraId="17546D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0.00</w:t>
            </w:r>
          </w:p>
        </w:tc>
        <w:tc>
          <w:tcPr>
            <w:tcW w:w="8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25D94">
            <w:pPr>
              <w:jc w:val="center"/>
              <w:rPr>
                <w:rFonts w:hint="eastAsia" w:ascii="宋体" w:hAnsi="宋体" w:eastAsia="宋体" w:cs="宋体"/>
                <w:b/>
                <w:bCs/>
                <w:i w:val="0"/>
                <w:iCs w:val="0"/>
                <w:color w:val="000000"/>
                <w:sz w:val="20"/>
                <w:szCs w:val="20"/>
                <w:u w:val="none"/>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B3A9D1">
            <w:pPr>
              <w:jc w:val="center"/>
              <w:rPr>
                <w:rFonts w:hint="default" w:ascii="Times New Roman" w:hAnsi="Times New Roman" w:eastAsia="宋体" w:cs="Times New Roman"/>
                <w:i w:val="0"/>
                <w:iCs w:val="0"/>
                <w:color w:val="000000"/>
                <w:sz w:val="20"/>
                <w:szCs w:val="20"/>
                <w:u w:val="none"/>
              </w:rPr>
            </w:pPr>
          </w:p>
        </w:tc>
      </w:tr>
      <w:tr w14:paraId="3B5D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84"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3619F44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年度总体目标</w:t>
            </w:r>
          </w:p>
        </w:tc>
        <w:tc>
          <w:tcPr>
            <w:tcW w:w="5543" w:type="dxa"/>
            <w:gridSpan w:val="5"/>
            <w:tcBorders>
              <w:top w:val="single" w:color="000000" w:sz="4" w:space="0"/>
              <w:left w:val="single" w:color="000000" w:sz="4" w:space="0"/>
              <w:bottom w:val="single" w:color="000000" w:sz="4" w:space="0"/>
              <w:right w:val="single" w:color="000000" w:sz="4" w:space="0"/>
            </w:tcBorders>
            <w:shd w:val="clear"/>
            <w:vAlign w:val="center"/>
          </w:tcPr>
          <w:p w14:paraId="643076FD">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预期目标</w:t>
            </w:r>
          </w:p>
        </w:tc>
        <w:tc>
          <w:tcPr>
            <w:tcW w:w="2385" w:type="dxa"/>
            <w:gridSpan w:val="3"/>
            <w:tcBorders>
              <w:top w:val="single" w:color="000000" w:sz="4" w:space="0"/>
              <w:left w:val="single" w:color="000000" w:sz="4" w:space="0"/>
              <w:bottom w:val="single" w:color="000000" w:sz="4" w:space="0"/>
              <w:right w:val="single" w:color="000000" w:sz="4" w:space="0"/>
            </w:tcBorders>
            <w:shd w:val="clear"/>
            <w:vAlign w:val="center"/>
          </w:tcPr>
          <w:p w14:paraId="2B3473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实际完成情况</w:t>
            </w:r>
          </w:p>
        </w:tc>
      </w:tr>
      <w:tr w14:paraId="2A98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84"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0FAE3A5">
            <w:pPr>
              <w:jc w:val="center"/>
              <w:rPr>
                <w:rFonts w:hint="default" w:ascii="仿宋_GB2312" w:hAnsi="宋体" w:eastAsia="仿宋_GB2312" w:cs="仿宋_GB2312"/>
                <w:b/>
                <w:bCs/>
                <w:i w:val="0"/>
                <w:iCs w:val="0"/>
                <w:color w:val="000000"/>
                <w:sz w:val="20"/>
                <w:szCs w:val="20"/>
                <w:u w:val="none"/>
              </w:rPr>
            </w:pPr>
          </w:p>
        </w:tc>
        <w:tc>
          <w:tcPr>
            <w:tcW w:w="5543" w:type="dxa"/>
            <w:gridSpan w:val="5"/>
            <w:tcBorders>
              <w:top w:val="single" w:color="000000" w:sz="4" w:space="0"/>
              <w:left w:val="single" w:color="000000" w:sz="4" w:space="0"/>
              <w:bottom w:val="single" w:color="000000" w:sz="4" w:space="0"/>
              <w:right w:val="single" w:color="000000" w:sz="4" w:space="0"/>
            </w:tcBorders>
            <w:shd w:val="clear"/>
            <w:vAlign w:val="center"/>
          </w:tcPr>
          <w:p w14:paraId="29D221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在本行政区域内保证宪法、法律、行政法规和上级人民代表大会及其常委会决议的遵守和执行；2、领导或者主持本级人民代表大会代表的选举；3、召集本级人民代表大会会议；4、讨论、决定本行政区域内的政治、经济、教育、科学、文化、卫生、环境和资源保护等工作的重大事项；5、在本级人民代表大会闭会期间，行使任免权。</w:t>
            </w:r>
          </w:p>
        </w:tc>
        <w:tc>
          <w:tcPr>
            <w:tcW w:w="2385" w:type="dxa"/>
            <w:gridSpan w:val="3"/>
            <w:tcBorders>
              <w:top w:val="single" w:color="000000" w:sz="4" w:space="0"/>
              <w:left w:val="single" w:color="000000" w:sz="4" w:space="0"/>
              <w:bottom w:val="single" w:color="000000" w:sz="4" w:space="0"/>
              <w:right w:val="single" w:color="000000" w:sz="4" w:space="0"/>
            </w:tcBorders>
            <w:shd w:val="clear"/>
            <w:vAlign w:val="center"/>
          </w:tcPr>
          <w:p w14:paraId="45FD8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各项工作按计划开展，整体良好。</w:t>
            </w:r>
          </w:p>
        </w:tc>
      </w:tr>
      <w:tr w14:paraId="7002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17212D">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绩效指标</w:t>
            </w: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241EE7">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一级指标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5465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二级指标</w:t>
            </w:r>
          </w:p>
        </w:tc>
        <w:tc>
          <w:tcPr>
            <w:tcW w:w="13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48387E">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三级指标</w:t>
            </w:r>
          </w:p>
        </w:tc>
        <w:tc>
          <w:tcPr>
            <w:tcW w:w="7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BCC59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年度指标值</w:t>
            </w:r>
          </w:p>
        </w:tc>
        <w:tc>
          <w:tcPr>
            <w:tcW w:w="11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538D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实际完成值</w:t>
            </w:r>
          </w:p>
        </w:tc>
        <w:tc>
          <w:tcPr>
            <w:tcW w:w="17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DAD1C8">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评扣分标准</w:t>
            </w:r>
          </w:p>
        </w:tc>
        <w:tc>
          <w:tcPr>
            <w:tcW w:w="62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CA22F2">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bdr w:val="none" w:color="auto" w:sz="0" w:space="0"/>
                <w:lang w:val="en-US" w:eastAsia="zh-CN" w:bidi="ar"/>
              </w:rPr>
              <w:t>分值</w:t>
            </w:r>
          </w:p>
        </w:tc>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14:paraId="7B4399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偏差原因分析及改进措施</w:t>
            </w:r>
          </w:p>
        </w:tc>
      </w:tr>
      <w:tr w14:paraId="4BF2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CE29F">
            <w:pPr>
              <w:jc w:val="center"/>
              <w:rPr>
                <w:rFonts w:hint="default" w:ascii="仿宋_GB2312" w:hAnsi="宋体" w:eastAsia="仿宋_GB2312" w:cs="仿宋_GB2312"/>
                <w:b/>
                <w:bCs/>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C1E18B">
            <w:pPr>
              <w:jc w:val="center"/>
              <w:rPr>
                <w:rFonts w:hint="default" w:ascii="仿宋_GB2312" w:hAnsi="宋体" w:eastAsia="仿宋_GB2312" w:cs="仿宋_GB2312"/>
                <w:b/>
                <w:bCs/>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7DE70F">
            <w:pPr>
              <w:jc w:val="center"/>
              <w:rPr>
                <w:rFonts w:hint="eastAsia" w:ascii="宋体" w:hAnsi="宋体" w:eastAsia="宋体" w:cs="宋体"/>
                <w:b/>
                <w:bCs/>
                <w:i w:val="0"/>
                <w:iCs w:val="0"/>
                <w:color w:val="000000"/>
                <w:sz w:val="20"/>
                <w:szCs w:val="20"/>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09A9E3">
            <w:pPr>
              <w:jc w:val="center"/>
              <w:rPr>
                <w:rFonts w:hint="default" w:ascii="仿宋_GB2312" w:hAnsi="宋体" w:eastAsia="仿宋_GB2312" w:cs="仿宋_GB2312"/>
                <w:b/>
                <w:bCs/>
                <w:i w:val="0"/>
                <w:iCs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B828B6">
            <w:pPr>
              <w:jc w:val="center"/>
              <w:rPr>
                <w:rFonts w:hint="default" w:ascii="仿宋_GB2312" w:hAnsi="宋体" w:eastAsia="仿宋_GB2312" w:cs="仿宋_GB2312"/>
                <w:b/>
                <w:bCs/>
                <w:i w:val="0"/>
                <w:iCs w:val="0"/>
                <w:color w:val="000000"/>
                <w:sz w:val="20"/>
                <w:szCs w:val="20"/>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B4BA92">
            <w:pPr>
              <w:jc w:val="center"/>
              <w:rPr>
                <w:rFonts w:hint="eastAsia" w:ascii="宋体" w:hAnsi="宋体" w:eastAsia="宋体" w:cs="宋体"/>
                <w:b/>
                <w:bCs/>
                <w:i w:val="0"/>
                <w:iCs w:val="0"/>
                <w:color w:val="000000"/>
                <w:sz w:val="20"/>
                <w:szCs w:val="20"/>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B69526">
            <w:pPr>
              <w:jc w:val="center"/>
              <w:rPr>
                <w:rFonts w:hint="default" w:ascii="仿宋_GB2312" w:hAnsi="宋体" w:eastAsia="仿宋_GB2312" w:cs="仿宋_GB2312"/>
                <w:b/>
                <w:bCs/>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9F0577">
            <w:pPr>
              <w:jc w:val="center"/>
              <w:rPr>
                <w:rFonts w:hint="default" w:ascii="仿宋_GB2312" w:hAnsi="宋体" w:eastAsia="仿宋_GB2312" w:cs="仿宋_GB2312"/>
                <w:b/>
                <w:bCs/>
                <w:i w:val="0"/>
                <w:iCs w:val="0"/>
                <w:color w:val="000000"/>
                <w:sz w:val="20"/>
                <w:szCs w:val="20"/>
                <w:u w:val="none"/>
              </w:rPr>
            </w:pPr>
          </w:p>
        </w:tc>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1D7D91">
            <w:pPr>
              <w:jc w:val="center"/>
              <w:rPr>
                <w:rFonts w:hint="eastAsia" w:ascii="宋体" w:hAnsi="宋体" w:eastAsia="宋体" w:cs="宋体"/>
                <w:b/>
                <w:bCs/>
                <w:i w:val="0"/>
                <w:iCs w:val="0"/>
                <w:color w:val="000000"/>
                <w:sz w:val="20"/>
                <w:szCs w:val="20"/>
                <w:u w:val="none"/>
              </w:rPr>
            </w:pPr>
          </w:p>
        </w:tc>
      </w:tr>
      <w:tr w14:paraId="5014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BAAAF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绩效指标</w:t>
            </w: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E8525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产出指标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CA5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229306B1">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文件规范性的报备各级审查</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23B12B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30个</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6CBBE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32个</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3BFD1F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6B0270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AB30443">
            <w:pPr>
              <w:jc w:val="center"/>
              <w:rPr>
                <w:rFonts w:hint="eastAsia" w:ascii="宋体" w:hAnsi="宋体" w:eastAsia="宋体" w:cs="宋体"/>
                <w:i w:val="0"/>
                <w:iCs w:val="0"/>
                <w:color w:val="000000"/>
                <w:sz w:val="20"/>
                <w:szCs w:val="20"/>
                <w:u w:val="none"/>
              </w:rPr>
            </w:pPr>
          </w:p>
        </w:tc>
      </w:tr>
      <w:tr w14:paraId="0C0A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5AFDD8">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7C991">
            <w:pPr>
              <w:rPr>
                <w:rFonts w:hint="default" w:ascii="仿宋_GB2312" w:hAnsi="宋体" w:eastAsia="仿宋_GB2312" w:cs="仿宋_GB2312"/>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25ACD0">
            <w:pP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7E0FC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召开人民代表大会</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5D2D0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1次</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318CF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1次</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15D145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1EC976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C9A3013">
            <w:pPr>
              <w:jc w:val="center"/>
              <w:rPr>
                <w:rFonts w:hint="eastAsia" w:ascii="宋体" w:hAnsi="宋体" w:eastAsia="宋体" w:cs="宋体"/>
                <w:i w:val="0"/>
                <w:iCs w:val="0"/>
                <w:color w:val="000000"/>
                <w:sz w:val="20"/>
                <w:szCs w:val="20"/>
                <w:u w:val="none"/>
              </w:rPr>
            </w:pPr>
          </w:p>
        </w:tc>
      </w:tr>
      <w:tr w14:paraId="19A1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6D2F78">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4FFE92">
            <w:pPr>
              <w:rPr>
                <w:rFonts w:hint="default" w:ascii="仿宋_GB2312" w:hAnsi="宋体" w:eastAsia="仿宋_GB2312" w:cs="仿宋_GB2312"/>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FD95B4">
            <w:pP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48FEC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请示报告市委向</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46D8CAC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12次</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C97396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16次</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0A7962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5FB3D63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4DB7D47">
            <w:pPr>
              <w:jc w:val="center"/>
              <w:rPr>
                <w:rFonts w:hint="eastAsia" w:ascii="宋体" w:hAnsi="宋体" w:eastAsia="宋体" w:cs="宋体"/>
                <w:i w:val="0"/>
                <w:iCs w:val="0"/>
                <w:color w:val="000000"/>
                <w:sz w:val="20"/>
                <w:szCs w:val="20"/>
                <w:u w:val="none"/>
              </w:rPr>
            </w:pPr>
          </w:p>
        </w:tc>
      </w:tr>
      <w:tr w14:paraId="1E6D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ABE2F6">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D11C67">
            <w:pPr>
              <w:rPr>
                <w:rFonts w:hint="default" w:ascii="仿宋_GB2312" w:hAnsi="宋体" w:eastAsia="仿宋_GB2312" w:cs="仿宋_GB2312"/>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2C7B76">
            <w:pP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16273E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提出对策建议</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0E1ACF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12次</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5A22C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20次</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035A86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14AF6C3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2789392">
            <w:pPr>
              <w:jc w:val="center"/>
              <w:rPr>
                <w:rFonts w:hint="eastAsia" w:ascii="宋体" w:hAnsi="宋体" w:eastAsia="宋体" w:cs="宋体"/>
                <w:i w:val="0"/>
                <w:iCs w:val="0"/>
                <w:color w:val="000000"/>
                <w:sz w:val="20"/>
                <w:szCs w:val="20"/>
                <w:u w:val="none"/>
              </w:rPr>
            </w:pPr>
          </w:p>
        </w:tc>
      </w:tr>
      <w:tr w14:paraId="6311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7D6C63">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CB0270">
            <w:pPr>
              <w:rPr>
                <w:rFonts w:hint="default" w:ascii="仿宋_GB2312" w:hAnsi="宋体" w:eastAsia="仿宋_GB2312" w:cs="仿宋_GB2312"/>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4B000D">
            <w:pP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6018B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来访来信群众接待处理</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661D3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30次</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301447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35次</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4128EC2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2554B2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23DFACB">
            <w:pPr>
              <w:jc w:val="center"/>
              <w:rPr>
                <w:rFonts w:hint="eastAsia" w:ascii="宋体" w:hAnsi="宋体" w:eastAsia="宋体" w:cs="宋体"/>
                <w:i w:val="0"/>
                <w:iCs w:val="0"/>
                <w:color w:val="000000"/>
                <w:sz w:val="20"/>
                <w:szCs w:val="20"/>
                <w:u w:val="none"/>
              </w:rPr>
            </w:pPr>
          </w:p>
        </w:tc>
      </w:tr>
      <w:tr w14:paraId="2B71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588C7">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041CBD">
            <w:pPr>
              <w:rPr>
                <w:rFonts w:hint="default" w:ascii="仿宋_GB2312" w:hAnsi="宋体" w:eastAsia="仿宋_GB2312" w:cs="仿宋_GB2312"/>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35261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6FA5B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任前程序合规性</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CE099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合规</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795AE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合规</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542CF9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2BFADBD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F887445">
            <w:pPr>
              <w:jc w:val="center"/>
              <w:rPr>
                <w:rFonts w:hint="eastAsia" w:ascii="宋体" w:hAnsi="宋体" w:eastAsia="宋体" w:cs="宋体"/>
                <w:i w:val="0"/>
                <w:iCs w:val="0"/>
                <w:color w:val="000000"/>
                <w:sz w:val="20"/>
                <w:szCs w:val="20"/>
                <w:u w:val="none"/>
              </w:rPr>
            </w:pPr>
          </w:p>
        </w:tc>
      </w:tr>
      <w:tr w14:paraId="1E8C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01132F">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1E537D">
            <w:pPr>
              <w:rPr>
                <w:rFonts w:hint="default" w:ascii="仿宋_GB2312" w:hAnsi="宋体" w:eastAsia="仿宋_GB2312" w:cs="仿宋_GB2312"/>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1116B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11AF5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受理来信来访及时性</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4FFE8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及时</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01724E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及时</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38DBE5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650EEDE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93A4504">
            <w:pPr>
              <w:jc w:val="center"/>
              <w:rPr>
                <w:rFonts w:hint="eastAsia" w:ascii="宋体" w:hAnsi="宋体" w:eastAsia="宋体" w:cs="宋体"/>
                <w:i w:val="0"/>
                <w:iCs w:val="0"/>
                <w:color w:val="000000"/>
                <w:sz w:val="20"/>
                <w:szCs w:val="20"/>
                <w:u w:val="none"/>
              </w:rPr>
            </w:pPr>
          </w:p>
        </w:tc>
      </w:tr>
      <w:tr w14:paraId="0BB3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ED7D05">
            <w:pPr>
              <w:rPr>
                <w:rFonts w:hint="default" w:ascii="仿宋_GB2312" w:hAnsi="宋体" w:eastAsia="仿宋_GB2312" w:cs="仿宋_GB2312"/>
                <w:i w:val="0"/>
                <w:iCs w:val="0"/>
                <w:color w:val="000000"/>
                <w:sz w:val="20"/>
                <w:szCs w:val="20"/>
                <w:u w:val="none"/>
              </w:rPr>
            </w:pP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5CFA6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效益指标</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5150DA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经济效益指标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780BA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营商环境</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760996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优化</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1FCF2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优化</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0179CD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32A3928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1C1D985">
            <w:pPr>
              <w:jc w:val="center"/>
              <w:rPr>
                <w:rFonts w:hint="eastAsia" w:ascii="宋体" w:hAnsi="宋体" w:eastAsia="宋体" w:cs="宋体"/>
                <w:i w:val="0"/>
                <w:iCs w:val="0"/>
                <w:color w:val="000000"/>
                <w:sz w:val="20"/>
                <w:szCs w:val="20"/>
                <w:u w:val="none"/>
              </w:rPr>
            </w:pPr>
          </w:p>
        </w:tc>
      </w:tr>
      <w:tr w14:paraId="4F63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B06392">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5F756C">
            <w:pPr>
              <w:rPr>
                <w:rFonts w:hint="default" w:ascii="仿宋_GB2312" w:hAnsi="宋体" w:eastAsia="仿宋_GB2312" w:cs="仿宋_GB2312"/>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54F70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037AD0E2">
            <w:pPr>
              <w:jc w:val="center"/>
              <w:rPr>
                <w:rFonts w:hint="eastAsia" w:ascii="仿宋" w:hAnsi="仿宋" w:eastAsia="仿宋" w:cs="仿宋"/>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00569D31">
            <w:pPr>
              <w:jc w:val="center"/>
              <w:rPr>
                <w:rFonts w:hint="default" w:ascii="仿宋_GB2312" w:hAnsi="宋体" w:eastAsia="仿宋_GB2312" w:cs="仿宋_GB2312"/>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8542A4E">
            <w:pPr>
              <w:jc w:val="center"/>
              <w:rPr>
                <w:rFonts w:hint="default" w:ascii="仿宋_GB2312" w:hAnsi="宋体" w:eastAsia="仿宋_GB2312" w:cs="仿宋_GB2312"/>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3F5E40DA">
            <w:pPr>
              <w:jc w:val="center"/>
              <w:rPr>
                <w:rFonts w:hint="default" w:ascii="仿宋_GB2312" w:hAnsi="宋体" w:eastAsia="仿宋_GB2312" w:cs="仿宋_GB2312"/>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2FC56CF4">
            <w:pPr>
              <w:jc w:val="center"/>
              <w:rPr>
                <w:rFonts w:hint="default" w:ascii="仿宋_GB2312" w:hAnsi="宋体" w:eastAsia="仿宋_GB2312" w:cs="仿宋_GB2312"/>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14269DD">
            <w:pPr>
              <w:jc w:val="center"/>
              <w:rPr>
                <w:rFonts w:hint="eastAsia" w:ascii="宋体" w:hAnsi="宋体" w:eastAsia="宋体" w:cs="宋体"/>
                <w:i w:val="0"/>
                <w:iCs w:val="0"/>
                <w:color w:val="000000"/>
                <w:sz w:val="20"/>
                <w:szCs w:val="20"/>
                <w:u w:val="none"/>
              </w:rPr>
            </w:pPr>
          </w:p>
        </w:tc>
      </w:tr>
      <w:tr w14:paraId="060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B9C02">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20DE33">
            <w:pPr>
              <w:rPr>
                <w:rFonts w:hint="default" w:ascii="仿宋_GB2312" w:hAnsi="宋体" w:eastAsia="仿宋_GB2312" w:cs="仿宋_GB2312"/>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1D9C8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生态效益指标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512FA272">
            <w:pPr>
              <w:jc w:val="center"/>
              <w:rPr>
                <w:rFonts w:hint="eastAsia" w:ascii="仿宋" w:hAnsi="仿宋" w:eastAsia="仿宋" w:cs="仿宋"/>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6F79EB5B">
            <w:pPr>
              <w:jc w:val="center"/>
              <w:rPr>
                <w:rFonts w:hint="default" w:ascii="仿宋_GB2312" w:hAnsi="宋体" w:eastAsia="仿宋_GB2312" w:cs="仿宋_GB2312"/>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61AD5B3">
            <w:pPr>
              <w:jc w:val="center"/>
              <w:rPr>
                <w:rFonts w:hint="default" w:ascii="仿宋_GB2312" w:hAnsi="宋体" w:eastAsia="仿宋_GB2312" w:cs="仿宋_GB2312"/>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6D49D4FB">
            <w:pPr>
              <w:jc w:val="center"/>
              <w:rPr>
                <w:rFonts w:hint="default" w:ascii="仿宋_GB2312" w:hAnsi="宋体" w:eastAsia="仿宋_GB2312" w:cs="仿宋_GB2312"/>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5A599CC9">
            <w:pPr>
              <w:jc w:val="center"/>
              <w:rPr>
                <w:rFonts w:hint="default" w:ascii="仿宋_GB2312" w:hAnsi="宋体" w:eastAsia="仿宋_GB2312" w:cs="仿宋_GB2312"/>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EA7CC82">
            <w:pPr>
              <w:jc w:val="center"/>
              <w:rPr>
                <w:rFonts w:hint="eastAsia" w:ascii="宋体" w:hAnsi="宋体" w:eastAsia="宋体" w:cs="宋体"/>
                <w:i w:val="0"/>
                <w:iCs w:val="0"/>
                <w:color w:val="000000"/>
                <w:sz w:val="20"/>
                <w:szCs w:val="20"/>
                <w:u w:val="none"/>
              </w:rPr>
            </w:pPr>
          </w:p>
        </w:tc>
      </w:tr>
      <w:tr w14:paraId="6263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5F5AC4">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E0C911">
            <w:pPr>
              <w:rPr>
                <w:rFonts w:hint="default" w:ascii="仿宋_GB2312" w:hAnsi="宋体" w:eastAsia="仿宋_GB2312" w:cs="仿宋_GB2312"/>
                <w:i w:val="0"/>
                <w:iCs w:val="0"/>
                <w:color w:val="000000"/>
                <w:sz w:val="20"/>
                <w:szCs w:val="20"/>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863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可持续影响指标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0CF42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化解矛盾纠纷</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096C9C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有效化解</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500ED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有效化解</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52E1FE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4D1029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F7E92CA">
            <w:pPr>
              <w:jc w:val="center"/>
              <w:rPr>
                <w:rFonts w:hint="eastAsia" w:ascii="宋体" w:hAnsi="宋体" w:eastAsia="宋体" w:cs="宋体"/>
                <w:i w:val="0"/>
                <w:iCs w:val="0"/>
                <w:color w:val="000000"/>
                <w:sz w:val="20"/>
                <w:szCs w:val="20"/>
                <w:u w:val="none"/>
              </w:rPr>
            </w:pPr>
          </w:p>
        </w:tc>
      </w:tr>
      <w:tr w14:paraId="0FE0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2FE963">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A70598">
            <w:pPr>
              <w:rPr>
                <w:rFonts w:hint="default" w:ascii="仿宋_GB2312" w:hAnsi="宋体" w:eastAsia="仿宋_GB2312" w:cs="仿宋_GB2312"/>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0132A0">
            <w:pP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5B2C01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代表履职能力</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579817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提升</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831B7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提升</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7FC7B3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3D2CED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4FD8643B">
            <w:pPr>
              <w:jc w:val="center"/>
              <w:rPr>
                <w:rFonts w:hint="eastAsia" w:ascii="宋体" w:hAnsi="宋体" w:eastAsia="宋体" w:cs="宋体"/>
                <w:i w:val="0"/>
                <w:iCs w:val="0"/>
                <w:color w:val="000000"/>
                <w:sz w:val="20"/>
                <w:szCs w:val="20"/>
                <w:u w:val="none"/>
              </w:rPr>
            </w:pPr>
          </w:p>
        </w:tc>
      </w:tr>
      <w:tr w14:paraId="311F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4A3CD">
            <w:pPr>
              <w:rPr>
                <w:rFonts w:hint="default" w:ascii="仿宋_GB2312" w:hAnsi="宋体" w:eastAsia="仿宋_GB2312" w:cs="仿宋_GB2312"/>
                <w:i w:val="0"/>
                <w:iCs w:val="0"/>
                <w:color w:val="000000"/>
                <w:sz w:val="20"/>
                <w:szCs w:val="20"/>
                <w:u w:val="none"/>
              </w:rPr>
            </w:pPr>
          </w:p>
        </w:tc>
        <w:tc>
          <w:tcPr>
            <w:tcW w:w="414" w:type="dxa"/>
            <w:tcBorders>
              <w:top w:val="single" w:color="000000" w:sz="4" w:space="0"/>
              <w:left w:val="single" w:color="000000" w:sz="4" w:space="0"/>
              <w:bottom w:val="single" w:color="000000" w:sz="4" w:space="0"/>
              <w:right w:val="single" w:color="000000" w:sz="4" w:space="0"/>
            </w:tcBorders>
            <w:shd w:val="clear"/>
            <w:vAlign w:val="center"/>
          </w:tcPr>
          <w:p w14:paraId="355117C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满意度指标</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626D1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2FE6DC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群众满意度</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44321C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006FC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97.2%</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793651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5C42D6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5</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8E1B97A">
            <w:pPr>
              <w:jc w:val="center"/>
              <w:rPr>
                <w:rFonts w:hint="eastAsia" w:ascii="宋体" w:hAnsi="宋体" w:eastAsia="宋体" w:cs="宋体"/>
                <w:i w:val="0"/>
                <w:iCs w:val="0"/>
                <w:color w:val="000000"/>
                <w:sz w:val="20"/>
                <w:szCs w:val="20"/>
                <w:u w:val="none"/>
              </w:rPr>
            </w:pPr>
          </w:p>
        </w:tc>
      </w:tr>
      <w:tr w14:paraId="058F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656850">
            <w:pPr>
              <w:rPr>
                <w:rFonts w:hint="default" w:ascii="仿宋_GB2312" w:hAnsi="宋体" w:eastAsia="仿宋_GB2312" w:cs="仿宋_GB2312"/>
                <w:i w:val="0"/>
                <w:iCs w:val="0"/>
                <w:color w:val="000000"/>
                <w:sz w:val="20"/>
                <w:szCs w:val="20"/>
                <w:u w:val="none"/>
              </w:rPr>
            </w:pPr>
          </w:p>
        </w:tc>
        <w:tc>
          <w:tcPr>
            <w:tcW w:w="4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AD7BB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成本指标</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4A205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74B3DC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金额实际支出</w:t>
            </w: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12FF03F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1537.65万元</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0E842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1537.65万元</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7D5A39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按完成任务评/扣分</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469889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10</w:t>
            </w: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A575900">
            <w:pPr>
              <w:jc w:val="center"/>
              <w:rPr>
                <w:rFonts w:hint="eastAsia" w:ascii="宋体" w:hAnsi="宋体" w:eastAsia="宋体" w:cs="宋体"/>
                <w:i w:val="0"/>
                <w:iCs w:val="0"/>
                <w:color w:val="000000"/>
                <w:sz w:val="20"/>
                <w:szCs w:val="20"/>
                <w:u w:val="none"/>
              </w:rPr>
            </w:pPr>
          </w:p>
        </w:tc>
      </w:tr>
      <w:tr w14:paraId="3FC6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41E345">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134797">
            <w:pPr>
              <w:rPr>
                <w:rFonts w:hint="default" w:ascii="仿宋_GB2312" w:hAnsi="宋体" w:eastAsia="仿宋_GB2312" w:cs="仿宋_GB2312"/>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24BCE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社会成本指标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79E96EF4">
            <w:pPr>
              <w:jc w:val="center"/>
              <w:rPr>
                <w:rFonts w:hint="eastAsia" w:ascii="仿宋" w:hAnsi="仿宋" w:eastAsia="仿宋" w:cs="仿宋"/>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18385B07">
            <w:pPr>
              <w:jc w:val="center"/>
              <w:rPr>
                <w:rFonts w:hint="default" w:ascii="仿宋_GB2312" w:hAnsi="宋体" w:eastAsia="仿宋_GB2312" w:cs="仿宋_GB2312"/>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ECE5683">
            <w:pPr>
              <w:jc w:val="center"/>
              <w:rPr>
                <w:rFonts w:hint="default" w:ascii="仿宋_GB2312" w:hAnsi="宋体" w:eastAsia="仿宋_GB2312" w:cs="仿宋_GB2312"/>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37DDDDD5">
            <w:pPr>
              <w:jc w:val="center"/>
              <w:rPr>
                <w:rFonts w:hint="default" w:ascii="仿宋_GB2312" w:hAnsi="宋体" w:eastAsia="仿宋_GB2312" w:cs="仿宋_GB2312"/>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477AC755">
            <w:pPr>
              <w:jc w:val="center"/>
              <w:rPr>
                <w:rFonts w:hint="default" w:ascii="仿宋_GB2312" w:hAnsi="宋体" w:eastAsia="仿宋_GB2312" w:cs="仿宋_GB2312"/>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EE921FD">
            <w:pPr>
              <w:jc w:val="center"/>
              <w:rPr>
                <w:rFonts w:hint="eastAsia" w:ascii="宋体" w:hAnsi="宋体" w:eastAsia="宋体" w:cs="宋体"/>
                <w:i w:val="0"/>
                <w:iCs w:val="0"/>
                <w:color w:val="000000"/>
                <w:sz w:val="20"/>
                <w:szCs w:val="20"/>
                <w:u w:val="none"/>
              </w:rPr>
            </w:pPr>
          </w:p>
        </w:tc>
      </w:tr>
      <w:tr w14:paraId="1581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995D35">
            <w:pPr>
              <w:rPr>
                <w:rFonts w:hint="default" w:ascii="仿宋_GB2312" w:hAnsi="宋体" w:eastAsia="仿宋_GB2312" w:cs="仿宋_GB2312"/>
                <w:i w:val="0"/>
                <w:iCs w:val="0"/>
                <w:color w:val="000000"/>
                <w:sz w:val="20"/>
                <w:szCs w:val="20"/>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FFFC67">
            <w:pPr>
              <w:rPr>
                <w:rFonts w:hint="default" w:ascii="仿宋_GB2312" w:hAnsi="宋体" w:eastAsia="仿宋_GB2312" w:cs="仿宋_GB2312"/>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67C71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生态环境成本指标</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703021B2">
            <w:pPr>
              <w:jc w:val="center"/>
              <w:rPr>
                <w:rFonts w:hint="eastAsia" w:ascii="仿宋" w:hAnsi="仿宋" w:eastAsia="仿宋" w:cs="仿宋"/>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vAlign w:val="center"/>
          </w:tcPr>
          <w:p w14:paraId="3C5A2216">
            <w:pPr>
              <w:jc w:val="center"/>
              <w:rPr>
                <w:rFonts w:hint="default" w:ascii="仿宋_GB2312" w:hAnsi="宋体" w:eastAsia="仿宋_GB2312" w:cs="仿宋_GB2312"/>
                <w:i w:val="0"/>
                <w:iCs w:val="0"/>
                <w:color w:val="000000"/>
                <w:sz w:val="20"/>
                <w:szCs w:val="20"/>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08E7C93">
            <w:pPr>
              <w:jc w:val="center"/>
              <w:rPr>
                <w:rFonts w:hint="default" w:ascii="仿宋_GB2312" w:hAnsi="宋体" w:eastAsia="仿宋_GB2312" w:cs="仿宋_GB2312"/>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6DF79EF0">
            <w:pPr>
              <w:jc w:val="center"/>
              <w:rPr>
                <w:rFonts w:hint="default" w:ascii="仿宋_GB2312" w:hAnsi="宋体" w:eastAsia="仿宋_GB2312" w:cs="仿宋_GB2312"/>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740FE3A7">
            <w:pPr>
              <w:jc w:val="center"/>
              <w:rPr>
                <w:rFonts w:hint="default" w:ascii="仿宋_GB2312" w:hAnsi="宋体" w:eastAsia="仿宋_GB2312" w:cs="仿宋_GB2312"/>
                <w:i w:val="0"/>
                <w:iCs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FBCD36B">
            <w:pPr>
              <w:jc w:val="center"/>
              <w:rPr>
                <w:rFonts w:hint="eastAsia" w:ascii="宋体" w:hAnsi="宋体" w:eastAsia="宋体" w:cs="宋体"/>
                <w:i w:val="0"/>
                <w:iCs w:val="0"/>
                <w:color w:val="000000"/>
                <w:sz w:val="20"/>
                <w:szCs w:val="20"/>
                <w:u w:val="none"/>
              </w:rPr>
            </w:pPr>
          </w:p>
        </w:tc>
      </w:tr>
      <w:tr w14:paraId="5116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484"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02357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总分</w:t>
            </w:r>
          </w:p>
        </w:tc>
        <w:tc>
          <w:tcPr>
            <w:tcW w:w="7928"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1FF97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r>
    </w:tbl>
    <w:p w14:paraId="7558B694">
      <w:pPr>
        <w:jc w:val="center"/>
        <w:rPr>
          <w:rFonts w:ascii="方正小标宋简体" w:hAnsi="方正小标宋简体" w:eastAsia="方正小标宋简体" w:cs="方正小标宋简体"/>
          <w:color w:val="000000"/>
          <w:sz w:val="48"/>
          <w:szCs w:val="48"/>
        </w:rPr>
      </w:pPr>
    </w:p>
    <w:p w14:paraId="69A3439D">
      <w:pPr>
        <w:jc w:val="center"/>
        <w:rPr>
          <w:rFonts w:hint="eastAsia" w:ascii="方正小标宋简体" w:hAnsi="方正小标宋简体" w:eastAsia="方正小标宋简体" w:cs="方正小标宋简体"/>
          <w:color w:val="000000"/>
          <w:sz w:val="48"/>
          <w:szCs w:val="48"/>
        </w:rPr>
      </w:pPr>
    </w:p>
    <w:p w14:paraId="14406DBC">
      <w:pPr>
        <w:jc w:val="center"/>
        <w:rPr>
          <w:rFonts w:hint="eastAsia" w:ascii="方正小标宋简体" w:hAnsi="方正小标宋简体" w:eastAsia="方正小标宋简体" w:cs="方正小标宋简体"/>
          <w:color w:val="000000"/>
          <w:sz w:val="48"/>
          <w:szCs w:val="48"/>
        </w:rPr>
      </w:pPr>
    </w:p>
    <w:p w14:paraId="1591B5FA">
      <w:pPr>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202</w:t>
      </w:r>
      <w:r>
        <w:rPr>
          <w:rFonts w:hint="eastAsia" w:ascii="方正小标宋简体" w:hAnsi="方正小标宋简体" w:eastAsia="方正小标宋简体" w:cs="方正小标宋简体"/>
          <w:color w:val="000000"/>
          <w:sz w:val="48"/>
          <w:szCs w:val="48"/>
          <w:lang w:val="en-US" w:eastAsia="zh-CN"/>
        </w:rPr>
        <w:t>4</w:t>
      </w:r>
      <w:r>
        <w:rPr>
          <w:rFonts w:hint="eastAsia" w:ascii="方正小标宋简体" w:hAnsi="方正小标宋简体" w:eastAsia="方正小标宋简体" w:cs="方正小标宋简体"/>
          <w:color w:val="000000"/>
          <w:sz w:val="48"/>
          <w:szCs w:val="48"/>
        </w:rPr>
        <w:t>年度汨罗市人民代表大会常务委员会</w:t>
      </w:r>
    </w:p>
    <w:p w14:paraId="54406380">
      <w:pPr>
        <w:jc w:val="center"/>
        <w:rPr>
          <w:rFonts w:ascii="Times New Roman" w:hAnsi="Times New Roman" w:eastAsia="方正小标宋_GBK"/>
          <w:color w:val="000000"/>
          <w:sz w:val="48"/>
          <w:szCs w:val="48"/>
        </w:rPr>
      </w:pPr>
      <w:r>
        <w:rPr>
          <w:rFonts w:hint="eastAsia" w:ascii="方正小标宋简体" w:hAnsi="方正小标宋简体" w:eastAsia="方正小标宋简体" w:cs="方正小标宋简体"/>
          <w:color w:val="000000"/>
          <w:sz w:val="48"/>
          <w:szCs w:val="48"/>
        </w:rPr>
        <w:t>部门整体支出绩效自评报告</w:t>
      </w:r>
    </w:p>
    <w:p w14:paraId="6FE3E3B9">
      <w:pPr>
        <w:jc w:val="center"/>
        <w:rPr>
          <w:rFonts w:ascii="Times New Roman" w:hAnsi="Times New Roman" w:eastAsia="黑体"/>
          <w:color w:val="000000"/>
          <w:sz w:val="32"/>
          <w:szCs w:val="32"/>
        </w:rPr>
      </w:pPr>
    </w:p>
    <w:p w14:paraId="7168492E">
      <w:pPr>
        <w:jc w:val="center"/>
        <w:rPr>
          <w:rFonts w:ascii="Times New Roman" w:hAnsi="Times New Roman" w:eastAsia="黑体"/>
          <w:color w:val="000000"/>
          <w:sz w:val="32"/>
          <w:szCs w:val="32"/>
        </w:rPr>
      </w:pPr>
    </w:p>
    <w:p w14:paraId="7AA130EE">
      <w:pPr>
        <w:jc w:val="center"/>
        <w:rPr>
          <w:rFonts w:ascii="Times New Roman" w:hAnsi="Times New Roman" w:eastAsia="黑体"/>
          <w:color w:val="000000"/>
          <w:sz w:val="32"/>
          <w:szCs w:val="32"/>
        </w:rPr>
      </w:pPr>
    </w:p>
    <w:p w14:paraId="34E5E28A">
      <w:pPr>
        <w:jc w:val="center"/>
        <w:rPr>
          <w:rFonts w:ascii="Times New Roman" w:hAnsi="Times New Roman" w:eastAsia="黑体"/>
          <w:color w:val="000000"/>
          <w:sz w:val="32"/>
          <w:szCs w:val="32"/>
        </w:rPr>
      </w:pPr>
    </w:p>
    <w:p w14:paraId="38CBF5A4">
      <w:pPr>
        <w:jc w:val="center"/>
        <w:rPr>
          <w:rFonts w:ascii="Times New Roman" w:hAnsi="Times New Roman" w:eastAsia="黑体"/>
          <w:color w:val="000000"/>
          <w:sz w:val="32"/>
          <w:szCs w:val="32"/>
        </w:rPr>
      </w:pPr>
    </w:p>
    <w:p w14:paraId="53554E51">
      <w:pPr>
        <w:jc w:val="center"/>
        <w:rPr>
          <w:rFonts w:ascii="Times New Roman" w:hAnsi="Times New Roman" w:eastAsia="黑体"/>
          <w:color w:val="000000"/>
          <w:sz w:val="32"/>
          <w:szCs w:val="32"/>
        </w:rPr>
      </w:pPr>
    </w:p>
    <w:p w14:paraId="53151753">
      <w:pPr>
        <w:tabs>
          <w:tab w:val="left" w:pos="6935"/>
        </w:tabs>
        <w:jc w:val="left"/>
        <w:rPr>
          <w:rFonts w:ascii="Times New Roman" w:hAnsi="Times New Roman" w:eastAsia="黑体"/>
          <w:color w:val="000000"/>
          <w:sz w:val="32"/>
          <w:szCs w:val="32"/>
        </w:rPr>
      </w:pPr>
      <w:r>
        <w:rPr>
          <w:rFonts w:hint="eastAsia" w:ascii="Times New Roman" w:hAnsi="Times New Roman" w:eastAsia="黑体"/>
          <w:color w:val="000000"/>
          <w:sz w:val="32"/>
          <w:szCs w:val="32"/>
        </w:rPr>
        <w:tab/>
      </w:r>
    </w:p>
    <w:p w14:paraId="0965A920">
      <w:pPr>
        <w:jc w:val="center"/>
        <w:rPr>
          <w:rFonts w:ascii="Times New Roman" w:hAnsi="Times New Roman" w:eastAsia="黑体"/>
          <w:color w:val="000000"/>
          <w:sz w:val="32"/>
          <w:szCs w:val="32"/>
        </w:rPr>
      </w:pPr>
    </w:p>
    <w:p w14:paraId="7EC7D284">
      <w:pPr>
        <w:tabs>
          <w:tab w:val="left" w:pos="7092"/>
        </w:tabs>
        <w:jc w:val="left"/>
        <w:rPr>
          <w:rFonts w:ascii="Times New Roman" w:hAnsi="Times New Roman" w:eastAsia="黑体"/>
          <w:color w:val="000000"/>
          <w:sz w:val="32"/>
          <w:szCs w:val="32"/>
        </w:rPr>
      </w:pPr>
      <w:r>
        <w:rPr>
          <w:rFonts w:hint="eastAsia" w:ascii="Times New Roman" w:hAnsi="Times New Roman" w:eastAsia="黑体"/>
          <w:color w:val="000000"/>
          <w:sz w:val="32"/>
          <w:szCs w:val="32"/>
        </w:rPr>
        <w:tab/>
      </w:r>
    </w:p>
    <w:p w14:paraId="5D2A1D5A">
      <w:pPr>
        <w:jc w:val="center"/>
        <w:rPr>
          <w:rFonts w:ascii="Times New Roman" w:hAnsi="Times New Roman" w:eastAsia="黑体"/>
          <w:color w:val="000000"/>
          <w:sz w:val="32"/>
          <w:szCs w:val="32"/>
        </w:rPr>
      </w:pPr>
    </w:p>
    <w:p w14:paraId="4FAEA83A">
      <w:pPr>
        <w:jc w:val="center"/>
        <w:rPr>
          <w:rFonts w:ascii="Times New Roman" w:hAnsi="Times New Roman" w:eastAsia="黑体"/>
          <w:color w:val="000000"/>
          <w:sz w:val="32"/>
          <w:szCs w:val="32"/>
        </w:rPr>
      </w:pPr>
    </w:p>
    <w:p w14:paraId="2944D29B">
      <w:pPr>
        <w:jc w:val="center"/>
        <w:rPr>
          <w:rFonts w:ascii="Times New Roman" w:hAnsi="Times New Roman" w:eastAsia="黑体"/>
          <w:color w:val="000000"/>
          <w:sz w:val="32"/>
          <w:szCs w:val="32"/>
        </w:rPr>
      </w:pPr>
    </w:p>
    <w:p w14:paraId="4000B021">
      <w:pPr>
        <w:jc w:val="center"/>
        <w:rPr>
          <w:rFonts w:ascii="宋体" w:hAnsi="宋体" w:cs="宋体"/>
          <w:color w:val="000000"/>
          <w:sz w:val="36"/>
          <w:szCs w:val="36"/>
        </w:rPr>
      </w:pPr>
      <w:r>
        <w:rPr>
          <w:rFonts w:hint="eastAsia" w:ascii="宋体" w:hAnsi="宋体" w:cs="宋体"/>
          <w:color w:val="000000"/>
          <w:sz w:val="36"/>
          <w:szCs w:val="36"/>
        </w:rPr>
        <w:t>部门（单位）名称：汨罗市人民代表大会常务委员会</w:t>
      </w:r>
    </w:p>
    <w:p w14:paraId="337B813A">
      <w:pPr>
        <w:jc w:val="center"/>
        <w:rPr>
          <w:rFonts w:ascii="宋体" w:hAnsi="宋体" w:cs="宋体"/>
          <w:color w:val="000000"/>
          <w:sz w:val="36"/>
          <w:szCs w:val="36"/>
        </w:rPr>
      </w:pPr>
    </w:p>
    <w:p w14:paraId="6FA0D583">
      <w:pPr>
        <w:pStyle w:val="11"/>
        <w:widowControl/>
        <w:spacing w:line="596" w:lineRule="exact"/>
        <w:ind w:firstLine="2880" w:firstLineChars="800"/>
        <w:rPr>
          <w:rFonts w:ascii="Times New Roman" w:hAnsi="Times New Roman" w:eastAsia="黑体"/>
          <w:color w:val="000000"/>
          <w:sz w:val="32"/>
          <w:szCs w:val="32"/>
        </w:rPr>
      </w:pPr>
      <w:r>
        <w:rPr>
          <w:rFonts w:hint="eastAsia" w:ascii="Times New Roman" w:hAnsi="Times New Roman" w:eastAsia="仿宋_GB2312"/>
          <w:color w:val="000000"/>
          <w:sz w:val="36"/>
          <w:szCs w:val="36"/>
        </w:rPr>
        <w:t>202</w:t>
      </w:r>
      <w:r>
        <w:rPr>
          <w:rFonts w:hint="eastAsia" w:ascii="Times New Roman" w:hAnsi="Times New Roman" w:eastAsia="仿宋_GB2312"/>
          <w:color w:val="000000"/>
          <w:sz w:val="36"/>
          <w:szCs w:val="36"/>
          <w:lang w:val="en-US" w:eastAsia="zh-CN"/>
        </w:rPr>
        <w:t>5</w:t>
      </w:r>
      <w:r>
        <w:rPr>
          <w:rFonts w:hint="eastAsia" w:ascii="Times New Roman" w:hAnsi="Times New Roman" w:eastAsia="仿宋_GB2312"/>
          <w:color w:val="000000"/>
          <w:sz w:val="36"/>
          <w:szCs w:val="36"/>
        </w:rPr>
        <w:t>年5月</w:t>
      </w:r>
      <w:r>
        <w:rPr>
          <w:rFonts w:hint="eastAsia" w:ascii="Times New Roman" w:hAnsi="Times New Roman" w:eastAsia="仿宋_GB2312"/>
          <w:color w:val="000000"/>
          <w:sz w:val="36"/>
          <w:szCs w:val="36"/>
          <w:lang w:val="en-US" w:eastAsia="zh-CN"/>
        </w:rPr>
        <w:t>20</w:t>
      </w:r>
      <w:r>
        <w:rPr>
          <w:rFonts w:hint="eastAsia" w:ascii="Times New Roman" w:hAnsi="Times New Roman" w:eastAsia="仿宋_GB2312"/>
          <w:color w:val="000000"/>
          <w:sz w:val="36"/>
          <w:szCs w:val="36"/>
        </w:rPr>
        <w:t>日</w:t>
      </w:r>
      <w:r>
        <w:rPr>
          <w:rFonts w:ascii="Times New Roman" w:hAnsi="Times New Roman" w:eastAsia="黑体"/>
          <w:color w:val="000000"/>
          <w:sz w:val="32"/>
          <w:szCs w:val="32"/>
        </w:rPr>
        <w:br w:type="page"/>
      </w:r>
    </w:p>
    <w:p w14:paraId="4687872A">
      <w:pPr>
        <w:spacing w:line="0" w:lineRule="atLeast"/>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202</w:t>
      </w:r>
      <w:r>
        <w:rPr>
          <w:rFonts w:hint="eastAsia" w:ascii="方正小标宋简体" w:hAnsi="方正小标宋简体" w:eastAsia="方正小标宋简体" w:cs="方正小标宋简体"/>
          <w:color w:val="000000"/>
          <w:sz w:val="48"/>
          <w:szCs w:val="48"/>
          <w:lang w:val="en-US" w:eastAsia="zh-CN"/>
        </w:rPr>
        <w:t>4</w:t>
      </w:r>
      <w:r>
        <w:rPr>
          <w:rFonts w:hint="eastAsia" w:ascii="方正小标宋简体" w:hAnsi="方正小标宋简体" w:eastAsia="方正小标宋简体" w:cs="方正小标宋简体"/>
          <w:color w:val="000000"/>
          <w:sz w:val="48"/>
          <w:szCs w:val="48"/>
        </w:rPr>
        <w:t>年度汨罗市人民代表大会常务委员会</w:t>
      </w:r>
    </w:p>
    <w:p w14:paraId="1184ECA6">
      <w:pPr>
        <w:spacing w:line="0" w:lineRule="atLeast"/>
        <w:jc w:val="center"/>
        <w:rPr>
          <w:rFonts w:ascii="Times New Roman" w:hAnsi="Times New Roman" w:eastAsia="方正小标宋_GBK"/>
          <w:color w:val="000000"/>
          <w:sz w:val="48"/>
          <w:szCs w:val="48"/>
        </w:rPr>
      </w:pPr>
      <w:r>
        <w:rPr>
          <w:rFonts w:hint="eastAsia" w:ascii="方正小标宋简体" w:hAnsi="方正小标宋简体" w:eastAsia="方正小标宋简体" w:cs="方正小标宋简体"/>
          <w:color w:val="000000"/>
          <w:sz w:val="48"/>
          <w:szCs w:val="48"/>
        </w:rPr>
        <w:t>部门整体支出绩效自评报告</w:t>
      </w:r>
    </w:p>
    <w:p w14:paraId="78AA7E18">
      <w:pPr>
        <w:pStyle w:val="11"/>
        <w:widowControl/>
        <w:spacing w:line="596" w:lineRule="exact"/>
        <w:ind w:firstLine="2560" w:firstLineChars="800"/>
        <w:rPr>
          <w:rFonts w:ascii="Times New Roman" w:hAnsi="Times New Roman" w:eastAsia="黑体"/>
          <w:color w:val="000000"/>
          <w:sz w:val="32"/>
          <w:szCs w:val="32"/>
        </w:rPr>
      </w:pPr>
    </w:p>
    <w:p w14:paraId="4BC710FF">
      <w:pPr>
        <w:pStyle w:val="11"/>
        <w:widowControl/>
        <w:spacing w:line="600" w:lineRule="exact"/>
        <w:ind w:firstLine="640"/>
        <w:rPr>
          <w:rFonts w:ascii="Times New Roman" w:hAnsi="Times New Roman" w:eastAsia="黑体"/>
          <w:kern w:val="0"/>
          <w:sz w:val="32"/>
          <w:szCs w:val="32"/>
        </w:rPr>
      </w:pPr>
      <w:r>
        <w:rPr>
          <w:rFonts w:ascii="Times New Roman" w:hAnsi="Times New Roman" w:eastAsia="黑体"/>
          <w:kern w:val="0"/>
          <w:sz w:val="32"/>
          <w:szCs w:val="32"/>
        </w:rPr>
        <w:t>一、部门概况</w:t>
      </w:r>
    </w:p>
    <w:p w14:paraId="6A7C5661">
      <w:pPr>
        <w:spacing w:line="600" w:lineRule="exact"/>
        <w:ind w:firstLine="640" w:firstLineChars="200"/>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rPr>
        <w:t>（一）部门职能概述</w:t>
      </w:r>
    </w:p>
    <w:p w14:paraId="0D6A99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en-US" w:eastAsia="zh-CN" w:bidi="ar-SA"/>
        </w:rPr>
        <w:t>监督、检查宪法、法律、行政法规以及全国、省、市、市级人民代表大会及其常委会的决议、决定在本行政区域内的贯彻执行。</w:t>
      </w:r>
    </w:p>
    <w:p w14:paraId="0F9E61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default" w:ascii="仿宋" w:hAnsi="仿宋" w:eastAsia="仿宋" w:cs="仿宋"/>
          <w:kern w:val="2"/>
          <w:sz w:val="32"/>
          <w:szCs w:val="32"/>
          <w:lang w:val="en-US" w:eastAsia="zh-CN" w:bidi="ar-SA"/>
        </w:rPr>
        <w:t>领导或者主持本级人民代表大会代表的选举；召集本级人民代表大会。</w:t>
      </w:r>
    </w:p>
    <w:p w14:paraId="3FBA2A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w:t>
      </w:r>
      <w:r>
        <w:rPr>
          <w:rFonts w:hint="default" w:ascii="仿宋" w:hAnsi="仿宋" w:eastAsia="仿宋" w:cs="仿宋"/>
          <w:kern w:val="2"/>
          <w:sz w:val="32"/>
          <w:szCs w:val="32"/>
          <w:lang w:val="en-US" w:eastAsia="zh-CN" w:bidi="ar-SA"/>
        </w:rPr>
        <w:t>讨论、决定本行政区域内的政治、经济、教育、科学、文化、卫生、环境和资源保护、民政、民族等工作的重大事项；根据市人民政府的建议，决定对本行政区域内的国民经济和社会发展计划、财政预算的部分变更。</w:t>
      </w:r>
    </w:p>
    <w:p w14:paraId="3AD254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w:t>
      </w:r>
      <w:r>
        <w:rPr>
          <w:rFonts w:hint="default" w:ascii="仿宋" w:hAnsi="仿宋" w:eastAsia="仿宋" w:cs="仿宋"/>
          <w:kern w:val="2"/>
          <w:sz w:val="32"/>
          <w:szCs w:val="32"/>
          <w:lang w:val="en-US" w:eastAsia="zh-CN" w:bidi="ar-SA"/>
        </w:rPr>
        <w:t>监督市人民政府、市人民法院和市人民检察院的工作，联系市人民代表大会代表，受理人民群众对上述机关和国家工作人员的申诉和意见；撤销下一级人民代表大会的不适当的决议和市人民政府不适当的决定和命令。</w:t>
      </w:r>
    </w:p>
    <w:p w14:paraId="2A5DF97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w:t>
      </w:r>
      <w:r>
        <w:rPr>
          <w:rFonts w:hint="default" w:ascii="仿宋" w:hAnsi="仿宋" w:eastAsia="仿宋" w:cs="仿宋"/>
          <w:kern w:val="2"/>
          <w:sz w:val="32"/>
          <w:szCs w:val="32"/>
          <w:lang w:val="en-US" w:eastAsia="zh-CN" w:bidi="ar-SA"/>
        </w:rPr>
        <w:t>在市人民代表大会闭会期间，决定副市长的个别任免和市人民政府组成部门的局长、主任的任免；通过任免市人大常委会办事机构的主任、副主任和市人民法院副院长、庭长、副庭长、审判委员会委员、审判员及市人民检察院副检察长、检察委员会委员、检察员；在市人民政府市长、市人民法院院长、市人民检察院检察长因故不能担任职务或缺位时，从本级人民政府、人民法院、人民检察院副职领导人员中决定代理人选；补选上一级人民代表大会出缺的代表和罢免个别代表。</w:t>
      </w:r>
    </w:p>
    <w:p w14:paraId="7528B6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w:t>
      </w:r>
      <w:r>
        <w:rPr>
          <w:rFonts w:hint="default" w:ascii="仿宋" w:hAnsi="仿宋" w:eastAsia="仿宋" w:cs="仿宋"/>
          <w:kern w:val="2"/>
          <w:sz w:val="32"/>
          <w:szCs w:val="32"/>
          <w:lang w:val="en-US" w:eastAsia="zh-CN" w:bidi="ar-SA"/>
        </w:rPr>
        <w:t>联系乡镇人民代表大会主席团，了解情况，指导工作，总结交流经验。</w:t>
      </w:r>
    </w:p>
    <w:p w14:paraId="263FF11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w:t>
      </w:r>
      <w:r>
        <w:rPr>
          <w:rFonts w:hint="default" w:ascii="仿宋" w:hAnsi="仿宋" w:eastAsia="仿宋" w:cs="仿宋"/>
          <w:kern w:val="2"/>
          <w:sz w:val="32"/>
          <w:szCs w:val="32"/>
          <w:lang w:val="en-US" w:eastAsia="zh-CN" w:bidi="ar-SA"/>
        </w:rPr>
        <w:t>督促、检查“一府两院”办理各级人大代表提出的建议、意见、议案工作和信访案件查结工作。</w:t>
      </w:r>
    </w:p>
    <w:p w14:paraId="07F458C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w:t>
      </w:r>
      <w:r>
        <w:rPr>
          <w:rFonts w:hint="default" w:ascii="仿宋" w:hAnsi="仿宋" w:eastAsia="仿宋" w:cs="仿宋"/>
          <w:kern w:val="2"/>
          <w:sz w:val="32"/>
          <w:szCs w:val="32"/>
          <w:lang w:val="en-US" w:eastAsia="zh-CN" w:bidi="ar-SA"/>
        </w:rPr>
        <w:t>承办上级人大常委会和市委交办的其他工作。</w:t>
      </w:r>
    </w:p>
    <w:p w14:paraId="7EB37D7A">
      <w:pPr>
        <w:spacing w:line="600" w:lineRule="exact"/>
        <w:ind w:firstLine="640" w:firstLineChars="200"/>
        <w:rPr>
          <w:rFonts w:ascii="仿宋_GB2312" w:hAnsi="宋体" w:eastAsia="仿宋_GB2312" w:cs="宋体"/>
          <w:kern w:val="0"/>
          <w:sz w:val="32"/>
          <w:szCs w:val="32"/>
          <w:highlight w:val="yellow"/>
        </w:rPr>
      </w:pPr>
    </w:p>
    <w:p w14:paraId="31178601">
      <w:pPr>
        <w:tabs>
          <w:tab w:val="left" w:pos="5885"/>
        </w:tabs>
        <w:spacing w:line="600" w:lineRule="exact"/>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（二）部门组织机构及人员情况</w:t>
      </w:r>
    </w:p>
    <w:p w14:paraId="015A71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center"/>
        <w:rPr>
          <w:rFonts w:ascii="仿宋_GB2312" w:hAnsi="宋体" w:eastAsia="仿宋_GB2312" w:cs="宋体"/>
          <w:kern w:val="0"/>
          <w:sz w:val="32"/>
          <w:szCs w:val="32"/>
          <w:highlight w:val="yellow"/>
        </w:rPr>
      </w:pPr>
      <w:r>
        <w:rPr>
          <w:rFonts w:hint="eastAsia" w:ascii="仿宋" w:hAnsi="仿宋" w:eastAsia="仿宋" w:cs="仿宋"/>
          <w:kern w:val="2"/>
          <w:sz w:val="32"/>
          <w:szCs w:val="32"/>
          <w:lang w:val="en-US" w:eastAsia="zh-CN" w:bidi="ar-SA"/>
        </w:rPr>
        <w:t>1．机构情况：汨罗</w:t>
      </w:r>
      <w:r>
        <w:rPr>
          <w:rFonts w:hint="eastAsia" w:ascii="仿宋" w:hAnsi="仿宋" w:eastAsia="仿宋" w:cs="仿宋"/>
          <w:kern w:val="2"/>
          <w:sz w:val="32"/>
          <w:szCs w:val="32"/>
          <w:lang w:val="en-US" w:eastAsia="zh-CN" w:bidi="ar-SA"/>
        </w:rPr>
        <w:t>市人民代表大会常务委员会</w:t>
      </w:r>
      <w:r>
        <w:rPr>
          <w:rFonts w:hint="default" w:ascii="仿宋" w:hAnsi="仿宋" w:eastAsia="仿宋" w:cs="仿宋"/>
          <w:kern w:val="2"/>
          <w:sz w:val="32"/>
          <w:szCs w:val="32"/>
          <w:lang w:val="en-US" w:eastAsia="zh-CN" w:bidi="ar-SA"/>
        </w:rPr>
        <w:t>内设办公室、教科文卫工委、城环工委、财经工委、监察和司法委（法制委）、联络工委、内务司法工委、农工委、民侨外事委9个委室。</w:t>
      </w:r>
    </w:p>
    <w:p w14:paraId="1D6103ED">
      <w:pPr>
        <w:tabs>
          <w:tab w:val="left" w:pos="5885"/>
        </w:tabs>
        <w:spacing w:line="600" w:lineRule="exact"/>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2、人员情况：2024年本单位实有人数48人，比上年减少4人。</w:t>
      </w:r>
    </w:p>
    <w:p w14:paraId="3A4E68B0">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二、部门整体支出资金管理及使用情况</w:t>
      </w:r>
    </w:p>
    <w:p w14:paraId="595A4AD8">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（一）基本支出</w:t>
      </w:r>
    </w:p>
    <w:p w14:paraId="507C37E8">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1、整体收支情况。本单位</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度基本支出</w:t>
      </w:r>
      <w:r>
        <w:rPr>
          <w:rFonts w:hint="eastAsia" w:ascii="仿宋_GB2312" w:eastAsia="仿宋_GB2312" w:cs="仿宋_GB2312"/>
          <w:sz w:val="31"/>
          <w:szCs w:val="31"/>
          <w:lang w:val="en-US" w:eastAsia="zh-CN"/>
        </w:rPr>
        <w:t>725.23</w:t>
      </w:r>
      <w:r>
        <w:rPr>
          <w:rFonts w:hint="eastAsia" w:ascii="仿宋_GB2312" w:eastAsia="仿宋_GB2312" w:cs="仿宋_GB2312"/>
          <w:sz w:val="31"/>
          <w:szCs w:val="31"/>
        </w:rPr>
        <w:t>万元，其中：人员经费</w:t>
      </w:r>
      <w:r>
        <w:rPr>
          <w:rFonts w:hint="eastAsia" w:ascii="仿宋_GB2312" w:eastAsia="仿宋_GB2312" w:cs="仿宋_GB2312"/>
          <w:sz w:val="31"/>
          <w:szCs w:val="31"/>
          <w:lang w:val="en-US" w:eastAsia="zh-CN"/>
        </w:rPr>
        <w:t>542.04</w:t>
      </w:r>
      <w:r>
        <w:rPr>
          <w:rFonts w:hint="eastAsia" w:ascii="仿宋_GB2312" w:eastAsia="仿宋_GB2312" w:cs="仿宋_GB2312"/>
          <w:sz w:val="31"/>
          <w:szCs w:val="31"/>
        </w:rPr>
        <w:t>万元，占</w:t>
      </w:r>
      <w:r>
        <w:rPr>
          <w:rFonts w:hint="eastAsia" w:ascii="仿宋_GB2312" w:eastAsia="仿宋_GB2312" w:cs="仿宋_GB2312"/>
          <w:sz w:val="31"/>
          <w:szCs w:val="31"/>
          <w:lang w:val="en-US" w:eastAsia="zh-CN"/>
        </w:rPr>
        <w:t>74.7</w:t>
      </w:r>
      <w:r>
        <w:rPr>
          <w:rFonts w:hint="eastAsia" w:ascii="仿宋_GB2312" w:eastAsia="仿宋_GB2312" w:cs="仿宋_GB2312"/>
          <w:sz w:val="31"/>
          <w:szCs w:val="31"/>
        </w:rPr>
        <w:t>%，主要包括基本工资、津贴补贴、奖金、社会保险缴费、住房公积金、生活补助、其他对个人和家庭的补助等；公用经费</w:t>
      </w:r>
      <w:r>
        <w:rPr>
          <w:rFonts w:hint="eastAsia" w:ascii="仿宋_GB2312" w:eastAsia="仿宋_GB2312" w:cs="仿宋_GB2312"/>
          <w:sz w:val="31"/>
          <w:szCs w:val="31"/>
          <w:lang w:val="en-US" w:eastAsia="zh-CN"/>
        </w:rPr>
        <w:t>183.19</w:t>
      </w:r>
      <w:r>
        <w:rPr>
          <w:rFonts w:hint="eastAsia" w:ascii="仿宋_GB2312" w:eastAsia="仿宋_GB2312" w:cs="仿宋_GB2312"/>
          <w:sz w:val="31"/>
          <w:szCs w:val="31"/>
        </w:rPr>
        <w:t>万元，占</w:t>
      </w:r>
      <w:r>
        <w:rPr>
          <w:rFonts w:hint="eastAsia" w:ascii="仿宋_GB2312" w:eastAsia="仿宋_GB2312" w:cs="仿宋_GB2312"/>
          <w:sz w:val="31"/>
          <w:szCs w:val="31"/>
          <w:lang w:val="en-US" w:eastAsia="zh-CN"/>
        </w:rPr>
        <w:t>25.3</w:t>
      </w:r>
      <w:r>
        <w:rPr>
          <w:rFonts w:hint="eastAsia" w:ascii="仿宋_GB2312" w:eastAsia="仿宋_GB2312" w:cs="仿宋_GB2312"/>
          <w:sz w:val="31"/>
          <w:szCs w:val="31"/>
        </w:rPr>
        <w:t>%，主要包括</w:t>
      </w:r>
      <w:r>
        <w:rPr>
          <w:rFonts w:hint="eastAsia" w:ascii="仿宋_GB2312" w:eastAsia="仿宋_GB2312" w:cs="仿宋_GB2312"/>
          <w:sz w:val="31"/>
          <w:szCs w:val="31"/>
          <w:lang w:eastAsia="zh-CN"/>
        </w:rPr>
        <w:t>劳务费、会议费、租赁费、差旅费、办公费</w:t>
      </w:r>
      <w:r>
        <w:rPr>
          <w:rFonts w:hint="eastAsia" w:ascii="仿宋_GB2312" w:eastAsia="仿宋_GB2312" w:cs="仿宋_GB2312"/>
          <w:sz w:val="31"/>
          <w:szCs w:val="31"/>
        </w:rPr>
        <w:t>等。</w:t>
      </w:r>
    </w:p>
    <w:p w14:paraId="2C677272">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2、“三公” 经费总支出情况。</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度“三公”经费总支出</w:t>
      </w:r>
      <w:r>
        <w:rPr>
          <w:rFonts w:hint="eastAsia" w:ascii="仿宋_GB2312" w:eastAsia="仿宋_GB2312" w:cs="仿宋_GB2312"/>
          <w:sz w:val="31"/>
          <w:szCs w:val="31"/>
          <w:lang w:val="en-US" w:eastAsia="zh-CN"/>
        </w:rPr>
        <w:t>0</w:t>
      </w:r>
      <w:r>
        <w:rPr>
          <w:rFonts w:hint="eastAsia" w:ascii="仿宋_GB2312" w:eastAsia="仿宋_GB2312" w:cs="仿宋_GB2312"/>
          <w:sz w:val="31"/>
          <w:szCs w:val="31"/>
        </w:rPr>
        <w:t>万元，其中：因公出国（境）费支出0万元，公务接待费支出</w:t>
      </w:r>
      <w:r>
        <w:rPr>
          <w:rFonts w:hint="eastAsia" w:ascii="仿宋_GB2312" w:eastAsia="仿宋_GB2312" w:cs="仿宋_GB2312"/>
          <w:sz w:val="31"/>
          <w:szCs w:val="31"/>
          <w:lang w:val="en-US" w:eastAsia="zh-CN"/>
        </w:rPr>
        <w:t>0</w:t>
      </w:r>
      <w:r>
        <w:rPr>
          <w:rFonts w:hint="eastAsia" w:ascii="仿宋_GB2312" w:eastAsia="仿宋_GB2312" w:cs="仿宋_GB2312"/>
          <w:sz w:val="31"/>
          <w:szCs w:val="31"/>
        </w:rPr>
        <w:t>万元，公务用车购置费及运行维护费支出0万元。</w:t>
      </w:r>
    </w:p>
    <w:p w14:paraId="65B366B1">
      <w:pPr>
        <w:pStyle w:val="4"/>
        <w:spacing w:before="0" w:after="0" w:line="600" w:lineRule="exact"/>
        <w:textAlignment w:val="center"/>
        <w:rPr>
          <w:rFonts w:ascii="仿宋_GB2312" w:eastAsia="仿宋_GB2312" w:cs="仿宋_GB2312"/>
          <w:sz w:val="31"/>
          <w:szCs w:val="31"/>
        </w:rPr>
      </w:pPr>
      <w:r>
        <w:rPr>
          <w:rFonts w:hint="eastAsia" w:ascii="仿宋_GB2312" w:eastAsia="仿宋_GB2312" w:cs="仿宋_GB2312"/>
          <w:sz w:val="31"/>
          <w:szCs w:val="31"/>
        </w:rPr>
        <w:t> 3．因公出国（境）费用支出和公务用车（购置）情况。</w:t>
      </w:r>
      <w:r>
        <w:rPr>
          <w:rFonts w:hint="eastAsia" w:ascii="仿宋_GB2312" w:eastAsia="仿宋_GB2312" w:cs="仿宋_GB2312"/>
          <w:sz w:val="31"/>
          <w:szCs w:val="31"/>
          <w:lang w:eastAsia="zh-CN"/>
        </w:rPr>
        <w:t>2024年</w:t>
      </w:r>
      <w:r>
        <w:rPr>
          <w:rFonts w:hint="eastAsia" w:ascii="仿宋_GB2312" w:eastAsia="仿宋_GB2312" w:cs="仿宋_GB2312"/>
          <w:sz w:val="31"/>
          <w:szCs w:val="31"/>
        </w:rPr>
        <w:t>无因公出国（境）费用支出和公务用车（购置）支出。</w:t>
      </w:r>
    </w:p>
    <w:p w14:paraId="1946FA39">
      <w:pPr>
        <w:pStyle w:val="4"/>
        <w:spacing w:before="0" w:after="0" w:line="600" w:lineRule="exact"/>
        <w:ind w:firstLine="645"/>
        <w:textAlignment w:val="center"/>
        <w:rPr>
          <w:rFonts w:ascii="仿宋_GB2312" w:eastAsia="仿宋_GB2312" w:cs="仿宋_GB2312"/>
          <w:sz w:val="31"/>
          <w:szCs w:val="31"/>
        </w:rPr>
      </w:pPr>
      <w:r>
        <w:rPr>
          <w:rFonts w:hint="eastAsia" w:ascii="仿宋_GB2312" w:eastAsia="仿宋_GB2312" w:cs="仿宋_GB2312"/>
          <w:sz w:val="31"/>
          <w:szCs w:val="31"/>
        </w:rPr>
        <w:t>（二）项目支出</w:t>
      </w:r>
    </w:p>
    <w:p w14:paraId="1A5D7E08">
      <w:pPr>
        <w:pStyle w:val="4"/>
        <w:numPr>
          <w:ilvl w:val="0"/>
          <w:numId w:val="0"/>
        </w:numPr>
        <w:spacing w:before="0" w:after="0" w:line="600" w:lineRule="exact"/>
        <w:ind w:firstLine="620" w:firstLineChars="200"/>
        <w:textAlignment w:val="center"/>
        <w:rPr>
          <w:rFonts w:hint="eastAsia" w:ascii="仿宋_GB2312" w:eastAsia="仿宋_GB2312" w:cs="仿宋_GB2312"/>
          <w:sz w:val="31"/>
          <w:szCs w:val="31"/>
        </w:rPr>
      </w:pPr>
      <w:r>
        <w:rPr>
          <w:rFonts w:hint="eastAsia" w:ascii="仿宋_GB2312" w:eastAsia="仿宋_GB2312" w:cs="仿宋_GB2312"/>
          <w:sz w:val="31"/>
          <w:szCs w:val="31"/>
        </w:rPr>
        <w:t> 2024年本单位项目支出决算</w:t>
      </w:r>
      <w:r>
        <w:rPr>
          <w:rFonts w:hint="eastAsia" w:ascii="仿宋_GB2312" w:eastAsia="仿宋_GB2312" w:cs="仿宋_GB2312"/>
          <w:sz w:val="31"/>
          <w:szCs w:val="31"/>
          <w:lang w:val="en-US" w:eastAsia="zh-CN"/>
        </w:rPr>
        <w:t>812.42</w:t>
      </w:r>
      <w:r>
        <w:rPr>
          <w:rFonts w:hint="eastAsia" w:ascii="仿宋_GB2312" w:eastAsia="仿宋_GB2312" w:cs="仿宋_GB2312"/>
          <w:sz w:val="31"/>
          <w:szCs w:val="31"/>
        </w:rPr>
        <w:t>万元，是指部门为完成特定行政工作任务或事业发展目标而发生的支出，包括有关业务工作经费、运行维护经费等。其中：业务工作费用</w:t>
      </w:r>
      <w:r>
        <w:rPr>
          <w:rFonts w:hint="eastAsia" w:ascii="仿宋_GB2312" w:eastAsia="仿宋_GB2312" w:cs="仿宋_GB2312"/>
          <w:sz w:val="31"/>
          <w:szCs w:val="31"/>
          <w:lang w:val="en-US" w:eastAsia="zh-CN"/>
        </w:rPr>
        <w:t>720.42</w:t>
      </w:r>
      <w:r>
        <w:rPr>
          <w:rFonts w:hint="eastAsia" w:ascii="仿宋_GB2312" w:eastAsia="仿宋_GB2312" w:cs="仿宋_GB2312"/>
          <w:sz w:val="31"/>
          <w:szCs w:val="31"/>
        </w:rPr>
        <w:t>万元，</w:t>
      </w:r>
      <w:r>
        <w:rPr>
          <w:rFonts w:hint="eastAsia" w:ascii="仿宋_GB2312" w:eastAsia="仿宋_GB2312" w:cs="仿宋_GB2312"/>
          <w:sz w:val="31"/>
          <w:szCs w:val="31"/>
          <w:lang w:eastAsia="zh-CN"/>
        </w:rPr>
        <w:t>专项资金</w:t>
      </w:r>
      <w:r>
        <w:rPr>
          <w:rFonts w:hint="eastAsia" w:ascii="仿宋_GB2312" w:eastAsia="仿宋_GB2312" w:cs="仿宋_GB2312"/>
          <w:sz w:val="31"/>
          <w:szCs w:val="31"/>
          <w:lang w:val="en-US" w:eastAsia="zh-CN"/>
        </w:rPr>
        <w:t>92</w:t>
      </w:r>
      <w:r>
        <w:rPr>
          <w:rFonts w:hint="eastAsia" w:ascii="仿宋_GB2312" w:eastAsia="仿宋_GB2312" w:cs="仿宋_GB2312"/>
          <w:sz w:val="31"/>
          <w:szCs w:val="31"/>
        </w:rPr>
        <w:t>万元。</w:t>
      </w:r>
    </w:p>
    <w:p w14:paraId="4E0A83D3">
      <w:pPr>
        <w:pStyle w:val="4"/>
        <w:spacing w:before="0" w:after="0" w:line="600" w:lineRule="exact"/>
        <w:ind w:firstLine="645"/>
        <w:textAlignment w:val="center"/>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、部门</w:t>
      </w:r>
      <w:r>
        <w:rPr>
          <w:rFonts w:hint="eastAsia" w:ascii="Times New Roman" w:hAnsi="Times New Roman" w:eastAsia="黑体"/>
          <w:sz w:val="32"/>
          <w:szCs w:val="32"/>
        </w:rPr>
        <w:t>项目组织实施</w:t>
      </w:r>
      <w:r>
        <w:rPr>
          <w:rFonts w:ascii="Times New Roman" w:hAnsi="Times New Roman" w:eastAsia="黑体"/>
          <w:sz w:val="32"/>
          <w:szCs w:val="32"/>
        </w:rPr>
        <w:t>情况</w:t>
      </w:r>
    </w:p>
    <w:p w14:paraId="6BBD0A00">
      <w:pPr>
        <w:pStyle w:val="4"/>
        <w:spacing w:before="0" w:after="0" w:line="600" w:lineRule="exact"/>
        <w:ind w:firstLine="645"/>
        <w:textAlignment w:val="center"/>
        <w:rPr>
          <w:rFonts w:hint="eastAsia" w:ascii="仿宋_GB2312" w:eastAsia="仿宋_GB2312" w:cs="仿宋_GB2312"/>
          <w:kern w:val="2"/>
          <w:sz w:val="31"/>
          <w:szCs w:val="31"/>
        </w:rPr>
      </w:pPr>
      <w:r>
        <w:rPr>
          <w:rFonts w:hint="eastAsia" w:ascii="仿宋_GB2312" w:eastAsia="仿宋_GB2312" w:cs="仿宋_GB2312"/>
          <w:kern w:val="2"/>
          <w:sz w:val="31"/>
          <w:szCs w:val="31"/>
        </w:rPr>
        <w:t>（一）项目组织情况分析，主要包括项目招投标、调整、竣工验收等情况。</w:t>
      </w:r>
    </w:p>
    <w:p w14:paraId="298E6347">
      <w:pPr>
        <w:pStyle w:val="4"/>
        <w:spacing w:before="0" w:after="0" w:line="600" w:lineRule="exact"/>
        <w:ind w:firstLine="645"/>
        <w:textAlignment w:val="center"/>
        <w:rPr>
          <w:rFonts w:hint="eastAsia" w:ascii="仿宋_GB2312" w:eastAsia="仿宋_GB2312" w:cs="仿宋_GB2312"/>
          <w:kern w:val="2"/>
          <w:sz w:val="31"/>
          <w:szCs w:val="31"/>
        </w:rPr>
      </w:pPr>
      <w:r>
        <w:rPr>
          <w:rFonts w:hint="eastAsia" w:ascii="仿宋_GB2312" w:eastAsia="仿宋_GB2312" w:cs="仿宋_GB2312"/>
          <w:kern w:val="2"/>
          <w:sz w:val="31"/>
          <w:szCs w:val="31"/>
        </w:rPr>
        <w:t>2024年项目支出是指单位为完成特定行政工作任务或事业发展目标而发生的支出，包括人大例会、常务委员会</w:t>
      </w:r>
      <w:r>
        <w:rPr>
          <w:rFonts w:hint="eastAsia" w:ascii="仿宋_GB2312" w:eastAsia="仿宋_GB2312" w:cs="仿宋_GB2312"/>
          <w:kern w:val="2"/>
          <w:sz w:val="31"/>
          <w:szCs w:val="31"/>
          <w:lang w:eastAsia="zh-CN"/>
        </w:rPr>
        <w:t>、</w:t>
      </w:r>
      <w:r>
        <w:rPr>
          <w:rFonts w:hint="eastAsia" w:ascii="仿宋_GB2312" w:eastAsia="仿宋_GB2312" w:cs="仿宋_GB2312"/>
          <w:kern w:val="2"/>
          <w:sz w:val="31"/>
          <w:szCs w:val="31"/>
        </w:rPr>
        <w:t>2023年综合绩效奖</w:t>
      </w:r>
      <w:r>
        <w:rPr>
          <w:rFonts w:hint="eastAsia" w:ascii="仿宋_GB2312" w:eastAsia="仿宋_GB2312" w:cs="仿宋_GB2312"/>
          <w:kern w:val="2"/>
          <w:sz w:val="31"/>
          <w:szCs w:val="31"/>
          <w:lang w:eastAsia="zh-CN"/>
        </w:rPr>
        <w:t>、</w:t>
      </w:r>
      <w:r>
        <w:rPr>
          <w:rFonts w:hint="eastAsia" w:ascii="仿宋_GB2312" w:eastAsia="仿宋_GB2312" w:cs="仿宋_GB2312"/>
          <w:kern w:val="2"/>
          <w:sz w:val="31"/>
          <w:szCs w:val="31"/>
        </w:rPr>
        <w:t>人大会议经费</w:t>
      </w:r>
      <w:r>
        <w:rPr>
          <w:rFonts w:hint="eastAsia" w:ascii="仿宋_GB2312" w:eastAsia="仿宋_GB2312" w:cs="仿宋_GB2312"/>
          <w:kern w:val="2"/>
          <w:sz w:val="31"/>
          <w:szCs w:val="31"/>
          <w:lang w:eastAsia="zh-CN"/>
        </w:rPr>
        <w:t>等</w:t>
      </w:r>
      <w:r>
        <w:rPr>
          <w:rFonts w:hint="eastAsia" w:ascii="仿宋_GB2312" w:eastAsia="仿宋_GB2312" w:cs="仿宋_GB2312"/>
          <w:kern w:val="2"/>
          <w:sz w:val="31"/>
          <w:szCs w:val="31"/>
        </w:rPr>
        <w:t>。</w:t>
      </w:r>
    </w:p>
    <w:p w14:paraId="279B56DF">
      <w:pPr>
        <w:pStyle w:val="4"/>
        <w:spacing w:before="0" w:after="0" w:line="600" w:lineRule="exact"/>
        <w:ind w:firstLine="645"/>
        <w:textAlignment w:val="center"/>
        <w:rPr>
          <w:rFonts w:hint="eastAsia" w:ascii="仿宋_GB2312" w:eastAsia="仿宋_GB2312" w:cs="仿宋_GB2312"/>
          <w:kern w:val="2"/>
          <w:sz w:val="31"/>
          <w:szCs w:val="31"/>
        </w:rPr>
      </w:pPr>
      <w:r>
        <w:rPr>
          <w:rFonts w:hint="eastAsia" w:ascii="仿宋_GB2312" w:eastAsia="仿宋_GB2312" w:cs="仿宋_GB2312"/>
          <w:kern w:val="2"/>
          <w:sz w:val="31"/>
          <w:szCs w:val="31"/>
        </w:rPr>
        <w:t>（二）项目管理情况分析，主要包括项目管理制度建设、日常检查监督管理等情况。</w:t>
      </w:r>
    </w:p>
    <w:p w14:paraId="7E954BFD">
      <w:pPr>
        <w:pStyle w:val="4"/>
        <w:spacing w:before="0" w:after="0" w:line="600" w:lineRule="exact"/>
        <w:ind w:firstLine="645"/>
        <w:textAlignment w:val="center"/>
        <w:rPr>
          <w:rFonts w:hint="eastAsia" w:ascii="仿宋_GB2312" w:eastAsia="仿宋_GB2312" w:cs="仿宋_GB2312"/>
          <w:kern w:val="2"/>
          <w:sz w:val="31"/>
          <w:szCs w:val="31"/>
        </w:rPr>
      </w:pPr>
      <w:r>
        <w:rPr>
          <w:rFonts w:hint="eastAsia" w:ascii="仿宋_GB2312" w:eastAsia="仿宋_GB2312" w:cs="仿宋_GB2312"/>
          <w:kern w:val="2"/>
          <w:sz w:val="31"/>
          <w:szCs w:val="31"/>
        </w:rPr>
        <w:t>2024年市人民代表大会常务委员会项目根据摸底调查的情况进行任务分配。其总体目标、计划没有调整，都能按照文件要求，推进各项计划任务的实施，基本完成了项目的阶段性目标，总体进度正常，实施良好。任务完成后，联逐项对目标完成、资金进度进行督促检查，通过检查，各项工作进展到位，全部符合要求。</w:t>
      </w:r>
    </w:p>
    <w:p w14:paraId="124846E8">
      <w:pPr>
        <w:pStyle w:val="4"/>
        <w:spacing w:before="0" w:after="0" w:line="600" w:lineRule="exact"/>
        <w:ind w:firstLine="645"/>
        <w:textAlignment w:val="center"/>
        <w:rPr>
          <w:rFonts w:ascii="仿宋_GB2312" w:eastAsia="仿宋_GB2312" w:cs="仿宋_GB2312"/>
          <w:sz w:val="31"/>
          <w:szCs w:val="31"/>
        </w:rPr>
      </w:pPr>
      <w:r>
        <w:rPr>
          <w:rFonts w:hint="eastAsia" w:ascii="黑体" w:hAnsi="黑体" w:eastAsia="黑体" w:cs="黑体"/>
          <w:sz w:val="31"/>
          <w:szCs w:val="31"/>
        </w:rPr>
        <w:t>四、部门整体支出绩效情况</w:t>
      </w:r>
    </w:p>
    <w:p w14:paraId="32E7D338">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（一）站稳政治立场，把牢政治方向</w:t>
      </w:r>
    </w:p>
    <w:p w14:paraId="6C4CDD90">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强化理论武装。将学习党中央决策部署和习近平总书记重要讲话精神，作为人大常委会会议“第一议题”，先后组织学习了全国“两会”精神、习近平总书记在湖南考察重要讲话精神、党的二十届三中全会精神、习近平总书记在庆祝全国人民代表大会成立70周年大会上的重要讲话精神等。</w:t>
      </w:r>
    </w:p>
    <w:p w14:paraId="7CA1C985">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党的领导。把政治建设摆在首位，不断提高政治判断力、政治领悟力、政治执行力，牢牢把握人大工作正确政治方向。坚持在市委的领导下谋划和推进人大工作，严格执行重大事项、重要会议、重点工作请示报告制度，先后向市委请示报告16次。</w:t>
      </w:r>
    </w:p>
    <w:p w14:paraId="394AFC47">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落实市委部署。今年汛期，人大常委会主任会议成员按照市委的统一部署，实地督导、现场指挥，战斗在一线，坚守在一线。第一时间发出《致全市各级人大代表参与抗洪抢险的倡议书》，动员各级代表投身抗洪抢险救灾。常委会会议、主任会议相继听取和审议了安全生产、环境保护、医疗布局调整、未成年人保护、政府债务等情况汇报，通过调研视察、监督询问、专题审议等，做到人大工作与市委工作同频共振、同心同行。</w:t>
      </w:r>
    </w:p>
    <w:p w14:paraId="13F444D9">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（二）履行法定职责，维护公平正义</w:t>
      </w:r>
    </w:p>
    <w:p w14:paraId="5A055AE7">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维护法律权威。按照省人大“法治护航高质量发展三年行动”部署，组织开展执法检查，配合和组织开展了“退役军人保障法”、中医药“一法一办法”、大气污染防治“一法两条例一规定”、安全生产“三法一条例两办法”、中小企业促进“一法一办法”等执法检查。配合上级人大对5部法规草案进行研究讨论，收集反馈意见建议20余条。</w:t>
      </w:r>
    </w:p>
    <w:p w14:paraId="31718B83">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推进公正司法。评议员额法官5名，督促市法院提升法官业务能力和水平。配合开展民事执行工作调研，督促司法部门执行协作联动机制。调研市检察院开展认罪认罚从宽制度工作。配合全国人大法制工委开展《湖南省实施〈禁毒法〉办法》备案审查调研，听取审议备案审查工作报告，对市、镇人民政府报备的32件规范性文件进行合法性、适当性审查，做到备案审查率达到100%，合规率达到100%。</w:t>
      </w:r>
    </w:p>
    <w:p w14:paraId="067EA6D7">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促进依法行政。依法行使重大事项决定权，作出“批准年度财政决算”等决议决定事项17项。任免国家机关工作人员36人次。对8个单位进行工作评议，监督市政府工作部门依法履职，其中，测评结果为“满意”的6个，“基本满意”的2个。接待处理群众来信12件，来访23人次，交办、督办涉法涉诉信访事项11项。</w:t>
      </w:r>
    </w:p>
    <w:p w14:paraId="0F6E5093">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（三）发挥制度优势，提升监督实效</w:t>
      </w:r>
      <w:bookmarkStart w:id="0" w:name="_GoBack"/>
      <w:bookmarkEnd w:id="0"/>
    </w:p>
    <w:p w14:paraId="2856FD2F">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共同防范风险。加强预算执行监督，坚持全口径审查，全过程监管，提升预算的准确性和科学性。听取政府债务情况汇报，全面审查政府债务限额余额、债券安排及使用、隐性债务化解等情况。审议和批准财政执行情况和预算调整。监督审计开展工作，加强跟踪监督。推动建立预算绩效评价体系，对重点支出项目进行绩效评估。听取和审议国有资产管理综合报告、企业国有资产管理专项报告。</w:t>
      </w:r>
    </w:p>
    <w:p w14:paraId="24C94C63">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助推“三件大事”。专题听取《汨罗市人民政府与陕煤电力汨罗有限公司投资合作协议》工作汇报；帮扶中南表面处理产业园项目建设，现场协调解决项目建设中的困难和问题。督查《落实岳阳“基教十条”，推动新时代汨罗素质教育高质量发展的议案》持续推进工作情况；听取和审议“利剑护蕾”工作；开展学校食堂及食品安全专项督查。调研供销综合改革、农村村级债务情况和甜酒产业发展情况调研，助力乡村振兴。</w:t>
      </w:r>
    </w:p>
    <w:p w14:paraId="6BB60D57">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推动“法治护安”。听取和审议安全生产“一法一条例一规定”执法检查指出问题整改情况的报告，对执法检查指出的69个问题逐项销号。联合开展安全生产“三法两条例一办法”执法检查，全面提升监督实效。组织视察市应急指挥中心和应急物资储备情况，督促应急部门牢固树立安全发展理念。</w:t>
      </w:r>
    </w:p>
    <w:p w14:paraId="5D5E0D56">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关注生态环境。开展“法治护绿人大行”，四级人大代表进驻代表联络站，形成监督合力。听取全市环境状况和2023年度环境保护目标完成情况的报告，督促筑牢生态安全屏障。听取湿地保护“一法一条例”执法检查指出问题整改落实情况报告。视察高新区污水处理设施及配套管网建设。</w:t>
      </w:r>
    </w:p>
    <w:p w14:paraId="5C0E009A">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聚焦民生事业。调研全市公共文化服务场馆阵地建设、紧密型县域医共体建设。听取和审议全市物业管理工作情况报告，督促解决住宅小区物业管理方面的突出问题。专题听取医疗布局调整汇报，助力医疗卫生体制改革。听取和审议饮用水水源地保护专题汇报，共同呵护“大水缸”。</w:t>
      </w:r>
    </w:p>
    <w:p w14:paraId="04668945">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（四）创新履职载体，凝聚发展合力</w:t>
      </w:r>
    </w:p>
    <w:p w14:paraId="2B19D795">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推进票决制民生实事。扎实推进市、镇两级票决制民生实事，两次听取和审议市本级民生实事人大代表票决制实施情况，并进行满意度测评。组织人大代表先后视察或调研疾控中心能力提升建设、农村自来水延伸扩面、应急指挥中心、新长乐大桥、S316张敖公路等，督促市政府及相关部门压实责任、强化保障、保证质量，全力推进票决制民生实事建设。</w:t>
      </w:r>
    </w:p>
    <w:p w14:paraId="7947978B">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高建议办理质效。通过建立常委会主任会议成员牵头督办、市政府领导领办、人大专委会对口督办的工作机制，对确定的年度10件重点建议进行重点督办。以督办重点建议为牵引，督促市政府及相关部门通过“办理前审核把关、办理中督促协调、办理后跟踪问效”，144件建议的办理率与答复率均达到100%，满意率达到97.2%。</w:t>
      </w:r>
    </w:p>
    <w:p w14:paraId="695A3335">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升代表履职能力。推进代表联络站“建管用”升级，形成线下线上相融合的架构体系。提质改造人大代表联络站10个，建立线上代表联络站63个，全市四级代表实现网络进站2269人次。举办市十三届人大代表履职能力提升专题培训班，邀请省人大常委会代表工委副主任专题授课，4名代表交流履职经验。在7月16日召开的全省人大代表工作会议上，省人大代表何永胜作履职交流发言。周龙等3位代表被评为岳阳市优秀人大代表，刘建威等3名同志被评为岳阳市优秀人大工作者。</w:t>
      </w:r>
    </w:p>
    <w:p w14:paraId="62679C96">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（五）加强自身建设，锤炼过硬本领</w:t>
      </w:r>
    </w:p>
    <w:p w14:paraId="4CD12105">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强化党建引领。扎实开展“高水平机关建设三年行动”。组织开展“大宣讲、大调研、大走访、大服务”主题实践活动。严格落实民主生活会、组织生活会、主题党日等制度。开展“追忆峥嵘岁月·喜贺祖国华诞”“缅怀革命先烈·传承红色基因”等主题党日活动。常委会党组认真履行“一岗双责”，自觉扛起全面从严治党主体责任。“三重一大”事项，严格落实集体决策制度。</w:t>
      </w:r>
    </w:p>
    <w:p w14:paraId="69D7F190">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强化能力提升。组织机关干部开展党纪教育专题学习4次，引导党员干部学纪、知纪、明纪、守纪。做好巡视“后半篇文章”，抓好整改落实。开展党组理论学习中心组集中学习12次，定期组织开展理论培训和思政教育，全面提升人大机关干部的履职能力和工作水平。</w:t>
      </w:r>
    </w:p>
    <w:p w14:paraId="4C8388E7">
      <w:pPr>
        <w:pStyle w:val="4"/>
        <w:spacing w:before="0" w:after="0" w:line="600" w:lineRule="exact"/>
        <w:ind w:firstLine="645"/>
        <w:textAlignment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强化舆论宣传。积极参加庆祝岳阳市人民代表大会成立四十周年系列活动，征文活动荣获特等奖1篇、二等奖1篇、三等奖2篇；在岳阳市人大系统组织开展的《我和人大同行》主题演讲比赛中，荣获二等奖。在新华社、《人民之友》、红网、《岳阳人大》等上级媒体刊物发表文章38篇。维护好、运营好人大网站和微信公众号，传递人大好声音，讲好人大好故事。</w:t>
      </w:r>
    </w:p>
    <w:p w14:paraId="55C32AF9">
      <w:pPr>
        <w:pStyle w:val="4"/>
        <w:spacing w:before="0" w:after="0" w:line="600" w:lineRule="exact"/>
        <w:ind w:firstLine="645"/>
        <w:textAlignment w:val="center"/>
        <w:rPr>
          <w:rFonts w:hint="eastAsia" w:ascii="仿宋_GB2312" w:hAnsi="宋体" w:eastAsia="仿宋_GB2312" w:cs="仿宋_GB2312"/>
          <w:kern w:val="2"/>
          <w:sz w:val="31"/>
          <w:szCs w:val="31"/>
          <w:lang w:val="en-US" w:eastAsia="zh-CN" w:bidi="ar-SA"/>
        </w:rPr>
      </w:pPr>
      <w:r>
        <w:rPr>
          <w:rFonts w:hint="eastAsia" w:ascii="黑体" w:hAnsi="黑体" w:eastAsia="黑体" w:cs="黑体"/>
          <w:sz w:val="31"/>
          <w:szCs w:val="31"/>
        </w:rPr>
        <w:t>五、存在的主要</w:t>
      </w:r>
      <w:r>
        <w:rPr>
          <w:rFonts w:hint="eastAsia" w:ascii="黑体" w:hAnsi="黑体" w:eastAsia="黑体" w:cs="黑体"/>
          <w:sz w:val="31"/>
          <w:szCs w:val="31"/>
          <w:lang w:val="en-US" w:eastAsia="zh-CN"/>
        </w:rPr>
        <w:t xml:space="preserve">问题 </w:t>
      </w:r>
    </w:p>
    <w:p w14:paraId="65DE5AA3">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预算绩效目标制定时不够细致。</w:t>
      </w:r>
    </w:p>
    <w:p w14:paraId="56C8BCE5">
      <w:pPr>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六</w:t>
      </w:r>
      <w:r>
        <w:rPr>
          <w:rFonts w:ascii="Times New Roman" w:hAnsi="Times New Roman" w:eastAsia="黑体"/>
          <w:bCs/>
          <w:sz w:val="32"/>
          <w:szCs w:val="32"/>
        </w:rPr>
        <w:t>、</w:t>
      </w:r>
      <w:r>
        <w:rPr>
          <w:rFonts w:hint="eastAsia" w:ascii="Times New Roman" w:hAnsi="Times New Roman" w:eastAsia="黑体"/>
          <w:bCs/>
          <w:sz w:val="32"/>
          <w:szCs w:val="32"/>
        </w:rPr>
        <w:t>下一步</w:t>
      </w:r>
      <w:r>
        <w:rPr>
          <w:rFonts w:ascii="Times New Roman" w:hAnsi="Times New Roman" w:eastAsia="黑体"/>
          <w:bCs/>
          <w:sz w:val="32"/>
          <w:szCs w:val="32"/>
        </w:rPr>
        <w:t xml:space="preserve">改进措施和有关建议 </w:t>
      </w:r>
    </w:p>
    <w:p w14:paraId="72343E31">
      <w:pPr>
        <w:tabs>
          <w:tab w:val="left" w:pos="627"/>
        </w:tabs>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今后将加强预算管理，进一步规范资金使用，加强资金监管，提升资金使用绩效。</w:t>
      </w:r>
      <w:r>
        <w:rPr>
          <w:rFonts w:hint="eastAsia" w:ascii="Times New Roman" w:hAnsi="Times New Roman" w:eastAsia="仿宋_GB2312"/>
          <w:sz w:val="32"/>
          <w:szCs w:val="32"/>
          <w:lang w:eastAsia="zh-CN"/>
        </w:rPr>
        <w:t>细化绩效目标设置，进一步发挥预算绩效目标导向作用，从产出、效益、满意度方面进行提升，更好服务本单位发展大局。</w:t>
      </w:r>
    </w:p>
    <w:p w14:paraId="3B5BDFAC">
      <w:pPr>
        <w:tabs>
          <w:tab w:val="left" w:pos="912"/>
        </w:tabs>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lang w:eastAsia="zh-CN"/>
        </w:rPr>
        <w:t>七</w:t>
      </w:r>
      <w:r>
        <w:rPr>
          <w:rFonts w:ascii="Times New Roman" w:hAnsi="Times New Roman" w:eastAsia="黑体"/>
          <w:bCs/>
          <w:sz w:val="32"/>
          <w:szCs w:val="32"/>
        </w:rPr>
        <w:t>、部门整体支出绩效</w:t>
      </w:r>
      <w:r>
        <w:rPr>
          <w:rFonts w:hint="eastAsia" w:ascii="Times New Roman" w:hAnsi="Times New Roman" w:eastAsia="黑体"/>
          <w:bCs/>
          <w:sz w:val="32"/>
          <w:szCs w:val="32"/>
        </w:rPr>
        <w:t>自评结果拟应用和公开情况</w:t>
      </w:r>
    </w:p>
    <w:p w14:paraId="700C161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根据部门整体支出绩效评价参考指标，我单位此次评价分为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分，等级为优，具体评价情况见附表，将在政府门户网站公示整体支出绩效自评结果。</w:t>
      </w:r>
    </w:p>
    <w:p w14:paraId="72BDD740">
      <w:pPr>
        <w:spacing w:line="568" w:lineRule="exact"/>
        <w:ind w:firstLine="640" w:firstLineChars="200"/>
        <w:rPr>
          <w:rFonts w:ascii="Times New Roman" w:hAnsi="Times New Roman" w:eastAsia="仿宋_GB2312"/>
          <w:sz w:val="32"/>
          <w:szCs w:val="32"/>
        </w:rPr>
      </w:pPr>
    </w:p>
    <w:p w14:paraId="05BDE3D7">
      <w:pPr>
        <w:tabs>
          <w:tab w:val="left" w:pos="6477"/>
        </w:tabs>
        <w:spacing w:line="568" w:lineRule="exact"/>
        <w:ind w:firstLine="4800" w:firstLineChars="1500"/>
        <w:rPr>
          <w:rFonts w:ascii="仿宋_GB2312" w:hAnsi="仿宋_GB2312" w:eastAsia="仿宋_GB2312" w:cs="仿宋_GB2312"/>
          <w:sz w:val="32"/>
          <w:szCs w:val="32"/>
        </w:rPr>
      </w:pPr>
    </w:p>
    <w:p w14:paraId="2EAD878A">
      <w:pPr>
        <w:tabs>
          <w:tab w:val="left" w:pos="6432"/>
        </w:tabs>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汨罗市人民代表大会常务委员会</w:t>
      </w:r>
    </w:p>
    <w:p w14:paraId="5DA5245B">
      <w:pPr>
        <w:tabs>
          <w:tab w:val="left" w:pos="6432"/>
        </w:tabs>
        <w:jc w:val="center"/>
        <w:rPr>
          <w:sz w:val="30"/>
          <w:szCs w:val="30"/>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headerReference r:id="rId3" w:type="default"/>
      <w:footerReference r:id="rId5" w:type="default"/>
      <w:headerReference r:id="rId4" w:type="even"/>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9AD4">
    <w:pPr>
      <w:pStyle w:val="2"/>
      <w:framePr w:wrap="around" w:vAnchor="text" w:hAnchor="margin" w:xAlign="outside" w:y="1"/>
      <w:rPr>
        <w:rStyle w:val="9"/>
        <w:rFonts w:eastAsia="仿宋_GB2312"/>
        <w:sz w:val="28"/>
        <w:szCs w:val="28"/>
      </w:rPr>
    </w:pPr>
    <w:r>
      <w:rPr>
        <w:rStyle w:val="9"/>
        <w:rFonts w:eastAsia="仿宋_GB2312"/>
        <w:sz w:val="28"/>
        <w:szCs w:val="28"/>
      </w:rPr>
      <w:t>—</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13</w:t>
    </w:r>
    <w:r>
      <w:rPr>
        <w:rFonts w:eastAsia="仿宋_GB2312"/>
        <w:sz w:val="28"/>
        <w:szCs w:val="28"/>
      </w:rPr>
      <w:fldChar w:fldCharType="end"/>
    </w:r>
    <w:r>
      <w:rPr>
        <w:rStyle w:val="9"/>
        <w:rFonts w:eastAsia="仿宋_GB2312"/>
        <w:sz w:val="28"/>
        <w:szCs w:val="28"/>
      </w:rPr>
      <w:t>—</w:t>
    </w:r>
  </w:p>
  <w:p w14:paraId="05D5A282">
    <w:pPr>
      <w:pStyle w:val="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EBC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8D8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VhMDFhZjVmZGMwZmZiYmFkZmZjMjM4YjhmMGM4YTYifQ=="/>
  </w:docVars>
  <w:rsids>
    <w:rsidRoot w:val="311709B4"/>
    <w:rsid w:val="00010358"/>
    <w:rsid w:val="00084B5C"/>
    <w:rsid w:val="004D3529"/>
    <w:rsid w:val="005701A3"/>
    <w:rsid w:val="00585F42"/>
    <w:rsid w:val="00691897"/>
    <w:rsid w:val="006F0AB6"/>
    <w:rsid w:val="0072113A"/>
    <w:rsid w:val="007E55C2"/>
    <w:rsid w:val="008243BB"/>
    <w:rsid w:val="00883B9B"/>
    <w:rsid w:val="00B96108"/>
    <w:rsid w:val="00BA2359"/>
    <w:rsid w:val="00F52475"/>
    <w:rsid w:val="00FE5C51"/>
    <w:rsid w:val="02927646"/>
    <w:rsid w:val="03AA3C62"/>
    <w:rsid w:val="048E1B3E"/>
    <w:rsid w:val="05B27536"/>
    <w:rsid w:val="06F77C65"/>
    <w:rsid w:val="0855446D"/>
    <w:rsid w:val="08D11B99"/>
    <w:rsid w:val="0906187B"/>
    <w:rsid w:val="093A7972"/>
    <w:rsid w:val="0A9D2F32"/>
    <w:rsid w:val="0AB243E3"/>
    <w:rsid w:val="0BA33845"/>
    <w:rsid w:val="0BF94903"/>
    <w:rsid w:val="0DDF799A"/>
    <w:rsid w:val="0F8E67BE"/>
    <w:rsid w:val="0F93115C"/>
    <w:rsid w:val="103D2CA0"/>
    <w:rsid w:val="10710AB7"/>
    <w:rsid w:val="109B5A5E"/>
    <w:rsid w:val="120C32C2"/>
    <w:rsid w:val="12280DC8"/>
    <w:rsid w:val="12B91A9D"/>
    <w:rsid w:val="12D66841"/>
    <w:rsid w:val="146E2B30"/>
    <w:rsid w:val="149411FE"/>
    <w:rsid w:val="17254023"/>
    <w:rsid w:val="18F00D95"/>
    <w:rsid w:val="198E7334"/>
    <w:rsid w:val="199944A6"/>
    <w:rsid w:val="1A5C2101"/>
    <w:rsid w:val="1B0D68CD"/>
    <w:rsid w:val="1B3310C3"/>
    <w:rsid w:val="1CA86BA5"/>
    <w:rsid w:val="1CE44117"/>
    <w:rsid w:val="1D1B2BE6"/>
    <w:rsid w:val="1E0A2899"/>
    <w:rsid w:val="1EF33CC8"/>
    <w:rsid w:val="1EFE3CBA"/>
    <w:rsid w:val="1F184019"/>
    <w:rsid w:val="213A3E05"/>
    <w:rsid w:val="22492E07"/>
    <w:rsid w:val="225C38A1"/>
    <w:rsid w:val="22F42CF3"/>
    <w:rsid w:val="23620507"/>
    <w:rsid w:val="23641680"/>
    <w:rsid w:val="241059BB"/>
    <w:rsid w:val="25000F84"/>
    <w:rsid w:val="254422A1"/>
    <w:rsid w:val="25E606AF"/>
    <w:rsid w:val="27060F32"/>
    <w:rsid w:val="2773759C"/>
    <w:rsid w:val="283D5139"/>
    <w:rsid w:val="29436742"/>
    <w:rsid w:val="296C2614"/>
    <w:rsid w:val="29A22FE8"/>
    <w:rsid w:val="29E074B5"/>
    <w:rsid w:val="2ABB2EE2"/>
    <w:rsid w:val="2CE53217"/>
    <w:rsid w:val="2D4F76EF"/>
    <w:rsid w:val="2F43013B"/>
    <w:rsid w:val="311709B4"/>
    <w:rsid w:val="32AA3854"/>
    <w:rsid w:val="35162E38"/>
    <w:rsid w:val="3516371C"/>
    <w:rsid w:val="356A1FCF"/>
    <w:rsid w:val="35722A63"/>
    <w:rsid w:val="367E6E7E"/>
    <w:rsid w:val="37144D14"/>
    <w:rsid w:val="3736112E"/>
    <w:rsid w:val="3A3457D4"/>
    <w:rsid w:val="3A4C735F"/>
    <w:rsid w:val="3ABB0B8F"/>
    <w:rsid w:val="3ACB2069"/>
    <w:rsid w:val="3AD1334A"/>
    <w:rsid w:val="3B5717C3"/>
    <w:rsid w:val="3BB605DF"/>
    <w:rsid w:val="3D760E4C"/>
    <w:rsid w:val="3FA175DF"/>
    <w:rsid w:val="3FA62913"/>
    <w:rsid w:val="400C1E93"/>
    <w:rsid w:val="40B06636"/>
    <w:rsid w:val="414840DD"/>
    <w:rsid w:val="41B23542"/>
    <w:rsid w:val="422A6188"/>
    <w:rsid w:val="436D7006"/>
    <w:rsid w:val="44B00772"/>
    <w:rsid w:val="44F80F52"/>
    <w:rsid w:val="47475F28"/>
    <w:rsid w:val="48DC0DD2"/>
    <w:rsid w:val="490D790C"/>
    <w:rsid w:val="497D3644"/>
    <w:rsid w:val="49B55EDD"/>
    <w:rsid w:val="4A140803"/>
    <w:rsid w:val="4B942D57"/>
    <w:rsid w:val="4E30022D"/>
    <w:rsid w:val="4E8E098E"/>
    <w:rsid w:val="4F8C3B89"/>
    <w:rsid w:val="500E30E1"/>
    <w:rsid w:val="510B1A56"/>
    <w:rsid w:val="5141363B"/>
    <w:rsid w:val="51A8180D"/>
    <w:rsid w:val="52EE610A"/>
    <w:rsid w:val="53260D39"/>
    <w:rsid w:val="53E43F4C"/>
    <w:rsid w:val="54077C82"/>
    <w:rsid w:val="547215A0"/>
    <w:rsid w:val="550646C1"/>
    <w:rsid w:val="55E60B92"/>
    <w:rsid w:val="56452F34"/>
    <w:rsid w:val="56A17EC6"/>
    <w:rsid w:val="571F77CE"/>
    <w:rsid w:val="5A557813"/>
    <w:rsid w:val="5B324E7C"/>
    <w:rsid w:val="5BBE40FA"/>
    <w:rsid w:val="5F8A45CB"/>
    <w:rsid w:val="5FAD1FD6"/>
    <w:rsid w:val="61E560BE"/>
    <w:rsid w:val="63EE02BE"/>
    <w:rsid w:val="64B57F3A"/>
    <w:rsid w:val="64C3402E"/>
    <w:rsid w:val="64EC7804"/>
    <w:rsid w:val="65881C42"/>
    <w:rsid w:val="672B088E"/>
    <w:rsid w:val="675A129D"/>
    <w:rsid w:val="68D5496B"/>
    <w:rsid w:val="6C517895"/>
    <w:rsid w:val="6DDF784E"/>
    <w:rsid w:val="6F2E3795"/>
    <w:rsid w:val="6FF21F46"/>
    <w:rsid w:val="701A0CA0"/>
    <w:rsid w:val="71542301"/>
    <w:rsid w:val="71645E83"/>
    <w:rsid w:val="71B85BF9"/>
    <w:rsid w:val="730120E7"/>
    <w:rsid w:val="73B41F30"/>
    <w:rsid w:val="75E82ED2"/>
    <w:rsid w:val="768C3636"/>
    <w:rsid w:val="77DB0B80"/>
    <w:rsid w:val="781B2436"/>
    <w:rsid w:val="7883784D"/>
    <w:rsid w:val="78961CD8"/>
    <w:rsid w:val="792A23A4"/>
    <w:rsid w:val="79882D39"/>
    <w:rsid w:val="7A4822D7"/>
    <w:rsid w:val="7CD91AB6"/>
    <w:rsid w:val="7D85293D"/>
    <w:rsid w:val="7DB24F01"/>
    <w:rsid w:val="7DEB372A"/>
    <w:rsid w:val="7ED6221C"/>
    <w:rsid w:val="7EFF3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
    <w:name w:val="Normal (Web)"/>
    <w:basedOn w:val="1"/>
    <w:qFormat/>
    <w:uiPriority w:val="0"/>
    <w:pPr>
      <w:widowControl/>
      <w:spacing w:before="240" w:after="240"/>
      <w:ind w:firstLine="480"/>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3695</Words>
  <Characters>3808</Characters>
  <Lines>2</Lines>
  <Paragraphs>13</Paragraphs>
  <TotalTime>9</TotalTime>
  <ScaleCrop>false</ScaleCrop>
  <LinksUpToDate>false</LinksUpToDate>
  <CharactersWithSpaces>3842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2021-04-07T07:09:00Z</dcterms:created>
  <dc:creator>Administrator</dc:creator>
  <cp:lastModifiedBy>杨奇</cp:lastModifiedBy>
  <cp:lastPrinted>2022-04-15T06:29:00Z</cp:lastPrinted>
  <dcterms:modified xsi:type="dcterms:W3CDTF">2025-09-30T03:32:04Z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B587A9D39D21482AB671FE2390059B45</vt:lpwstr>
  </property>
  <property fmtid="{D5CDD505-2E9C-101B-9397-08002B2CF9AE}" pid="4" name="KSOTemplateDocerSaveRecord">
    <vt:lpwstr>eyJoZGlkIjoiNWQ2YWUxYzNjZmQyY2FkYTcyNTQ5MDJjYmFkMTU4OWEiLCJ1c2VySWQiOiI3ODU3MzgzNTcifQ==</vt:lpwstr>
  </property>
</Properties>
</file>