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val="en-US" w:eastAsia="zh-CN"/>
              </w:rPr>
              <w:t>(</w:t>
            </w:r>
            <w:r>
              <w:rPr>
                <w:rFonts w:hint="eastAsia" w:ascii="仿宋_GB2312" w:eastAsia="仿宋_GB2312"/>
                <w:kern w:val="0"/>
                <w:lang w:eastAsia="zh-CN"/>
              </w:rPr>
              <w:t>金审工程及同级审）</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eastAsia="zh-CN"/>
              </w:rPr>
              <w:t>县级专项资金</w:t>
            </w:r>
            <w:r>
              <w:rPr>
                <w:rFonts w:hint="eastAsia" w:ascii="仿宋_GB2312" w:eastAsia="仿宋_GB2312"/>
                <w:kern w:val="0"/>
                <w:lang w:eastAsia="zh-CN"/>
              </w:rPr>
              <w:t>(审计大数据分析系统建设经费）</w:t>
            </w:r>
          </w:p>
        </w:tc>
        <w:tc>
          <w:tcPr>
            <w:tcW w:w="2116" w:type="dxa"/>
            <w:gridSpan w:val="2"/>
            <w:vAlign w:val="center"/>
          </w:tcPr>
          <w:p>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eastAsia="zh-CN"/>
              </w:rPr>
              <w:t>县级专项资金</w:t>
            </w:r>
            <w:r>
              <w:rPr>
                <w:rFonts w:hint="eastAsia" w:ascii="仿宋_GB2312" w:eastAsia="仿宋_GB2312"/>
                <w:kern w:val="0"/>
                <w:lang w:eastAsia="zh-CN"/>
              </w:rPr>
              <w:t>(汨罗市外聘投资审计中介机构专项）</w:t>
            </w:r>
          </w:p>
        </w:tc>
        <w:tc>
          <w:tcPr>
            <w:tcW w:w="2116" w:type="dxa"/>
            <w:gridSpan w:val="2"/>
            <w:vAlign w:val="center"/>
          </w:tcPr>
          <w:p>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114.22</w:t>
            </w:r>
          </w:p>
        </w:tc>
        <w:tc>
          <w:tcPr>
            <w:tcW w:w="2039" w:type="dxa"/>
            <w:gridSpan w:val="2"/>
            <w:vAlign w:val="center"/>
          </w:tcPr>
          <w:p>
            <w:pPr>
              <w:spacing w:line="240" w:lineRule="auto"/>
              <w:ind w:firstLine="840" w:firstLineChars="40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108.29</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14.57</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25.93</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18.2</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4.59</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69.72</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76.5</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top"/>
          </w:tcPr>
          <w:p>
            <w:pPr>
              <w:kinsoku w:val="0"/>
              <w:autoSpaceDE w:val="0"/>
              <w:autoSpaceDN w:val="0"/>
              <w:adjustRightInd w:val="0"/>
              <w:snapToGrid w:val="0"/>
              <w:ind w:firstLine="420" w:firstLineChars="0"/>
              <w:jc w:val="both"/>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958" w:type="dxa"/>
            <w:vAlign w:val="top"/>
          </w:tcPr>
          <w:p>
            <w:pPr>
              <w:kinsoku w:val="0"/>
              <w:autoSpaceDE w:val="0"/>
              <w:autoSpaceDN w:val="0"/>
              <w:adjustRightInd w:val="0"/>
              <w:snapToGrid w:val="0"/>
              <w:ind w:firstLine="420" w:firstLineChars="0"/>
              <w:jc w:val="both"/>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960" w:type="dxa"/>
            <w:vAlign w:val="top"/>
          </w:tcPr>
          <w:p>
            <w:pPr>
              <w:kinsoku w:val="0"/>
              <w:autoSpaceDE w:val="0"/>
              <w:autoSpaceDN w:val="0"/>
              <w:adjustRightInd w:val="0"/>
              <w:snapToGrid w:val="0"/>
              <w:ind w:firstLine="420" w:firstLineChars="0"/>
              <w:jc w:val="both"/>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1079" w:type="dxa"/>
            <w:vAlign w:val="top"/>
          </w:tcPr>
          <w:p>
            <w:pPr>
              <w:kinsoku w:val="0"/>
              <w:autoSpaceDE w:val="0"/>
              <w:autoSpaceDN w:val="0"/>
              <w:adjustRightInd w:val="0"/>
              <w:snapToGrid w:val="0"/>
              <w:ind w:firstLine="420" w:firstLineChars="0"/>
              <w:jc w:val="both"/>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1039" w:type="dxa"/>
            <w:vAlign w:val="top"/>
          </w:tcPr>
          <w:p>
            <w:pPr>
              <w:kinsoku w:val="0"/>
              <w:autoSpaceDE w:val="0"/>
              <w:autoSpaceDN w:val="0"/>
              <w:adjustRightInd w:val="0"/>
              <w:snapToGrid w:val="0"/>
              <w:ind w:firstLine="420" w:firstLineChars="0"/>
              <w:jc w:val="both"/>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c>
          <w:tcPr>
            <w:tcW w:w="944" w:type="dxa"/>
            <w:vAlign w:val="top"/>
          </w:tcPr>
          <w:p>
            <w:pPr>
              <w:kinsoku w:val="0"/>
              <w:autoSpaceDE w:val="0"/>
              <w:autoSpaceDN w:val="0"/>
              <w:adjustRightInd w:val="0"/>
              <w:snapToGrid w:val="0"/>
              <w:ind w:firstLine="420" w:firstLineChars="0"/>
              <w:jc w:val="both"/>
              <w:textAlignment w:val="baseline"/>
              <w:rPr>
                <w:rFonts w:hint="eastAsia" w:ascii="Arial" w:hAnsi="Arial" w:eastAsia="宋体" w:cs="Arial"/>
                <w:snapToGrid w:val="0"/>
                <w:color w:val="000000"/>
                <w:kern w:val="0"/>
                <w:sz w:val="21"/>
                <w:szCs w:val="21"/>
                <w:lang w:val="en-US" w:eastAsia="en-US" w:bidi="ar-SA"/>
              </w:rPr>
            </w:pPr>
            <w:r>
              <w:rPr>
                <w:rFonts w:hint="eastAsia" w:eastAsia="宋体" w:cs="Arial"/>
                <w:snapToGrid w:val="0"/>
                <w:color w:val="000000"/>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严格遵守八项规定，节约成本，节约开支</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范寅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2025年9月16日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18373048588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罗立群</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汨罗市审计局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firstLineChars="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729.49</w:t>
            </w:r>
          </w:p>
        </w:tc>
        <w:tc>
          <w:tcPr>
            <w:tcW w:w="1298" w:type="dxa"/>
            <w:vAlign w:val="center"/>
          </w:tcPr>
          <w:p>
            <w:pPr>
              <w:spacing w:line="240" w:lineRule="auto"/>
              <w:ind w:firstLine="206" w:firstLineChars="0"/>
              <w:jc w:val="center"/>
              <w:rPr>
                <w:rFonts w:ascii="仿宋_GB2312" w:eastAsia="仿宋_GB2312"/>
                <w:kern w:val="0"/>
              </w:rPr>
            </w:pPr>
            <w:r>
              <w:rPr>
                <w:rFonts w:hint="eastAsia" w:ascii="仿宋_GB2312" w:eastAsia="仿宋_GB2312"/>
                <w:kern w:val="0"/>
                <w:lang w:val="en-US" w:eastAsia="zh-CN"/>
              </w:rPr>
              <w:t>729.43</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986.33</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firstLineChars="0"/>
              <w:jc w:val="center"/>
              <w:rPr>
                <w:rFonts w:ascii="仿宋_GB2312" w:eastAsia="仿宋_GB2312"/>
                <w:kern w:val="0"/>
              </w:rPr>
            </w:pP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firstLineChars="0"/>
              <w:jc w:val="left"/>
              <w:rPr>
                <w:rFonts w:ascii="仿宋_GB2312" w:eastAsia="仿宋_GB2312"/>
                <w:kern w:val="0"/>
              </w:rPr>
            </w:pPr>
            <w:r>
              <w:rPr>
                <w:rFonts w:hint="eastAsia" w:ascii="仿宋_GB2312" w:hAnsi="宋体" w:eastAsia="仿宋_GB2312" w:cs="宋体"/>
                <w:kern w:val="0"/>
              </w:rPr>
              <w:t>按收入性质分</w:t>
            </w: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729.49</w:t>
            </w:r>
          </w:p>
        </w:tc>
        <w:tc>
          <w:tcPr>
            <w:tcW w:w="4260" w:type="dxa"/>
            <w:gridSpan w:val="4"/>
            <w:vAlign w:val="center"/>
          </w:tcPr>
          <w:p>
            <w:pPr>
              <w:spacing w:line="240" w:lineRule="auto"/>
              <w:ind w:firstLine="420" w:firstLineChars="0"/>
              <w:jc w:val="left"/>
              <w:rPr>
                <w:rFonts w:ascii="仿宋_GB2312" w:eastAsia="仿宋_GB2312"/>
                <w:kern w:val="0"/>
              </w:rPr>
            </w:pPr>
            <w:r>
              <w:rPr>
                <w:rFonts w:hint="eastAsia" w:ascii="仿宋_GB2312" w:hAnsi="宋体" w:eastAsia="仿宋_GB2312" w:cs="宋体"/>
                <w:kern w:val="0"/>
              </w:rPr>
              <w:t>按支出性质分</w:t>
            </w: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986.33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firstLineChars="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529.49</w:t>
            </w:r>
          </w:p>
        </w:tc>
        <w:tc>
          <w:tcPr>
            <w:tcW w:w="4260" w:type="dxa"/>
            <w:gridSpan w:val="4"/>
            <w:vAlign w:val="center"/>
          </w:tcPr>
          <w:p>
            <w:pPr>
              <w:spacing w:line="240" w:lineRule="auto"/>
              <w:ind w:firstLine="420" w:firstLineChars="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499.98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536.35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420" w:firstLineChars="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200</w:t>
            </w:r>
          </w:p>
        </w:tc>
        <w:tc>
          <w:tcPr>
            <w:tcW w:w="4260" w:type="dxa"/>
            <w:gridSpan w:val="4"/>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eastAsia="仿宋_GB2312"/>
                <w:kern w:val="0"/>
                <w:lang w:eastAsia="zh-CN"/>
              </w:rPr>
              <w:t>坚持依法审计、求真务实，加强对全部政府性资金运行的审计监督，着力促进重大政策促使落地生根，着力促进提升经济发展和效益，充分发挥审计在服务国家治理中的重要作用，为促进我市经济社会持续健康发展做出积极贡献</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eastAsia="仿宋_GB2312"/>
                <w:kern w:val="0"/>
                <w:lang w:eastAsia="zh-CN"/>
              </w:rPr>
              <w:t>坚持依法审计、求真务实，加强对全部政府性资金运行的审计监督，着力促进重大政策促使落地生根，着力促进提升经济发展和效益，充分发挥审计在服务国家治理中的重要作用，为促进我市经济社会持续健康发展做出积极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完成计划内审计项目</w:t>
            </w:r>
          </w:p>
        </w:tc>
        <w:tc>
          <w:tcPr>
            <w:tcW w:w="1298"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29</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29</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vAlign w:val="center"/>
          </w:tcPr>
          <w:p>
            <w:pPr>
              <w:tabs>
                <w:tab w:val="left" w:pos="400"/>
              </w:tabs>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群众举报线索追查覆盖率、重大线索移交覆盖率</w:t>
            </w:r>
          </w:p>
        </w:tc>
        <w:tc>
          <w:tcPr>
            <w:tcW w:w="1298" w:type="dxa"/>
            <w:vAlign w:val="center"/>
          </w:tcPr>
          <w:p>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违规资金上缴财政</w:t>
            </w:r>
          </w:p>
        </w:tc>
        <w:tc>
          <w:tcPr>
            <w:tcW w:w="1298"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396万元</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7</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审计项目严格按计划完成</w:t>
            </w:r>
          </w:p>
        </w:tc>
        <w:tc>
          <w:tcPr>
            <w:tcW w:w="1298" w:type="dxa"/>
            <w:vAlign w:val="center"/>
          </w:tcPr>
          <w:p>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2024年12月31日前</w:t>
            </w:r>
          </w:p>
        </w:tc>
        <w:tc>
          <w:tcPr>
            <w:tcW w:w="1269"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2024年12月31日</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核减不合理工程造价</w:t>
            </w:r>
          </w:p>
        </w:tc>
        <w:tc>
          <w:tcPr>
            <w:tcW w:w="1298"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2332万元</w:t>
            </w:r>
          </w:p>
        </w:tc>
        <w:tc>
          <w:tcPr>
            <w:tcW w:w="126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2332万元</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查处违规资金</w:t>
            </w:r>
          </w:p>
        </w:tc>
        <w:tc>
          <w:tcPr>
            <w:tcW w:w="1298"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396万元</w:t>
            </w:r>
          </w:p>
        </w:tc>
        <w:tc>
          <w:tcPr>
            <w:tcW w:w="126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396万元</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优化财政资金绩效、促进国家各项政策落实、规范权力运行、保障民生完善和查处腐败</w:t>
            </w:r>
          </w:p>
        </w:tc>
        <w:tc>
          <w:tcPr>
            <w:tcW w:w="1298" w:type="dxa"/>
            <w:vAlign w:val="center"/>
          </w:tcPr>
          <w:p>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经济责任审计项目区中举报线索追查覆盖率</w:t>
            </w:r>
            <w:r>
              <w:rPr>
                <w:rFonts w:hint="eastAsia" w:ascii="仿宋_GB2312" w:eastAsia="仿宋_GB2312"/>
                <w:kern w:val="0"/>
                <w:lang w:val="en-US" w:eastAsia="zh-CN"/>
              </w:rPr>
              <w:t>。重大线索移交覆盖率</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提高维护生态平衡和生态系统的良性、高效循环的能力</w:t>
            </w:r>
          </w:p>
        </w:tc>
        <w:tc>
          <w:tcPr>
            <w:tcW w:w="1298"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促进完善出台相关政策</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提出审计建议。促进完善相关制度</w:t>
            </w:r>
          </w:p>
        </w:tc>
        <w:tc>
          <w:tcPr>
            <w:tcW w:w="1298"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提高促进相关湘汨实施对相关方霍市无带来的可持续影响</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被审计单位满意度</w:t>
            </w:r>
          </w:p>
        </w:tc>
        <w:tc>
          <w:tcPr>
            <w:tcW w:w="1298" w:type="dxa"/>
            <w:vAlign w:val="center"/>
          </w:tcPr>
          <w:p>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满意度达</w:t>
            </w:r>
            <w:r>
              <w:rPr>
                <w:rFonts w:hint="eastAsia" w:ascii="仿宋_GB2312" w:eastAsia="仿宋_GB2312"/>
                <w:kern w:val="0"/>
                <w:lang w:val="en-US" w:eastAsia="zh-CN"/>
              </w:rPr>
              <w:t>100%</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社会群众满意</w:t>
            </w:r>
          </w:p>
        </w:tc>
        <w:tc>
          <w:tcPr>
            <w:tcW w:w="1298"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满意度达</w:t>
            </w:r>
            <w:r>
              <w:rPr>
                <w:rFonts w:hint="eastAsia" w:ascii="仿宋_GB2312" w:eastAsia="仿宋_GB2312"/>
                <w:kern w:val="0"/>
                <w:lang w:val="en-US" w:eastAsia="zh-CN"/>
              </w:rPr>
              <w:t>100</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成本控制在预算范围内</w:t>
            </w:r>
          </w:p>
        </w:tc>
        <w:tc>
          <w:tcPr>
            <w:tcW w:w="1298"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成本控制在预算范围内</w:t>
            </w:r>
          </w:p>
        </w:tc>
        <w:tc>
          <w:tcPr>
            <w:tcW w:w="1269"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成本控制在预算范围内</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社会成本控制在预算范围内</w:t>
            </w:r>
          </w:p>
        </w:tc>
        <w:tc>
          <w:tcPr>
            <w:tcW w:w="1298"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社会成本控制在预算范围内</w:t>
            </w:r>
          </w:p>
        </w:tc>
        <w:tc>
          <w:tcPr>
            <w:tcW w:w="1269"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社会成本控制在预算范围内</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环境成本控制在预算范围内</w:t>
            </w:r>
          </w:p>
        </w:tc>
        <w:tc>
          <w:tcPr>
            <w:tcW w:w="1298"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环境成本控制在预算范围内</w:t>
            </w:r>
          </w:p>
        </w:tc>
        <w:tc>
          <w:tcPr>
            <w:tcW w:w="1269"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环境成本控制在预算范围内</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423"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范寅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2025年9月16日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18373048588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罗立群</w:t>
      </w:r>
    </w:p>
    <w:p>
      <w:pPr>
        <w:spacing w:line="228" w:lineRule="auto"/>
        <w:ind w:firstLine="400"/>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金审工程及财政同级审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汨罗市审计局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w:t>
            </w:r>
          </w:p>
        </w:tc>
        <w:tc>
          <w:tcPr>
            <w:tcW w:w="809" w:type="dxa"/>
            <w:vAlign w:val="center"/>
          </w:tcPr>
          <w:p>
            <w:pPr>
              <w:spacing w:line="240" w:lineRule="auto"/>
              <w:ind w:firstLine="420" w:firstLineChars="2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49"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p>
        </w:tc>
        <w:tc>
          <w:tcPr>
            <w:tcW w:w="4140" w:type="dxa"/>
            <w:gridSpan w:val="4"/>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完成计划内审计项目</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29</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29</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质量指标</w:t>
            </w:r>
          </w:p>
          <w:p>
            <w:pPr>
              <w:spacing w:line="240" w:lineRule="auto"/>
              <w:jc w:val="center"/>
              <w:rPr>
                <w:rFonts w:ascii="仿宋_GB2312" w:hAnsi="宋体" w:eastAsia="仿宋_GB2312" w:cs="宋体"/>
                <w:kern w:val="0"/>
              </w:rPr>
            </w:pPr>
          </w:p>
        </w:tc>
        <w:tc>
          <w:tcPr>
            <w:tcW w:w="1020"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群众举报线索追查覆盖率、重大线索移交覆盖率</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违规资金上缴财政</w:t>
            </w:r>
          </w:p>
        </w:tc>
        <w:tc>
          <w:tcPr>
            <w:tcW w:w="1099" w:type="dxa"/>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396万元</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审计项目严格按计划完成</w:t>
            </w:r>
          </w:p>
        </w:tc>
        <w:tc>
          <w:tcPr>
            <w:tcW w:w="1099"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val="en-US" w:eastAsia="zh-CN"/>
              </w:rPr>
              <w:t>2024年12月31日</w:t>
            </w:r>
          </w:p>
        </w:tc>
        <w:tc>
          <w:tcPr>
            <w:tcW w:w="1099"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val="en-US" w:eastAsia="zh-CN"/>
              </w:rPr>
              <w:t>2024年12月31日</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经济效益指标</w:t>
            </w:r>
          </w:p>
          <w:p>
            <w:pPr>
              <w:spacing w:line="240" w:lineRule="auto"/>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核减不合理工程造价</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2332万元</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2332万元</w:t>
            </w:r>
          </w:p>
        </w:tc>
        <w:tc>
          <w:tcPr>
            <w:tcW w:w="80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查处违规资金</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396万元</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396万元</w:t>
            </w:r>
          </w:p>
        </w:tc>
        <w:tc>
          <w:tcPr>
            <w:tcW w:w="80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优化财政资金绩效、促进国家各项政策落实、规范权力运行、保障民生完善和查处腐败</w:t>
            </w:r>
          </w:p>
        </w:tc>
        <w:tc>
          <w:tcPr>
            <w:tcW w:w="1099"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经济责任审计项目群众举报线索追查覆盖率</w:t>
            </w:r>
            <w:r>
              <w:rPr>
                <w:rFonts w:hint="eastAsia" w:ascii="仿宋_GB2312" w:eastAsia="仿宋_GB2312"/>
                <w:kern w:val="0"/>
                <w:lang w:val="en-US" w:eastAsia="zh-CN"/>
              </w:rPr>
              <w:t>。重大线索移交覆盖率</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提高维护生态平衡和生态系统的良性、高效循环的能力</w:t>
            </w:r>
          </w:p>
        </w:tc>
        <w:tc>
          <w:tcPr>
            <w:tcW w:w="1099"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促进完善出台相关政策</w:t>
            </w:r>
          </w:p>
        </w:tc>
        <w:tc>
          <w:tcPr>
            <w:tcW w:w="1099"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提出审计建议。促进完善相关制度</w:t>
            </w:r>
          </w:p>
        </w:tc>
        <w:tc>
          <w:tcPr>
            <w:tcW w:w="1099"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提高促进相关政策实施对相关方事物带来的可持续影响</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被审计单位满意度</w:t>
            </w:r>
          </w:p>
        </w:tc>
        <w:tc>
          <w:tcPr>
            <w:tcW w:w="1099"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满意度达</w:t>
            </w:r>
            <w:r>
              <w:rPr>
                <w:rFonts w:hint="eastAsia" w:ascii="仿宋_GB2312" w:eastAsia="仿宋_GB2312"/>
                <w:kern w:val="0"/>
                <w:lang w:val="en-US" w:eastAsia="zh-CN"/>
              </w:rPr>
              <w:t>100%</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社会群众满意</w:t>
            </w:r>
          </w:p>
        </w:tc>
        <w:tc>
          <w:tcPr>
            <w:tcW w:w="1099" w:type="dxa"/>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满意度达</w:t>
            </w:r>
            <w:r>
              <w:rPr>
                <w:rFonts w:hint="eastAsia" w:ascii="仿宋_GB2312" w:eastAsia="仿宋_GB2312"/>
                <w:kern w:val="0"/>
                <w:lang w:val="en-US" w:eastAsia="zh-CN"/>
              </w:rPr>
              <w:t>100%</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经济成本控制在预算范围内</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241万元</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241万元</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社会成本控制在预算范围内</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社会成本控制在预算范围内</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范寅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2025年9月16日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18373048588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罗立群</w:t>
      </w:r>
    </w:p>
    <w:p>
      <w:pPr>
        <w:spacing w:line="228" w:lineRule="auto"/>
        <w:ind w:firstLine="400"/>
        <w:rPr>
          <w:rFonts w:eastAsiaTheme="minorEastAsia"/>
          <w:sz w:val="20"/>
          <w:szCs w:val="20"/>
          <w:lang w:eastAsia="zh-CN"/>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p>
    <w:p>
      <w:pPr>
        <w:spacing w:before="52" w:line="219" w:lineRule="auto"/>
        <w:jc w:val="left"/>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hAnsi="宋体" w:eastAsia="方正小标宋简体" w:cs="宋体"/>
          <w:kern w:val="0"/>
          <w:sz w:val="44"/>
          <w:szCs w:val="44"/>
          <w:highlight w:val="none"/>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汨罗市审计局（</w:t>
      </w:r>
      <w:r>
        <w:rPr>
          <w:rFonts w:hint="eastAsia" w:ascii="方正小标宋简体" w:hAnsi="宋体" w:eastAsia="方正小标宋简体" w:cs="宋体"/>
          <w:kern w:val="0"/>
          <w:sz w:val="44"/>
          <w:szCs w:val="44"/>
          <w:highlight w:val="none"/>
          <w:lang w:eastAsia="zh-CN"/>
        </w:rPr>
        <w:t>单位）整体</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支</w:t>
      </w:r>
      <w:r>
        <w:rPr>
          <w:rFonts w:hint="eastAsia" w:ascii="方正小标宋简体" w:hAnsi="宋体" w:eastAsia="方正小标宋简体" w:cs="宋体"/>
          <w:kern w:val="0"/>
          <w:sz w:val="44"/>
          <w:szCs w:val="44"/>
          <w:lang w:eastAsia="zh-CN"/>
        </w:rPr>
        <w:t>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09</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16</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汨罗市审计局</w:t>
      </w:r>
      <w:r>
        <w:rPr>
          <w:rFonts w:hint="eastAsia" w:ascii="黑体" w:hAnsi="黑体" w:eastAsia="黑体" w:cs="黑体"/>
          <w:spacing w:val="-60"/>
          <w:sz w:val="40"/>
          <w:szCs w:val="40"/>
          <w:lang w:val="en-US" w:eastAsia="zh-CN"/>
        </w:rPr>
        <w:t xml:space="preserve"> </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pPr>
        <w:numPr>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汨罗市审计局于1984年4月成立，系正科级行政单位，内设办公室、基建、财政事业、经济责任、行政事业、农业、外贸、计算机、法制、财务、人事、综合股。年末有在职人员40人,退休人员27人。</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主要职能：1、参与制定审计、财经方面的地方性法规、规章和其它规范性文件；规范企业、行政事业等各经济管理部门的行为，为政府和上级领导提供宏观决策依据。</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在县人民政府和上一级审计机关的领导下，对本级预算执行情况进行审计监督，向本级人民政府和上一级审计机关提出审计结果报告。</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3、依据《审计法》等法律法规，直接进行下列审计对市级财政预算执行情况和其它财政收支情况进行审计监督；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对本级人民政府各部门和乡（镇）政府预算的执行情况和决算以及预算外资金的管理和使用情况进行审计监督；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对本市地方性金融机构的资产、负债、损益情况进行审计；对本级地方性非银行金融机构进行审计监督；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按照国家有关规定，对本市属于审计机关审计监督对象的其他单位的主要负责人，在任职期间对本部门或者本单位的财政收支、财务收支以及有关经济活动应负经济责任的履行情况，进行审计监督；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对市属国有企业的资产、负债、损益情况和国有资产保值、增值情况进行审计监督；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对有国家资金或接受财政补贴的事业组织和使用财政资金的其他事业组织的财务收支，进行审计监督；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对政府投资和以政府投资为主的建设项目的预算执行情况和决算，进行审计监督；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对政府部门管理的和其他单位受政府委托管理的社会保障基金、社会捐赠资金以及其他有关基金、资金的财务收支，进行审计监督；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对国际组织和外国政府援助、贷款项目的财务收支，进行审计监督；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对与市级财政收支有关的特定事项，向有关部门、单位进行专项审计和审计调查；</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对其他法律、行政法规规定应当由审计机关进行审计的事项，进行审计监督。</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4、承办县人民政府及上级部门交办的其他工作</w:t>
      </w:r>
      <w:r>
        <w:rPr>
          <w:rFonts w:hint="eastAsia" w:ascii="Times New Roman" w:hAnsi="Times New Roman" w:eastAsia="仿宋_GB2312" w:cs="Arial"/>
          <w:snapToGrid w:val="0"/>
          <w:color w:val="000000"/>
          <w:kern w:val="0"/>
          <w:sz w:val="32"/>
          <w:szCs w:val="32"/>
          <w:highlight w:val="none"/>
          <w:lang w:val="en-US" w:eastAsia="zh-CN" w:bidi="ar-SA"/>
        </w:rPr>
        <w:t>。</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pPr>
        <w:numPr>
          <w:ilvl w:val="0"/>
          <w:numId w:val="0"/>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我局基本支出的范围和主要用途包括局机关的人员经费和日常公用经费。具体包括：工资福利支出、商品和服务支出、对个人和家庭的补助、资本性支出。基本支出的管理和使用情况如下：</w:t>
      </w:r>
    </w:p>
    <w:p>
      <w:pPr>
        <w:numPr>
          <w:ilvl w:val="0"/>
          <w:numId w:val="2"/>
        </w:numPr>
        <w:kinsoku w:val="0"/>
        <w:autoSpaceDE w:val="0"/>
        <w:autoSpaceDN w:val="0"/>
        <w:adjustRightInd w:val="0"/>
        <w:snapToGrid w:val="0"/>
        <w:spacing w:before="211" w:line="224" w:lineRule="auto"/>
        <w:ind w:firstLine="600" w:firstLineChars="200"/>
        <w:jc w:val="both"/>
        <w:textAlignment w:val="baseline"/>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基本支出本年预算指标可用情况（单位：万元）</w:t>
      </w:r>
    </w:p>
    <w:tbl>
      <w:tblPr>
        <w:tblStyle w:val="5"/>
        <w:tblW w:w="7237" w:type="dxa"/>
        <w:tblInd w:w="10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2"/>
        <w:gridCol w:w="1101"/>
        <w:gridCol w:w="2149"/>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工资福利支出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411.88</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130.22</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商品和服务支出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78.51</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151.41</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对个人和家庭的补助</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资本性支出</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18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bl>
    <w:p>
      <w:pPr>
        <w:numPr>
          <w:ilvl w:val="0"/>
          <w:numId w:val="3"/>
        </w:numPr>
        <w:kinsoku w:val="0"/>
        <w:autoSpaceDE w:val="0"/>
        <w:autoSpaceDN w:val="0"/>
        <w:adjustRightInd w:val="0"/>
        <w:snapToGrid w:val="0"/>
        <w:spacing w:before="211" w:line="224" w:lineRule="auto"/>
        <w:ind w:firstLine="600" w:firstLineChars="200"/>
        <w:jc w:val="both"/>
        <w:textAlignment w:val="baseline"/>
        <w:rPr>
          <w:rFonts w:hint="default"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 xml:space="preserve"> 本年基本支出预算执行情况（单位：万元）</w:t>
      </w:r>
    </w:p>
    <w:tbl>
      <w:tblPr>
        <w:tblStyle w:val="5"/>
        <w:tblW w:w="7113" w:type="dxa"/>
        <w:tblInd w:w="1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8"/>
        <w:gridCol w:w="1088"/>
        <w:gridCol w:w="2124"/>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18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工资福利支出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542.1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542.1</w:t>
            </w:r>
          </w:p>
        </w:tc>
        <w:tc>
          <w:tcPr>
            <w:tcW w:w="18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商品和服务支出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229.92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229.92</w:t>
            </w:r>
          </w:p>
        </w:tc>
        <w:tc>
          <w:tcPr>
            <w:tcW w:w="18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对个人和家庭的补助</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8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资本性支出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18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bl>
    <w:p>
      <w:pPr>
        <w:pStyle w:val="10"/>
        <w:numPr>
          <w:ilvl w:val="0"/>
          <w:numId w:val="4"/>
        </w:numPr>
        <w:spacing w:line="600" w:lineRule="exact"/>
        <w:ind w:left="0" w:leftChars="0"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pPr>
        <w:pStyle w:val="10"/>
        <w:numPr>
          <w:numId w:val="0"/>
        </w:numPr>
        <w:spacing w:line="600" w:lineRule="exact"/>
        <w:ind w:leftChars="400" w:firstLine="300" w:firstLineChars="100"/>
        <w:jc w:val="both"/>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1.项目支出本年预算指标可用情况（单位：万元）</w:t>
      </w:r>
    </w:p>
    <w:tbl>
      <w:tblPr>
        <w:tblStyle w:val="6"/>
        <w:tblW w:w="0" w:type="auto"/>
        <w:tblInd w:w="10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762"/>
        <w:gridCol w:w="1063"/>
        <w:gridCol w:w="168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9" w:hRule="atLeast"/>
        </w:trPr>
        <w:tc>
          <w:tcPr>
            <w:tcW w:w="2762"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063"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1687"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1700"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本年可用指标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84" w:hRule="atLeast"/>
        </w:trPr>
        <w:tc>
          <w:tcPr>
            <w:tcW w:w="2762"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汨罗市外聘投资审计中介机构专项</w:t>
            </w:r>
          </w:p>
        </w:tc>
        <w:tc>
          <w:tcPr>
            <w:tcW w:w="1063"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200</w:t>
            </w:r>
          </w:p>
        </w:tc>
        <w:tc>
          <w:tcPr>
            <w:tcW w:w="1687"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w:t>
            </w:r>
          </w:p>
        </w:tc>
        <w:tc>
          <w:tcPr>
            <w:tcW w:w="1700"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84" w:hRule="atLeast"/>
        </w:trPr>
        <w:tc>
          <w:tcPr>
            <w:tcW w:w="2762"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审计大数据分析系统建设经费</w:t>
            </w:r>
          </w:p>
        </w:tc>
        <w:tc>
          <w:tcPr>
            <w:tcW w:w="1063"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30</w:t>
            </w:r>
          </w:p>
        </w:tc>
        <w:tc>
          <w:tcPr>
            <w:tcW w:w="1687"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w:t>
            </w:r>
          </w:p>
        </w:tc>
        <w:tc>
          <w:tcPr>
            <w:tcW w:w="1700"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84" w:hRule="atLeast"/>
        </w:trPr>
        <w:tc>
          <w:tcPr>
            <w:tcW w:w="2762"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金审工程及同级审</w:t>
            </w:r>
          </w:p>
        </w:tc>
        <w:tc>
          <w:tcPr>
            <w:tcW w:w="1063"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11</w:t>
            </w:r>
          </w:p>
        </w:tc>
        <w:tc>
          <w:tcPr>
            <w:tcW w:w="1687"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0</w:t>
            </w:r>
          </w:p>
        </w:tc>
        <w:tc>
          <w:tcPr>
            <w:tcW w:w="1700"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11</w:t>
            </w:r>
          </w:p>
        </w:tc>
      </w:tr>
    </w:tbl>
    <w:p>
      <w:pPr>
        <w:pStyle w:val="10"/>
        <w:numPr>
          <w:numId w:val="0"/>
        </w:numPr>
        <w:spacing w:line="600" w:lineRule="exact"/>
        <w:ind w:firstLine="1200" w:firstLineChars="400"/>
        <w:jc w:val="both"/>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2.本年项目支出预算执行情况（单位：万元）</w:t>
      </w:r>
    </w:p>
    <w:tbl>
      <w:tblPr>
        <w:tblStyle w:val="6"/>
        <w:tblW w:w="0" w:type="auto"/>
        <w:tblInd w:w="10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762"/>
        <w:gridCol w:w="1075"/>
        <w:gridCol w:w="1663"/>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3" w:hRule="atLeast"/>
        </w:trPr>
        <w:tc>
          <w:tcPr>
            <w:tcW w:w="2762"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075"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1663"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1687"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3" w:hRule="atLeast"/>
        </w:trPr>
        <w:tc>
          <w:tcPr>
            <w:tcW w:w="2762"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汨罗市外聘投资审计中介机构专项</w:t>
            </w:r>
          </w:p>
        </w:tc>
        <w:tc>
          <w:tcPr>
            <w:tcW w:w="1075"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200</w:t>
            </w:r>
          </w:p>
        </w:tc>
        <w:tc>
          <w:tcPr>
            <w:tcW w:w="1663"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200</w:t>
            </w:r>
          </w:p>
        </w:tc>
        <w:tc>
          <w:tcPr>
            <w:tcW w:w="1687"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3" w:hRule="atLeast"/>
        </w:trPr>
        <w:tc>
          <w:tcPr>
            <w:tcW w:w="2762"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审计大数据分析系统建设经费</w:t>
            </w:r>
          </w:p>
        </w:tc>
        <w:tc>
          <w:tcPr>
            <w:tcW w:w="1075"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30</w:t>
            </w:r>
          </w:p>
        </w:tc>
        <w:tc>
          <w:tcPr>
            <w:tcW w:w="1663"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30</w:t>
            </w:r>
          </w:p>
        </w:tc>
        <w:tc>
          <w:tcPr>
            <w:tcW w:w="1687"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13" w:hRule="atLeast"/>
        </w:trPr>
        <w:tc>
          <w:tcPr>
            <w:tcW w:w="2762"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金审工程及同级审</w:t>
            </w:r>
          </w:p>
        </w:tc>
        <w:tc>
          <w:tcPr>
            <w:tcW w:w="1075"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11</w:t>
            </w:r>
          </w:p>
        </w:tc>
        <w:tc>
          <w:tcPr>
            <w:tcW w:w="1663"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11</w:t>
            </w:r>
          </w:p>
        </w:tc>
        <w:tc>
          <w:tcPr>
            <w:tcW w:w="1687" w:type="dxa"/>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6"/>
                <w:szCs w:val="16"/>
                <w:u w:val="none"/>
                <w:lang w:val="en-US" w:eastAsia="zh-CN" w:bidi="ar-SA"/>
              </w:rPr>
            </w:pPr>
            <w:r>
              <w:rPr>
                <w:rFonts w:hint="eastAsia" w:ascii="宋体" w:hAnsi="宋体" w:eastAsia="宋体" w:cs="宋体"/>
                <w:i w:val="0"/>
                <w:iCs w:val="0"/>
                <w:snapToGrid w:val="0"/>
                <w:color w:val="000000"/>
                <w:kern w:val="0"/>
                <w:sz w:val="16"/>
                <w:szCs w:val="16"/>
                <w:u w:val="none"/>
                <w:lang w:val="en-US" w:eastAsia="zh-CN" w:bidi="ar"/>
              </w:rPr>
              <w:t>0</w:t>
            </w:r>
          </w:p>
        </w:tc>
      </w:tr>
    </w:tbl>
    <w:p>
      <w:pPr>
        <w:numPr>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pPr>
        <w:pStyle w:val="10"/>
        <w:numPr>
          <w:numId w:val="0"/>
        </w:numPr>
        <w:spacing w:line="600" w:lineRule="exact"/>
        <w:ind w:leftChars="400" w:firstLine="300" w:firstLineChars="100"/>
        <w:jc w:val="both"/>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1.政府性基金本年预算指标可用情况（单位：万元）</w:t>
      </w:r>
    </w:p>
    <w:tbl>
      <w:tblPr>
        <w:tblStyle w:val="5"/>
        <w:tblW w:w="7375" w:type="dxa"/>
        <w:tblInd w:w="1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3"/>
        <w:gridCol w:w="1547"/>
        <w:gridCol w:w="1940"/>
        <w:gridCol w:w="1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1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政府性基金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r>
    </w:tbl>
    <w:p>
      <w:pPr>
        <w:pStyle w:val="10"/>
        <w:numPr>
          <w:numId w:val="0"/>
        </w:numPr>
        <w:spacing w:line="600" w:lineRule="exact"/>
        <w:ind w:leftChars="200" w:firstLine="600" w:firstLineChars="200"/>
        <w:jc w:val="both"/>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2.政府性基金支出预算执行情况（单位：万元）</w:t>
      </w:r>
    </w:p>
    <w:tbl>
      <w:tblPr>
        <w:tblStyle w:val="5"/>
        <w:tblW w:w="7387" w:type="dxa"/>
        <w:tblInd w:w="10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2"/>
        <w:gridCol w:w="1560"/>
        <w:gridCol w:w="2078"/>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17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政府性基金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7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bl>
    <w:p>
      <w:pPr>
        <w:numPr>
          <w:ilvl w:val="0"/>
          <w:numId w:val="5"/>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pPr>
        <w:pStyle w:val="10"/>
        <w:numPr>
          <w:ilvl w:val="0"/>
          <w:numId w:val="0"/>
        </w:numPr>
        <w:spacing w:line="600" w:lineRule="exact"/>
        <w:ind w:leftChars="400" w:firstLine="300" w:firstLineChars="100"/>
        <w:jc w:val="both"/>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 xml:space="preserve"> 1.国有资本金本年预算指标可用情况（单位：万元）</w:t>
      </w:r>
    </w:p>
    <w:tbl>
      <w:tblPr>
        <w:tblStyle w:val="5"/>
        <w:tblW w:w="7387" w:type="dxa"/>
        <w:tblInd w:w="10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2"/>
        <w:gridCol w:w="1560"/>
        <w:gridCol w:w="2078"/>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17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国有资本金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7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bl>
    <w:p>
      <w:pPr>
        <w:pStyle w:val="10"/>
        <w:numPr>
          <w:ilvl w:val="0"/>
          <w:numId w:val="0"/>
        </w:numPr>
        <w:spacing w:line="600" w:lineRule="exact"/>
        <w:ind w:leftChars="400" w:firstLine="300" w:firstLineChars="100"/>
        <w:jc w:val="both"/>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2.国有资本金支出预算执行情况（单位：万元）</w:t>
      </w:r>
    </w:p>
    <w:tbl>
      <w:tblPr>
        <w:tblStyle w:val="5"/>
        <w:tblW w:w="7387" w:type="dxa"/>
        <w:tblInd w:w="10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2"/>
        <w:gridCol w:w="1560"/>
        <w:gridCol w:w="2078"/>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17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国有资本金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73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bl>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pPr>
        <w:pStyle w:val="10"/>
        <w:numPr>
          <w:ilvl w:val="0"/>
          <w:numId w:val="0"/>
        </w:numPr>
        <w:spacing w:line="600" w:lineRule="exact"/>
        <w:ind w:leftChars="400" w:firstLine="300" w:firstLineChars="100"/>
        <w:jc w:val="both"/>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1.社会保险基金本年预算指标可用情况（单位：万元）</w:t>
      </w:r>
    </w:p>
    <w:tbl>
      <w:tblPr>
        <w:tblStyle w:val="5"/>
        <w:tblW w:w="7425" w:type="dxa"/>
        <w:tblInd w:w="9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3"/>
        <w:gridCol w:w="1912"/>
        <w:gridCol w:w="185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1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养老保险</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41.51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医疗保险</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22.05</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职业年金</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20.75</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1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工伤保险</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2.59</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16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2.59</w:t>
            </w:r>
          </w:p>
        </w:tc>
      </w:tr>
    </w:tbl>
    <w:p>
      <w:pPr>
        <w:pStyle w:val="10"/>
        <w:numPr>
          <w:ilvl w:val="0"/>
          <w:numId w:val="0"/>
        </w:numPr>
        <w:spacing w:line="600" w:lineRule="exact"/>
        <w:ind w:leftChars="400" w:firstLine="300" w:firstLineChars="100"/>
        <w:jc w:val="both"/>
        <w:rPr>
          <w:rFonts w:hint="eastAsia" w:ascii="仿宋_GB2312" w:hAnsi="仿宋_GB2312" w:eastAsia="仿宋_GB2312" w:cs="仿宋_GB2312"/>
          <w:snapToGrid w:val="0"/>
          <w:color w:val="000000"/>
          <w:kern w:val="0"/>
          <w:sz w:val="30"/>
          <w:szCs w:val="30"/>
          <w:highlight w:val="none"/>
          <w:lang w:val="en-US" w:eastAsia="zh-CN" w:bidi="ar-SA"/>
        </w:rPr>
      </w:pPr>
      <w:r>
        <w:rPr>
          <w:rFonts w:hint="eastAsia" w:ascii="仿宋_GB2312" w:hAnsi="仿宋_GB2312" w:eastAsia="仿宋_GB2312" w:cs="仿宋_GB2312"/>
          <w:snapToGrid w:val="0"/>
          <w:color w:val="000000"/>
          <w:kern w:val="0"/>
          <w:sz w:val="30"/>
          <w:szCs w:val="30"/>
          <w:highlight w:val="none"/>
          <w:lang w:val="en-US" w:eastAsia="zh-CN" w:bidi="ar-SA"/>
        </w:rPr>
        <w:t>2.社会保险基金支出预算执行情况（单位：万元）</w:t>
      </w:r>
    </w:p>
    <w:tbl>
      <w:tblPr>
        <w:tblStyle w:val="5"/>
        <w:tblW w:w="7312" w:type="dxa"/>
        <w:tblInd w:w="10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0"/>
        <w:gridCol w:w="1912"/>
        <w:gridCol w:w="195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15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养老保险</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41.51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41.51</w:t>
            </w:r>
          </w:p>
        </w:tc>
        <w:tc>
          <w:tcPr>
            <w:tcW w:w="15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医疗保险</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22.05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22.06</w:t>
            </w:r>
          </w:p>
        </w:tc>
        <w:tc>
          <w:tcPr>
            <w:tcW w:w="15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职业年金</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20.75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20.75</w:t>
            </w:r>
          </w:p>
        </w:tc>
        <w:tc>
          <w:tcPr>
            <w:tcW w:w="15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工伤保险</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2.59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2.59</w:t>
            </w:r>
          </w:p>
        </w:tc>
        <w:tc>
          <w:tcPr>
            <w:tcW w:w="15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r>
    </w:tbl>
    <w:p>
      <w:pPr>
        <w:numPr>
          <w:numId w:val="0"/>
        </w:numPr>
        <w:spacing w:line="600" w:lineRule="exact"/>
        <w:jc w:val="both"/>
        <w:rPr>
          <w:rFonts w:hint="eastAsia" w:ascii="宋体" w:hAnsi="宋体" w:eastAsia="宋体" w:cs="宋体"/>
          <w:i w:val="0"/>
          <w:iCs w:val="0"/>
          <w:snapToGrid w:val="0"/>
          <w:color w:val="000000"/>
          <w:kern w:val="0"/>
          <w:sz w:val="16"/>
          <w:szCs w:val="16"/>
          <w:u w:val="none"/>
          <w:lang w:val="en-US" w:eastAsia="zh-CN" w:bidi="ar"/>
        </w:rPr>
      </w:pP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pPr>
        <w:spacing w:line="600" w:lineRule="exact"/>
        <w:ind w:firstLine="600" w:firstLineChars="200"/>
        <w:jc w:val="both"/>
        <w:rPr>
          <w:rFonts w:hint="eastAsia" w:eastAsia="仿宋_GB2312"/>
          <w:kern w:val="0"/>
          <w:sz w:val="30"/>
          <w:szCs w:val="30"/>
          <w:highlight w:val="none"/>
          <w:lang w:eastAsia="zh-CN"/>
        </w:rPr>
      </w:pPr>
      <w:r>
        <w:rPr>
          <w:rFonts w:hint="eastAsia" w:eastAsia="仿宋_GB2312"/>
          <w:kern w:val="0"/>
          <w:sz w:val="30"/>
          <w:szCs w:val="30"/>
          <w:highlight w:val="none"/>
          <w:lang w:eastAsia="zh-CN"/>
        </w:rPr>
        <w:t>2024年，局党组带领全体干部职工认真履行监督职责，突出审计工作全覆盖，全年完成审计项目29个，财政财务审计查出问题资金金额490万元，其中：违规金额396万元、管理不规范金额8.95亿元、损失浪费金额94万元，审计发现非金额计量问题135个，完成各类审计报告46篇，移送纪委监委处理事项18件，处理处分10人，审计促进增收节支4429万元，促进资金拨付到位43081万元，挽回损失2557万元，核减政府投资额2332万元，审计期间整改金额48万元，提出并被采纳建议102条，完成交办事项10件，一年来，向市委、市政府提交审计公告1期，审计要情和专项8期，市领导批示8次。通过加强预算收支管理，不断建立健全内部管理制度，梳理内部管理流程，部门整体支出管理情况得到提升。根据2024年度部门整体支出状况的概述和分析，部门整体支出绩效情况如下：</w:t>
      </w:r>
    </w:p>
    <w:p>
      <w:pPr>
        <w:spacing w:line="600" w:lineRule="exact"/>
        <w:ind w:firstLine="602" w:firstLineChars="200"/>
        <w:jc w:val="both"/>
        <w:rPr>
          <w:rFonts w:hint="eastAsia" w:eastAsia="仿宋_GB2312"/>
          <w:b/>
          <w:bCs/>
          <w:kern w:val="0"/>
          <w:sz w:val="30"/>
          <w:szCs w:val="30"/>
          <w:highlight w:val="none"/>
          <w:lang w:val="en-US" w:eastAsia="zh-CN"/>
        </w:rPr>
      </w:pPr>
      <w:r>
        <w:rPr>
          <w:rFonts w:hint="eastAsia" w:eastAsia="仿宋_GB2312"/>
          <w:b/>
          <w:bCs/>
          <w:kern w:val="0"/>
          <w:sz w:val="30"/>
          <w:szCs w:val="30"/>
          <w:highlight w:val="none"/>
          <w:lang w:val="en-US" w:eastAsia="zh-CN"/>
        </w:rPr>
        <w:t>（一）投入情况</w:t>
      </w:r>
    </w:p>
    <w:p>
      <w:pPr>
        <w:spacing w:line="600" w:lineRule="exact"/>
        <w:ind w:firstLine="600" w:firstLineChars="200"/>
        <w:jc w:val="both"/>
        <w:rPr>
          <w:rFonts w:hint="eastAsia" w:eastAsia="仿宋_GB2312"/>
          <w:kern w:val="0"/>
          <w:sz w:val="30"/>
          <w:szCs w:val="30"/>
          <w:highlight w:val="none"/>
          <w:lang w:val="en-US" w:eastAsia="zh-CN"/>
        </w:rPr>
      </w:pPr>
      <w:r>
        <w:rPr>
          <w:rFonts w:hint="eastAsia" w:eastAsia="仿宋_GB2312"/>
          <w:kern w:val="0"/>
          <w:sz w:val="30"/>
          <w:szCs w:val="30"/>
          <w:highlight w:val="none"/>
          <w:lang w:val="en-US" w:eastAsia="zh-CN"/>
        </w:rPr>
        <w:t>本年预算配置控制较好。在职人员控制率≦100%；三公经费比2024年减少0.2万元、减少5%；重点支出工资福利和行政运行安排729.49万元，重点支出安排率达98.58%。</w:t>
      </w:r>
    </w:p>
    <w:p>
      <w:pPr>
        <w:spacing w:line="600" w:lineRule="exact"/>
        <w:ind w:firstLine="602" w:firstLineChars="200"/>
        <w:jc w:val="both"/>
        <w:rPr>
          <w:rFonts w:hint="eastAsia" w:eastAsia="仿宋_GB2312"/>
          <w:b/>
          <w:bCs/>
          <w:kern w:val="0"/>
          <w:sz w:val="30"/>
          <w:szCs w:val="30"/>
          <w:highlight w:val="none"/>
          <w:lang w:val="en-US" w:eastAsia="zh-CN"/>
        </w:rPr>
      </w:pPr>
      <w:r>
        <w:rPr>
          <w:rFonts w:hint="eastAsia" w:eastAsia="仿宋_GB2312"/>
          <w:b/>
          <w:bCs/>
          <w:kern w:val="0"/>
          <w:sz w:val="30"/>
          <w:szCs w:val="30"/>
          <w:highlight w:val="none"/>
          <w:lang w:val="en-US" w:eastAsia="zh-CN"/>
        </w:rPr>
        <w:t>（二）预算执行、管理及资产管理情况</w:t>
      </w:r>
    </w:p>
    <w:p>
      <w:pPr>
        <w:spacing w:line="600" w:lineRule="exact"/>
        <w:ind w:firstLine="600" w:firstLineChars="200"/>
        <w:jc w:val="both"/>
        <w:rPr>
          <w:rFonts w:hint="eastAsia" w:eastAsia="仿宋_GB2312"/>
          <w:kern w:val="0"/>
          <w:sz w:val="30"/>
          <w:szCs w:val="30"/>
          <w:highlight w:val="none"/>
          <w:lang w:val="en-US" w:eastAsia="zh-CN"/>
        </w:rPr>
      </w:pPr>
      <w:r>
        <w:rPr>
          <w:rFonts w:hint="eastAsia" w:eastAsia="仿宋_GB2312"/>
          <w:kern w:val="0"/>
          <w:sz w:val="30"/>
          <w:szCs w:val="30"/>
          <w:highlight w:val="none"/>
          <w:lang w:val="en-US" w:eastAsia="zh-CN"/>
        </w:rPr>
        <w:t>1、预算调整率小于10%；年末无资金结余；三公经费比2023年减少0.2万元，为2024年的5%，制定了预算资金管理办法，内部财务管理制度、会计核算制度等管理制度，相关管理制度合法、合规、完整且相关管理制度得到有效执行；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按规定内容和时限公开预决算信息，基础数据信息和会计信息资料真实、完整，基础数据信息和汇集信息资料准确。</w:t>
      </w:r>
    </w:p>
    <w:p>
      <w:pPr>
        <w:spacing w:line="600" w:lineRule="exact"/>
        <w:ind w:firstLine="600" w:firstLineChars="200"/>
        <w:jc w:val="both"/>
        <w:rPr>
          <w:rFonts w:hint="eastAsia" w:eastAsia="仿宋_GB2312"/>
          <w:kern w:val="0"/>
          <w:sz w:val="30"/>
          <w:szCs w:val="30"/>
          <w:highlight w:val="none"/>
          <w:lang w:val="en-US" w:eastAsia="zh-CN"/>
        </w:rPr>
      </w:pPr>
      <w:r>
        <w:rPr>
          <w:rFonts w:hint="eastAsia" w:eastAsia="仿宋_GB2312"/>
          <w:kern w:val="0"/>
          <w:sz w:val="30"/>
          <w:szCs w:val="30"/>
          <w:highlight w:val="none"/>
          <w:lang w:val="en-US" w:eastAsia="zh-CN"/>
        </w:rPr>
        <w:t>2、已制定或具有资产管理制度，相关资产管理制度合法、合规、完整，且相关资产管理制度得到有效执行；资产保存完整、资产配置合理、资产处置规范、资产账务管理合规，帐实相符、资产有偿使用及处置收入及时足额上缴；固定资产利用率100%。</w:t>
      </w:r>
    </w:p>
    <w:p>
      <w:pPr>
        <w:spacing w:line="600" w:lineRule="exact"/>
        <w:ind w:firstLine="602" w:firstLineChars="200"/>
        <w:jc w:val="both"/>
        <w:rPr>
          <w:rFonts w:hint="eastAsia" w:eastAsia="仿宋_GB2312"/>
          <w:b/>
          <w:bCs/>
          <w:kern w:val="0"/>
          <w:sz w:val="30"/>
          <w:szCs w:val="30"/>
          <w:highlight w:val="none"/>
          <w:lang w:val="en-US" w:eastAsia="zh-CN"/>
        </w:rPr>
      </w:pPr>
      <w:r>
        <w:rPr>
          <w:rFonts w:hint="eastAsia" w:eastAsia="仿宋_GB2312"/>
          <w:b/>
          <w:bCs/>
          <w:kern w:val="0"/>
          <w:sz w:val="30"/>
          <w:szCs w:val="30"/>
          <w:highlight w:val="none"/>
          <w:lang w:val="en-US" w:eastAsia="zh-CN"/>
        </w:rPr>
        <w:t>（三）取得的成果</w:t>
      </w:r>
    </w:p>
    <w:p>
      <w:pPr>
        <w:spacing w:line="600" w:lineRule="exact"/>
        <w:ind w:firstLine="600" w:firstLineChars="200"/>
        <w:jc w:val="both"/>
        <w:rPr>
          <w:rFonts w:hint="eastAsia" w:eastAsia="仿宋_GB2312"/>
          <w:kern w:val="0"/>
          <w:sz w:val="32"/>
          <w:szCs w:val="32"/>
          <w:highlight w:val="none"/>
          <w:lang w:eastAsia="zh-CN"/>
        </w:rPr>
      </w:pPr>
      <w:r>
        <w:rPr>
          <w:rFonts w:hint="eastAsia" w:eastAsia="仿宋_GB2312"/>
          <w:kern w:val="0"/>
          <w:sz w:val="30"/>
          <w:szCs w:val="30"/>
          <w:highlight w:val="none"/>
          <w:lang w:val="en-US" w:eastAsia="zh-CN"/>
        </w:rPr>
        <w:t>审计监督围绕优化财政资金绩效、促进国家各项政策措施落实、规范权力运行、保障民生改善和查处腐败行为等重点进行，取得了良好的经济、社会、生态效益，在社会公众和审计对象中树立了良好的形象。一是持续开展政策措施落实情况跟踪审计。抓住项目落地、资金保障、简政放权、政策落实、风险防范5个方面，及时发现和纠正有令不行、有禁不止的行为；二是开展市级和重点部门预算执行审计，揭示全局性重大问题，推动深化财政体制改革，提高财政资金使用效益，促进国家宏观经济决策和各项措施的贯彻落实；三是着力促进权力规范运行，开展领导干部经济责任审计和自然资源资产离任（任中）审计。聚焦权力运行和责任落实，重点关注重大改革事项推进、重大经济决策落实、“三重一大”制度执行、领导干部个人遵守党廉政建设有关规定等情况，促进领导干部依法、秉公、廉洁用权；四是进一步加大投资审计力度，重点关注和揭露工程管理、资金使用、工程质量等方面存在的问题。查出腐败行为，规范建设项目管理，提高投资效益；五是加强对有关单位的财政财务收支审计，促进被审计单位规范财务管理行为，进一步严肃财经纪律；六是加大民生资金审计力度，确保民生资金用到实处，提高民生资金使用绩效。</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一是与各级领导的更高要求和社会各界对审计越来越高的期望值相比，仍有较大差距。二是审计人员的知识结构、政策水平、创新能力与新形势下开展审计工作的要求还不够适应。三是审计成果的转化还需进一步加强。四是综合预算支出绩效评价工作有待加强。</w:t>
      </w:r>
    </w:p>
    <w:p>
      <w:pPr>
        <w:numPr>
          <w:ilvl w:val="0"/>
          <w:numId w:val="6"/>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spacing w:line="600" w:lineRule="exact"/>
        <w:ind w:firstLine="640" w:firstLineChars="200"/>
        <w:jc w:val="both"/>
        <w:rPr>
          <w:rFonts w:hint="eastAsia" w:eastAsia="仿宋_GB2312"/>
          <w:kern w:val="0"/>
          <w:sz w:val="32"/>
          <w:szCs w:val="32"/>
          <w:lang w:eastAsia="zh-CN"/>
        </w:rPr>
      </w:pPr>
      <w:r>
        <w:rPr>
          <w:rFonts w:hint="eastAsia" w:ascii="方正黑体_GBK" w:eastAsia="方正黑体_GBK"/>
          <w:kern w:val="0"/>
          <w:sz w:val="32"/>
          <w:szCs w:val="32"/>
          <w:lang w:eastAsia="zh-CN"/>
        </w:rPr>
        <w:t xml:space="preserve">  </w:t>
      </w:r>
      <w:r>
        <w:rPr>
          <w:rFonts w:hint="eastAsia" w:eastAsia="仿宋_GB2312"/>
          <w:kern w:val="0"/>
          <w:sz w:val="32"/>
          <w:szCs w:val="32"/>
          <w:lang w:eastAsia="zh-CN"/>
        </w:rPr>
        <w:t xml:space="preserve"> （一）提高政治站位。始终坚持党对审计工作的集中统一领导，树牢“四个意识”，坚定“四个自信”，坚决做到“两个维护”，认真落实中央、省、岳阳市和市委、政府对审计工作的部署要求，围绕我市经济建设工作中心，聚焦重点领域和关键环节，以高度的政治责任感、勇于担当精神，全力以赴完成好各项审计任务，切实提升审计工作成效，更好发挥审计在党和国家监督体系中的重要作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二）坚持依法审计。坚持在法定职责权限范围内开展审计，加强审计现场管理，严格规范审计取证过程。全面落实分层级质量控制责任，切实提高审计质量，坚持实事求是，严格遵守各项纪律要求，自觉维护审计机关形象。</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（三）严格执行计划。严格执行年度审计项目计划，未经批准不得擅自变更。各业务股（室、中心）应应结合被审计单位实际情况，编制目标明确、重点突出、流程清晰、操作便捷的审计项目实施方案。</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四）优化审计成果。严格按照计划规定的时间完成并提交审计报告的有关综合材料，通过审计要情、审计专报、审计公告、审计信息等审计成果加强对审计结果的综合分析，健全完善成果运用机制；对已完成审计的项目，要及时跟踪审计结论的落实情况，督查审计发现的问题及时整改到位。</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（五）强化综合预算支出绩效评价工作。</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已公开</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eastAsia="仿宋_GB2312"/>
          <w:kern w:val="0"/>
          <w:sz w:val="32"/>
          <w:szCs w:val="32"/>
          <w:highlight w:val="none"/>
          <w:lang w:eastAsia="zh-CN"/>
        </w:rPr>
      </w:pPr>
      <w:bookmarkStart w:id="0" w:name="_GoBack"/>
      <w:bookmarkEnd w:id="0"/>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1" w:type="default"/>
          <w:pgSz w:w="11900" w:h="16820"/>
          <w:pgMar w:top="1429" w:right="1782" w:bottom="1158" w:left="1450" w:header="0" w:footer="850" w:gutter="0"/>
          <w:cols w:space="720" w:num="1"/>
        </w:sectPr>
      </w:pPr>
    </w:p>
    <w:p>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12"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426A7"/>
    <w:multiLevelType w:val="singleLevel"/>
    <w:tmpl w:val="874426A7"/>
    <w:lvl w:ilvl="0" w:tentative="0">
      <w:start w:val="8"/>
      <w:numFmt w:val="chineseCounting"/>
      <w:suff w:val="nothing"/>
      <w:lvlText w:val="%1、"/>
      <w:lvlJc w:val="left"/>
      <w:rPr>
        <w:rFonts w:hint="eastAsia"/>
      </w:rPr>
    </w:lvl>
  </w:abstractNum>
  <w:abstractNum w:abstractNumId="1">
    <w:nsid w:val="BBF4B968"/>
    <w:multiLevelType w:val="singleLevel"/>
    <w:tmpl w:val="BBF4B968"/>
    <w:lvl w:ilvl="0" w:tentative="0">
      <w:start w:val="1"/>
      <w:numFmt w:val="decimal"/>
      <w:suff w:val="space"/>
      <w:lvlText w:val="%1、"/>
      <w:lvlJc w:val="left"/>
    </w:lvl>
  </w:abstractNum>
  <w:abstractNum w:abstractNumId="2">
    <w:nsid w:val="FE0E3A7D"/>
    <w:multiLevelType w:val="singleLevel"/>
    <w:tmpl w:val="FE0E3A7D"/>
    <w:lvl w:ilvl="0" w:tentative="0">
      <w:start w:val="1"/>
      <w:numFmt w:val="chineseCounting"/>
      <w:suff w:val="nothing"/>
      <w:lvlText w:val="%1、"/>
      <w:lvlJc w:val="left"/>
      <w:rPr>
        <w:rFonts w:hint="eastAsia"/>
      </w:rPr>
    </w:lvl>
  </w:abstractNum>
  <w:abstractNum w:abstractNumId="3">
    <w:nsid w:val="06A0968D"/>
    <w:multiLevelType w:val="singleLevel"/>
    <w:tmpl w:val="06A0968D"/>
    <w:lvl w:ilvl="0" w:tentative="0">
      <w:start w:val="2"/>
      <w:numFmt w:val="chineseCounting"/>
      <w:suff w:val="nothing"/>
      <w:lvlText w:val="（%1）"/>
      <w:lvlJc w:val="left"/>
      <w:rPr>
        <w:rFonts w:hint="eastAsia"/>
      </w:rPr>
    </w:lvl>
  </w:abstractNum>
  <w:abstractNum w:abstractNumId="4">
    <w:nsid w:val="0EE432E1"/>
    <w:multiLevelType w:val="singleLevel"/>
    <w:tmpl w:val="0EE432E1"/>
    <w:lvl w:ilvl="0" w:tentative="0">
      <w:start w:val="4"/>
      <w:numFmt w:val="chineseCounting"/>
      <w:suff w:val="nothing"/>
      <w:lvlText w:val="%1、"/>
      <w:lvlJc w:val="left"/>
      <w:rPr>
        <w:rFonts w:hint="eastAsia"/>
      </w:rPr>
    </w:lvl>
  </w:abstractNum>
  <w:abstractNum w:abstractNumId="5">
    <w:nsid w:val="31FDAC81"/>
    <w:multiLevelType w:val="singleLevel"/>
    <w:tmpl w:val="31FDAC81"/>
    <w:lvl w:ilvl="0" w:tentative="0">
      <w:start w:val="2"/>
      <w:numFmt w:val="decimal"/>
      <w:suff w:val="space"/>
      <w:lvlText w:val="%1."/>
      <w:lvlJc w:val="left"/>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EzMGNmZjc1MzQwYzFjYzdiZTdjZjFlMzk5ODdjZTQifQ=="/>
  </w:docVars>
  <w:rsids>
    <w:rsidRoot w:val="00000000"/>
    <w:rsid w:val="00B57AD3"/>
    <w:rsid w:val="00CE7E56"/>
    <w:rsid w:val="01AF3811"/>
    <w:rsid w:val="025D5D76"/>
    <w:rsid w:val="02D75C33"/>
    <w:rsid w:val="02EA4873"/>
    <w:rsid w:val="036305F3"/>
    <w:rsid w:val="03795BF7"/>
    <w:rsid w:val="086E756B"/>
    <w:rsid w:val="09D629E9"/>
    <w:rsid w:val="0ACF37E5"/>
    <w:rsid w:val="0B400BC6"/>
    <w:rsid w:val="0BA76D28"/>
    <w:rsid w:val="0E68228D"/>
    <w:rsid w:val="0EA6787F"/>
    <w:rsid w:val="0EBC288C"/>
    <w:rsid w:val="0F4E184A"/>
    <w:rsid w:val="14E2694B"/>
    <w:rsid w:val="15276E52"/>
    <w:rsid w:val="153133EC"/>
    <w:rsid w:val="15C26F8A"/>
    <w:rsid w:val="178B0954"/>
    <w:rsid w:val="19D32FBC"/>
    <w:rsid w:val="1E6A4395"/>
    <w:rsid w:val="1E945C80"/>
    <w:rsid w:val="2259677A"/>
    <w:rsid w:val="229E0D7F"/>
    <w:rsid w:val="238E1A6D"/>
    <w:rsid w:val="25557A3D"/>
    <w:rsid w:val="26EA5ED7"/>
    <w:rsid w:val="27A93B82"/>
    <w:rsid w:val="2931101F"/>
    <w:rsid w:val="29FF0355"/>
    <w:rsid w:val="2AE00186"/>
    <w:rsid w:val="2C2D495B"/>
    <w:rsid w:val="2DE83C49"/>
    <w:rsid w:val="2E965523"/>
    <w:rsid w:val="2ED34F37"/>
    <w:rsid w:val="308216BE"/>
    <w:rsid w:val="31615451"/>
    <w:rsid w:val="34FE1149"/>
    <w:rsid w:val="363A7861"/>
    <w:rsid w:val="36E8556C"/>
    <w:rsid w:val="3770061D"/>
    <w:rsid w:val="390B39E1"/>
    <w:rsid w:val="3A550786"/>
    <w:rsid w:val="3AEA70D7"/>
    <w:rsid w:val="3B7A130F"/>
    <w:rsid w:val="43103916"/>
    <w:rsid w:val="437F424D"/>
    <w:rsid w:val="43821902"/>
    <w:rsid w:val="44472A93"/>
    <w:rsid w:val="44D456AC"/>
    <w:rsid w:val="47947ED7"/>
    <w:rsid w:val="494A1329"/>
    <w:rsid w:val="4AC5484B"/>
    <w:rsid w:val="4B9D203A"/>
    <w:rsid w:val="4ED00FF1"/>
    <w:rsid w:val="4F8B6063"/>
    <w:rsid w:val="5112712D"/>
    <w:rsid w:val="52FA3F96"/>
    <w:rsid w:val="55850F17"/>
    <w:rsid w:val="56A241DD"/>
    <w:rsid w:val="57A557E8"/>
    <w:rsid w:val="57AE6D93"/>
    <w:rsid w:val="58E04635"/>
    <w:rsid w:val="5BC25B45"/>
    <w:rsid w:val="5C603249"/>
    <w:rsid w:val="5E3C4FFE"/>
    <w:rsid w:val="5E453881"/>
    <w:rsid w:val="5FB623A7"/>
    <w:rsid w:val="6118702B"/>
    <w:rsid w:val="6BB1387F"/>
    <w:rsid w:val="6CAA4EF5"/>
    <w:rsid w:val="6D075A1F"/>
    <w:rsid w:val="6D2011F8"/>
    <w:rsid w:val="6DD6539E"/>
    <w:rsid w:val="6E3851B0"/>
    <w:rsid w:val="6F0E72E3"/>
    <w:rsid w:val="722F5656"/>
    <w:rsid w:val="74B9247B"/>
    <w:rsid w:val="76E539FB"/>
    <w:rsid w:val="773C7ABF"/>
    <w:rsid w:val="784167CA"/>
    <w:rsid w:val="792E74DB"/>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6280</Words>
  <Characters>6852</Characters>
  <TotalTime>13</TotalTime>
  <ScaleCrop>false</ScaleCrop>
  <LinksUpToDate>false</LinksUpToDate>
  <CharactersWithSpaces>6956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郑红</cp:lastModifiedBy>
  <cp:lastPrinted>2024-05-21T14:05:00Z</cp:lastPrinted>
  <dcterms:modified xsi:type="dcterms:W3CDTF">2025-09-16T08:02:27Z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2052-11.1.0.14309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