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274</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263</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95.99%</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45.64</w:t>
            </w: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52</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26.05</w:t>
            </w:r>
          </w:p>
        </w:tc>
        <w:tc>
          <w:tcPr>
            <w:tcW w:w="2039" w:type="dxa"/>
            <w:gridSpan w:val="2"/>
            <w:vAlign w:val="center"/>
          </w:tcPr>
          <w:p w14:paraId="7474BB6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27</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hint="default" w:ascii="仿宋_GB2312" w:eastAsia="仿宋_GB2312"/>
                <w:kern w:val="0"/>
                <w:lang w:val="en-US" w:eastAsia="zh-CN"/>
              </w:rPr>
            </w:pPr>
          </w:p>
        </w:tc>
        <w:tc>
          <w:tcPr>
            <w:tcW w:w="2039" w:type="dxa"/>
            <w:gridSpan w:val="2"/>
            <w:vAlign w:val="center"/>
          </w:tcPr>
          <w:p w14:paraId="79420B7F">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0A161583">
            <w:pPr>
              <w:spacing w:line="240" w:lineRule="auto"/>
              <w:ind w:firstLine="420"/>
              <w:jc w:val="center"/>
              <w:rPr>
                <w:rFonts w:hint="eastAsia" w:ascii="仿宋_GB2312" w:eastAsia="仿宋_GB2312"/>
                <w:kern w:val="0"/>
                <w:lang w:val="en-US" w:eastAsia="zh-CN"/>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26.05</w:t>
            </w: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27</w:t>
            </w:r>
          </w:p>
        </w:tc>
        <w:tc>
          <w:tcPr>
            <w:tcW w:w="1983" w:type="dxa"/>
            <w:gridSpan w:val="2"/>
            <w:vAlign w:val="center"/>
          </w:tcPr>
          <w:p w14:paraId="5A7407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402D38BC">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0229920A">
            <w:pPr>
              <w:spacing w:line="240" w:lineRule="auto"/>
              <w:ind w:firstLine="420"/>
              <w:jc w:val="center"/>
              <w:rPr>
                <w:rFonts w:hint="eastAsia" w:ascii="仿宋_GB2312" w:eastAsia="仿宋_GB2312"/>
                <w:kern w:val="0"/>
                <w:lang w:val="en-US" w:eastAsia="zh-CN"/>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19.59</w:t>
            </w:r>
          </w:p>
        </w:tc>
        <w:tc>
          <w:tcPr>
            <w:tcW w:w="2039" w:type="dxa"/>
            <w:gridSpan w:val="2"/>
            <w:vAlign w:val="center"/>
          </w:tcPr>
          <w:p w14:paraId="672289A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25</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1459.36</w:t>
            </w:r>
          </w:p>
        </w:tc>
        <w:tc>
          <w:tcPr>
            <w:tcW w:w="2039" w:type="dxa"/>
            <w:gridSpan w:val="2"/>
            <w:vAlign w:val="center"/>
          </w:tcPr>
          <w:p w14:paraId="56A401C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417</w:t>
            </w:r>
          </w:p>
        </w:tc>
        <w:tc>
          <w:tcPr>
            <w:tcW w:w="1983" w:type="dxa"/>
            <w:gridSpan w:val="2"/>
            <w:vAlign w:val="center"/>
          </w:tcPr>
          <w:p w14:paraId="7E496EB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1575.18</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142DDA3A">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2E8DC00D">
            <w:pPr>
              <w:spacing w:line="240" w:lineRule="auto"/>
              <w:ind w:firstLine="420"/>
              <w:jc w:val="center"/>
              <w:rPr>
                <w:rFonts w:hint="eastAsia" w:ascii="仿宋_GB2312" w:eastAsia="仿宋_GB2312"/>
                <w:kern w:val="0"/>
                <w:lang w:val="en-US" w:eastAsia="zh-CN"/>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31C696EB">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1F7D72B8">
            <w:pPr>
              <w:spacing w:line="240" w:lineRule="auto"/>
              <w:ind w:firstLine="420"/>
              <w:jc w:val="center"/>
              <w:rPr>
                <w:rFonts w:hint="eastAsia" w:ascii="仿宋_GB2312" w:eastAsia="仿宋_GB2312"/>
                <w:kern w:val="0"/>
                <w:lang w:val="en-US" w:eastAsia="zh-CN"/>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1459.36</w:t>
            </w:r>
          </w:p>
        </w:tc>
        <w:tc>
          <w:tcPr>
            <w:tcW w:w="2039" w:type="dxa"/>
            <w:gridSpan w:val="2"/>
            <w:vAlign w:val="center"/>
          </w:tcPr>
          <w:p w14:paraId="18F75CD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417</w:t>
            </w:r>
          </w:p>
        </w:tc>
        <w:tc>
          <w:tcPr>
            <w:tcW w:w="1983" w:type="dxa"/>
            <w:gridSpan w:val="2"/>
            <w:vAlign w:val="center"/>
          </w:tcPr>
          <w:p w14:paraId="4D19413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1575.18</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437.71</w:t>
            </w:r>
          </w:p>
        </w:tc>
        <w:tc>
          <w:tcPr>
            <w:tcW w:w="2039" w:type="dxa"/>
            <w:gridSpan w:val="2"/>
            <w:vAlign w:val="center"/>
          </w:tcPr>
          <w:p w14:paraId="050E075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609.59</w:t>
            </w:r>
          </w:p>
        </w:tc>
        <w:tc>
          <w:tcPr>
            <w:tcW w:w="1983" w:type="dxa"/>
            <w:gridSpan w:val="2"/>
            <w:vAlign w:val="center"/>
          </w:tcPr>
          <w:p w14:paraId="7357305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599.96</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136.13</w:t>
            </w:r>
          </w:p>
        </w:tc>
        <w:tc>
          <w:tcPr>
            <w:tcW w:w="2039" w:type="dxa"/>
            <w:gridSpan w:val="2"/>
            <w:vAlign w:val="center"/>
          </w:tcPr>
          <w:p w14:paraId="7BB02F1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25</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42.53</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113.16</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89.8</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89.46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22.97</w:t>
            </w:r>
          </w:p>
        </w:tc>
        <w:tc>
          <w:tcPr>
            <w:tcW w:w="2039" w:type="dxa"/>
            <w:gridSpan w:val="2"/>
            <w:vAlign w:val="center"/>
          </w:tcPr>
          <w:p w14:paraId="467174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550E4F9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7.77</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150</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w:t>
            </w:r>
          </w:p>
        </w:tc>
        <w:tc>
          <w:tcPr>
            <w:tcW w:w="1983" w:type="dxa"/>
            <w:gridSpan w:val="2"/>
            <w:vAlign w:val="center"/>
          </w:tcPr>
          <w:p w14:paraId="4363E7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118.07</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jc w:val="both"/>
              <w:rPr>
                <w:rFonts w:hint="default" w:ascii="仿宋_GB2312" w:eastAsia="仿宋_GB2312"/>
                <w:kern w:val="0"/>
                <w:lang w:val="en-US"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spacing w:line="240" w:lineRule="auto"/>
              <w:jc w:val="both"/>
              <w:rPr>
                <w:rFonts w:ascii="Arial" w:hAnsi="Arial" w:eastAsia="Arial" w:cs="Arial"/>
                <w:snapToGrid w:val="0"/>
                <w:color w:val="000000"/>
                <w:sz w:val="21"/>
                <w:szCs w:val="21"/>
                <w:lang w:val="en-US" w:eastAsia="en-US" w:bidi="ar-SA"/>
              </w:rPr>
            </w:pPr>
            <w:r>
              <w:rPr>
                <w:rFonts w:hint="eastAsia" w:ascii="仿宋_GB2312" w:eastAsia="仿宋_GB2312"/>
                <w:kern w:val="0"/>
                <w:lang w:val="en-US" w:eastAsia="en-US"/>
              </w:rPr>
              <w:t>坚持以预算管理为中心，推行精细化管理，加强财务日常监管。</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汨罗市市场监督管理局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3755.18</w:t>
            </w:r>
          </w:p>
        </w:tc>
        <w:tc>
          <w:tcPr>
            <w:tcW w:w="1298" w:type="dxa"/>
            <w:vAlign w:val="center"/>
          </w:tcPr>
          <w:p w14:paraId="78350D28">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5076.73</w:t>
            </w:r>
          </w:p>
        </w:tc>
        <w:tc>
          <w:tcPr>
            <w:tcW w:w="1269" w:type="dxa"/>
            <w:vAlign w:val="center"/>
          </w:tcPr>
          <w:p w14:paraId="5FDA3D24">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5076.73</w:t>
            </w:r>
          </w:p>
        </w:tc>
        <w:tc>
          <w:tcPr>
            <w:tcW w:w="699" w:type="dxa"/>
            <w:vAlign w:val="center"/>
          </w:tcPr>
          <w:p w14:paraId="47D16717">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69" w:type="dxa"/>
            <w:vAlign w:val="center"/>
          </w:tcPr>
          <w:p w14:paraId="0424998F">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100.00%</w:t>
            </w:r>
          </w:p>
        </w:tc>
        <w:tc>
          <w:tcPr>
            <w:tcW w:w="1423" w:type="dxa"/>
            <w:vAlign w:val="center"/>
          </w:tcPr>
          <w:p w14:paraId="4BE68CE2">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其中：一般公共预算：5076.73</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其中：基本支出：3501.56</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项目支出：1575.18</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保证我局各项工作的正常运转；全力推动商事制度改革，激发市场主体活力，促进经济社会发展；全力推动食品安全监管，保障群众生命财产安全，维护社会大局稳定；全力推动品牌建设及知识产权保护，提高地域品牌知名度，提升地方产业价值链；全力推动市场监管，维护消费者合法权益，营造和谐消费环境。</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rPr>
              <w:t>保证我局各项工作的正常运转；全力推动商事制度改革，激发市场主体活力，促进经济社会发展；全力推动食品安全监管，保障群众生命财产安全，维护社会大局稳定；全力推动品牌建设及知识产权保护，提高地域品牌知名度，提升地方产业价值链；全力推动市场监管，维护消费者合法权益，营造和谐消费环境。</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1.创业主体新增率  2、食品安全监管率 3、药品安全监管率 4、特种设备安全监管率</w:t>
            </w:r>
          </w:p>
        </w:tc>
        <w:tc>
          <w:tcPr>
            <w:tcW w:w="1298" w:type="dxa"/>
            <w:vAlign w:val="center"/>
          </w:tcPr>
          <w:p w14:paraId="2A37482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708D788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567F5E5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2717B7C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推动品牌建设、打假扫劣、受理投诉举报</w:t>
            </w:r>
          </w:p>
        </w:tc>
        <w:tc>
          <w:tcPr>
            <w:tcW w:w="1298" w:type="dxa"/>
            <w:vAlign w:val="center"/>
          </w:tcPr>
          <w:p w14:paraId="1A5ADA3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达到相关的标准、水平及效果</w:t>
            </w:r>
          </w:p>
        </w:tc>
        <w:tc>
          <w:tcPr>
            <w:tcW w:w="1269" w:type="dxa"/>
            <w:vAlign w:val="center"/>
          </w:tcPr>
          <w:p w14:paraId="54075F0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全部完成</w:t>
            </w:r>
          </w:p>
        </w:tc>
        <w:tc>
          <w:tcPr>
            <w:tcW w:w="699" w:type="dxa"/>
            <w:vAlign w:val="center"/>
          </w:tcPr>
          <w:p w14:paraId="5580FC8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0982B111">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2024年12月31日前完成</w:t>
            </w:r>
          </w:p>
        </w:tc>
        <w:tc>
          <w:tcPr>
            <w:tcW w:w="1298" w:type="dxa"/>
            <w:vAlign w:val="center"/>
          </w:tcPr>
          <w:p w14:paraId="479FA5D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按时完成</w:t>
            </w:r>
          </w:p>
        </w:tc>
        <w:tc>
          <w:tcPr>
            <w:tcW w:w="1269" w:type="dxa"/>
            <w:vAlign w:val="center"/>
          </w:tcPr>
          <w:p w14:paraId="5C1B340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按时完成</w:t>
            </w:r>
          </w:p>
        </w:tc>
        <w:tc>
          <w:tcPr>
            <w:tcW w:w="699" w:type="dxa"/>
            <w:vAlign w:val="center"/>
          </w:tcPr>
          <w:p w14:paraId="4C56B99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5DA3483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促进经济发展</w:t>
            </w:r>
          </w:p>
        </w:tc>
        <w:tc>
          <w:tcPr>
            <w:tcW w:w="1298" w:type="dxa"/>
            <w:vAlign w:val="center"/>
          </w:tcPr>
          <w:p w14:paraId="078289F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有所提升</w:t>
            </w:r>
          </w:p>
        </w:tc>
        <w:tc>
          <w:tcPr>
            <w:tcW w:w="1269" w:type="dxa"/>
            <w:vAlign w:val="center"/>
          </w:tcPr>
          <w:p w14:paraId="7A453B8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有所提升</w:t>
            </w:r>
          </w:p>
        </w:tc>
        <w:tc>
          <w:tcPr>
            <w:tcW w:w="699" w:type="dxa"/>
            <w:vAlign w:val="center"/>
          </w:tcPr>
          <w:p w14:paraId="415A3F60">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2AC58B9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维护市场秩序、优化营商环境</w:t>
            </w:r>
          </w:p>
        </w:tc>
        <w:tc>
          <w:tcPr>
            <w:tcW w:w="1298" w:type="dxa"/>
            <w:vAlign w:val="center"/>
          </w:tcPr>
          <w:p w14:paraId="6E8C487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持续</w:t>
            </w:r>
          </w:p>
        </w:tc>
        <w:tc>
          <w:tcPr>
            <w:tcW w:w="1269" w:type="dxa"/>
            <w:vAlign w:val="center"/>
          </w:tcPr>
          <w:p w14:paraId="4886005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持续</w:t>
            </w:r>
          </w:p>
        </w:tc>
        <w:tc>
          <w:tcPr>
            <w:tcW w:w="699" w:type="dxa"/>
            <w:vAlign w:val="center"/>
          </w:tcPr>
          <w:p w14:paraId="75FAE41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3309901E">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生态环境改善状况</w:t>
            </w:r>
          </w:p>
        </w:tc>
        <w:tc>
          <w:tcPr>
            <w:tcW w:w="1298" w:type="dxa"/>
            <w:vAlign w:val="center"/>
          </w:tcPr>
          <w:p w14:paraId="45B96CB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有所改善</w:t>
            </w:r>
          </w:p>
        </w:tc>
        <w:tc>
          <w:tcPr>
            <w:tcW w:w="1269" w:type="dxa"/>
            <w:vAlign w:val="center"/>
          </w:tcPr>
          <w:p w14:paraId="35C3564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有所改善</w:t>
            </w:r>
          </w:p>
        </w:tc>
        <w:tc>
          <w:tcPr>
            <w:tcW w:w="699" w:type="dxa"/>
            <w:vAlign w:val="center"/>
          </w:tcPr>
          <w:p w14:paraId="6A822248">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73C931F8">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市场秩序的持续影响</w:t>
            </w:r>
          </w:p>
        </w:tc>
        <w:tc>
          <w:tcPr>
            <w:tcW w:w="1298" w:type="dxa"/>
            <w:vAlign w:val="center"/>
          </w:tcPr>
          <w:p w14:paraId="055B34E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持续</w:t>
            </w:r>
          </w:p>
        </w:tc>
        <w:tc>
          <w:tcPr>
            <w:tcW w:w="1269" w:type="dxa"/>
            <w:vAlign w:val="center"/>
          </w:tcPr>
          <w:p w14:paraId="46B4146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持续</w:t>
            </w:r>
          </w:p>
        </w:tc>
        <w:tc>
          <w:tcPr>
            <w:tcW w:w="699" w:type="dxa"/>
            <w:vAlign w:val="center"/>
          </w:tcPr>
          <w:p w14:paraId="447C4D9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71C7C72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群众满意率</w:t>
            </w:r>
          </w:p>
        </w:tc>
        <w:tc>
          <w:tcPr>
            <w:tcW w:w="1298" w:type="dxa"/>
            <w:vAlign w:val="center"/>
          </w:tcPr>
          <w:p w14:paraId="6ABEB3E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1269" w:type="dxa"/>
            <w:vAlign w:val="center"/>
          </w:tcPr>
          <w:p w14:paraId="31B5B32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699" w:type="dxa"/>
            <w:vAlign w:val="center"/>
          </w:tcPr>
          <w:p w14:paraId="41D3F37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19FFC8C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3755.18</w:t>
            </w:r>
          </w:p>
        </w:tc>
        <w:tc>
          <w:tcPr>
            <w:tcW w:w="1298" w:type="dxa"/>
            <w:vAlign w:val="center"/>
          </w:tcPr>
          <w:p w14:paraId="15ECA8D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节约高效</w:t>
            </w:r>
          </w:p>
        </w:tc>
        <w:tc>
          <w:tcPr>
            <w:tcW w:w="1269" w:type="dxa"/>
            <w:vAlign w:val="center"/>
          </w:tcPr>
          <w:p w14:paraId="3C32824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完成</w:t>
            </w:r>
          </w:p>
        </w:tc>
        <w:tc>
          <w:tcPr>
            <w:tcW w:w="699" w:type="dxa"/>
            <w:vAlign w:val="center"/>
          </w:tcPr>
          <w:p w14:paraId="42BD2B9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786F430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对社会发展可能造成的负面影响</w:t>
            </w:r>
          </w:p>
        </w:tc>
        <w:tc>
          <w:tcPr>
            <w:tcW w:w="1298" w:type="dxa"/>
            <w:vAlign w:val="center"/>
          </w:tcPr>
          <w:p w14:paraId="09361E4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无</w:t>
            </w:r>
          </w:p>
        </w:tc>
        <w:tc>
          <w:tcPr>
            <w:tcW w:w="1269" w:type="dxa"/>
            <w:vAlign w:val="center"/>
          </w:tcPr>
          <w:p w14:paraId="32DCD30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无</w:t>
            </w:r>
          </w:p>
        </w:tc>
        <w:tc>
          <w:tcPr>
            <w:tcW w:w="699" w:type="dxa"/>
            <w:vAlign w:val="center"/>
          </w:tcPr>
          <w:p w14:paraId="765229A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4012A71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对自然生态环境造成的负面影响</w:t>
            </w:r>
          </w:p>
        </w:tc>
        <w:tc>
          <w:tcPr>
            <w:tcW w:w="1298" w:type="dxa"/>
            <w:vAlign w:val="center"/>
          </w:tcPr>
          <w:p w14:paraId="789CDCB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无</w:t>
            </w:r>
          </w:p>
        </w:tc>
        <w:tc>
          <w:tcPr>
            <w:tcW w:w="1269" w:type="dxa"/>
            <w:vAlign w:val="center"/>
          </w:tcPr>
          <w:p w14:paraId="4E354EE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无</w:t>
            </w:r>
          </w:p>
        </w:tc>
        <w:tc>
          <w:tcPr>
            <w:tcW w:w="699" w:type="dxa"/>
            <w:vAlign w:val="center"/>
          </w:tcPr>
          <w:p w14:paraId="6C36DE6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6B31F2A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1B30D9D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4C42E1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A57143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6467A6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913E13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43D09E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C66061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EE4954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167AFA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131657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9DEEC2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83BB8E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C2A4D1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143EEF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0312E2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食品安全抽检专项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汨罗市市场监督管理局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汨罗市市场监督管理局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55</w:t>
            </w:r>
          </w:p>
        </w:tc>
        <w:tc>
          <w:tcPr>
            <w:tcW w:w="1099" w:type="dxa"/>
            <w:vAlign w:val="center"/>
          </w:tcPr>
          <w:p w14:paraId="54320DCC">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55</w:t>
            </w:r>
          </w:p>
        </w:tc>
        <w:tc>
          <w:tcPr>
            <w:tcW w:w="1099" w:type="dxa"/>
            <w:vAlign w:val="center"/>
          </w:tcPr>
          <w:p w14:paraId="0C9E823D">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55</w:t>
            </w:r>
          </w:p>
        </w:tc>
        <w:tc>
          <w:tcPr>
            <w:tcW w:w="809" w:type="dxa"/>
            <w:vAlign w:val="center"/>
          </w:tcPr>
          <w:p w14:paraId="79BFE3FF">
            <w:pPr>
              <w:keepNext w:val="0"/>
              <w:keepLines w:val="0"/>
              <w:widowControl/>
              <w:suppressLineNumbers w:val="0"/>
              <w:jc w:val="center"/>
              <w:textAlignment w:val="center"/>
              <w:rPr>
                <w:rFonts w:hint="eastAsia"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3470801">
            <w:pPr>
              <w:keepNext w:val="0"/>
              <w:keepLines w:val="0"/>
              <w:widowControl/>
              <w:suppressLineNumbers w:val="0"/>
              <w:jc w:val="center"/>
              <w:textAlignment w:val="center"/>
              <w:rPr>
                <w:rFonts w:hint="eastAsia"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7A8C6380">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keepNext w:val="0"/>
              <w:keepLines w:val="0"/>
              <w:widowControl/>
              <w:suppressLineNumbers w:val="0"/>
              <w:jc w:val="center"/>
              <w:textAlignment w:val="center"/>
              <w:rPr>
                <w:rFonts w:hint="eastAsia"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55</w:t>
            </w:r>
          </w:p>
        </w:tc>
        <w:tc>
          <w:tcPr>
            <w:tcW w:w="1099" w:type="dxa"/>
            <w:vAlign w:val="center"/>
          </w:tcPr>
          <w:p w14:paraId="5536407E">
            <w:pPr>
              <w:keepNext w:val="0"/>
              <w:keepLines w:val="0"/>
              <w:widowControl/>
              <w:suppressLineNumbers w:val="0"/>
              <w:jc w:val="center"/>
              <w:textAlignment w:val="center"/>
              <w:rPr>
                <w:rFonts w:hint="eastAsia"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55</w:t>
            </w:r>
          </w:p>
        </w:tc>
        <w:tc>
          <w:tcPr>
            <w:tcW w:w="1099" w:type="dxa"/>
            <w:vAlign w:val="center"/>
          </w:tcPr>
          <w:p w14:paraId="0401DF6C">
            <w:pPr>
              <w:keepNext w:val="0"/>
              <w:keepLines w:val="0"/>
              <w:widowControl/>
              <w:suppressLineNumbers w:val="0"/>
              <w:jc w:val="center"/>
              <w:textAlignment w:val="center"/>
              <w:rPr>
                <w:rFonts w:hint="eastAsia"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55</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完成本年度1300批次食品安全监督抽检和700批次食用农产品监督抽检</w:t>
            </w:r>
          </w:p>
        </w:tc>
        <w:tc>
          <w:tcPr>
            <w:tcW w:w="4140" w:type="dxa"/>
            <w:gridSpan w:val="4"/>
            <w:vAlign w:val="center"/>
          </w:tcPr>
          <w:p w14:paraId="309F7763">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完成本年度1300批次食品安全监督抽检和700批次食用农产品监督抽检</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食品</w:t>
            </w:r>
          </w:p>
        </w:tc>
        <w:tc>
          <w:tcPr>
            <w:tcW w:w="1099" w:type="dxa"/>
            <w:vAlign w:val="center"/>
          </w:tcPr>
          <w:p w14:paraId="54B9394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1300批次</w:t>
            </w:r>
          </w:p>
        </w:tc>
        <w:tc>
          <w:tcPr>
            <w:tcW w:w="1099" w:type="dxa"/>
            <w:vAlign w:val="center"/>
          </w:tcPr>
          <w:p w14:paraId="7F49710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1303批次</w:t>
            </w:r>
          </w:p>
        </w:tc>
        <w:tc>
          <w:tcPr>
            <w:tcW w:w="809" w:type="dxa"/>
            <w:vAlign w:val="center"/>
          </w:tcPr>
          <w:p w14:paraId="450DEC1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F7B7A4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食用农产品</w:t>
            </w:r>
          </w:p>
        </w:tc>
        <w:tc>
          <w:tcPr>
            <w:tcW w:w="1099" w:type="dxa"/>
            <w:vAlign w:val="center"/>
          </w:tcPr>
          <w:p w14:paraId="29CCEED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700批次</w:t>
            </w:r>
          </w:p>
        </w:tc>
        <w:tc>
          <w:tcPr>
            <w:tcW w:w="1099" w:type="dxa"/>
            <w:vAlign w:val="center"/>
          </w:tcPr>
          <w:p w14:paraId="70F41D2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700批次</w:t>
            </w:r>
          </w:p>
        </w:tc>
        <w:tc>
          <w:tcPr>
            <w:tcW w:w="809" w:type="dxa"/>
            <w:vAlign w:val="center"/>
          </w:tcPr>
          <w:p w14:paraId="662F704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76686A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1、国抽系统录入率；2、抽检公示率；3、核查处置填报率。</w:t>
            </w:r>
          </w:p>
        </w:tc>
        <w:tc>
          <w:tcPr>
            <w:tcW w:w="1099" w:type="dxa"/>
            <w:vAlign w:val="center"/>
          </w:tcPr>
          <w:p w14:paraId="2D69FB3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03BC31E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5DC8615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5177C6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任务完成时间</w:t>
            </w:r>
          </w:p>
        </w:tc>
        <w:tc>
          <w:tcPr>
            <w:tcW w:w="1099" w:type="dxa"/>
            <w:vAlign w:val="center"/>
          </w:tcPr>
          <w:p w14:paraId="015D039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2024年12月31日前</w:t>
            </w:r>
          </w:p>
        </w:tc>
        <w:tc>
          <w:tcPr>
            <w:tcW w:w="1099" w:type="dxa"/>
            <w:vAlign w:val="center"/>
          </w:tcPr>
          <w:p w14:paraId="5C21687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2024年12月31日前</w:t>
            </w:r>
          </w:p>
        </w:tc>
        <w:tc>
          <w:tcPr>
            <w:tcW w:w="809" w:type="dxa"/>
            <w:vAlign w:val="center"/>
          </w:tcPr>
          <w:p w14:paraId="0D16C33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94C7D5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促进经济发展</w:t>
            </w:r>
          </w:p>
        </w:tc>
        <w:tc>
          <w:tcPr>
            <w:tcW w:w="1099" w:type="dxa"/>
            <w:vAlign w:val="center"/>
          </w:tcPr>
          <w:p w14:paraId="53928C3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1099" w:type="dxa"/>
            <w:vAlign w:val="center"/>
          </w:tcPr>
          <w:p w14:paraId="6D883DD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809" w:type="dxa"/>
            <w:vAlign w:val="center"/>
          </w:tcPr>
          <w:p w14:paraId="2958485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1D412C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食品安全环境得到加强</w:t>
            </w:r>
          </w:p>
        </w:tc>
        <w:tc>
          <w:tcPr>
            <w:tcW w:w="1099" w:type="dxa"/>
            <w:vAlign w:val="center"/>
          </w:tcPr>
          <w:p w14:paraId="0187539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逐步加强</w:t>
            </w:r>
          </w:p>
        </w:tc>
        <w:tc>
          <w:tcPr>
            <w:tcW w:w="1099" w:type="dxa"/>
            <w:vAlign w:val="center"/>
          </w:tcPr>
          <w:p w14:paraId="4101F8D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逐步加强</w:t>
            </w:r>
          </w:p>
        </w:tc>
        <w:tc>
          <w:tcPr>
            <w:tcW w:w="809" w:type="dxa"/>
            <w:vAlign w:val="center"/>
          </w:tcPr>
          <w:p w14:paraId="699C14A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665EFF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生态环境改善状况</w:t>
            </w:r>
          </w:p>
        </w:tc>
        <w:tc>
          <w:tcPr>
            <w:tcW w:w="1099" w:type="dxa"/>
            <w:vAlign w:val="center"/>
          </w:tcPr>
          <w:p w14:paraId="286C219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1099" w:type="dxa"/>
            <w:vAlign w:val="center"/>
          </w:tcPr>
          <w:p w14:paraId="4CA75DE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809" w:type="dxa"/>
            <w:vAlign w:val="center"/>
          </w:tcPr>
          <w:p w14:paraId="491BA99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BF7EB9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食品安全质量</w:t>
            </w:r>
          </w:p>
        </w:tc>
        <w:tc>
          <w:tcPr>
            <w:tcW w:w="1099" w:type="dxa"/>
            <w:vAlign w:val="center"/>
          </w:tcPr>
          <w:p w14:paraId="48F3A1C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596F13D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49A57C7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44D5C8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食品生产、经营者对食品抽检实施过程满意度</w:t>
            </w:r>
          </w:p>
        </w:tc>
        <w:tc>
          <w:tcPr>
            <w:tcW w:w="1099" w:type="dxa"/>
            <w:vAlign w:val="center"/>
          </w:tcPr>
          <w:p w14:paraId="10DB725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65FCC67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29FD5B5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7CE9A5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食品</w:t>
            </w:r>
          </w:p>
        </w:tc>
        <w:tc>
          <w:tcPr>
            <w:tcW w:w="1099" w:type="dxa"/>
            <w:vAlign w:val="center"/>
          </w:tcPr>
          <w:p w14:paraId="7D8FEFD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其中260批次每批次680元，另1040批次需购样费</w:t>
            </w:r>
          </w:p>
        </w:tc>
        <w:tc>
          <w:tcPr>
            <w:tcW w:w="1099" w:type="dxa"/>
            <w:vAlign w:val="center"/>
          </w:tcPr>
          <w:p w14:paraId="729BFD5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680元/批次，另1040批次支付购样费</w:t>
            </w:r>
          </w:p>
        </w:tc>
        <w:tc>
          <w:tcPr>
            <w:tcW w:w="809" w:type="dxa"/>
            <w:vAlign w:val="center"/>
          </w:tcPr>
          <w:p w14:paraId="43443E1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005FDF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52F70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AC30403">
            <w:pPr>
              <w:spacing w:line="240" w:lineRule="auto"/>
              <w:ind w:firstLine="420"/>
              <w:jc w:val="center"/>
              <w:rPr>
                <w:rFonts w:ascii="仿宋_GB2312" w:hAnsi="宋体" w:eastAsia="仿宋_GB2312" w:cs="宋体"/>
                <w:kern w:val="0"/>
              </w:rPr>
            </w:pPr>
          </w:p>
        </w:tc>
        <w:tc>
          <w:tcPr>
            <w:tcW w:w="1059" w:type="dxa"/>
            <w:vMerge w:val="continue"/>
            <w:vAlign w:val="center"/>
          </w:tcPr>
          <w:p w14:paraId="02D383C8">
            <w:pPr>
              <w:spacing w:line="240" w:lineRule="auto"/>
              <w:jc w:val="center"/>
              <w:rPr>
                <w:rFonts w:hint="eastAsia" w:ascii="仿宋_GB2312" w:eastAsia="仿宋_GB2312"/>
                <w:kern w:val="0"/>
                <w:lang w:val="en-US" w:eastAsia="zh-CN"/>
              </w:rPr>
            </w:pPr>
          </w:p>
        </w:tc>
        <w:tc>
          <w:tcPr>
            <w:tcW w:w="1218" w:type="dxa"/>
            <w:vMerge w:val="continue"/>
            <w:vAlign w:val="center"/>
          </w:tcPr>
          <w:p w14:paraId="0F05DFAC">
            <w:pPr>
              <w:spacing w:line="240" w:lineRule="auto"/>
              <w:jc w:val="center"/>
              <w:rPr>
                <w:rFonts w:hint="eastAsia" w:ascii="仿宋_GB2312" w:eastAsia="仿宋_GB2312"/>
                <w:kern w:val="0"/>
                <w:lang w:eastAsia="zh-CN"/>
              </w:rPr>
            </w:pPr>
          </w:p>
        </w:tc>
        <w:tc>
          <w:tcPr>
            <w:tcW w:w="1020" w:type="dxa"/>
            <w:vAlign w:val="center"/>
          </w:tcPr>
          <w:p w14:paraId="2C53459C">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食品农产品</w:t>
            </w:r>
          </w:p>
        </w:tc>
        <w:tc>
          <w:tcPr>
            <w:tcW w:w="1099" w:type="dxa"/>
            <w:vAlign w:val="center"/>
          </w:tcPr>
          <w:p w14:paraId="69006B6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530元/批次</w:t>
            </w:r>
          </w:p>
        </w:tc>
        <w:tc>
          <w:tcPr>
            <w:tcW w:w="1099" w:type="dxa"/>
            <w:vAlign w:val="center"/>
          </w:tcPr>
          <w:p w14:paraId="74CFE40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530元/批次</w:t>
            </w:r>
          </w:p>
        </w:tc>
        <w:tc>
          <w:tcPr>
            <w:tcW w:w="809" w:type="dxa"/>
            <w:vAlign w:val="center"/>
          </w:tcPr>
          <w:p w14:paraId="1695FE2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E2422A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9DAB84C">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3A70A7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对社会发展可能造成的负面影响</w:t>
            </w:r>
          </w:p>
        </w:tc>
        <w:tc>
          <w:tcPr>
            <w:tcW w:w="1099" w:type="dxa"/>
            <w:vAlign w:val="center"/>
          </w:tcPr>
          <w:p w14:paraId="515A677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79BCBEC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7CB491C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D79764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对自然生态环境造成的负面影响</w:t>
            </w:r>
          </w:p>
        </w:tc>
        <w:tc>
          <w:tcPr>
            <w:tcW w:w="1099" w:type="dxa"/>
            <w:vAlign w:val="center"/>
          </w:tcPr>
          <w:p w14:paraId="52AC4F9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0867BB9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640DCB8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3C9828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5FB07B64">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77CFC1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54A0BD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2007C6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B126CC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D06911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948E91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D34E36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12738E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424195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EA5364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45E2B5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DEB7FAD">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A94355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0696981E">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CE54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7AA17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BD6572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创建省级食品安全示范县</w:t>
            </w:r>
          </w:p>
        </w:tc>
      </w:tr>
      <w:tr w14:paraId="4CF52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A9D3B7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E08A76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汨罗市市场监督管理局</w:t>
            </w:r>
          </w:p>
        </w:tc>
        <w:tc>
          <w:tcPr>
            <w:tcW w:w="1099" w:type="dxa"/>
            <w:vAlign w:val="center"/>
          </w:tcPr>
          <w:p w14:paraId="052F145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F113A6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87F506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汨罗市市场监督管理局</w:t>
            </w:r>
          </w:p>
        </w:tc>
      </w:tr>
      <w:tr w14:paraId="52E58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2DC36B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3904793">
            <w:pPr>
              <w:spacing w:line="240" w:lineRule="auto"/>
              <w:ind w:firstLine="420"/>
              <w:jc w:val="center"/>
              <w:rPr>
                <w:rFonts w:ascii="仿宋_GB2312" w:hAnsi="宋体" w:eastAsia="仿宋_GB2312" w:cs="宋体"/>
                <w:kern w:val="0"/>
                <w:lang w:eastAsia="zh-CN"/>
              </w:rPr>
            </w:pPr>
          </w:p>
        </w:tc>
        <w:tc>
          <w:tcPr>
            <w:tcW w:w="1020" w:type="dxa"/>
            <w:vAlign w:val="center"/>
          </w:tcPr>
          <w:p w14:paraId="2939943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9FD99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68618C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DFB4C0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498E93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207C95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A51A2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F1C6E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3F78EA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9D1A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9D3474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974BCD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8A73AB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123</w:t>
            </w:r>
          </w:p>
        </w:tc>
        <w:tc>
          <w:tcPr>
            <w:tcW w:w="1099" w:type="dxa"/>
            <w:vAlign w:val="center"/>
          </w:tcPr>
          <w:p w14:paraId="17C0430E">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123</w:t>
            </w:r>
          </w:p>
        </w:tc>
        <w:tc>
          <w:tcPr>
            <w:tcW w:w="1099" w:type="dxa"/>
            <w:vAlign w:val="center"/>
          </w:tcPr>
          <w:p w14:paraId="5F3A15F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123</w:t>
            </w:r>
          </w:p>
        </w:tc>
        <w:tc>
          <w:tcPr>
            <w:tcW w:w="809" w:type="dxa"/>
            <w:vAlign w:val="center"/>
          </w:tcPr>
          <w:p w14:paraId="321BE64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8C7118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2093109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70B46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21C572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889066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37F811D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123</w:t>
            </w:r>
          </w:p>
        </w:tc>
        <w:tc>
          <w:tcPr>
            <w:tcW w:w="1099" w:type="dxa"/>
            <w:vAlign w:val="center"/>
          </w:tcPr>
          <w:p w14:paraId="2F0C481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123</w:t>
            </w:r>
          </w:p>
        </w:tc>
        <w:tc>
          <w:tcPr>
            <w:tcW w:w="1099" w:type="dxa"/>
            <w:vAlign w:val="center"/>
          </w:tcPr>
          <w:p w14:paraId="5B42FFC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123</w:t>
            </w:r>
          </w:p>
        </w:tc>
        <w:tc>
          <w:tcPr>
            <w:tcW w:w="809" w:type="dxa"/>
            <w:vAlign w:val="center"/>
          </w:tcPr>
          <w:p w14:paraId="17624EBC">
            <w:pPr>
              <w:spacing w:line="240" w:lineRule="auto"/>
              <w:ind w:firstLine="420"/>
              <w:jc w:val="center"/>
              <w:rPr>
                <w:rFonts w:ascii="仿宋_GB2312" w:hAnsi="宋体" w:eastAsia="仿宋_GB2312" w:cs="宋体"/>
                <w:kern w:val="0"/>
                <w:lang w:eastAsia="zh-CN"/>
              </w:rPr>
            </w:pPr>
          </w:p>
        </w:tc>
        <w:tc>
          <w:tcPr>
            <w:tcW w:w="849" w:type="dxa"/>
            <w:vAlign w:val="center"/>
          </w:tcPr>
          <w:p w14:paraId="53324F3A">
            <w:pPr>
              <w:spacing w:line="240" w:lineRule="auto"/>
              <w:ind w:firstLine="420"/>
              <w:jc w:val="center"/>
              <w:rPr>
                <w:rFonts w:ascii="仿宋_GB2312" w:hAnsi="宋体" w:eastAsia="仿宋_GB2312" w:cs="宋体"/>
                <w:kern w:val="0"/>
                <w:lang w:eastAsia="zh-CN"/>
              </w:rPr>
            </w:pPr>
          </w:p>
        </w:tc>
        <w:tc>
          <w:tcPr>
            <w:tcW w:w="1383" w:type="dxa"/>
            <w:vAlign w:val="center"/>
          </w:tcPr>
          <w:p w14:paraId="62ADA222">
            <w:pPr>
              <w:spacing w:line="240" w:lineRule="auto"/>
              <w:ind w:firstLine="420"/>
              <w:jc w:val="center"/>
              <w:rPr>
                <w:rFonts w:ascii="仿宋_GB2312" w:hAnsi="宋体" w:eastAsia="仿宋_GB2312" w:cs="宋体"/>
                <w:kern w:val="0"/>
                <w:lang w:eastAsia="zh-CN"/>
              </w:rPr>
            </w:pPr>
          </w:p>
        </w:tc>
      </w:tr>
      <w:tr w14:paraId="2E66E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F4ACE1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40BA825">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785C11B">
            <w:pPr>
              <w:spacing w:line="240" w:lineRule="auto"/>
              <w:ind w:firstLine="420"/>
              <w:jc w:val="center"/>
              <w:rPr>
                <w:rFonts w:ascii="仿宋_GB2312" w:hAnsi="宋体" w:eastAsia="仿宋_GB2312" w:cs="宋体"/>
                <w:kern w:val="0"/>
                <w:lang w:eastAsia="zh-CN"/>
              </w:rPr>
            </w:pPr>
          </w:p>
        </w:tc>
        <w:tc>
          <w:tcPr>
            <w:tcW w:w="1099" w:type="dxa"/>
            <w:vAlign w:val="center"/>
          </w:tcPr>
          <w:p w14:paraId="70103D09">
            <w:pPr>
              <w:spacing w:line="240" w:lineRule="auto"/>
              <w:ind w:firstLine="420"/>
              <w:jc w:val="center"/>
              <w:rPr>
                <w:rFonts w:ascii="仿宋_GB2312" w:hAnsi="宋体" w:eastAsia="仿宋_GB2312" w:cs="宋体"/>
                <w:kern w:val="0"/>
                <w:lang w:eastAsia="zh-CN"/>
              </w:rPr>
            </w:pPr>
          </w:p>
        </w:tc>
        <w:tc>
          <w:tcPr>
            <w:tcW w:w="1099" w:type="dxa"/>
            <w:vAlign w:val="center"/>
          </w:tcPr>
          <w:p w14:paraId="0685E872">
            <w:pPr>
              <w:spacing w:line="240" w:lineRule="auto"/>
              <w:ind w:firstLine="420"/>
              <w:jc w:val="center"/>
              <w:rPr>
                <w:rFonts w:ascii="仿宋_GB2312" w:hAnsi="宋体" w:eastAsia="仿宋_GB2312" w:cs="宋体"/>
                <w:kern w:val="0"/>
                <w:lang w:eastAsia="zh-CN"/>
              </w:rPr>
            </w:pPr>
          </w:p>
        </w:tc>
        <w:tc>
          <w:tcPr>
            <w:tcW w:w="809" w:type="dxa"/>
            <w:vAlign w:val="center"/>
          </w:tcPr>
          <w:p w14:paraId="765A9AF1">
            <w:pPr>
              <w:spacing w:line="240" w:lineRule="auto"/>
              <w:ind w:firstLine="420"/>
              <w:jc w:val="center"/>
              <w:rPr>
                <w:rFonts w:ascii="仿宋_GB2312" w:hAnsi="宋体" w:eastAsia="仿宋_GB2312" w:cs="宋体"/>
                <w:kern w:val="0"/>
                <w:lang w:eastAsia="zh-CN"/>
              </w:rPr>
            </w:pPr>
          </w:p>
        </w:tc>
        <w:tc>
          <w:tcPr>
            <w:tcW w:w="849" w:type="dxa"/>
            <w:vAlign w:val="center"/>
          </w:tcPr>
          <w:p w14:paraId="2852FE9E">
            <w:pPr>
              <w:spacing w:line="240" w:lineRule="auto"/>
              <w:ind w:firstLine="420"/>
              <w:jc w:val="center"/>
              <w:rPr>
                <w:rFonts w:ascii="仿宋_GB2312" w:hAnsi="宋体" w:eastAsia="仿宋_GB2312" w:cs="宋体"/>
                <w:kern w:val="0"/>
                <w:lang w:eastAsia="zh-CN"/>
              </w:rPr>
            </w:pPr>
          </w:p>
        </w:tc>
        <w:tc>
          <w:tcPr>
            <w:tcW w:w="1383" w:type="dxa"/>
            <w:vAlign w:val="center"/>
          </w:tcPr>
          <w:p w14:paraId="7F675806">
            <w:pPr>
              <w:spacing w:line="240" w:lineRule="auto"/>
              <w:ind w:firstLine="420"/>
              <w:jc w:val="center"/>
              <w:rPr>
                <w:rFonts w:ascii="仿宋_GB2312" w:hAnsi="宋体" w:eastAsia="仿宋_GB2312" w:cs="宋体"/>
                <w:kern w:val="0"/>
                <w:lang w:eastAsia="zh-CN"/>
              </w:rPr>
            </w:pPr>
          </w:p>
        </w:tc>
      </w:tr>
      <w:tr w14:paraId="51459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F9604B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1F16631">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5804031">
            <w:pPr>
              <w:spacing w:line="240" w:lineRule="auto"/>
              <w:ind w:firstLine="420"/>
              <w:jc w:val="center"/>
              <w:rPr>
                <w:rFonts w:ascii="仿宋_GB2312" w:hAnsi="宋体" w:eastAsia="仿宋_GB2312" w:cs="宋体"/>
                <w:kern w:val="0"/>
              </w:rPr>
            </w:pPr>
          </w:p>
        </w:tc>
        <w:tc>
          <w:tcPr>
            <w:tcW w:w="1099" w:type="dxa"/>
            <w:vAlign w:val="center"/>
          </w:tcPr>
          <w:p w14:paraId="4A98D152">
            <w:pPr>
              <w:spacing w:line="240" w:lineRule="auto"/>
              <w:ind w:firstLine="420"/>
              <w:jc w:val="center"/>
              <w:rPr>
                <w:rFonts w:ascii="仿宋_GB2312" w:hAnsi="宋体" w:eastAsia="仿宋_GB2312" w:cs="宋体"/>
                <w:kern w:val="0"/>
              </w:rPr>
            </w:pPr>
          </w:p>
        </w:tc>
        <w:tc>
          <w:tcPr>
            <w:tcW w:w="1099" w:type="dxa"/>
            <w:vAlign w:val="center"/>
          </w:tcPr>
          <w:p w14:paraId="775A6868">
            <w:pPr>
              <w:spacing w:line="240" w:lineRule="auto"/>
              <w:ind w:firstLine="420"/>
              <w:jc w:val="center"/>
              <w:rPr>
                <w:rFonts w:ascii="仿宋_GB2312" w:hAnsi="宋体" w:eastAsia="仿宋_GB2312" w:cs="宋体"/>
                <w:kern w:val="0"/>
              </w:rPr>
            </w:pPr>
          </w:p>
        </w:tc>
        <w:tc>
          <w:tcPr>
            <w:tcW w:w="809" w:type="dxa"/>
            <w:vAlign w:val="center"/>
          </w:tcPr>
          <w:p w14:paraId="51BCD1BA">
            <w:pPr>
              <w:spacing w:line="240" w:lineRule="auto"/>
              <w:ind w:firstLine="420"/>
              <w:jc w:val="center"/>
              <w:rPr>
                <w:rFonts w:ascii="仿宋_GB2312" w:hAnsi="宋体" w:eastAsia="仿宋_GB2312" w:cs="宋体"/>
                <w:kern w:val="0"/>
              </w:rPr>
            </w:pPr>
          </w:p>
        </w:tc>
        <w:tc>
          <w:tcPr>
            <w:tcW w:w="849" w:type="dxa"/>
            <w:vAlign w:val="center"/>
          </w:tcPr>
          <w:p w14:paraId="287AEFF2">
            <w:pPr>
              <w:spacing w:line="240" w:lineRule="auto"/>
              <w:ind w:firstLine="420"/>
              <w:jc w:val="center"/>
              <w:rPr>
                <w:rFonts w:ascii="仿宋_GB2312" w:hAnsi="宋体" w:eastAsia="仿宋_GB2312" w:cs="宋体"/>
                <w:kern w:val="0"/>
              </w:rPr>
            </w:pPr>
          </w:p>
        </w:tc>
        <w:tc>
          <w:tcPr>
            <w:tcW w:w="1383" w:type="dxa"/>
            <w:vAlign w:val="center"/>
          </w:tcPr>
          <w:p w14:paraId="3EEAB42B">
            <w:pPr>
              <w:spacing w:line="240" w:lineRule="auto"/>
              <w:ind w:firstLine="420"/>
              <w:jc w:val="center"/>
              <w:rPr>
                <w:rFonts w:ascii="仿宋_GB2312" w:hAnsi="宋体" w:eastAsia="仿宋_GB2312" w:cs="宋体"/>
                <w:kern w:val="0"/>
              </w:rPr>
            </w:pPr>
          </w:p>
        </w:tc>
      </w:tr>
      <w:tr w14:paraId="7BF25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95DC46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CB22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B2D968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25D3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7E442FA">
            <w:pPr>
              <w:spacing w:line="240" w:lineRule="auto"/>
              <w:ind w:firstLine="420"/>
              <w:jc w:val="center"/>
              <w:rPr>
                <w:rFonts w:ascii="仿宋_GB2312" w:hAnsi="宋体" w:eastAsia="仿宋_GB2312" w:cs="宋体"/>
                <w:kern w:val="0"/>
              </w:rPr>
            </w:pPr>
          </w:p>
        </w:tc>
        <w:tc>
          <w:tcPr>
            <w:tcW w:w="4396" w:type="dxa"/>
            <w:gridSpan w:val="4"/>
            <w:vAlign w:val="center"/>
          </w:tcPr>
          <w:p w14:paraId="3D87828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在全市开展野生蘑菇中毒防控宣传工作，提高民众食品安全和野生毒蘑菇中毒防控意识；2.开展全市食品安全宣传周活动，持续提升民众食品安全意识，营造食品安全人人有责、共治共享氛围；3.2024年3-4月开展省级食品安全示范县创建宣传工作，逐步提高对食品安全示范县创建知晓率；4.全力推进“互联网+智慧监管”系统建设；5.开展“5.17野生蘑菇中毒防控宣传日”活动，提高民众野生蘑菇中毒防控意识。</w:t>
            </w:r>
          </w:p>
        </w:tc>
        <w:tc>
          <w:tcPr>
            <w:tcW w:w="4140" w:type="dxa"/>
            <w:gridSpan w:val="4"/>
            <w:vAlign w:val="center"/>
          </w:tcPr>
          <w:p w14:paraId="0BBA0CC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已完成</w:t>
            </w:r>
          </w:p>
        </w:tc>
      </w:tr>
      <w:tr w14:paraId="1CCED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6F5DEF9">
            <w:pPr>
              <w:spacing w:line="240" w:lineRule="auto"/>
              <w:ind w:firstLine="420"/>
              <w:jc w:val="center"/>
              <w:rPr>
                <w:rFonts w:ascii="仿宋_GB2312" w:hAnsi="宋体" w:eastAsia="仿宋_GB2312" w:cs="宋体"/>
                <w:kern w:val="0"/>
              </w:rPr>
            </w:pPr>
          </w:p>
          <w:p w14:paraId="7A68237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5FCD758">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E8EF73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3F9334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D2DE8D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3D226F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1D8846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48757A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AC8D4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C1BE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B652305">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9203795">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2894967">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BC961CC">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1E6B00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开展野生蘑菇中毒防控宣传，向全市各镇居民投放微信公益广告</w:t>
            </w:r>
          </w:p>
        </w:tc>
        <w:tc>
          <w:tcPr>
            <w:tcW w:w="1099" w:type="dxa"/>
            <w:vAlign w:val="center"/>
          </w:tcPr>
          <w:p w14:paraId="617B120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170000条</w:t>
            </w:r>
          </w:p>
        </w:tc>
        <w:tc>
          <w:tcPr>
            <w:tcW w:w="1099" w:type="dxa"/>
            <w:vAlign w:val="center"/>
          </w:tcPr>
          <w:p w14:paraId="2318C75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170000条</w:t>
            </w:r>
          </w:p>
        </w:tc>
        <w:tc>
          <w:tcPr>
            <w:tcW w:w="809" w:type="dxa"/>
            <w:vAlign w:val="center"/>
          </w:tcPr>
          <w:p w14:paraId="64A42FE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D808D4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2EC82D3">
            <w:pPr>
              <w:spacing w:line="240" w:lineRule="auto"/>
              <w:ind w:firstLine="420"/>
              <w:jc w:val="center"/>
              <w:rPr>
                <w:rFonts w:ascii="仿宋_GB2312" w:hAnsi="宋体" w:eastAsia="仿宋_GB2312" w:cs="宋体"/>
                <w:kern w:val="0"/>
              </w:rPr>
            </w:pPr>
          </w:p>
        </w:tc>
      </w:tr>
      <w:tr w14:paraId="12A94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03B64D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1DA1CB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C9CCEC9">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7A0AB946">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全力推进“互联网+智慧监管”系统建设</w:t>
            </w:r>
          </w:p>
        </w:tc>
        <w:tc>
          <w:tcPr>
            <w:tcW w:w="1099" w:type="dxa"/>
            <w:vAlign w:val="center"/>
          </w:tcPr>
          <w:p w14:paraId="3679FE8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加大全市“互联网+明厨亮灶”和“互联网+阳光工厂”覆盖率，对系统进行优化升级，实现“人防+机防”风险防控</w:t>
            </w:r>
          </w:p>
        </w:tc>
        <w:tc>
          <w:tcPr>
            <w:tcW w:w="1099" w:type="dxa"/>
            <w:vAlign w:val="center"/>
          </w:tcPr>
          <w:p w14:paraId="76CD09C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已进一步优化系统并提高“互联网+明厨亮灶+阳光工厂”覆盖率</w:t>
            </w:r>
          </w:p>
        </w:tc>
        <w:tc>
          <w:tcPr>
            <w:tcW w:w="809" w:type="dxa"/>
            <w:vAlign w:val="center"/>
          </w:tcPr>
          <w:p w14:paraId="051A7EB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7204C76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0EEAD50B">
            <w:pPr>
              <w:spacing w:line="240" w:lineRule="auto"/>
              <w:ind w:firstLine="420"/>
              <w:jc w:val="center"/>
              <w:rPr>
                <w:rFonts w:ascii="仿宋_GB2312" w:hAnsi="宋体" w:eastAsia="仿宋_GB2312" w:cs="宋体"/>
                <w:kern w:val="0"/>
              </w:rPr>
            </w:pPr>
          </w:p>
        </w:tc>
      </w:tr>
      <w:tr w14:paraId="3315B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CC958B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02D270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82F8840">
            <w:pPr>
              <w:spacing w:line="240" w:lineRule="auto"/>
              <w:ind w:firstLine="420"/>
              <w:jc w:val="center"/>
              <w:rPr>
                <w:rFonts w:ascii="仿宋_GB2312" w:hAnsi="宋体" w:eastAsia="仿宋_GB2312" w:cs="宋体"/>
                <w:kern w:val="0"/>
              </w:rPr>
            </w:pPr>
          </w:p>
        </w:tc>
        <w:tc>
          <w:tcPr>
            <w:tcW w:w="1020" w:type="dxa"/>
            <w:vAlign w:val="center"/>
          </w:tcPr>
          <w:p w14:paraId="44C5B7AE">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2024年3-4月开展省级食品安全示范县创建宣传工作</w:t>
            </w:r>
          </w:p>
        </w:tc>
        <w:tc>
          <w:tcPr>
            <w:tcW w:w="1099" w:type="dxa"/>
            <w:vAlign w:val="center"/>
          </w:tcPr>
          <w:p w14:paraId="273A466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逐步提高对食品安全示范县创建知晓率</w:t>
            </w:r>
          </w:p>
        </w:tc>
        <w:tc>
          <w:tcPr>
            <w:tcW w:w="1099" w:type="dxa"/>
            <w:vAlign w:val="center"/>
          </w:tcPr>
          <w:p w14:paraId="08A66C1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通过集中宣传，民众对食品安全示范县创建知晓率进一步提高</w:t>
            </w:r>
          </w:p>
        </w:tc>
        <w:tc>
          <w:tcPr>
            <w:tcW w:w="809" w:type="dxa"/>
            <w:vAlign w:val="center"/>
          </w:tcPr>
          <w:p w14:paraId="4ED25CD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07E6AF0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68BF26B9">
            <w:pPr>
              <w:spacing w:line="240" w:lineRule="auto"/>
              <w:ind w:firstLine="420"/>
              <w:jc w:val="center"/>
              <w:rPr>
                <w:rFonts w:ascii="仿宋_GB2312" w:hAnsi="宋体" w:eastAsia="仿宋_GB2312" w:cs="宋体"/>
                <w:kern w:val="0"/>
              </w:rPr>
            </w:pPr>
          </w:p>
        </w:tc>
      </w:tr>
      <w:tr w14:paraId="7E62C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B6DAB1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23B75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9CD3238">
            <w:pPr>
              <w:spacing w:line="240" w:lineRule="auto"/>
              <w:ind w:firstLine="420"/>
              <w:jc w:val="center"/>
              <w:rPr>
                <w:rFonts w:ascii="仿宋_GB2312" w:hAnsi="宋体" w:eastAsia="仿宋_GB2312" w:cs="宋体"/>
                <w:kern w:val="0"/>
              </w:rPr>
            </w:pPr>
          </w:p>
        </w:tc>
        <w:tc>
          <w:tcPr>
            <w:tcW w:w="1020" w:type="dxa"/>
            <w:vAlign w:val="center"/>
          </w:tcPr>
          <w:p w14:paraId="237AD670">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开展全市食品安全宣传周活动</w:t>
            </w:r>
          </w:p>
        </w:tc>
        <w:tc>
          <w:tcPr>
            <w:tcW w:w="1099" w:type="dxa"/>
            <w:vAlign w:val="center"/>
          </w:tcPr>
          <w:p w14:paraId="492AFD5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通过开展全市食品安全宣传周，持续提升民众食品安全意识，营造食品安全人人有责、共治共享氛围</w:t>
            </w:r>
          </w:p>
        </w:tc>
        <w:tc>
          <w:tcPr>
            <w:tcW w:w="1099" w:type="dxa"/>
            <w:vAlign w:val="center"/>
          </w:tcPr>
          <w:p w14:paraId="39DFA4F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开展为期一周的食品安全“五进”行动，在10月12日，在市区举行宣传周启动仪式，16个市食安委联系会议成员单位参加并开展现场宣传活动</w:t>
            </w:r>
          </w:p>
        </w:tc>
        <w:tc>
          <w:tcPr>
            <w:tcW w:w="809" w:type="dxa"/>
            <w:vAlign w:val="center"/>
          </w:tcPr>
          <w:p w14:paraId="2DD39AF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849" w:type="dxa"/>
            <w:vAlign w:val="center"/>
          </w:tcPr>
          <w:p w14:paraId="0C91C42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383" w:type="dxa"/>
            <w:vAlign w:val="center"/>
          </w:tcPr>
          <w:p w14:paraId="0A0AA2F0">
            <w:pPr>
              <w:spacing w:line="240" w:lineRule="auto"/>
              <w:ind w:firstLine="420"/>
              <w:jc w:val="center"/>
              <w:rPr>
                <w:rFonts w:ascii="仿宋_GB2312" w:hAnsi="宋体" w:eastAsia="仿宋_GB2312" w:cs="宋体"/>
                <w:kern w:val="0"/>
              </w:rPr>
            </w:pPr>
          </w:p>
        </w:tc>
      </w:tr>
      <w:tr w14:paraId="4DCAD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C06FA4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AB552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010293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41AD2F37">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任务完成时间</w:t>
            </w:r>
          </w:p>
        </w:tc>
        <w:tc>
          <w:tcPr>
            <w:tcW w:w="1099" w:type="dxa"/>
            <w:vAlign w:val="center"/>
          </w:tcPr>
          <w:p w14:paraId="08B3304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2024年12月31日</w:t>
            </w:r>
          </w:p>
        </w:tc>
        <w:tc>
          <w:tcPr>
            <w:tcW w:w="1099" w:type="dxa"/>
            <w:vAlign w:val="center"/>
          </w:tcPr>
          <w:p w14:paraId="49876B5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2024年12月31日</w:t>
            </w:r>
          </w:p>
        </w:tc>
        <w:tc>
          <w:tcPr>
            <w:tcW w:w="809" w:type="dxa"/>
            <w:vAlign w:val="center"/>
          </w:tcPr>
          <w:p w14:paraId="5D3742E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8B471F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C2E4032">
            <w:pPr>
              <w:spacing w:line="240" w:lineRule="auto"/>
              <w:ind w:firstLine="420"/>
              <w:jc w:val="center"/>
              <w:rPr>
                <w:rFonts w:ascii="仿宋_GB2312" w:hAnsi="宋体" w:eastAsia="仿宋_GB2312" w:cs="宋体"/>
                <w:kern w:val="0"/>
              </w:rPr>
            </w:pPr>
          </w:p>
        </w:tc>
      </w:tr>
      <w:tr w14:paraId="50B51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836BEE">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3101C07">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FA26E4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3E04D74">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0264AED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促进经济发展</w:t>
            </w:r>
          </w:p>
        </w:tc>
        <w:tc>
          <w:tcPr>
            <w:tcW w:w="1099" w:type="dxa"/>
            <w:vAlign w:val="center"/>
          </w:tcPr>
          <w:p w14:paraId="7119B45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1099" w:type="dxa"/>
            <w:vAlign w:val="center"/>
          </w:tcPr>
          <w:p w14:paraId="14644CF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809" w:type="dxa"/>
            <w:vAlign w:val="center"/>
          </w:tcPr>
          <w:p w14:paraId="064B4F5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75AE36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E127F8A">
            <w:pPr>
              <w:spacing w:line="240" w:lineRule="auto"/>
              <w:ind w:firstLine="420"/>
              <w:jc w:val="center"/>
              <w:rPr>
                <w:rFonts w:ascii="仿宋_GB2312" w:hAnsi="宋体" w:eastAsia="仿宋_GB2312" w:cs="宋体"/>
                <w:kern w:val="0"/>
              </w:rPr>
            </w:pPr>
          </w:p>
        </w:tc>
      </w:tr>
      <w:tr w14:paraId="25ACB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40511C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446014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D087955">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26C45FDA">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把食品安全基础工作抓实打牢，把食品安全工作做得更精准、更扎实、更规范，为全市群众创建放心安心的食品安全环境</w:t>
            </w:r>
          </w:p>
        </w:tc>
        <w:tc>
          <w:tcPr>
            <w:tcW w:w="1099" w:type="dxa"/>
            <w:vAlign w:val="center"/>
          </w:tcPr>
          <w:p w14:paraId="2216FC0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逐步加强</w:t>
            </w:r>
          </w:p>
        </w:tc>
        <w:tc>
          <w:tcPr>
            <w:tcW w:w="1099" w:type="dxa"/>
            <w:vAlign w:val="center"/>
          </w:tcPr>
          <w:p w14:paraId="339E619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逐步加强</w:t>
            </w:r>
          </w:p>
        </w:tc>
        <w:tc>
          <w:tcPr>
            <w:tcW w:w="809" w:type="dxa"/>
            <w:vAlign w:val="center"/>
          </w:tcPr>
          <w:p w14:paraId="4145FA7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D2CF58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1383" w:type="dxa"/>
            <w:vAlign w:val="center"/>
          </w:tcPr>
          <w:p w14:paraId="45E010E7">
            <w:pPr>
              <w:spacing w:line="240" w:lineRule="auto"/>
              <w:ind w:firstLine="420"/>
              <w:jc w:val="center"/>
              <w:rPr>
                <w:rFonts w:ascii="仿宋_GB2312" w:hAnsi="宋体" w:eastAsia="仿宋_GB2312" w:cs="宋体"/>
                <w:kern w:val="0"/>
              </w:rPr>
            </w:pPr>
          </w:p>
        </w:tc>
      </w:tr>
      <w:tr w14:paraId="3BDAB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6EA7A0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187F3E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1D2D90A">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025580E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生态环境改善状况</w:t>
            </w:r>
          </w:p>
        </w:tc>
        <w:tc>
          <w:tcPr>
            <w:tcW w:w="1099" w:type="dxa"/>
            <w:vAlign w:val="center"/>
          </w:tcPr>
          <w:p w14:paraId="0D1FC1E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1099" w:type="dxa"/>
            <w:vAlign w:val="center"/>
          </w:tcPr>
          <w:p w14:paraId="6C814AF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809" w:type="dxa"/>
            <w:vAlign w:val="center"/>
          </w:tcPr>
          <w:p w14:paraId="47F68C6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D27259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383" w:type="dxa"/>
            <w:vAlign w:val="center"/>
          </w:tcPr>
          <w:p w14:paraId="6BA9B111">
            <w:pPr>
              <w:spacing w:line="240" w:lineRule="auto"/>
              <w:ind w:firstLine="420"/>
              <w:jc w:val="center"/>
              <w:rPr>
                <w:rFonts w:ascii="仿宋_GB2312" w:hAnsi="宋体" w:eastAsia="仿宋_GB2312" w:cs="宋体"/>
                <w:kern w:val="0"/>
              </w:rPr>
            </w:pPr>
          </w:p>
        </w:tc>
      </w:tr>
      <w:tr w14:paraId="6E97B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904969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FF3730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F2D582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445BB2C">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开展“5.17野生蘑菇中毒防控宣传日”活动，提高民众野生蘑菇中毒防控意识</w:t>
            </w:r>
          </w:p>
        </w:tc>
        <w:tc>
          <w:tcPr>
            <w:tcW w:w="1099" w:type="dxa"/>
            <w:vAlign w:val="center"/>
          </w:tcPr>
          <w:p w14:paraId="59607A1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逐步提高民众野生蘑菇中毒防控意识，预防食用野生蘑菇中毒事件发生</w:t>
            </w:r>
          </w:p>
        </w:tc>
        <w:tc>
          <w:tcPr>
            <w:tcW w:w="1099" w:type="dxa"/>
            <w:vAlign w:val="center"/>
          </w:tcPr>
          <w:p w14:paraId="22A489A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通过集中宣传，民众的野生蘑菇中毒防控意识进一步提高</w:t>
            </w:r>
          </w:p>
        </w:tc>
        <w:tc>
          <w:tcPr>
            <w:tcW w:w="809" w:type="dxa"/>
            <w:vAlign w:val="center"/>
          </w:tcPr>
          <w:p w14:paraId="38AC9E5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4A138F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383" w:type="dxa"/>
            <w:vAlign w:val="center"/>
          </w:tcPr>
          <w:p w14:paraId="56098722">
            <w:pPr>
              <w:spacing w:line="240" w:lineRule="auto"/>
              <w:ind w:firstLine="420"/>
              <w:jc w:val="center"/>
              <w:rPr>
                <w:rFonts w:ascii="仿宋_GB2312" w:hAnsi="宋体" w:eastAsia="仿宋_GB2312" w:cs="宋体"/>
                <w:kern w:val="0"/>
              </w:rPr>
            </w:pPr>
          </w:p>
        </w:tc>
      </w:tr>
      <w:tr w14:paraId="6273F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E02D059">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D2C58B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B5C41AE">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0E96BE5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民众对食品安全群众满意度</w:t>
            </w:r>
          </w:p>
        </w:tc>
        <w:tc>
          <w:tcPr>
            <w:tcW w:w="1099" w:type="dxa"/>
            <w:vAlign w:val="center"/>
          </w:tcPr>
          <w:p w14:paraId="5292487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6B303E8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09" w:type="dxa"/>
            <w:vAlign w:val="center"/>
          </w:tcPr>
          <w:p w14:paraId="5DCF12D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0C0A1D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3D2A06D">
            <w:pPr>
              <w:spacing w:line="240" w:lineRule="auto"/>
              <w:ind w:firstLine="420"/>
              <w:jc w:val="center"/>
              <w:rPr>
                <w:rFonts w:ascii="仿宋_GB2312" w:hAnsi="宋体" w:eastAsia="仿宋_GB2312" w:cs="宋体"/>
                <w:kern w:val="0"/>
              </w:rPr>
            </w:pPr>
          </w:p>
        </w:tc>
      </w:tr>
      <w:tr w14:paraId="0C208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B33D17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335DDB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D7AEFA7">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B47C139">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0158B0B6">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123</w:t>
            </w:r>
          </w:p>
        </w:tc>
        <w:tc>
          <w:tcPr>
            <w:tcW w:w="1099" w:type="dxa"/>
            <w:vAlign w:val="center"/>
          </w:tcPr>
          <w:p w14:paraId="3E91E3D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节约高效</w:t>
            </w:r>
          </w:p>
        </w:tc>
        <w:tc>
          <w:tcPr>
            <w:tcW w:w="1099" w:type="dxa"/>
            <w:vAlign w:val="center"/>
          </w:tcPr>
          <w:p w14:paraId="048B44D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节约高效</w:t>
            </w:r>
          </w:p>
        </w:tc>
        <w:tc>
          <w:tcPr>
            <w:tcW w:w="809" w:type="dxa"/>
            <w:vAlign w:val="center"/>
          </w:tcPr>
          <w:p w14:paraId="40FA68D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D1EB7C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88DAD54">
            <w:pPr>
              <w:spacing w:line="240" w:lineRule="auto"/>
              <w:ind w:firstLine="420"/>
              <w:jc w:val="center"/>
              <w:rPr>
                <w:rFonts w:ascii="仿宋_GB2312" w:hAnsi="宋体" w:eastAsia="仿宋_GB2312" w:cs="宋体"/>
                <w:kern w:val="0"/>
              </w:rPr>
            </w:pPr>
          </w:p>
        </w:tc>
      </w:tr>
      <w:tr w14:paraId="6A04E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6E14C6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FE71A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C16831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5FAAE631">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对社会发展可能造成的负面影响</w:t>
            </w:r>
          </w:p>
        </w:tc>
        <w:tc>
          <w:tcPr>
            <w:tcW w:w="1099" w:type="dxa"/>
            <w:vAlign w:val="center"/>
          </w:tcPr>
          <w:p w14:paraId="2181357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43CA610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5A2F283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FADE25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FC9CF7E">
            <w:pPr>
              <w:spacing w:line="240" w:lineRule="auto"/>
              <w:ind w:firstLine="420"/>
              <w:jc w:val="center"/>
              <w:rPr>
                <w:rFonts w:ascii="仿宋_GB2312" w:hAnsi="宋体" w:eastAsia="仿宋_GB2312" w:cs="宋体"/>
                <w:kern w:val="0"/>
              </w:rPr>
            </w:pPr>
          </w:p>
        </w:tc>
      </w:tr>
      <w:tr w14:paraId="00853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9DDAE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D1B445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AC57905">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543EFA98">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对自然生态环境造成的负面影响</w:t>
            </w:r>
          </w:p>
        </w:tc>
        <w:tc>
          <w:tcPr>
            <w:tcW w:w="1099" w:type="dxa"/>
            <w:vAlign w:val="center"/>
          </w:tcPr>
          <w:p w14:paraId="7665CD7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342E1B6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1EBEC4B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B2E20F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0D1D7A3">
            <w:pPr>
              <w:spacing w:line="240" w:lineRule="auto"/>
              <w:ind w:firstLine="420"/>
              <w:jc w:val="center"/>
              <w:rPr>
                <w:rFonts w:ascii="仿宋_GB2312" w:hAnsi="宋体" w:eastAsia="仿宋_GB2312" w:cs="宋体"/>
                <w:kern w:val="0"/>
              </w:rPr>
            </w:pPr>
          </w:p>
        </w:tc>
      </w:tr>
      <w:tr w14:paraId="4BA71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E96888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D5A0B0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FF223F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14:paraId="4B2DE8F3">
            <w:pPr>
              <w:spacing w:line="240" w:lineRule="auto"/>
              <w:ind w:firstLine="420"/>
              <w:jc w:val="center"/>
              <w:rPr>
                <w:rFonts w:ascii="仿宋_GB2312" w:hAnsi="宋体" w:eastAsia="仿宋_GB2312" w:cs="宋体"/>
                <w:kern w:val="0"/>
              </w:rPr>
            </w:pPr>
          </w:p>
        </w:tc>
      </w:tr>
    </w:tbl>
    <w:p w14:paraId="1FD8644A">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E0925D4">
      <w:pPr>
        <w:spacing w:line="240" w:lineRule="auto"/>
        <w:ind w:firstLine="420"/>
        <w:jc w:val="left"/>
        <w:rPr>
          <w:rFonts w:ascii="宋体" w:hAnsi="宋体" w:eastAsia="宋体" w:cs="宋体"/>
          <w:kern w:val="0"/>
          <w:lang w:eastAsia="zh-CN"/>
        </w:rPr>
      </w:pPr>
    </w:p>
    <w:p w14:paraId="4E596C2C">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3B3C58D">
      <w:pPr>
        <w:kinsoku w:val="0"/>
        <w:autoSpaceDE w:val="0"/>
        <w:autoSpaceDN w:val="0"/>
        <w:adjustRightInd w:val="0"/>
        <w:snapToGrid w:val="0"/>
        <w:spacing w:line="240" w:lineRule="auto"/>
        <w:ind w:firstLine="0"/>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C52179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A77664B">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0F7A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C5FA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009516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质量强市和质量考核</w:t>
            </w:r>
          </w:p>
        </w:tc>
      </w:tr>
      <w:tr w14:paraId="36493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BE4F1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2F9FBB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汨罗市市场监督管理局</w:t>
            </w:r>
          </w:p>
        </w:tc>
        <w:tc>
          <w:tcPr>
            <w:tcW w:w="1099" w:type="dxa"/>
            <w:vAlign w:val="center"/>
          </w:tcPr>
          <w:p w14:paraId="628E3A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9A4418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24C8BF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汨罗市市场监督管理局</w:t>
            </w:r>
          </w:p>
        </w:tc>
      </w:tr>
      <w:tr w14:paraId="52AD4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E4FA01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A773407">
            <w:pPr>
              <w:spacing w:line="240" w:lineRule="auto"/>
              <w:ind w:firstLine="420"/>
              <w:jc w:val="center"/>
              <w:rPr>
                <w:rFonts w:ascii="仿宋_GB2312" w:hAnsi="宋体" w:eastAsia="仿宋_GB2312" w:cs="宋体"/>
                <w:kern w:val="0"/>
                <w:lang w:eastAsia="zh-CN"/>
              </w:rPr>
            </w:pPr>
          </w:p>
        </w:tc>
        <w:tc>
          <w:tcPr>
            <w:tcW w:w="1020" w:type="dxa"/>
            <w:vAlign w:val="center"/>
          </w:tcPr>
          <w:p w14:paraId="5466CB7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CEE4CD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1CBCF4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31E45A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96A68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90880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225D8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80104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AEC1EE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397B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A0623D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0934D9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3D7FF4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6FC78E21">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43B49C6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7C740327">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53DB85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5534357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0DA37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944B03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C1FA6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32EAB6D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463072A1">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6A96D99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2167AE1F">
            <w:pPr>
              <w:spacing w:line="240" w:lineRule="auto"/>
              <w:ind w:firstLine="420"/>
              <w:jc w:val="center"/>
              <w:rPr>
                <w:rFonts w:ascii="仿宋_GB2312" w:hAnsi="宋体" w:eastAsia="仿宋_GB2312" w:cs="宋体"/>
                <w:kern w:val="0"/>
                <w:lang w:eastAsia="zh-CN"/>
              </w:rPr>
            </w:pPr>
          </w:p>
        </w:tc>
        <w:tc>
          <w:tcPr>
            <w:tcW w:w="849" w:type="dxa"/>
            <w:vAlign w:val="center"/>
          </w:tcPr>
          <w:p w14:paraId="7CEFCC14">
            <w:pPr>
              <w:spacing w:line="240" w:lineRule="auto"/>
              <w:ind w:firstLine="420"/>
              <w:jc w:val="center"/>
              <w:rPr>
                <w:rFonts w:ascii="仿宋_GB2312" w:hAnsi="宋体" w:eastAsia="仿宋_GB2312" w:cs="宋体"/>
                <w:kern w:val="0"/>
                <w:lang w:eastAsia="zh-CN"/>
              </w:rPr>
            </w:pPr>
          </w:p>
        </w:tc>
        <w:tc>
          <w:tcPr>
            <w:tcW w:w="1383" w:type="dxa"/>
            <w:vAlign w:val="center"/>
          </w:tcPr>
          <w:p w14:paraId="4A7758D3">
            <w:pPr>
              <w:spacing w:line="240" w:lineRule="auto"/>
              <w:ind w:firstLine="420"/>
              <w:jc w:val="center"/>
              <w:rPr>
                <w:rFonts w:ascii="仿宋_GB2312" w:hAnsi="宋体" w:eastAsia="仿宋_GB2312" w:cs="宋体"/>
                <w:kern w:val="0"/>
                <w:lang w:eastAsia="zh-CN"/>
              </w:rPr>
            </w:pPr>
          </w:p>
        </w:tc>
      </w:tr>
      <w:tr w14:paraId="0CEAE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B670A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D6AE747">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50265674">
            <w:pPr>
              <w:spacing w:line="240" w:lineRule="auto"/>
              <w:ind w:firstLine="420"/>
              <w:jc w:val="center"/>
              <w:rPr>
                <w:rFonts w:ascii="仿宋_GB2312" w:hAnsi="宋体" w:eastAsia="仿宋_GB2312" w:cs="宋体"/>
                <w:kern w:val="0"/>
                <w:lang w:eastAsia="zh-CN"/>
              </w:rPr>
            </w:pPr>
          </w:p>
        </w:tc>
        <w:tc>
          <w:tcPr>
            <w:tcW w:w="1099" w:type="dxa"/>
            <w:vAlign w:val="center"/>
          </w:tcPr>
          <w:p w14:paraId="08F92382">
            <w:pPr>
              <w:spacing w:line="240" w:lineRule="auto"/>
              <w:ind w:firstLine="420"/>
              <w:jc w:val="center"/>
              <w:rPr>
                <w:rFonts w:ascii="仿宋_GB2312" w:hAnsi="宋体" w:eastAsia="仿宋_GB2312" w:cs="宋体"/>
                <w:kern w:val="0"/>
                <w:lang w:eastAsia="zh-CN"/>
              </w:rPr>
            </w:pPr>
          </w:p>
        </w:tc>
        <w:tc>
          <w:tcPr>
            <w:tcW w:w="1099" w:type="dxa"/>
            <w:vAlign w:val="center"/>
          </w:tcPr>
          <w:p w14:paraId="1428EE5E">
            <w:pPr>
              <w:spacing w:line="240" w:lineRule="auto"/>
              <w:ind w:firstLine="420"/>
              <w:jc w:val="center"/>
              <w:rPr>
                <w:rFonts w:ascii="仿宋_GB2312" w:hAnsi="宋体" w:eastAsia="仿宋_GB2312" w:cs="宋体"/>
                <w:kern w:val="0"/>
                <w:lang w:eastAsia="zh-CN"/>
              </w:rPr>
            </w:pPr>
          </w:p>
        </w:tc>
        <w:tc>
          <w:tcPr>
            <w:tcW w:w="809" w:type="dxa"/>
            <w:vAlign w:val="center"/>
          </w:tcPr>
          <w:p w14:paraId="45CCB00A">
            <w:pPr>
              <w:spacing w:line="240" w:lineRule="auto"/>
              <w:ind w:firstLine="420"/>
              <w:jc w:val="center"/>
              <w:rPr>
                <w:rFonts w:ascii="仿宋_GB2312" w:hAnsi="宋体" w:eastAsia="仿宋_GB2312" w:cs="宋体"/>
                <w:kern w:val="0"/>
                <w:lang w:eastAsia="zh-CN"/>
              </w:rPr>
            </w:pPr>
          </w:p>
        </w:tc>
        <w:tc>
          <w:tcPr>
            <w:tcW w:w="849" w:type="dxa"/>
            <w:vAlign w:val="center"/>
          </w:tcPr>
          <w:p w14:paraId="7ACE943E">
            <w:pPr>
              <w:spacing w:line="240" w:lineRule="auto"/>
              <w:ind w:firstLine="420"/>
              <w:jc w:val="center"/>
              <w:rPr>
                <w:rFonts w:ascii="仿宋_GB2312" w:hAnsi="宋体" w:eastAsia="仿宋_GB2312" w:cs="宋体"/>
                <w:kern w:val="0"/>
                <w:lang w:eastAsia="zh-CN"/>
              </w:rPr>
            </w:pPr>
          </w:p>
        </w:tc>
        <w:tc>
          <w:tcPr>
            <w:tcW w:w="1383" w:type="dxa"/>
            <w:vAlign w:val="center"/>
          </w:tcPr>
          <w:p w14:paraId="6812F475">
            <w:pPr>
              <w:spacing w:line="240" w:lineRule="auto"/>
              <w:ind w:firstLine="420"/>
              <w:jc w:val="center"/>
              <w:rPr>
                <w:rFonts w:ascii="仿宋_GB2312" w:hAnsi="宋体" w:eastAsia="仿宋_GB2312" w:cs="宋体"/>
                <w:kern w:val="0"/>
                <w:lang w:eastAsia="zh-CN"/>
              </w:rPr>
            </w:pPr>
          </w:p>
        </w:tc>
      </w:tr>
      <w:tr w14:paraId="58588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B6F2D3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509FE3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9DCC4A8">
            <w:pPr>
              <w:spacing w:line="240" w:lineRule="auto"/>
              <w:ind w:firstLine="420"/>
              <w:jc w:val="center"/>
              <w:rPr>
                <w:rFonts w:ascii="仿宋_GB2312" w:hAnsi="宋体" w:eastAsia="仿宋_GB2312" w:cs="宋体"/>
                <w:kern w:val="0"/>
              </w:rPr>
            </w:pPr>
          </w:p>
        </w:tc>
        <w:tc>
          <w:tcPr>
            <w:tcW w:w="1099" w:type="dxa"/>
            <w:vAlign w:val="center"/>
          </w:tcPr>
          <w:p w14:paraId="4C9DD243">
            <w:pPr>
              <w:spacing w:line="240" w:lineRule="auto"/>
              <w:ind w:firstLine="420"/>
              <w:jc w:val="center"/>
              <w:rPr>
                <w:rFonts w:ascii="仿宋_GB2312" w:hAnsi="宋体" w:eastAsia="仿宋_GB2312" w:cs="宋体"/>
                <w:kern w:val="0"/>
              </w:rPr>
            </w:pPr>
          </w:p>
        </w:tc>
        <w:tc>
          <w:tcPr>
            <w:tcW w:w="1099" w:type="dxa"/>
            <w:vAlign w:val="center"/>
          </w:tcPr>
          <w:p w14:paraId="6186C289">
            <w:pPr>
              <w:spacing w:line="240" w:lineRule="auto"/>
              <w:ind w:firstLine="420"/>
              <w:jc w:val="center"/>
              <w:rPr>
                <w:rFonts w:ascii="仿宋_GB2312" w:hAnsi="宋体" w:eastAsia="仿宋_GB2312" w:cs="宋体"/>
                <w:kern w:val="0"/>
              </w:rPr>
            </w:pPr>
          </w:p>
        </w:tc>
        <w:tc>
          <w:tcPr>
            <w:tcW w:w="809" w:type="dxa"/>
            <w:vAlign w:val="center"/>
          </w:tcPr>
          <w:p w14:paraId="3079014C">
            <w:pPr>
              <w:spacing w:line="240" w:lineRule="auto"/>
              <w:ind w:firstLine="420"/>
              <w:jc w:val="center"/>
              <w:rPr>
                <w:rFonts w:ascii="仿宋_GB2312" w:hAnsi="宋体" w:eastAsia="仿宋_GB2312" w:cs="宋体"/>
                <w:kern w:val="0"/>
              </w:rPr>
            </w:pPr>
          </w:p>
        </w:tc>
        <w:tc>
          <w:tcPr>
            <w:tcW w:w="849" w:type="dxa"/>
            <w:vAlign w:val="center"/>
          </w:tcPr>
          <w:p w14:paraId="7B2D3D9B">
            <w:pPr>
              <w:spacing w:line="240" w:lineRule="auto"/>
              <w:ind w:firstLine="420"/>
              <w:jc w:val="center"/>
              <w:rPr>
                <w:rFonts w:ascii="仿宋_GB2312" w:hAnsi="宋体" w:eastAsia="仿宋_GB2312" w:cs="宋体"/>
                <w:kern w:val="0"/>
              </w:rPr>
            </w:pPr>
          </w:p>
        </w:tc>
        <w:tc>
          <w:tcPr>
            <w:tcW w:w="1383" w:type="dxa"/>
            <w:vAlign w:val="center"/>
          </w:tcPr>
          <w:p w14:paraId="105B393B">
            <w:pPr>
              <w:spacing w:line="240" w:lineRule="auto"/>
              <w:ind w:firstLine="420"/>
              <w:jc w:val="center"/>
              <w:rPr>
                <w:rFonts w:ascii="仿宋_GB2312" w:hAnsi="宋体" w:eastAsia="仿宋_GB2312" w:cs="宋体"/>
                <w:kern w:val="0"/>
              </w:rPr>
            </w:pPr>
          </w:p>
        </w:tc>
      </w:tr>
      <w:tr w14:paraId="6D092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303A1F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3FF2B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BB0308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F483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8CB1BA0">
            <w:pPr>
              <w:spacing w:line="240" w:lineRule="auto"/>
              <w:ind w:firstLine="420"/>
              <w:jc w:val="center"/>
              <w:rPr>
                <w:rFonts w:ascii="仿宋_GB2312" w:hAnsi="宋体" w:eastAsia="仿宋_GB2312" w:cs="宋体"/>
                <w:kern w:val="0"/>
              </w:rPr>
            </w:pPr>
          </w:p>
        </w:tc>
        <w:tc>
          <w:tcPr>
            <w:tcW w:w="4396" w:type="dxa"/>
            <w:gridSpan w:val="4"/>
            <w:vAlign w:val="center"/>
          </w:tcPr>
          <w:p w14:paraId="7DA2905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1.推进质量强市和质量考核工作安排，重点在提高质量意识、发挥政府引导作用、加快补齐发展短板、开展质量提升行动方面强化宣传教育，营造质量强市浓厚氛围，确保各项工作目标落实到位。</w:t>
            </w:r>
          </w:p>
        </w:tc>
        <w:tc>
          <w:tcPr>
            <w:tcW w:w="4140" w:type="dxa"/>
            <w:gridSpan w:val="4"/>
            <w:vAlign w:val="center"/>
          </w:tcPr>
          <w:p w14:paraId="77DD5B2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推进质量强市和质量考核工作安排，重点在提高质量意识、发挥政府引导作用、加快补齐发展短板、开展质量提升行动方面强化宣传教育，营造质量强市浓厚氛围，确保各项工作目标落实到位。</w:t>
            </w:r>
          </w:p>
        </w:tc>
      </w:tr>
      <w:tr w14:paraId="72BF2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7C0248C">
            <w:pPr>
              <w:spacing w:line="240" w:lineRule="auto"/>
              <w:ind w:firstLine="420"/>
              <w:jc w:val="center"/>
              <w:rPr>
                <w:rFonts w:ascii="仿宋_GB2312" w:hAnsi="宋体" w:eastAsia="仿宋_GB2312" w:cs="宋体"/>
                <w:kern w:val="0"/>
              </w:rPr>
            </w:pPr>
          </w:p>
          <w:p w14:paraId="495C13D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FCB2E16">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DE3513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1AF67C7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6C61491">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187C4A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13A2E5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84363D6">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99C908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0B5C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715FE0">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AC5EE9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FB24672">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C613806">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2A4311A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宣传推广先进质量管理理念 </w:t>
            </w:r>
          </w:p>
        </w:tc>
        <w:tc>
          <w:tcPr>
            <w:tcW w:w="1099" w:type="dxa"/>
            <w:vAlign w:val="center"/>
          </w:tcPr>
          <w:p w14:paraId="63F851B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5次</w:t>
            </w:r>
          </w:p>
        </w:tc>
        <w:tc>
          <w:tcPr>
            <w:tcW w:w="1099" w:type="dxa"/>
            <w:vAlign w:val="center"/>
          </w:tcPr>
          <w:p w14:paraId="5802D7C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5次</w:t>
            </w:r>
          </w:p>
        </w:tc>
        <w:tc>
          <w:tcPr>
            <w:tcW w:w="809" w:type="dxa"/>
            <w:vAlign w:val="center"/>
          </w:tcPr>
          <w:p w14:paraId="5BC5CD7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B7A354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9622078">
            <w:pPr>
              <w:spacing w:line="240" w:lineRule="auto"/>
              <w:ind w:firstLine="420"/>
              <w:jc w:val="center"/>
              <w:rPr>
                <w:rFonts w:ascii="仿宋_GB2312" w:hAnsi="宋体" w:eastAsia="仿宋_GB2312" w:cs="宋体"/>
                <w:kern w:val="0"/>
              </w:rPr>
            </w:pPr>
          </w:p>
        </w:tc>
      </w:tr>
      <w:tr w14:paraId="71241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B71050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D0A8B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0EA632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3CC084E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迎接市级政府质量工作考核。开展对县级政府质量工作考核工作。组织质量强市领导小组成员单位联络员督导检查。</w:t>
            </w:r>
          </w:p>
        </w:tc>
        <w:tc>
          <w:tcPr>
            <w:tcW w:w="1099" w:type="dxa"/>
            <w:vAlign w:val="center"/>
          </w:tcPr>
          <w:p w14:paraId="6C11C1E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3B72740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7DA9B53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5A195A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9BAAE67">
            <w:pPr>
              <w:spacing w:line="240" w:lineRule="auto"/>
              <w:ind w:firstLine="420"/>
              <w:jc w:val="center"/>
              <w:rPr>
                <w:rFonts w:ascii="仿宋_GB2312" w:hAnsi="宋体" w:eastAsia="仿宋_GB2312" w:cs="宋体"/>
                <w:kern w:val="0"/>
              </w:rPr>
            </w:pPr>
          </w:p>
        </w:tc>
      </w:tr>
      <w:tr w14:paraId="067C5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DD3FB9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FCE1E7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A77DC56">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42C73B0E">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任务完成时间</w:t>
            </w:r>
          </w:p>
        </w:tc>
        <w:tc>
          <w:tcPr>
            <w:tcW w:w="1099" w:type="dxa"/>
            <w:vAlign w:val="center"/>
          </w:tcPr>
          <w:p w14:paraId="53E9BB4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2024年12月31日前</w:t>
            </w:r>
          </w:p>
        </w:tc>
        <w:tc>
          <w:tcPr>
            <w:tcW w:w="1099" w:type="dxa"/>
            <w:vAlign w:val="center"/>
          </w:tcPr>
          <w:p w14:paraId="34137E6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31E3F48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272258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0FF5242">
            <w:pPr>
              <w:spacing w:line="240" w:lineRule="auto"/>
              <w:ind w:firstLine="420"/>
              <w:jc w:val="center"/>
              <w:rPr>
                <w:rFonts w:ascii="仿宋_GB2312" w:hAnsi="宋体" w:eastAsia="仿宋_GB2312" w:cs="宋体"/>
                <w:kern w:val="0"/>
              </w:rPr>
            </w:pPr>
          </w:p>
        </w:tc>
      </w:tr>
      <w:tr w14:paraId="59321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0850B7">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F748CB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B91FB40">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832588E">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ED9BE2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促进企业导入卓越绩效管理模式</w:t>
            </w:r>
          </w:p>
        </w:tc>
        <w:tc>
          <w:tcPr>
            <w:tcW w:w="1099" w:type="dxa"/>
            <w:vAlign w:val="center"/>
          </w:tcPr>
          <w:p w14:paraId="478D9F5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42537C1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793DAB1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80D14D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AC1FCA0">
            <w:pPr>
              <w:spacing w:line="240" w:lineRule="auto"/>
              <w:ind w:firstLine="420"/>
              <w:jc w:val="center"/>
              <w:rPr>
                <w:rFonts w:ascii="仿宋_GB2312" w:hAnsi="宋体" w:eastAsia="仿宋_GB2312" w:cs="宋体"/>
                <w:kern w:val="0"/>
              </w:rPr>
            </w:pPr>
          </w:p>
        </w:tc>
      </w:tr>
      <w:tr w14:paraId="6CCA6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2BC7D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41777D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0A4DA90">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0FFF28C">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全社会质量意识显著提升</w:t>
            </w:r>
          </w:p>
        </w:tc>
        <w:tc>
          <w:tcPr>
            <w:tcW w:w="1099" w:type="dxa"/>
            <w:vAlign w:val="center"/>
          </w:tcPr>
          <w:p w14:paraId="5C5DDF4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显著提升</w:t>
            </w:r>
          </w:p>
        </w:tc>
        <w:tc>
          <w:tcPr>
            <w:tcW w:w="1099" w:type="dxa"/>
            <w:vAlign w:val="center"/>
          </w:tcPr>
          <w:p w14:paraId="70404FD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47C8502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E044D1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C302788">
            <w:pPr>
              <w:spacing w:line="240" w:lineRule="auto"/>
              <w:ind w:firstLine="420"/>
              <w:jc w:val="center"/>
              <w:rPr>
                <w:rFonts w:ascii="仿宋_GB2312" w:hAnsi="宋体" w:eastAsia="仿宋_GB2312" w:cs="宋体"/>
                <w:kern w:val="0"/>
              </w:rPr>
            </w:pPr>
          </w:p>
        </w:tc>
      </w:tr>
      <w:tr w14:paraId="15ACC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18699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3E68DF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32DB3BA">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1004A844">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环保责任意识显著提升</w:t>
            </w:r>
          </w:p>
        </w:tc>
        <w:tc>
          <w:tcPr>
            <w:tcW w:w="1099" w:type="dxa"/>
            <w:vAlign w:val="center"/>
          </w:tcPr>
          <w:p w14:paraId="1406A9B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显著提升</w:t>
            </w:r>
          </w:p>
        </w:tc>
        <w:tc>
          <w:tcPr>
            <w:tcW w:w="1099" w:type="dxa"/>
            <w:vAlign w:val="center"/>
          </w:tcPr>
          <w:p w14:paraId="0A40957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74B76C6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419AF22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11893DA">
            <w:pPr>
              <w:spacing w:line="240" w:lineRule="auto"/>
              <w:ind w:firstLine="420"/>
              <w:jc w:val="center"/>
              <w:rPr>
                <w:rFonts w:ascii="仿宋_GB2312" w:hAnsi="宋体" w:eastAsia="仿宋_GB2312" w:cs="宋体"/>
                <w:kern w:val="0"/>
              </w:rPr>
            </w:pPr>
          </w:p>
        </w:tc>
      </w:tr>
      <w:tr w14:paraId="63141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7D2BE5A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B9A1E8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10F92F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6C872C26">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构建大质量工作格局，以质为主</w:t>
            </w:r>
          </w:p>
        </w:tc>
        <w:tc>
          <w:tcPr>
            <w:tcW w:w="1099" w:type="dxa"/>
            <w:vAlign w:val="center"/>
          </w:tcPr>
          <w:p w14:paraId="74D4101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提升品牌经济</w:t>
            </w:r>
          </w:p>
        </w:tc>
        <w:tc>
          <w:tcPr>
            <w:tcW w:w="1099" w:type="dxa"/>
            <w:vAlign w:val="center"/>
          </w:tcPr>
          <w:p w14:paraId="0C1C113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02C0C2F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853D65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87AC71F">
            <w:pPr>
              <w:spacing w:line="240" w:lineRule="auto"/>
              <w:ind w:firstLine="420"/>
              <w:jc w:val="center"/>
              <w:rPr>
                <w:rFonts w:ascii="仿宋_GB2312" w:hAnsi="宋体" w:eastAsia="仿宋_GB2312" w:cs="宋体"/>
                <w:kern w:val="0"/>
              </w:rPr>
            </w:pPr>
          </w:p>
        </w:tc>
      </w:tr>
      <w:tr w14:paraId="3CB63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6A20315">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6BA96A2">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8626479">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18999C1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社会公众对质量强市质量提升工作满意度</w:t>
            </w:r>
          </w:p>
        </w:tc>
        <w:tc>
          <w:tcPr>
            <w:tcW w:w="1099" w:type="dxa"/>
            <w:vAlign w:val="center"/>
          </w:tcPr>
          <w:p w14:paraId="634A73A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47562AA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5E5A38F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4F1007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3F8A404">
            <w:pPr>
              <w:spacing w:line="240" w:lineRule="auto"/>
              <w:ind w:firstLine="420"/>
              <w:jc w:val="center"/>
              <w:rPr>
                <w:rFonts w:ascii="仿宋_GB2312" w:hAnsi="宋体" w:eastAsia="仿宋_GB2312" w:cs="宋体"/>
                <w:kern w:val="0"/>
              </w:rPr>
            </w:pPr>
          </w:p>
        </w:tc>
      </w:tr>
      <w:tr w14:paraId="3DF9B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030CB38">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A96901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2CD382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E842718">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615D643B">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依据财务规定支出</w:t>
            </w:r>
          </w:p>
        </w:tc>
        <w:tc>
          <w:tcPr>
            <w:tcW w:w="1099" w:type="dxa"/>
            <w:vAlign w:val="center"/>
          </w:tcPr>
          <w:p w14:paraId="137C30D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专款专用</w:t>
            </w:r>
          </w:p>
        </w:tc>
        <w:tc>
          <w:tcPr>
            <w:tcW w:w="1099" w:type="dxa"/>
            <w:vAlign w:val="center"/>
          </w:tcPr>
          <w:p w14:paraId="1ECD711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4B49D5A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60033A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110C7D20">
            <w:pPr>
              <w:spacing w:line="240" w:lineRule="auto"/>
              <w:ind w:firstLine="420"/>
              <w:jc w:val="center"/>
              <w:rPr>
                <w:rFonts w:ascii="仿宋_GB2312" w:hAnsi="宋体" w:eastAsia="仿宋_GB2312" w:cs="宋体"/>
                <w:kern w:val="0"/>
              </w:rPr>
            </w:pPr>
          </w:p>
        </w:tc>
      </w:tr>
      <w:tr w14:paraId="3CA0E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E87963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0D664C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4B2B82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0640C14B">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对社会发展可能造成的负面影响</w:t>
            </w:r>
          </w:p>
        </w:tc>
        <w:tc>
          <w:tcPr>
            <w:tcW w:w="1099" w:type="dxa"/>
            <w:vAlign w:val="center"/>
          </w:tcPr>
          <w:p w14:paraId="2D9A0B7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1BA9073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21BD6F6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52C950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DDA4095">
            <w:pPr>
              <w:spacing w:line="240" w:lineRule="auto"/>
              <w:ind w:firstLine="420"/>
              <w:jc w:val="center"/>
              <w:rPr>
                <w:rFonts w:ascii="仿宋_GB2312" w:hAnsi="宋体" w:eastAsia="仿宋_GB2312" w:cs="宋体"/>
                <w:kern w:val="0"/>
              </w:rPr>
            </w:pPr>
          </w:p>
        </w:tc>
      </w:tr>
      <w:tr w14:paraId="390D8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7ECAEA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0B8C08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4418F7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4310EE5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对自然生态环境造成的负面影响</w:t>
            </w:r>
          </w:p>
        </w:tc>
        <w:tc>
          <w:tcPr>
            <w:tcW w:w="1099" w:type="dxa"/>
            <w:vAlign w:val="center"/>
          </w:tcPr>
          <w:p w14:paraId="7D764C9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734DA51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45A05E0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A46A61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D726B39">
            <w:pPr>
              <w:spacing w:line="240" w:lineRule="auto"/>
              <w:ind w:firstLine="420"/>
              <w:jc w:val="center"/>
              <w:rPr>
                <w:rFonts w:ascii="仿宋_GB2312" w:hAnsi="宋体" w:eastAsia="仿宋_GB2312" w:cs="宋体"/>
                <w:kern w:val="0"/>
              </w:rPr>
            </w:pPr>
          </w:p>
        </w:tc>
      </w:tr>
      <w:tr w14:paraId="6816C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AB5780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7FFD818">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03A1BC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11C1918">
            <w:pPr>
              <w:spacing w:line="240" w:lineRule="auto"/>
              <w:ind w:firstLine="420"/>
              <w:jc w:val="center"/>
              <w:rPr>
                <w:rFonts w:ascii="仿宋_GB2312" w:hAnsi="宋体" w:eastAsia="仿宋_GB2312" w:cs="宋体"/>
                <w:kern w:val="0"/>
              </w:rPr>
            </w:pPr>
          </w:p>
        </w:tc>
      </w:tr>
    </w:tbl>
    <w:p w14:paraId="55C2777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3A41118">
      <w:pPr>
        <w:spacing w:line="240" w:lineRule="auto"/>
        <w:ind w:firstLine="420"/>
        <w:jc w:val="left"/>
        <w:rPr>
          <w:rFonts w:ascii="宋体" w:hAnsi="宋体" w:eastAsia="宋体" w:cs="宋体"/>
          <w:kern w:val="0"/>
          <w:lang w:eastAsia="zh-CN"/>
        </w:rPr>
      </w:pPr>
    </w:p>
    <w:p w14:paraId="3FB4CE0D">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汨罗市市场监督管理局</w:t>
      </w: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w:t>
      </w:r>
    </w:p>
    <w:p w14:paraId="4E3D087B">
      <w:pPr>
        <w:spacing w:line="240" w:lineRule="auto"/>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405FD6B">
      <w:pPr>
        <w:pStyle w:val="3"/>
        <w:jc w:val="left"/>
        <w:rPr>
          <w:rFonts w:asciiTheme="minorEastAsia" w:hAnsiTheme="minorEastAsia" w:eastAsiaTheme="minorEastAsia"/>
          <w:kern w:val="0"/>
          <w:lang w:eastAsia="zh-CN"/>
        </w:rPr>
      </w:pPr>
    </w:p>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汨罗市市场监督管理局</w:t>
      </w:r>
      <w:r>
        <w:rPr>
          <w:rFonts w:ascii="黑体" w:hAnsi="黑体" w:eastAsia="黑体" w:cs="黑体"/>
          <w:spacing w:val="16"/>
          <w:sz w:val="40"/>
          <w:szCs w:val="40"/>
        </w:rPr>
        <w:t>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03D850F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11" w:line="560" w:lineRule="exact"/>
        <w:ind w:firstLine="640"/>
        <w:jc w:val="both"/>
        <w:textAlignment w:val="baseline"/>
        <w:rPr>
          <w:rFonts w:hint="default" w:ascii="Times New Roman" w:hAnsi="Times New Roman" w:eastAsia="方正黑体_GBK" w:cs="Times New Roman"/>
          <w:snapToGrid w:val="0"/>
          <w:color w:val="000000"/>
          <w:sz w:val="32"/>
          <w:szCs w:val="32"/>
          <w:lang w:val="en-US" w:eastAsia="zh-CN" w:bidi="ar-SA"/>
        </w:rPr>
      </w:pPr>
      <w:r>
        <w:rPr>
          <w:rFonts w:hint="default" w:ascii="Times New Roman" w:hAnsi="Times New Roman" w:eastAsia="方正黑体_GBK" w:cs="Times New Roman"/>
          <w:snapToGrid w:val="0"/>
          <w:color w:val="000000"/>
          <w:sz w:val="32"/>
          <w:szCs w:val="32"/>
          <w:lang w:val="en-US" w:eastAsia="zh-CN" w:bidi="ar-SA"/>
        </w:rPr>
        <w:t>部门（单位）概况</w:t>
      </w:r>
    </w:p>
    <w:p w14:paraId="61AD0B00">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val="en-US" w:eastAsia="zh-CN"/>
        </w:rPr>
        <w:t>（一）部门（单位）基本情况。汨罗市市场监督管理局内设</w:t>
      </w:r>
      <w:r>
        <w:rPr>
          <w:rFonts w:hint="default" w:ascii="Times New Roman" w:hAnsi="Times New Roman" w:eastAsia="仿宋" w:cs="Times New Roman"/>
          <w:kern w:val="0"/>
          <w:sz w:val="32"/>
          <w:szCs w:val="32"/>
          <w:highlight w:val="none"/>
          <w:lang w:val="en-US" w:eastAsia="zh-CN"/>
        </w:rPr>
        <w:t>54个股、室</w:t>
      </w:r>
      <w:r>
        <w:rPr>
          <w:rFonts w:hint="default" w:ascii="Times New Roman" w:hAnsi="Times New Roman" w:eastAsia="仿宋" w:cs="Times New Roman"/>
          <w:kern w:val="0"/>
          <w:sz w:val="32"/>
          <w:szCs w:val="32"/>
          <w:lang w:val="en-US" w:eastAsia="zh-CN"/>
        </w:rPr>
        <w:t>、所、队。全局现</w:t>
      </w:r>
      <w:r>
        <w:rPr>
          <w:rFonts w:hint="default" w:ascii="Times New Roman" w:hAnsi="Times New Roman" w:eastAsia="仿宋" w:cs="Times New Roman"/>
          <w:kern w:val="0"/>
          <w:sz w:val="32"/>
          <w:szCs w:val="32"/>
          <w:highlight w:val="none"/>
          <w:lang w:val="en-US" w:eastAsia="zh-CN"/>
        </w:rPr>
        <w:t>有</w:t>
      </w:r>
      <w:r>
        <w:rPr>
          <w:rFonts w:hint="eastAsia" w:ascii="Times New Roman" w:hAnsi="Times New Roman" w:eastAsia="仿宋" w:cs="Times New Roman"/>
          <w:kern w:val="0"/>
          <w:sz w:val="32"/>
          <w:szCs w:val="32"/>
          <w:highlight w:val="none"/>
          <w:lang w:val="en-US" w:eastAsia="zh-CN"/>
        </w:rPr>
        <w:t>376</w:t>
      </w:r>
      <w:r>
        <w:rPr>
          <w:rFonts w:hint="default" w:ascii="Times New Roman" w:hAnsi="Times New Roman" w:eastAsia="仿宋" w:cs="Times New Roman"/>
          <w:kern w:val="0"/>
          <w:sz w:val="32"/>
          <w:szCs w:val="32"/>
          <w:lang w:val="en-US" w:eastAsia="zh-CN"/>
        </w:rPr>
        <w:t>人，其中：在职</w:t>
      </w:r>
      <w:r>
        <w:rPr>
          <w:rFonts w:hint="eastAsia" w:ascii="Times New Roman" w:hAnsi="Times New Roman" w:eastAsia="仿宋" w:cs="Times New Roman"/>
          <w:kern w:val="0"/>
          <w:sz w:val="32"/>
          <w:szCs w:val="32"/>
          <w:lang w:val="en-US" w:eastAsia="zh-CN"/>
        </w:rPr>
        <w:t>274</w:t>
      </w:r>
      <w:r>
        <w:rPr>
          <w:rFonts w:hint="default" w:ascii="Times New Roman" w:hAnsi="Times New Roman" w:eastAsia="仿宋" w:cs="Times New Roman"/>
          <w:kern w:val="0"/>
          <w:sz w:val="32"/>
          <w:szCs w:val="32"/>
          <w:lang w:val="en-US" w:eastAsia="zh-CN"/>
        </w:rPr>
        <w:t>人，退休1</w:t>
      </w:r>
      <w:r>
        <w:rPr>
          <w:rFonts w:hint="eastAsia" w:ascii="Times New Roman" w:hAnsi="Times New Roman" w:eastAsia="仿宋" w:cs="Times New Roman"/>
          <w:kern w:val="0"/>
          <w:sz w:val="32"/>
          <w:szCs w:val="32"/>
          <w:lang w:val="en-US" w:eastAsia="zh-CN"/>
        </w:rPr>
        <w:t>02</w:t>
      </w:r>
      <w:r>
        <w:rPr>
          <w:rFonts w:hint="default" w:ascii="Times New Roman" w:hAnsi="Times New Roman" w:eastAsia="仿宋" w:cs="Times New Roman"/>
          <w:kern w:val="0"/>
          <w:sz w:val="32"/>
          <w:szCs w:val="32"/>
          <w:lang w:val="en-US" w:eastAsia="zh-CN"/>
        </w:rPr>
        <w:t>人，遗属</w:t>
      </w:r>
      <w:r>
        <w:rPr>
          <w:rFonts w:hint="eastAsia" w:ascii="Times New Roman" w:hAnsi="Times New Roman" w:eastAsia="仿宋" w:cs="Times New Roman"/>
          <w:kern w:val="0"/>
          <w:sz w:val="32"/>
          <w:szCs w:val="32"/>
          <w:lang w:val="en-US" w:eastAsia="zh-CN"/>
        </w:rPr>
        <w:t>7</w:t>
      </w:r>
      <w:r>
        <w:rPr>
          <w:rFonts w:hint="default" w:ascii="Times New Roman" w:hAnsi="Times New Roman" w:eastAsia="仿宋" w:cs="Times New Roman"/>
          <w:kern w:val="0"/>
          <w:sz w:val="32"/>
          <w:szCs w:val="32"/>
          <w:lang w:val="en-US" w:eastAsia="zh-CN"/>
        </w:rPr>
        <w:t>人。公务用车实有数</w:t>
      </w:r>
      <w:r>
        <w:rPr>
          <w:rFonts w:hint="eastAsia" w:ascii="Times New Roman" w:hAnsi="Times New Roman" w:eastAsia="仿宋" w:cs="Times New Roman"/>
          <w:kern w:val="0"/>
          <w:sz w:val="32"/>
          <w:szCs w:val="32"/>
          <w:lang w:val="en-US" w:eastAsia="zh-CN"/>
        </w:rPr>
        <w:t>7</w:t>
      </w:r>
      <w:bookmarkStart w:id="0" w:name="_GoBack"/>
      <w:bookmarkEnd w:id="0"/>
      <w:r>
        <w:rPr>
          <w:rFonts w:hint="default" w:ascii="Times New Roman" w:hAnsi="Times New Roman" w:eastAsia="仿宋" w:cs="Times New Roman"/>
          <w:kern w:val="0"/>
          <w:sz w:val="32"/>
          <w:szCs w:val="32"/>
          <w:lang w:val="en-US" w:eastAsia="zh-CN"/>
        </w:rPr>
        <w:t>辆。</w:t>
      </w:r>
    </w:p>
    <w:p w14:paraId="0B0F12B9">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val="en-US" w:eastAsia="zh-CN"/>
        </w:rPr>
        <w:t xml:space="preserve">（二）部门（单位）整体支出规模、使用方向和主要内容、涉及范围。   </w:t>
      </w:r>
    </w:p>
    <w:p w14:paraId="708532A0">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val="en-US" w:eastAsia="zh-CN"/>
        </w:rPr>
        <w:t>2024年，我局财务始终坚持以预算管理为中心，重点从“保障人员经费、执法办案经费，各所基本经费、严格执行审批报销程序、重大开支及专项开支先预算报告后报局党组审批”等方面着手推行精细化管理，加强了财务日常监管，严格执行了预算。</w:t>
      </w:r>
    </w:p>
    <w:p w14:paraId="60F4B877">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val="en-US" w:eastAsia="zh-CN"/>
        </w:rPr>
        <w:t>支出做到了以下几点：</w:t>
      </w:r>
    </w:p>
    <w:p w14:paraId="7DFDAE10">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val="en-US" w:eastAsia="zh-CN"/>
        </w:rPr>
        <w:t>1、预算计划执行到位，特别是公务接待出国（境）、车辆购置、车辆运行经费、招待费、会议费等经费的支出，严格按照文件精神，实行了压缩支出。</w:t>
      </w:r>
    </w:p>
    <w:p w14:paraId="0C1B2D13">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val="en-US" w:eastAsia="zh-CN"/>
        </w:rPr>
        <w:t>2、资金的使用符合国家财经法规和财务管理制度规定，符合部门预算批复的用途，资金使用无截留、挤占、挪用、虚列支出等情况。</w:t>
      </w:r>
    </w:p>
    <w:p w14:paraId="77F6B45E">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3、按规定内容、时限公开了预决算信息，且保证了基础数据信息和会计信息资料的真实性。</w:t>
      </w:r>
    </w:p>
    <w:p w14:paraId="74643F0E">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方正黑体_GBK" w:cs="Times New Roman"/>
          <w:kern w:val="0"/>
          <w:sz w:val="32"/>
          <w:szCs w:val="32"/>
          <w:lang w:eastAsia="zh-CN"/>
        </w:rPr>
      </w:pPr>
      <w:r>
        <w:rPr>
          <w:rFonts w:hint="default" w:ascii="Times New Roman" w:hAnsi="Times New Roman" w:eastAsia="方正黑体_GBK" w:cs="Times New Roman"/>
          <w:kern w:val="0"/>
          <w:sz w:val="32"/>
          <w:szCs w:val="32"/>
          <w:lang w:eastAsia="zh-CN"/>
        </w:rPr>
        <w:t>二、部门（单位）整体支出管理及使用情况</w:t>
      </w:r>
    </w:p>
    <w:p w14:paraId="10F9D583">
      <w:pPr>
        <w:keepNext w:val="0"/>
        <w:keepLines w:val="0"/>
        <w:pageBreakBefore w:val="0"/>
        <w:widowControl/>
        <w:numPr>
          <w:ilvl w:val="0"/>
          <w:numId w:val="0"/>
        </w:numPr>
        <w:suppressLineNumbers w:val="0"/>
        <w:wordWrap/>
        <w:overflowPunct/>
        <w:topLinePunct w:val="0"/>
        <w:bidi w:val="0"/>
        <w:spacing w:line="560" w:lineRule="exact"/>
        <w:ind w:firstLine="643" w:firstLineChars="200"/>
        <w:jc w:val="left"/>
        <w:textAlignment w:val="top"/>
        <w:rPr>
          <w:rStyle w:val="11"/>
          <w:rFonts w:hint="default" w:ascii="Times New Roman" w:hAnsi="Times New Roman" w:eastAsia="仿宋" w:cs="Times New Roman"/>
          <w:snapToGrid w:val="0"/>
          <w:color w:val="000000"/>
          <w:sz w:val="32"/>
          <w:szCs w:val="32"/>
          <w:u w:val="none"/>
          <w:lang w:val="en-US" w:eastAsia="zh-CN" w:bidi="ar"/>
        </w:rPr>
      </w:pPr>
      <w:r>
        <w:rPr>
          <w:rFonts w:hint="default" w:ascii="Times New Roman" w:hAnsi="Times New Roman" w:eastAsia="仿宋" w:cs="Times New Roman"/>
          <w:b/>
          <w:kern w:val="0"/>
          <w:sz w:val="32"/>
          <w:szCs w:val="32"/>
          <w:lang w:eastAsia="zh-CN"/>
        </w:rPr>
        <w:t>（一）</w:t>
      </w:r>
      <w:r>
        <w:rPr>
          <w:rFonts w:hint="default" w:ascii="Times New Roman" w:hAnsi="Times New Roman" w:eastAsia="仿宋" w:cs="Times New Roman"/>
          <w:snapToGrid w:val="0"/>
          <w:color w:val="000000"/>
          <w:kern w:val="0"/>
          <w:sz w:val="32"/>
          <w:szCs w:val="32"/>
          <w:lang w:val="en-US" w:eastAsia="zh-CN" w:bidi="ar-SA"/>
        </w:rPr>
        <w:t>基本支出</w:t>
      </w:r>
    </w:p>
    <w:p w14:paraId="3C1AB837">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1、基本支出。2024年全局基本</w:t>
      </w:r>
      <w:r>
        <w:rPr>
          <w:rFonts w:hint="default" w:ascii="Times New Roman" w:hAnsi="Times New Roman" w:eastAsia="仿宋" w:cs="Times New Roman"/>
          <w:kern w:val="0"/>
          <w:sz w:val="32"/>
          <w:szCs w:val="32"/>
          <w:highlight w:val="none"/>
          <w:lang w:val="en-US" w:eastAsia="zh-CN"/>
        </w:rPr>
        <w:t>支出</w:t>
      </w:r>
      <w:r>
        <w:rPr>
          <w:rFonts w:hint="eastAsia" w:ascii="Times New Roman" w:hAnsi="Times New Roman" w:eastAsia="仿宋" w:cs="Times New Roman"/>
          <w:kern w:val="0"/>
          <w:sz w:val="32"/>
          <w:szCs w:val="32"/>
          <w:highlight w:val="none"/>
          <w:lang w:val="en-US" w:eastAsia="zh-CN"/>
        </w:rPr>
        <w:t>5076.73</w:t>
      </w:r>
      <w:r>
        <w:rPr>
          <w:rFonts w:hint="default" w:ascii="Times New Roman" w:hAnsi="Times New Roman" w:eastAsia="仿宋" w:cs="Times New Roman"/>
          <w:kern w:val="0"/>
          <w:sz w:val="32"/>
          <w:szCs w:val="32"/>
          <w:highlight w:val="none"/>
          <w:lang w:val="en-US" w:eastAsia="zh-CN"/>
        </w:rPr>
        <w:t>万元，其中人员经费</w:t>
      </w:r>
      <w:r>
        <w:rPr>
          <w:rFonts w:hint="eastAsia" w:ascii="Times New Roman" w:hAnsi="Times New Roman" w:eastAsia="仿宋" w:cs="Times New Roman"/>
          <w:kern w:val="0"/>
          <w:sz w:val="32"/>
          <w:szCs w:val="32"/>
          <w:highlight w:val="none"/>
          <w:lang w:val="en-US" w:eastAsia="zh-CN"/>
        </w:rPr>
        <w:t>2901.60</w:t>
      </w:r>
      <w:r>
        <w:rPr>
          <w:rFonts w:hint="default" w:ascii="Times New Roman" w:hAnsi="Times New Roman" w:eastAsia="仿宋" w:cs="Times New Roman"/>
          <w:kern w:val="0"/>
          <w:sz w:val="32"/>
          <w:szCs w:val="32"/>
          <w:highlight w:val="none"/>
          <w:lang w:val="en-US" w:eastAsia="zh-CN"/>
        </w:rPr>
        <w:t>万元，公用经费</w:t>
      </w:r>
      <w:r>
        <w:rPr>
          <w:rFonts w:hint="eastAsia" w:ascii="Times New Roman" w:hAnsi="Times New Roman" w:eastAsia="仿宋" w:cs="Times New Roman"/>
          <w:kern w:val="0"/>
          <w:sz w:val="32"/>
          <w:szCs w:val="32"/>
          <w:highlight w:val="none"/>
          <w:lang w:val="en-US" w:eastAsia="zh-CN"/>
        </w:rPr>
        <w:t>599.96</w:t>
      </w:r>
      <w:r>
        <w:rPr>
          <w:rFonts w:hint="default" w:ascii="Times New Roman" w:hAnsi="Times New Roman" w:eastAsia="仿宋" w:cs="Times New Roman"/>
          <w:kern w:val="0"/>
          <w:sz w:val="32"/>
          <w:szCs w:val="32"/>
          <w:highlight w:val="none"/>
          <w:lang w:val="en-US" w:eastAsia="zh-CN"/>
        </w:rPr>
        <w:t>万元。其中三公经费</w:t>
      </w:r>
      <w:r>
        <w:rPr>
          <w:rFonts w:hint="eastAsia" w:ascii="Times New Roman" w:hAnsi="Times New Roman" w:eastAsia="仿宋" w:cs="Times New Roman"/>
          <w:kern w:val="0"/>
          <w:sz w:val="32"/>
          <w:szCs w:val="32"/>
          <w:highlight w:val="none"/>
          <w:lang w:val="en-US" w:eastAsia="zh-CN"/>
        </w:rPr>
        <w:t>45</w:t>
      </w:r>
      <w:r>
        <w:rPr>
          <w:rFonts w:hint="default" w:ascii="Times New Roman" w:hAnsi="Times New Roman" w:eastAsia="仿宋" w:cs="Times New Roman"/>
          <w:kern w:val="0"/>
          <w:sz w:val="32"/>
          <w:szCs w:val="32"/>
          <w:highlight w:val="none"/>
          <w:lang w:val="en-US" w:eastAsia="zh-CN"/>
        </w:rPr>
        <w:t>万元：公务接待费</w:t>
      </w:r>
      <w:r>
        <w:rPr>
          <w:rFonts w:hint="eastAsia" w:ascii="Times New Roman" w:hAnsi="Times New Roman" w:eastAsia="仿宋" w:cs="Times New Roman"/>
          <w:kern w:val="0"/>
          <w:sz w:val="32"/>
          <w:szCs w:val="32"/>
          <w:highlight w:val="none"/>
          <w:lang w:val="en-US" w:eastAsia="zh-CN"/>
        </w:rPr>
        <w:t>19</w:t>
      </w:r>
      <w:r>
        <w:rPr>
          <w:rFonts w:hint="default" w:ascii="Times New Roman" w:hAnsi="Times New Roman" w:eastAsia="仿宋" w:cs="Times New Roman"/>
          <w:kern w:val="0"/>
          <w:sz w:val="32"/>
          <w:szCs w:val="32"/>
          <w:highlight w:val="none"/>
          <w:lang w:val="en-US" w:eastAsia="zh-CN"/>
        </w:rPr>
        <w:t>万元，公务用车辆及运行费</w:t>
      </w:r>
      <w:r>
        <w:rPr>
          <w:rFonts w:hint="eastAsia" w:ascii="Times New Roman" w:hAnsi="Times New Roman" w:eastAsia="仿宋" w:cs="Times New Roman"/>
          <w:kern w:val="0"/>
          <w:sz w:val="32"/>
          <w:szCs w:val="32"/>
          <w:highlight w:val="none"/>
          <w:lang w:val="en-US" w:eastAsia="zh-CN"/>
        </w:rPr>
        <w:t>26</w:t>
      </w:r>
      <w:r>
        <w:rPr>
          <w:rFonts w:hint="default" w:ascii="Times New Roman" w:hAnsi="Times New Roman" w:eastAsia="仿宋" w:cs="Times New Roman"/>
          <w:kern w:val="0"/>
          <w:sz w:val="32"/>
          <w:szCs w:val="32"/>
          <w:highlight w:val="none"/>
          <w:lang w:val="en-US" w:eastAsia="zh-CN"/>
        </w:rPr>
        <w:t>万元。</w:t>
      </w:r>
      <w:r>
        <w:rPr>
          <w:rFonts w:hint="default" w:ascii="Times New Roman" w:hAnsi="Times New Roman" w:eastAsia="仿宋" w:cs="Times New Roman"/>
          <w:kern w:val="0"/>
          <w:sz w:val="32"/>
          <w:szCs w:val="32"/>
          <w:lang w:val="en-US" w:eastAsia="zh-CN"/>
        </w:rPr>
        <w:t>全年无新建楼堂馆。</w:t>
      </w:r>
    </w:p>
    <w:p w14:paraId="4EE89970">
      <w:pPr>
        <w:pStyle w:val="10"/>
        <w:keepNext w:val="0"/>
        <w:keepLines w:val="0"/>
        <w:pageBreakBefore w:val="0"/>
        <w:widowControl/>
        <w:wordWrap/>
        <w:overflowPunct/>
        <w:topLinePunct w:val="0"/>
        <w:bidi w:val="0"/>
        <w:spacing w:line="560" w:lineRule="exact"/>
        <w:ind w:firstLine="643"/>
        <w:jc w:val="both"/>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b/>
          <w:kern w:val="0"/>
          <w:sz w:val="32"/>
          <w:szCs w:val="32"/>
          <w:lang w:eastAsia="zh-CN"/>
        </w:rPr>
        <w:t>（二）</w:t>
      </w:r>
      <w:r>
        <w:rPr>
          <w:rFonts w:hint="default" w:ascii="Times New Roman" w:hAnsi="Times New Roman" w:eastAsia="仿宋" w:cs="Times New Roman"/>
          <w:kern w:val="0"/>
          <w:sz w:val="32"/>
          <w:szCs w:val="32"/>
          <w:lang w:eastAsia="zh-CN"/>
        </w:rPr>
        <w:t>专项支出</w:t>
      </w:r>
    </w:p>
    <w:p w14:paraId="41554611">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（1）专项资金（包括财政资金、自筹资金等）安排落实、总投入等情况分析。</w:t>
      </w:r>
      <w:r>
        <w:rPr>
          <w:rFonts w:hint="default" w:ascii="Times New Roman" w:hAnsi="Times New Roman" w:eastAsia="仿宋" w:cs="Times New Roman"/>
          <w:kern w:val="0"/>
          <w:sz w:val="32"/>
          <w:szCs w:val="32"/>
          <w:highlight w:val="none"/>
          <w:lang w:val="en-US" w:eastAsia="zh-CN"/>
        </w:rPr>
        <w:t>2024年我局项目支出</w:t>
      </w:r>
      <w:r>
        <w:rPr>
          <w:rFonts w:hint="eastAsia" w:ascii="Times New Roman" w:hAnsi="Times New Roman" w:eastAsia="仿宋" w:cs="Times New Roman"/>
          <w:kern w:val="0"/>
          <w:sz w:val="32"/>
          <w:szCs w:val="32"/>
          <w:highlight w:val="none"/>
          <w:lang w:val="en-US" w:eastAsia="zh-CN"/>
        </w:rPr>
        <w:t>1575.18</w:t>
      </w:r>
      <w:r>
        <w:rPr>
          <w:rFonts w:hint="default" w:ascii="Times New Roman" w:hAnsi="Times New Roman" w:eastAsia="仿宋" w:cs="Times New Roman"/>
          <w:kern w:val="0"/>
          <w:sz w:val="32"/>
          <w:szCs w:val="32"/>
          <w:highlight w:val="none"/>
          <w:lang w:val="en-US" w:eastAsia="zh-CN"/>
        </w:rPr>
        <w:t>万元，</w:t>
      </w:r>
      <w:r>
        <w:rPr>
          <w:rFonts w:hint="default" w:ascii="Times New Roman" w:hAnsi="Times New Roman" w:eastAsia="仿宋" w:cs="Times New Roman"/>
          <w:kern w:val="0"/>
          <w:sz w:val="32"/>
          <w:szCs w:val="32"/>
          <w:lang w:val="en-US" w:eastAsia="zh-CN"/>
        </w:rPr>
        <w:t xml:space="preserve">主要用于市场监督管理专项、消费者权益保护、检测能力提升、特种设备安全监察、食品安全抽检、食品安全事务、食品快检车配套试剂、知识产权保护、专利购买及维护、电子商务监管、创建省级食品安全示范县、智慧监管指挥中心创建等。                                                            </w:t>
      </w:r>
    </w:p>
    <w:p w14:paraId="70DE2056">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val="en-US" w:eastAsia="zh-CN"/>
        </w:rPr>
        <w:t>（2）专项资金（主要指财政资金）实际使用情况分析。                                      支出做到了以下几点：</w:t>
      </w:r>
    </w:p>
    <w:p w14:paraId="35DE4CC4">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val="en-US" w:eastAsia="zh-CN"/>
        </w:rPr>
        <w:t>1、预算计划执行到位，特别是公务接待出国（境）、车辆购置、车辆运行经费、招待费、会议费等经费的支出，严格按照文件精神，实行了压缩支出。</w:t>
      </w:r>
    </w:p>
    <w:p w14:paraId="1C1C8AC2">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val="en-US" w:eastAsia="zh-CN"/>
        </w:rPr>
        <w:t>2、资金的使用符合国家财经法规和财务管理制度规定，符合部门预算批复的用途，资金使用无截留、挤占、挪用、虚列支出等情况。</w:t>
      </w:r>
    </w:p>
    <w:p w14:paraId="0E0A7FB6">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val="en-US" w:eastAsia="zh-CN"/>
        </w:rPr>
        <w:t>3、按规定内容、时限公开了预决算信息，且保证了基础数据信息和会计信息资料的真实性。</w:t>
      </w:r>
    </w:p>
    <w:p w14:paraId="7B93C1B4">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方正黑体_GBK" w:cs="Times New Roman"/>
          <w:kern w:val="0"/>
          <w:sz w:val="32"/>
          <w:szCs w:val="32"/>
          <w:lang w:eastAsia="zh-CN"/>
        </w:rPr>
      </w:pPr>
      <w:r>
        <w:rPr>
          <w:rFonts w:hint="default" w:ascii="Times New Roman" w:hAnsi="Times New Roman" w:eastAsia="方正黑体_GBK" w:cs="Times New Roman"/>
          <w:kern w:val="0"/>
          <w:sz w:val="32"/>
          <w:szCs w:val="32"/>
          <w:lang w:eastAsia="zh-CN"/>
        </w:rPr>
        <w:t>三、部门（单位）专项组织实施情况</w:t>
      </w:r>
    </w:p>
    <w:p w14:paraId="45D28B3F">
      <w:pPr>
        <w:keepNext w:val="0"/>
        <w:keepLines w:val="0"/>
        <w:pageBreakBefore w:val="0"/>
        <w:widowControl/>
        <w:suppressLineNumbers w:val="0"/>
        <w:wordWrap/>
        <w:overflowPunct/>
        <w:topLinePunct w:val="0"/>
        <w:bidi w:val="0"/>
        <w:spacing w:line="560" w:lineRule="exact"/>
        <w:ind w:firstLine="640" w:firstLineChars="200"/>
        <w:jc w:val="left"/>
        <w:textAlignment w:val="top"/>
        <w:rPr>
          <w:rStyle w:val="11"/>
          <w:rFonts w:hint="default" w:ascii="Times New Roman" w:hAnsi="Times New Roman" w:eastAsia="仿宋" w:cs="Times New Roman"/>
          <w:snapToGrid w:val="0"/>
          <w:color w:val="000000"/>
          <w:sz w:val="32"/>
          <w:szCs w:val="32"/>
          <w:u w:val="none"/>
          <w:lang w:val="en-US" w:eastAsia="zh-CN" w:bidi="ar"/>
        </w:rPr>
      </w:pPr>
      <w:r>
        <w:rPr>
          <w:rStyle w:val="11"/>
          <w:rFonts w:hint="default" w:ascii="Times New Roman" w:hAnsi="Times New Roman" w:eastAsia="仿宋" w:cs="Times New Roman"/>
          <w:snapToGrid w:val="0"/>
          <w:color w:val="000000"/>
          <w:sz w:val="32"/>
          <w:szCs w:val="32"/>
          <w:u w:val="none"/>
          <w:lang w:val="en-US" w:eastAsia="zh-CN" w:bidi="ar"/>
        </w:rPr>
        <w:t>1、严格预算管理。 通过严格按年初“收支预算计划”抓落实，科学运用资金合理流动，统筹安排资金合理提留，本着我局的实际情况，发挥资金效能，既严肃了财经纪律，又提高了资金的使用效益，保证了预算的严格执行，确保了我局的正常运转。</w:t>
      </w:r>
    </w:p>
    <w:p w14:paraId="1A5F6D06">
      <w:pPr>
        <w:keepNext w:val="0"/>
        <w:keepLines w:val="0"/>
        <w:pageBreakBefore w:val="0"/>
        <w:widowControl/>
        <w:suppressLineNumbers w:val="0"/>
        <w:wordWrap/>
        <w:overflowPunct/>
        <w:topLinePunct w:val="0"/>
        <w:bidi w:val="0"/>
        <w:spacing w:line="560" w:lineRule="exact"/>
        <w:ind w:firstLine="640" w:firstLineChars="200"/>
        <w:jc w:val="left"/>
        <w:textAlignment w:val="top"/>
        <w:rPr>
          <w:rStyle w:val="11"/>
          <w:rFonts w:hint="default" w:ascii="Times New Roman" w:hAnsi="Times New Roman" w:eastAsia="仿宋" w:cs="Times New Roman"/>
          <w:snapToGrid w:val="0"/>
          <w:color w:val="000000"/>
          <w:sz w:val="32"/>
          <w:szCs w:val="32"/>
          <w:u w:val="none"/>
          <w:lang w:val="en-US" w:eastAsia="zh-CN" w:bidi="ar"/>
        </w:rPr>
      </w:pPr>
      <w:r>
        <w:rPr>
          <w:rStyle w:val="11"/>
          <w:rFonts w:hint="default" w:ascii="Times New Roman" w:hAnsi="Times New Roman" w:eastAsia="仿宋" w:cs="Times New Roman"/>
          <w:snapToGrid w:val="0"/>
          <w:color w:val="000000"/>
          <w:sz w:val="32"/>
          <w:szCs w:val="32"/>
          <w:u w:val="none"/>
          <w:lang w:val="en-US" w:eastAsia="zh-CN" w:bidi="ar"/>
        </w:rPr>
        <w:t>2、规范会计基础工作，严格资金审批制度。坚持从细微处入，按照《会计基础工作规范》要求处理每一笔经济业务，在资金管理上，全面推行精细化管理，做到“严格一支笔审批，一个标准开支，一个口子报帐”，统一核算，归口管理。严格执行限额和集体研究审批制度。确保了年初预算的各项经费指标真正落到了实处，保证了财务数据报送及时、内容真实完整、数字准确。</w:t>
      </w:r>
    </w:p>
    <w:p w14:paraId="790CFA85">
      <w:pPr>
        <w:keepNext w:val="0"/>
        <w:keepLines w:val="0"/>
        <w:pageBreakBefore w:val="0"/>
        <w:widowControl/>
        <w:suppressLineNumbers w:val="0"/>
        <w:wordWrap/>
        <w:overflowPunct/>
        <w:topLinePunct w:val="0"/>
        <w:bidi w:val="0"/>
        <w:spacing w:line="560" w:lineRule="exact"/>
        <w:ind w:firstLine="640" w:firstLineChars="200"/>
        <w:jc w:val="left"/>
        <w:textAlignment w:val="top"/>
        <w:rPr>
          <w:rStyle w:val="11"/>
          <w:rFonts w:hint="default" w:ascii="Times New Roman" w:hAnsi="Times New Roman" w:eastAsia="仿宋" w:cs="Times New Roman"/>
          <w:snapToGrid w:val="0"/>
          <w:color w:val="000000"/>
          <w:sz w:val="32"/>
          <w:szCs w:val="32"/>
          <w:u w:val="none"/>
          <w:lang w:val="en-US" w:eastAsia="zh-CN" w:bidi="ar"/>
        </w:rPr>
      </w:pPr>
      <w:r>
        <w:rPr>
          <w:rStyle w:val="11"/>
          <w:rFonts w:hint="default" w:ascii="Times New Roman" w:hAnsi="Times New Roman" w:eastAsia="仿宋" w:cs="Times New Roman"/>
          <w:snapToGrid w:val="0"/>
          <w:color w:val="000000"/>
          <w:sz w:val="32"/>
          <w:szCs w:val="32"/>
          <w:u w:val="none"/>
          <w:lang w:val="en-US" w:eastAsia="zh-CN" w:bidi="ar"/>
        </w:rPr>
        <w:t>3、科学理财，管好用活各项资金。结合我局实际情况，积极推行精细化管理，按照相关文件精神，严格控制消费性支出。</w:t>
      </w:r>
    </w:p>
    <w:p w14:paraId="592861C1">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方正黑体_GBK" w:cs="Times New Roman"/>
          <w:kern w:val="0"/>
          <w:sz w:val="32"/>
          <w:szCs w:val="32"/>
          <w:lang w:eastAsia="zh-CN"/>
        </w:rPr>
      </w:pPr>
      <w:r>
        <w:rPr>
          <w:rStyle w:val="11"/>
          <w:rFonts w:hint="default" w:ascii="Times New Roman" w:hAnsi="Times New Roman" w:eastAsia="仿宋" w:cs="Times New Roman"/>
          <w:snapToGrid w:val="0"/>
          <w:color w:val="000000"/>
          <w:sz w:val="32"/>
          <w:szCs w:val="32"/>
          <w:u w:val="none"/>
          <w:lang w:val="en-US" w:eastAsia="zh-CN" w:bidi="ar"/>
        </w:rPr>
        <w:t>建立、健全财务规章制度，大力推行政府集中采购制。年初，针对财务管理出现的新情况、新问题，也为了使我局的财务管理工作更加规范化、科学化、制度化，制定了财务股长、财务会计、出纳及票证会计岗位责任制，会计稽核制度、会计内部牵制制度、固定资产管理制度、档案管理制度及会计电算化操作管理制度。</w:t>
      </w:r>
    </w:p>
    <w:p w14:paraId="033CC9F1">
      <w:pPr>
        <w:keepNext w:val="0"/>
        <w:keepLines w:val="0"/>
        <w:pageBreakBefore w:val="0"/>
        <w:widowControl/>
        <w:numPr>
          <w:ilvl w:val="0"/>
          <w:numId w:val="2"/>
        </w:numPr>
        <w:wordWrap/>
        <w:overflowPunct/>
        <w:topLinePunct w:val="0"/>
        <w:bidi w:val="0"/>
        <w:spacing w:line="560" w:lineRule="exact"/>
        <w:ind w:firstLine="640" w:firstLineChars="200"/>
        <w:jc w:val="both"/>
        <w:rPr>
          <w:rFonts w:hint="default" w:ascii="Times New Roman" w:hAnsi="Times New Roman" w:eastAsia="方正黑体_GBK" w:cs="Times New Roman"/>
          <w:kern w:val="0"/>
          <w:sz w:val="32"/>
          <w:szCs w:val="32"/>
          <w:lang w:eastAsia="zh-CN"/>
        </w:rPr>
      </w:pPr>
      <w:r>
        <w:rPr>
          <w:rFonts w:hint="default" w:ascii="Times New Roman" w:hAnsi="Times New Roman" w:eastAsia="方正黑体_GBK" w:cs="Times New Roman"/>
          <w:kern w:val="0"/>
          <w:sz w:val="32"/>
          <w:szCs w:val="32"/>
          <w:lang w:eastAsia="zh-CN"/>
        </w:rPr>
        <w:t>部门（单位）整体支出绩效情况</w:t>
      </w:r>
    </w:p>
    <w:p w14:paraId="5D9410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年以来，在市委市政府的正确领导下，汨罗市市场监管局</w:t>
      </w:r>
      <w:r>
        <w:rPr>
          <w:rFonts w:hint="default" w:ascii="Times New Roman" w:hAnsi="Times New Roman" w:eastAsia="仿宋_GB2312" w:cs="Times New Roman"/>
          <w:sz w:val="32"/>
          <w:szCs w:val="32"/>
          <w:lang w:val="en-US" w:eastAsia="zh-CN"/>
        </w:rPr>
        <w:t>坚持</w:t>
      </w:r>
      <w:r>
        <w:rPr>
          <w:rFonts w:hint="default" w:ascii="Times New Roman" w:hAnsi="Times New Roman" w:eastAsia="仿宋_GB2312" w:cs="Times New Roman"/>
          <w:sz w:val="32"/>
          <w:szCs w:val="32"/>
        </w:rPr>
        <w:t>以习近平新时代中国特色社会主义思想为指导，持续优化营商环境，扎实推进“八大行动”，稳定市场预期、提振发展信心，筑牢“四大安全”防线，真抓实干、担当作为，</w:t>
      </w:r>
      <w:r>
        <w:rPr>
          <w:rFonts w:hint="default" w:ascii="Times New Roman" w:hAnsi="Times New Roman" w:eastAsia="仿宋_GB2312" w:cs="Times New Roman"/>
          <w:color w:val="auto"/>
          <w:sz w:val="32"/>
          <w:szCs w:val="32"/>
          <w:lang w:eastAsia="zh-CN"/>
        </w:rPr>
        <w:t>推动汨罗高质量发展，各项工作取得明显成效。</w:t>
      </w:r>
    </w:p>
    <w:p w14:paraId="18E215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i w:val="0"/>
          <w:iCs w:val="0"/>
          <w:caps w:val="0"/>
          <w:color w:val="333333"/>
          <w:spacing w:val="0"/>
          <w:sz w:val="32"/>
          <w:szCs w:val="32"/>
          <w:shd w:val="clear" w:fill="FFFFFF"/>
        </w:rPr>
        <w:t>（一）突出思想引领，建设政治高地</w:t>
      </w:r>
      <w:r>
        <w:rPr>
          <w:rFonts w:hint="default" w:ascii="Times New Roman" w:hAnsi="Times New Roman" w:eastAsia="楷体" w:cs="Times New Roman"/>
          <w:b/>
          <w:bCs/>
          <w:i w:val="0"/>
          <w:iCs w:val="0"/>
          <w:caps w:val="0"/>
          <w:color w:val="333333"/>
          <w:spacing w:val="0"/>
          <w:sz w:val="32"/>
          <w:szCs w:val="32"/>
          <w:shd w:val="clear" w:fill="FFFFFF"/>
          <w:lang w:val="en-US" w:eastAsia="zh-CN"/>
        </w:rPr>
        <w:t>。</w:t>
      </w:r>
      <w:r>
        <w:rPr>
          <w:rFonts w:hint="default" w:ascii="Times New Roman" w:hAnsi="Times New Roman" w:eastAsia="仿宋_GB2312" w:cs="Times New Roman"/>
          <w:b/>
          <w:bCs/>
          <w:color w:val="auto"/>
          <w:kern w:val="2"/>
          <w:sz w:val="32"/>
          <w:szCs w:val="32"/>
          <w:lang w:val="en-US" w:eastAsia="zh-CN" w:bidi="ar-SA"/>
        </w:rPr>
        <w:t>坚定拥护“两个确立”，发挥核心作用。</w:t>
      </w:r>
      <w:r>
        <w:rPr>
          <w:rFonts w:hint="default" w:ascii="Times New Roman" w:hAnsi="Times New Roman" w:eastAsia="仿宋_GB2312" w:cs="Times New Roman"/>
          <w:sz w:val="32"/>
          <w:szCs w:val="32"/>
          <w:lang w:val="en-US" w:eastAsia="zh-CN"/>
        </w:rPr>
        <w:t>始终坚持把领导班子政治建设摆在首位，严格落实“第一议题”制度，把坚定拥护“两个确立”、坚决做到“两个维护”作为政治建设的首要任务抓紧抓实。保证上级重大决策部署在我局不折不扣贯彻执行。</w:t>
      </w:r>
      <w:r>
        <w:rPr>
          <w:rFonts w:hint="default" w:ascii="Times New Roman" w:hAnsi="Times New Roman" w:eastAsia="仿宋_GB2312" w:cs="Times New Roman"/>
          <w:b/>
          <w:bCs/>
          <w:color w:val="auto"/>
          <w:kern w:val="2"/>
          <w:sz w:val="32"/>
          <w:szCs w:val="32"/>
          <w:lang w:val="en-US" w:eastAsia="zh-CN" w:bidi="ar-SA"/>
        </w:rPr>
        <w:t>加强理论学习，强化理论武装。</w:t>
      </w:r>
      <w:r>
        <w:rPr>
          <w:rFonts w:hint="default" w:ascii="Times New Roman" w:hAnsi="Times New Roman" w:eastAsia="仿宋_GB2312" w:cs="Times New Roman"/>
          <w:sz w:val="32"/>
          <w:szCs w:val="32"/>
          <w:lang w:val="en-US" w:eastAsia="zh-CN"/>
        </w:rPr>
        <w:t>以党组理论学习中心组、党支部“三会一课”、主题党日、干部大会为载体，采取集中学习和个人自学相结合的方式，学深悟透习近平新时代中国特色社会主义思想，补足精神之钙。扎实开展党纪学习教育，党组班子成员带头讲党课，组织逐条逐项学，结合案例学，开展警示教育，组织知识考核，将所学习成果不断转化为维护核心、严守党纪的决心和能力。2024年，党组理论学习中心组开展集中学习12次，组织书记讲党课2次，党支部及时跟进，组织全员集中学习200余次。</w:t>
      </w:r>
      <w:r>
        <w:rPr>
          <w:rFonts w:hint="default" w:ascii="Times New Roman" w:hAnsi="Times New Roman" w:eastAsia="仿宋_GB2312" w:cs="Times New Roman"/>
          <w:b/>
          <w:bCs/>
          <w:color w:val="auto"/>
          <w:kern w:val="2"/>
          <w:sz w:val="32"/>
          <w:szCs w:val="32"/>
          <w:lang w:val="en-US" w:eastAsia="zh-CN" w:bidi="ar-SA"/>
        </w:rPr>
        <w:t>强化思想引领，落实意识形态责任制。</w:t>
      </w:r>
      <w:r>
        <w:rPr>
          <w:rFonts w:hint="default" w:ascii="Times New Roman" w:hAnsi="Times New Roman" w:eastAsia="仿宋_GB2312" w:cs="Times New Roman"/>
          <w:sz w:val="32"/>
          <w:szCs w:val="32"/>
          <w:lang w:val="en-US" w:eastAsia="zh-CN"/>
        </w:rPr>
        <w:t>把意识形态工作纳入全面从严治党全过程，党组专门召开会议研究部署意识形态工作，</w:t>
      </w:r>
      <w:r>
        <w:rPr>
          <w:rFonts w:hint="default" w:ascii="Times New Roman" w:hAnsi="Times New Roman" w:eastAsia="仿宋_GB2312" w:cs="Times New Roman"/>
          <w:sz w:val="32"/>
          <w:szCs w:val="32"/>
        </w:rPr>
        <w:t>建立网络舆情预警监测及网络热点事件快速反应机制，以“两微一抖一门户”为重点，及时、主动、准确向社会发布涉及市场主体的重要政策文件、</w:t>
      </w:r>
      <w:r>
        <w:rPr>
          <w:rFonts w:hint="default" w:ascii="Times New Roman" w:hAnsi="Times New Roman" w:eastAsia="仿宋_GB2312" w:cs="Times New Roman"/>
          <w:sz w:val="32"/>
          <w:szCs w:val="32"/>
          <w:lang w:val="en-US" w:eastAsia="zh-CN"/>
        </w:rPr>
        <w:t>典型案例</w:t>
      </w:r>
      <w:r>
        <w:rPr>
          <w:rFonts w:hint="default" w:ascii="Times New Roman" w:hAnsi="Times New Roman" w:eastAsia="仿宋_GB2312" w:cs="Times New Roman"/>
          <w:sz w:val="32"/>
          <w:szCs w:val="32"/>
        </w:rPr>
        <w:t>、工作动态等政务权威信息</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00余条。</w:t>
      </w:r>
    </w:p>
    <w:p w14:paraId="207A3B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Cs/>
          <w:color w:val="000000"/>
          <w:spacing w:val="0"/>
          <w:sz w:val="32"/>
          <w:szCs w:val="32"/>
          <w:lang w:val="en-US" w:eastAsia="zh-CN"/>
        </w:rPr>
      </w:pPr>
      <w:r>
        <w:rPr>
          <w:rFonts w:hint="default" w:ascii="Times New Roman" w:hAnsi="Times New Roman" w:eastAsia="楷体" w:cs="Times New Roman"/>
          <w:b/>
          <w:bCs/>
          <w:i w:val="0"/>
          <w:iCs w:val="0"/>
          <w:caps w:val="0"/>
          <w:color w:val="333333"/>
          <w:spacing w:val="0"/>
          <w:sz w:val="32"/>
          <w:szCs w:val="32"/>
          <w:shd w:val="clear" w:fill="FFFFFF"/>
          <w:lang w:eastAsia="zh-CN"/>
        </w:rPr>
        <w:t>（</w:t>
      </w:r>
      <w:r>
        <w:rPr>
          <w:rFonts w:hint="default" w:ascii="Times New Roman" w:hAnsi="Times New Roman" w:eastAsia="楷体" w:cs="Times New Roman"/>
          <w:b/>
          <w:bCs/>
          <w:i w:val="0"/>
          <w:iCs w:val="0"/>
          <w:caps w:val="0"/>
          <w:color w:val="333333"/>
          <w:spacing w:val="0"/>
          <w:sz w:val="32"/>
          <w:szCs w:val="32"/>
          <w:shd w:val="clear" w:fill="FFFFFF"/>
          <w:lang w:val="en-US" w:eastAsia="zh-CN"/>
        </w:rPr>
        <w:t>二</w:t>
      </w:r>
      <w:r>
        <w:rPr>
          <w:rFonts w:hint="default" w:ascii="Times New Roman" w:hAnsi="Times New Roman" w:eastAsia="楷体" w:cs="Times New Roman"/>
          <w:b/>
          <w:bCs/>
          <w:i w:val="0"/>
          <w:iCs w:val="0"/>
          <w:caps w:val="0"/>
          <w:color w:val="333333"/>
          <w:spacing w:val="0"/>
          <w:sz w:val="32"/>
          <w:szCs w:val="32"/>
          <w:shd w:val="clear" w:fill="FFFFFF"/>
          <w:lang w:eastAsia="zh-CN"/>
        </w:rPr>
        <w:t>）坚持多措并举，</w:t>
      </w:r>
      <w:r>
        <w:rPr>
          <w:rFonts w:hint="default" w:ascii="Times New Roman" w:hAnsi="Times New Roman" w:eastAsia="楷体" w:cs="Times New Roman"/>
          <w:b/>
          <w:bCs/>
          <w:i w:val="0"/>
          <w:iCs w:val="0"/>
          <w:caps w:val="0"/>
          <w:color w:val="333333"/>
          <w:spacing w:val="0"/>
          <w:sz w:val="32"/>
          <w:szCs w:val="32"/>
          <w:shd w:val="clear" w:fill="FFFFFF"/>
          <w:lang w:val="en-US" w:eastAsia="zh-CN"/>
        </w:rPr>
        <w:t>优化营商环境</w:t>
      </w:r>
      <w:r>
        <w:rPr>
          <w:rFonts w:hint="default" w:ascii="Times New Roman" w:hAnsi="Times New Roman" w:eastAsia="楷体" w:cs="Times New Roman"/>
          <w:b/>
          <w:bCs/>
          <w:i w:val="0"/>
          <w:iCs w:val="0"/>
          <w:caps w:val="0"/>
          <w:color w:val="333333"/>
          <w:spacing w:val="0"/>
          <w:sz w:val="32"/>
          <w:szCs w:val="32"/>
          <w:shd w:val="clear" w:fill="FFFFFF"/>
        </w:rPr>
        <w:t>。</w:t>
      </w:r>
      <w:r>
        <w:rPr>
          <w:rFonts w:hint="default" w:ascii="Times New Roman" w:hAnsi="Times New Roman" w:eastAsia="仿宋_GB2312" w:cs="Times New Roman"/>
          <w:b/>
          <w:bCs/>
          <w:color w:val="auto"/>
          <w:kern w:val="2"/>
          <w:sz w:val="32"/>
          <w:szCs w:val="32"/>
          <w:lang w:val="en-US" w:eastAsia="zh-CN" w:bidi="ar-SA"/>
        </w:rPr>
        <w:t>推进主体强身行动。</w:t>
      </w:r>
      <w:r>
        <w:rPr>
          <w:rFonts w:hint="default" w:ascii="Times New Roman" w:hAnsi="Times New Roman" w:eastAsia="仿宋_GB2312" w:cs="Times New Roman"/>
          <w:sz w:val="32"/>
          <w:szCs w:val="32"/>
        </w:rPr>
        <w:t>成立以分管副市长付文勇同志任召集人的工作专班，各成员单位协调配合、同频共振，从主体做大做强、促进创新创造、推动链式发展、做实精准帮扶四个方面提升经营主体质量。截至1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25日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全市实有经营主体77100户（其中企业20871户），净增市场主体5223户（其中企业3082户），新增“个转企”123家。</w:t>
      </w:r>
      <w:r>
        <w:rPr>
          <w:rFonts w:hint="default" w:ascii="Times New Roman" w:hAnsi="Times New Roman" w:eastAsia="仿宋_GB2312" w:cs="Times New Roman"/>
          <w:sz w:val="32"/>
          <w:szCs w:val="32"/>
        </w:rPr>
        <w:t>围绕网上办、就近办、一次办，设立企业开办自助服务区，全程提供注册窗口帮代办服务，通过企业开办“一网通办”平台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全程电子化业务系统设立企业</w:t>
      </w:r>
      <w:r>
        <w:rPr>
          <w:rFonts w:hint="default" w:ascii="Times New Roman" w:hAnsi="Times New Roman" w:eastAsia="仿宋_GB2312" w:cs="Times New Roman"/>
          <w:sz w:val="32"/>
          <w:szCs w:val="32"/>
          <w:lang w:val="en-US" w:eastAsia="zh-CN"/>
        </w:rPr>
        <w:t>3821</w:t>
      </w:r>
      <w:r>
        <w:rPr>
          <w:rFonts w:hint="default" w:ascii="Times New Roman" w:hAnsi="Times New Roman" w:eastAsia="仿宋_GB2312" w:cs="Times New Roman"/>
          <w:sz w:val="32"/>
          <w:szCs w:val="32"/>
        </w:rPr>
        <w:t>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综合网办率93.8%，</w:t>
      </w:r>
      <w:r>
        <w:rPr>
          <w:rFonts w:hint="default" w:ascii="Times New Roman" w:hAnsi="Times New Roman" w:eastAsia="仿宋_GB2312" w:cs="Times New Roman"/>
          <w:sz w:val="32"/>
          <w:szCs w:val="32"/>
        </w:rPr>
        <w:t>为1308家新设企业免费提供印章3924枚，办理企业简易注销5</w:t>
      </w:r>
      <w:r>
        <w:rPr>
          <w:rFonts w:hint="default"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rPr>
        <w:t>件，累计为企业节约成本22.6万元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color w:val="auto"/>
          <w:kern w:val="2"/>
          <w:sz w:val="32"/>
          <w:szCs w:val="32"/>
          <w:lang w:val="en-US" w:eastAsia="zh-CN" w:bidi="ar-SA"/>
        </w:rPr>
        <w:t>推进质量强县建设。</w:t>
      </w:r>
      <w:r>
        <w:rPr>
          <w:rFonts w:hint="default" w:ascii="Times New Roman" w:hAnsi="Times New Roman" w:eastAsia="仿宋_GB2312" w:cs="Times New Roman"/>
          <w:sz w:val="32"/>
          <w:szCs w:val="32"/>
          <w:lang w:val="en-US" w:eastAsia="zh-CN"/>
        </w:rPr>
        <w:t>推动</w:t>
      </w:r>
      <w:r>
        <w:rPr>
          <w:rFonts w:hint="default" w:ascii="Times New Roman" w:hAnsi="Times New Roman" w:eastAsia="仿宋_GB2312" w:cs="Times New Roman"/>
          <w:sz w:val="32"/>
          <w:szCs w:val="32"/>
        </w:rPr>
        <w:t>强企强链强县培育建设，</w:t>
      </w:r>
      <w:r>
        <w:rPr>
          <w:rFonts w:hint="default" w:ascii="Times New Roman" w:hAnsi="Times New Roman" w:eastAsia="仿宋_GB2312" w:cs="Times New Roman"/>
          <w:sz w:val="32"/>
          <w:szCs w:val="32"/>
          <w:lang w:val="en-US" w:eastAsia="zh-CN"/>
        </w:rPr>
        <w:t>汨罗市入选全省质量强县培育建设城市名单；</w:t>
      </w:r>
      <w:r>
        <w:rPr>
          <w:rFonts w:hint="default" w:ascii="Times New Roman" w:hAnsi="Times New Roman" w:eastAsia="仿宋_GB2312" w:cs="Times New Roman"/>
          <w:sz w:val="32"/>
          <w:szCs w:val="32"/>
        </w:rPr>
        <w:t>开展质量强市及品牌战略推动高质量发展企业大调研</w:t>
      </w:r>
      <w:r>
        <w:rPr>
          <w:rFonts w:hint="default" w:ascii="Times New Roman" w:hAnsi="Times New Roman" w:eastAsia="仿宋_GB2312" w:cs="Times New Roman"/>
          <w:spacing w:val="0"/>
          <w:sz w:val="32"/>
          <w:szCs w:val="32"/>
          <w:lang w:val="en-US" w:eastAsia="zh-CN"/>
        </w:rPr>
        <w:t>活动</w:t>
      </w:r>
      <w:r>
        <w:rPr>
          <w:rFonts w:hint="default" w:ascii="Times New Roman" w:hAnsi="Times New Roman" w:eastAsia="仿宋_GB2312" w:cs="Times New Roman"/>
          <w:spacing w:val="0"/>
          <w:sz w:val="32"/>
          <w:szCs w:val="32"/>
        </w:rPr>
        <w:t>，依托湖南汨罗循环经济产业园、湖南工程机械配套产业园、湖南长乐甜酒产业园、乡镇政府、街道，通过质量基础设施“一站式”服务中心，邀请相关专业协会走进园区进入企业，深入与企业主面对面座谈，把脉会诊，靠前服务，帮助企业解决技术难题61项</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利用“质量月”“世界计量日”“世界标准日”等重要时间节点，举办质量知识讲座、现场咨询服务等活动4场次，发放宣传资料3000余份</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开展“质量官培训”“质量体检进企业”等活动，组织企业质量管理人员培</w:t>
      </w:r>
      <w:r>
        <w:rPr>
          <w:rFonts w:hint="default" w:ascii="Times New Roman" w:hAnsi="Times New Roman" w:eastAsia="仿宋_GB2312" w:cs="Times New Roman"/>
          <w:spacing w:val="-6"/>
          <w:sz w:val="32"/>
          <w:szCs w:val="32"/>
        </w:rPr>
        <w:t>训869人次。</w:t>
      </w:r>
      <w:r>
        <w:rPr>
          <w:rFonts w:hint="default" w:ascii="Times New Roman" w:hAnsi="Times New Roman" w:eastAsia="仿宋_GB2312" w:cs="Times New Roman"/>
          <w:b/>
          <w:bCs/>
          <w:color w:val="auto"/>
          <w:kern w:val="2"/>
          <w:sz w:val="32"/>
          <w:szCs w:val="32"/>
          <w:lang w:val="en-US" w:eastAsia="zh-CN" w:bidi="ar-SA"/>
        </w:rPr>
        <w:t>推动国家知识产权强县试点建设。</w:t>
      </w:r>
      <w:r>
        <w:rPr>
          <w:rFonts w:hint="default" w:ascii="Times New Roman" w:hAnsi="Times New Roman" w:eastAsia="仿宋_GB2312" w:cs="Times New Roman"/>
          <w:b w:val="0"/>
          <w:i w:val="0"/>
          <w:caps w:val="0"/>
          <w:spacing w:val="0"/>
          <w:w w:val="100"/>
          <w:sz w:val="32"/>
          <w:szCs w:val="32"/>
          <w:lang w:eastAsia="zh-CN"/>
        </w:rPr>
        <w:t>推进湖南省知识产权服务汨罗分中心的服务标准和服务规范的执行，对分中心进行业务指导，引导企业强化知识产权保护和运用。</w:t>
      </w:r>
      <w:r>
        <w:rPr>
          <w:rFonts w:hint="default" w:ascii="Times New Roman" w:hAnsi="Times New Roman" w:eastAsia="仿宋_GB2312" w:cs="Times New Roman"/>
          <w:b w:val="0"/>
          <w:i w:val="0"/>
          <w:caps w:val="0"/>
          <w:spacing w:val="0"/>
          <w:w w:val="100"/>
          <w:sz w:val="32"/>
          <w:szCs w:val="32"/>
          <w:lang w:val="en-US" w:eastAsia="zh-CN"/>
        </w:rPr>
        <w:t>2024年12月11日，长乐甜酒通过示范区终期评估验收，长乐甜酒30家获得使用国家地理证明商标用标标识。汨罗粽子4家已获得备案使用，玉池山桂花蜜用标工作有1家已获得国家知识产权局备案。汨罗皮粉、川山毛笔创建为地理标志证明商标工作已初步启动。</w:t>
      </w:r>
      <w:r>
        <w:rPr>
          <w:rFonts w:hint="default" w:ascii="Times New Roman" w:hAnsi="Times New Roman" w:eastAsia="仿宋_GB2312" w:cs="Times New Roman"/>
          <w:kern w:val="2"/>
          <w:sz w:val="32"/>
          <w:szCs w:val="32"/>
          <w:lang w:val="en-US" w:eastAsia="zh-CN" w:bidi="ar-SA"/>
        </w:rPr>
        <w:t>1-10月我市发明专利授权51件，PCT专利申请3件，有效发明专利262件。商标申请947件，注册商标693件，有效商标6681件。马德里商标申请2件，专利许可备案使用40件。开放申明21件，企业专利盘活399家。实现知识产权质押融资8600余万元。</w:t>
      </w:r>
      <w:r>
        <w:rPr>
          <w:rFonts w:hint="default" w:ascii="Times New Roman" w:hAnsi="Times New Roman" w:eastAsia="仿宋_GB2312" w:cs="Times New Roman"/>
          <w:b/>
          <w:bCs/>
          <w:color w:val="auto"/>
          <w:kern w:val="2"/>
          <w:sz w:val="32"/>
          <w:szCs w:val="32"/>
          <w:lang w:val="en-US" w:eastAsia="zh-CN" w:bidi="ar-SA"/>
        </w:rPr>
        <w:t>优化执法环境。</w:t>
      </w:r>
      <w:r>
        <w:rPr>
          <w:rFonts w:hint="default" w:ascii="Times New Roman" w:hAnsi="Times New Roman" w:eastAsia="仿宋_GB2312" w:cs="Times New Roman"/>
          <w:sz w:val="32"/>
          <w:szCs w:val="32"/>
        </w:rPr>
        <w:t>落实岳阳优化营商环境40条，结合“营商清风101”专项行动，成立工作专班，开展促企业成本降低、执法司法公正、中介机构规范行动，制作“不予处罚清单、从轻处罚清单、减轻处罚清单”三张清单短视频，通过视频号、抖音号发布后群众反响热烈；贯彻落实汨罗市委平波书记“先指导再执法，不整改就执法，有违法必执法”18字方针，执法工作以指导帮助企业整改为主，以行政处罚惩戒为辅，截至目前全市28个市场监管领域成员单位制定或接收“双随机、一公开”抽查任务217项，完成217项，其中跨部门联合抽查任务190项，</w:t>
      </w:r>
      <w:r>
        <w:rPr>
          <w:rFonts w:hint="default" w:ascii="Times New Roman" w:hAnsi="Times New Roman" w:eastAsia="仿宋_GB2312" w:cs="Times New Roman"/>
          <w:sz w:val="32"/>
          <w:szCs w:val="32"/>
          <w:lang w:val="en-US" w:eastAsia="zh-CN"/>
        </w:rPr>
        <w:t>抽查结果公示率100%；牵头依法做好符合条件企业的列严工作，累计列入经营异常名录802户；累计修复经营异常名录（状态）174户，移出严重违法失信名录12户。严格按照《湖南省市场监督管理行政处罚裁量权实施办法及基准》《湖南省市场监督管理领域轻微违法行为不予处罚、减轻处罚规定》、岳阳市场监管局《关于推进包容审慎监管优化发展环境的指导意见》对行政处罚案件综合裁量，截至目前共结案297件，符合规定的减轻处罚案件107件，从轻处罚案件126件，不予处罚17件，合计250件，占比84%。</w:t>
      </w:r>
    </w:p>
    <w:p w14:paraId="32E0E0BB">
      <w:pPr>
        <w:pStyle w:val="10"/>
        <w:keepNext w:val="0"/>
        <w:keepLines w:val="0"/>
        <w:pageBreakBefore w:val="0"/>
        <w:numPr>
          <w:ilvl w:val="0"/>
          <w:numId w:val="0"/>
        </w:numPr>
        <w:kinsoku/>
        <w:wordWrap/>
        <w:topLinePunct w:val="0"/>
        <w:bidi w:val="0"/>
        <w:snapToGrid/>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i w:val="0"/>
          <w:iCs w:val="0"/>
          <w:caps w:val="0"/>
          <w:color w:val="333333"/>
          <w:spacing w:val="0"/>
          <w:kern w:val="0"/>
          <w:sz w:val="32"/>
          <w:szCs w:val="32"/>
          <w:shd w:val="clear" w:fill="FFFFFF"/>
          <w:lang w:val="en-US" w:eastAsia="zh-CN" w:bidi="ar"/>
        </w:rPr>
        <w:t>（三）聚焦民生关切，守牢安全底线。</w:t>
      </w:r>
      <w:r>
        <w:rPr>
          <w:rFonts w:hint="default" w:ascii="Times New Roman" w:hAnsi="Times New Roman" w:eastAsia="仿宋_GB2312" w:cs="Times New Roman"/>
          <w:b/>
          <w:bCs/>
          <w:color w:val="auto"/>
          <w:kern w:val="2"/>
          <w:sz w:val="32"/>
          <w:szCs w:val="32"/>
          <w:lang w:val="en-US" w:eastAsia="zh-CN" w:bidi="ar-SA"/>
        </w:rPr>
        <w:t>强化食品安全监管。</w:t>
      </w:r>
      <w:r>
        <w:rPr>
          <w:rFonts w:hint="default" w:ascii="Times New Roman" w:hAnsi="Times New Roman" w:eastAsia="仿宋_GB2312" w:cs="Times New Roman"/>
          <w:sz w:val="32"/>
          <w:szCs w:val="32"/>
        </w:rPr>
        <w:t>持续深入开展食品生产领域专项整治、长江十年禁渔禁捕退捕、“特供酒”清源打链、打击食品非法添加等行动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开展包装饮用水铜绿假单胞菌不合格问题、大米掺杂使假违法行为等专项整治</w:t>
      </w:r>
      <w:r>
        <w:rPr>
          <w:rFonts w:hint="default" w:ascii="Times New Roman" w:hAnsi="Times New Roman" w:eastAsia="仿宋_GB2312" w:cs="Times New Roman"/>
          <w:sz w:val="32"/>
          <w:szCs w:val="32"/>
        </w:rPr>
        <w:t>。重点抓实校园食品安全专项整治，建立落实校园食品安全投诉举报奖励制度，公开向社会公开征集行风建设突出问题线索，</w:t>
      </w:r>
      <w:r>
        <w:rPr>
          <w:rFonts w:hint="default" w:ascii="Times New Roman" w:hAnsi="Times New Roman" w:eastAsia="仿宋_GB2312" w:cs="Times New Roman"/>
          <w:sz w:val="32"/>
          <w:szCs w:val="32"/>
          <w:lang w:val="en-US" w:eastAsia="zh-CN"/>
        </w:rPr>
        <w:t>春季校园食品安全专项检查</w:t>
      </w:r>
      <w:r>
        <w:rPr>
          <w:rFonts w:hint="default" w:ascii="Times New Roman" w:hAnsi="Times New Roman" w:eastAsia="仿宋_GB2312" w:cs="Times New Roman"/>
          <w:sz w:val="32"/>
          <w:szCs w:val="32"/>
        </w:rPr>
        <w:t>排查食品安全问题学校</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val="en-US" w:eastAsia="zh-CN"/>
        </w:rPr>
        <w:t>秋季校园食品安全专项检查第一阶段</w:t>
      </w:r>
      <w:r>
        <w:rPr>
          <w:rFonts w:hint="default" w:ascii="Times New Roman" w:hAnsi="Times New Roman" w:eastAsia="仿宋_GB2312" w:cs="Times New Roman"/>
          <w:sz w:val="32"/>
          <w:szCs w:val="32"/>
        </w:rPr>
        <w:t>排查存在食品安全问题学校</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val="en-US" w:eastAsia="zh-CN"/>
        </w:rPr>
        <w:t>，第二阶段“校园餐”专项行动</w:t>
      </w:r>
      <w:r>
        <w:rPr>
          <w:rFonts w:hint="default" w:ascii="Times New Roman" w:hAnsi="Times New Roman" w:eastAsia="仿宋_GB2312" w:cs="Times New Roman"/>
          <w:sz w:val="32"/>
          <w:szCs w:val="32"/>
        </w:rPr>
        <w:t>排查存在食品安全问题学校</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val="en-US" w:eastAsia="zh-CN"/>
        </w:rPr>
        <w:t>第三阶段纵深推进“校园餐”食品安全专项行动</w:t>
      </w:r>
      <w:r>
        <w:rPr>
          <w:rFonts w:hint="default" w:ascii="Times New Roman" w:hAnsi="Times New Roman" w:eastAsia="仿宋_GB2312" w:cs="Times New Roman"/>
          <w:sz w:val="32"/>
          <w:szCs w:val="32"/>
        </w:rPr>
        <w:t>排查存在食品安全问题学校</w:t>
      </w:r>
      <w:r>
        <w:rPr>
          <w:rFonts w:hint="default"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val="en-US" w:eastAsia="zh-CN"/>
        </w:rPr>
        <w:t>均责令整改或立案调查。</w:t>
      </w:r>
      <w:r>
        <w:rPr>
          <w:rFonts w:hint="default" w:ascii="Times New Roman" w:hAnsi="Times New Roman" w:eastAsia="仿宋_GB2312" w:cs="Times New Roman"/>
          <w:sz w:val="32"/>
          <w:szCs w:val="32"/>
        </w:rPr>
        <w:t>开展夜市经济食品安全专项整治，检查各类夜宵餐饮场所118家，下达责令整改42份，针对无法现场提供经营许可证以及食品原材料过期立案2起，完成“年关守护”、“你点我检”、“春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秋</w:t>
      </w:r>
      <w:r>
        <w:rPr>
          <w:rFonts w:hint="default" w:ascii="Times New Roman" w:hAnsi="Times New Roman" w:eastAsia="仿宋_GB2312" w:cs="Times New Roman"/>
          <w:sz w:val="32"/>
          <w:szCs w:val="32"/>
        </w:rPr>
        <w:t>季校园食品安全”等专项食品安全监督抽样</w:t>
      </w:r>
      <w:r>
        <w:rPr>
          <w:rFonts w:hint="default" w:ascii="Times New Roman" w:hAnsi="Times New Roman" w:eastAsia="仿宋_GB2312" w:cs="Times New Roman"/>
          <w:sz w:val="32"/>
          <w:szCs w:val="32"/>
          <w:lang w:val="en-US" w:eastAsia="zh-CN"/>
        </w:rPr>
        <w:t>2000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b/>
          <w:bCs/>
          <w:color w:val="auto"/>
          <w:kern w:val="2"/>
          <w:sz w:val="32"/>
          <w:szCs w:val="32"/>
          <w:lang w:val="en-US" w:eastAsia="zh-CN" w:bidi="ar-SA"/>
        </w:rPr>
        <w:t>筑牢药械化安全防线。</w:t>
      </w:r>
      <w:r>
        <w:rPr>
          <w:rFonts w:hint="default" w:ascii="Times New Roman" w:hAnsi="Times New Roman" w:eastAsia="仿宋_GB2312" w:cs="Times New Roman"/>
          <w:sz w:val="32"/>
          <w:szCs w:val="32"/>
        </w:rPr>
        <w:t>持续开展药品网络销售环节集中治理、麻精药品专项整治等行动，检查药品零售和使用单位</w:t>
      </w:r>
      <w:r>
        <w:rPr>
          <w:rFonts w:hint="default" w:ascii="Times New Roman" w:hAnsi="Times New Roman" w:eastAsia="仿宋_GB2312" w:cs="Times New Roman"/>
          <w:sz w:val="32"/>
          <w:szCs w:val="32"/>
          <w:lang w:val="en-US" w:eastAsia="zh-CN"/>
        </w:rPr>
        <w:t>796</w:t>
      </w:r>
      <w:r>
        <w:rPr>
          <w:rFonts w:hint="default" w:ascii="Times New Roman" w:hAnsi="Times New Roman" w:eastAsia="仿宋_GB2312" w:cs="Times New Roman"/>
          <w:sz w:val="32"/>
          <w:szCs w:val="32"/>
        </w:rPr>
        <w:t>家，</w:t>
      </w:r>
      <w:r>
        <w:rPr>
          <w:rFonts w:hint="default" w:ascii="Times New Roman" w:hAnsi="Times New Roman" w:eastAsia="仿宋_GB2312" w:cs="Times New Roman"/>
          <w:sz w:val="32"/>
          <w:szCs w:val="32"/>
          <w:lang w:val="en-US" w:eastAsia="zh-CN"/>
        </w:rPr>
        <w:t>下达责令整改通知单40份，</w:t>
      </w:r>
      <w:r>
        <w:rPr>
          <w:rFonts w:hint="default" w:ascii="Times New Roman" w:hAnsi="Times New Roman" w:eastAsia="仿宋_GB2312" w:cs="Times New Roman"/>
          <w:sz w:val="32"/>
          <w:szCs w:val="32"/>
        </w:rPr>
        <w:t>立案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起。严格医疗器械审批，完成二类医疗器械经营备案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家，三类医疗器械许可</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家，监督检查医疗</w:t>
      </w:r>
      <w:r>
        <w:rPr>
          <w:rFonts w:hint="default" w:ascii="Times New Roman" w:hAnsi="Times New Roman" w:eastAsia="仿宋_GB2312" w:cs="Times New Roman"/>
          <w:sz w:val="32"/>
          <w:szCs w:val="32"/>
          <w:lang w:val="en-US" w:eastAsia="zh-CN"/>
        </w:rPr>
        <w:t>机构387</w:t>
      </w:r>
      <w:r>
        <w:rPr>
          <w:rFonts w:hint="default" w:ascii="Times New Roman" w:hAnsi="Times New Roman" w:eastAsia="仿宋_GB2312" w:cs="Times New Roman"/>
          <w:sz w:val="32"/>
          <w:szCs w:val="32"/>
        </w:rPr>
        <w:t>家、</w:t>
      </w:r>
      <w:r>
        <w:rPr>
          <w:rFonts w:hint="default" w:ascii="Times New Roman" w:hAnsi="Times New Roman" w:eastAsia="仿宋_GB2312" w:cs="Times New Roman"/>
          <w:sz w:val="32"/>
          <w:szCs w:val="32"/>
          <w:lang w:val="en-US" w:eastAsia="zh-CN"/>
        </w:rPr>
        <w:t>经营企业131</w:t>
      </w:r>
      <w:r>
        <w:rPr>
          <w:rFonts w:hint="default" w:ascii="Times New Roman" w:hAnsi="Times New Roman" w:eastAsia="仿宋_GB2312" w:cs="Times New Roman"/>
          <w:sz w:val="32"/>
          <w:szCs w:val="32"/>
        </w:rPr>
        <w:t>家，责令整改问题</w:t>
      </w:r>
      <w:r>
        <w:rPr>
          <w:rFonts w:hint="default" w:ascii="Times New Roman" w:hAnsi="Times New Roman" w:eastAsia="仿宋_GB2312" w:cs="Times New Roman"/>
          <w:sz w:val="32"/>
          <w:szCs w:val="32"/>
          <w:lang w:val="en-US" w:eastAsia="zh-CN"/>
        </w:rPr>
        <w:t>5家，</w:t>
      </w:r>
      <w:r>
        <w:rPr>
          <w:rFonts w:hint="default" w:ascii="Times New Roman" w:hAnsi="Times New Roman" w:eastAsia="仿宋_GB2312" w:cs="Times New Roman"/>
          <w:sz w:val="32"/>
          <w:szCs w:val="32"/>
        </w:rPr>
        <w:t>立案</w:t>
      </w:r>
      <w:r>
        <w:rPr>
          <w:rFonts w:hint="default" w:ascii="Times New Roman" w:hAnsi="Times New Roman" w:eastAsia="仿宋_GB2312" w:cs="Times New Roman"/>
          <w:sz w:val="32"/>
          <w:szCs w:val="32"/>
          <w:lang w:val="en-US" w:eastAsia="zh-CN"/>
        </w:rPr>
        <w:t>查处16家</w:t>
      </w:r>
      <w:r>
        <w:rPr>
          <w:rFonts w:hint="default" w:ascii="Times New Roman" w:hAnsi="Times New Roman" w:eastAsia="仿宋_GB2312" w:cs="Times New Roman"/>
          <w:sz w:val="32"/>
          <w:szCs w:val="32"/>
        </w:rPr>
        <w:t>。开展特殊食品“护老”、生活美容、宾馆、化妆品专卖店等重点领域专项整治行动，查办化妆品案件</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起。全市药品不良反应监测机构乡镇全覆盖，累计监测上报药品不良反应报告</w:t>
      </w:r>
      <w:r>
        <w:rPr>
          <w:rFonts w:hint="default" w:ascii="Times New Roman" w:hAnsi="Times New Roman" w:eastAsia="仿宋_GB2312" w:cs="Times New Roman"/>
          <w:sz w:val="32"/>
          <w:szCs w:val="32"/>
          <w:lang w:val="en-US" w:eastAsia="zh-CN"/>
        </w:rPr>
        <w:t>775</w:t>
      </w:r>
      <w:r>
        <w:rPr>
          <w:rFonts w:hint="default" w:ascii="Times New Roman" w:hAnsi="Times New Roman" w:eastAsia="仿宋_GB2312" w:cs="Times New Roman"/>
          <w:sz w:val="32"/>
          <w:szCs w:val="32"/>
        </w:rPr>
        <w:t>份。</w:t>
      </w:r>
      <w:r>
        <w:rPr>
          <w:rFonts w:hint="default" w:ascii="Times New Roman" w:hAnsi="Times New Roman" w:eastAsia="仿宋_GB2312" w:cs="Times New Roman"/>
          <w:b/>
          <w:bCs/>
          <w:color w:val="auto"/>
          <w:kern w:val="2"/>
          <w:sz w:val="32"/>
          <w:szCs w:val="32"/>
          <w:lang w:val="en-US" w:eastAsia="zh-CN" w:bidi="ar-SA"/>
        </w:rPr>
        <w:t>夯实特种设备安全基础。</w:t>
      </w:r>
      <w:r>
        <w:rPr>
          <w:rFonts w:hint="default" w:ascii="Times New Roman" w:hAnsi="Times New Roman" w:eastAsia="仿宋_GB2312" w:cs="Times New Roman"/>
          <w:sz w:val="32"/>
          <w:szCs w:val="32"/>
        </w:rPr>
        <w:t>开展安全生产治本攻坚三年行动、市场监管系统城镇燃气安全专项整治、电梯安全筑底等行动，加大公众聚集场所、城镇燃气、危险化学品相关特种设备等重点领域的督导检查力度，全面排查治理特种设备安全隐患。</w:t>
      </w:r>
      <w:r>
        <w:rPr>
          <w:rFonts w:hint="default" w:ascii="Times New Roman" w:hAnsi="Times New Roman" w:eastAsia="仿宋_GB2312" w:cs="Times New Roman"/>
          <w:b w:val="0"/>
          <w:bCs w:val="0"/>
          <w:sz w:val="32"/>
          <w:szCs w:val="32"/>
          <w:lang w:val="en-US" w:eastAsia="zh-CN"/>
        </w:rPr>
        <w:t>检查特种设备使用单位564家次，涉及锅炉、压力容器、电梯、游乐设施等设备2380台（套），发现并整改安全隐患41处。全年共办理特种设备使用登记证695份，</w:t>
      </w:r>
      <w:r>
        <w:rPr>
          <w:rFonts w:hint="default" w:ascii="Times New Roman" w:hAnsi="Times New Roman" w:eastAsia="仿宋_GB2312" w:cs="Times New Roman"/>
          <w:sz w:val="32"/>
          <w:szCs w:val="32"/>
        </w:rPr>
        <w:t>组织特种设备安全知识宣传活动</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发放宣传资料</w:t>
      </w:r>
      <w:r>
        <w:rPr>
          <w:rFonts w:hint="default" w:ascii="Times New Roman" w:hAnsi="Times New Roman" w:eastAsia="仿宋_GB2312" w:cs="Times New Roman"/>
          <w:sz w:val="32"/>
          <w:szCs w:val="32"/>
          <w:lang w:val="en-US" w:eastAsia="zh-CN"/>
        </w:rPr>
        <w:t>1200余</w:t>
      </w:r>
      <w:r>
        <w:rPr>
          <w:rFonts w:hint="default" w:ascii="Times New Roman" w:hAnsi="Times New Roman" w:eastAsia="仿宋_GB2312" w:cs="Times New Roman"/>
          <w:sz w:val="32"/>
          <w:szCs w:val="32"/>
        </w:rPr>
        <w:t>份，培训特种设备作业人员和管理人员</w:t>
      </w:r>
      <w:r>
        <w:rPr>
          <w:rFonts w:hint="default" w:ascii="Times New Roman" w:hAnsi="Times New Roman" w:eastAsia="仿宋_GB2312" w:cs="Times New Roman"/>
          <w:sz w:val="32"/>
          <w:szCs w:val="32"/>
          <w:lang w:val="en-US" w:eastAsia="zh-CN"/>
        </w:rPr>
        <w:t>612</w:t>
      </w:r>
      <w:r>
        <w:rPr>
          <w:rFonts w:hint="default" w:ascii="Times New Roman" w:hAnsi="Times New Roman" w:eastAsia="仿宋_GB2312" w:cs="Times New Roman"/>
          <w:sz w:val="32"/>
          <w:szCs w:val="32"/>
        </w:rPr>
        <w:t>人次。</w:t>
      </w:r>
      <w:r>
        <w:rPr>
          <w:rFonts w:hint="default" w:ascii="Times New Roman" w:hAnsi="Times New Roman" w:eastAsia="仿宋_GB2312" w:cs="Times New Roman"/>
          <w:b/>
          <w:bCs/>
          <w:color w:val="auto"/>
          <w:kern w:val="2"/>
          <w:sz w:val="32"/>
          <w:szCs w:val="32"/>
          <w:lang w:val="en-US" w:eastAsia="zh-CN" w:bidi="ar-SA"/>
        </w:rPr>
        <w:t>提升质量安全水平。</w:t>
      </w:r>
      <w:r>
        <w:rPr>
          <w:rFonts w:hint="default" w:ascii="Times New Roman" w:hAnsi="Times New Roman" w:eastAsia="仿宋_GB2312" w:cs="Times New Roman"/>
          <w:sz w:val="32"/>
          <w:szCs w:val="32"/>
        </w:rPr>
        <w:t>组织召开支持屈原酒做强品牌、提升效益专题研讨会；开展“守护儿童安全远离产品伤害-儿童用品安全行”主题宣传活动；</w:t>
      </w:r>
      <w:r>
        <w:rPr>
          <w:rFonts w:hint="default" w:ascii="Times New Roman" w:hAnsi="Times New Roman" w:eastAsia="仿宋_GB2312" w:cs="Times New Roman"/>
          <w:sz w:val="32"/>
          <w:szCs w:val="32"/>
          <w:lang w:val="en-US" w:eastAsia="zh-CN"/>
        </w:rPr>
        <w:t>开展“民生实事”电动自行车、电动摩托车安全隐患全链条专项整治行动，</w:t>
      </w:r>
      <w:r>
        <w:rPr>
          <w:rFonts w:hint="default" w:ascii="Times New Roman" w:hAnsi="Times New Roman" w:eastAsia="仿宋_GB2312" w:cs="Times New Roman"/>
          <w:sz w:val="32"/>
          <w:szCs w:val="32"/>
        </w:rPr>
        <w:t>排查经营门店283家次，监督抽检5批次，立案6起，移送市纪委线索1条，移送公安线索1条</w:t>
      </w:r>
      <w:r>
        <w:rPr>
          <w:rFonts w:hint="default" w:ascii="Times New Roman" w:hAnsi="Times New Roman" w:eastAsia="仿宋_GB2312" w:cs="Times New Roman"/>
          <w:sz w:val="32"/>
          <w:szCs w:val="32"/>
          <w:lang w:val="en-US" w:eastAsia="zh-CN"/>
        </w:rPr>
        <w:t>；开展“洞庭清波”洗涤用品专项整治，查处无证生产违法行为一起；申报湖南优冠体育材料有限公司参加2024年中国品牌价值评价活动；围绕社会民生关注，开展民生计量、法制计量监督检查，全年共检定燃油加油机1160台/枪，压力表1372块/次，电子计价秤259台，电子天平24台，汽车衡45台，砝码320个，血压计/表97台。</w:t>
      </w:r>
    </w:p>
    <w:p w14:paraId="52151769">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楷体" w:cs="Times New Roman"/>
          <w:b/>
          <w:bCs/>
          <w:i w:val="0"/>
          <w:iCs w:val="0"/>
          <w:caps w:val="0"/>
          <w:color w:val="333333"/>
          <w:spacing w:val="0"/>
          <w:kern w:val="0"/>
          <w:sz w:val="32"/>
          <w:szCs w:val="32"/>
          <w:shd w:val="clear" w:fill="FFFFFF"/>
          <w:lang w:val="en-US" w:eastAsia="zh-CN" w:bidi="ar"/>
        </w:rPr>
        <w:t>（四）加强综合监管，规范市场秩序。</w:t>
      </w:r>
      <w:r>
        <w:rPr>
          <w:rFonts w:hint="default" w:ascii="Times New Roman" w:hAnsi="Times New Roman" w:eastAsia="仿宋_GB2312" w:cs="Times New Roman"/>
          <w:b/>
          <w:bCs/>
          <w:color w:val="auto"/>
          <w:kern w:val="2"/>
          <w:sz w:val="32"/>
          <w:szCs w:val="32"/>
          <w:lang w:val="en-US" w:eastAsia="zh-CN" w:bidi="ar-SA"/>
        </w:rPr>
        <w:t>严格价格监管执</w:t>
      </w:r>
      <w:r>
        <w:rPr>
          <w:rFonts w:hint="default" w:ascii="Times New Roman" w:hAnsi="Times New Roman" w:eastAsia="仿宋_GB2312" w:cs="Times New Roman"/>
          <w:b/>
          <w:bCs/>
          <w:color w:val="000000"/>
          <w:kern w:val="0"/>
          <w:sz w:val="32"/>
          <w:szCs w:val="32"/>
          <w:shd w:val="clear" w:color="auto" w:fill="FFFFFF"/>
          <w:lang w:val="en-US" w:eastAsia="zh-CN" w:bidi="ar"/>
        </w:rPr>
        <w:t>法</w:t>
      </w:r>
      <w:r>
        <w:rPr>
          <w:rFonts w:hint="default" w:ascii="Times New Roman" w:hAnsi="Times New Roman" w:eastAsia="仿宋_GB2312" w:cs="Times New Roman"/>
          <w:color w:val="000000"/>
          <w:kern w:val="0"/>
          <w:sz w:val="32"/>
          <w:szCs w:val="32"/>
          <w:shd w:val="clear" w:color="auto" w:fill="FFFFFF"/>
          <w:lang w:val="en-US" w:eastAsia="zh-CN" w:bidi="ar"/>
        </w:rPr>
        <w:t>。对全市</w:t>
      </w:r>
      <w:r>
        <w:rPr>
          <w:rFonts w:hint="default" w:ascii="Times New Roman" w:hAnsi="Times New Roman" w:eastAsia="仿宋_GB2312" w:cs="Times New Roman"/>
          <w:color w:val="auto"/>
          <w:sz w:val="32"/>
          <w:szCs w:val="32"/>
          <w:lang w:val="en-US" w:eastAsia="zh-CN"/>
        </w:rPr>
        <w:t>医疗机构、学校、</w:t>
      </w:r>
      <w:r>
        <w:rPr>
          <w:rFonts w:hint="default" w:ascii="Times New Roman" w:hAnsi="Times New Roman" w:eastAsia="仿宋_GB2312" w:cs="Times New Roman"/>
          <w:color w:val="000000"/>
          <w:kern w:val="0"/>
          <w:sz w:val="32"/>
          <w:szCs w:val="32"/>
          <w:shd w:val="clear" w:color="auto" w:fill="FFFFFF"/>
          <w:lang w:val="en-US" w:eastAsia="zh-CN" w:bidi="ar"/>
        </w:rPr>
        <w:t>行业协会商会、部分政府部门及下属单位收费，水电气等公用企业收费、粮食收购价格执行情况开展行专项检查，</w:t>
      </w:r>
      <w:r>
        <w:rPr>
          <w:rFonts w:hint="default" w:ascii="Times New Roman" w:hAnsi="Times New Roman" w:eastAsia="仿宋_GB2312" w:cs="Times New Roman"/>
          <w:sz w:val="32"/>
          <w:szCs w:val="32"/>
          <w:lang w:val="en-US" w:eastAsia="zh-CN"/>
        </w:rPr>
        <w:t>共检查各类价费单位58家，立案查处价格违法案件17起</w:t>
      </w:r>
      <w:r>
        <w:rPr>
          <w:rFonts w:hint="default" w:ascii="Times New Roman" w:hAnsi="Times New Roman" w:eastAsia="仿宋_GB2312" w:cs="Times New Roman"/>
          <w:color w:val="000000"/>
          <w:kern w:val="0"/>
          <w:sz w:val="32"/>
          <w:szCs w:val="32"/>
          <w:shd w:val="clear" w:color="auto" w:fill="FFFFFF"/>
          <w:lang w:val="en-US" w:eastAsia="zh-CN" w:bidi="ar"/>
        </w:rPr>
        <w:t>。</w:t>
      </w:r>
      <w:r>
        <w:rPr>
          <w:rFonts w:hint="default" w:ascii="Times New Roman" w:hAnsi="Times New Roman" w:eastAsia="仿宋_GB2312" w:cs="Times New Roman"/>
          <w:b/>
          <w:bCs/>
          <w:color w:val="auto"/>
          <w:kern w:val="2"/>
          <w:sz w:val="32"/>
          <w:szCs w:val="32"/>
          <w:lang w:val="en-US" w:eastAsia="zh-CN" w:bidi="ar-SA"/>
        </w:rPr>
        <w:t>开展“铁拳”行动。</w:t>
      </w:r>
      <w:r>
        <w:rPr>
          <w:rFonts w:hint="default" w:ascii="Times New Roman" w:hAnsi="Times New Roman" w:eastAsia="仿宋_GB2312" w:cs="Times New Roman"/>
          <w:sz w:val="32"/>
          <w:szCs w:val="32"/>
        </w:rPr>
        <w:t>开展食品安全、农村药品和医疗器械安全、走私产品、产品质量、建筑材料、交通问题顽瘴痼疾、长江禁鱼打非断链、特种设备安全、虚假宣传、知识产权保护、农资产品、成品油打非等各领域执法行动</w:t>
      </w:r>
      <w:r>
        <w:rPr>
          <w:rFonts w:hint="default" w:ascii="Times New Roman" w:hAnsi="Times New Roman" w:eastAsia="仿宋_GB2312" w:cs="Times New Roman"/>
          <w:sz w:val="32"/>
          <w:szCs w:val="32"/>
          <w:lang w:val="en-US" w:eastAsia="zh-CN"/>
        </w:rPr>
        <w:t>300</w:t>
      </w:r>
      <w:r>
        <w:rPr>
          <w:rFonts w:hint="default" w:ascii="Times New Roman" w:hAnsi="Times New Roman" w:eastAsia="仿宋_GB2312" w:cs="Times New Roman"/>
          <w:sz w:val="32"/>
          <w:szCs w:val="32"/>
        </w:rPr>
        <w:t>余次，</w:t>
      </w:r>
      <w:r>
        <w:rPr>
          <w:rFonts w:hint="default" w:ascii="Times New Roman" w:hAnsi="Times New Roman" w:eastAsia="仿宋_GB2312" w:cs="Times New Roman"/>
          <w:sz w:val="32"/>
          <w:lang w:eastAsia="zh-CN"/>
        </w:rPr>
        <w:t>查办各类案件</w:t>
      </w:r>
      <w:r>
        <w:rPr>
          <w:rFonts w:hint="default" w:ascii="Times New Roman" w:hAnsi="Times New Roman" w:eastAsia="仿宋_GB2312" w:cs="Times New Roman"/>
          <w:sz w:val="32"/>
          <w:lang w:val="en-US" w:eastAsia="zh-CN"/>
        </w:rPr>
        <w:t>81起</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维护公平竞争秩序</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开展反不正当竞争法律法规宣传活动，审查市政府涉经济活动的文件和政策措施45份，查处虚假宣传、商业贿赂、侵犯商业秘密等违法行为4起，制定了《汨罗市2024年规范直销打击传销专项行动实施方案》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针对我市12月出现的EDA组织涉嫌传销行为，发放宣传资料12000份，群发短信100000条，制作短视频一条</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规范网络经营行为</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val="en-US" w:eastAsia="zh-CN"/>
        </w:rPr>
        <w:t>制定印发了《关于进一步做好网络交易监管及平台网络营销和集中促销行为监管工作的通知》，召开行政指导约谈会议，发放行政指导建议书6份，监测辖区内网站225家次，</w:t>
      </w:r>
      <w:r>
        <w:rPr>
          <w:rFonts w:hint="default" w:ascii="Times New Roman" w:hAnsi="Times New Roman" w:eastAsia="仿宋_GB2312" w:cs="Times New Roman"/>
          <w:sz w:val="32"/>
          <w:szCs w:val="32"/>
          <w:lang w:val="en-US" w:eastAsia="uk-UA"/>
        </w:rPr>
        <w:t>督促网络交易平台删除违法商品信息</w:t>
      </w:r>
      <w:r>
        <w:rPr>
          <w:rFonts w:hint="default" w:ascii="Times New Roman" w:hAnsi="Times New Roman" w:eastAsia="仿宋_GB2312" w:cs="Times New Roman"/>
          <w:sz w:val="32"/>
          <w:szCs w:val="32"/>
          <w:lang w:val="en-US" w:eastAsia="zh-CN"/>
        </w:rPr>
        <w:t>6条，督促企业自行整改网站6个；监测交易平台网店176家次，督促下架商品12件；监测外卖商品235个次，督促平台下架超范围经营食品34件。开展广告监测告246条，处置涉嫌违法广告12起，下达整改通知书12份，立案3起。</w:t>
      </w:r>
      <w:r>
        <w:rPr>
          <w:rFonts w:hint="default" w:ascii="Times New Roman" w:hAnsi="Times New Roman" w:eastAsia="仿宋_GB2312" w:cs="Times New Roman"/>
          <w:b/>
          <w:bCs/>
          <w:color w:val="auto"/>
          <w:kern w:val="2"/>
          <w:sz w:val="32"/>
          <w:szCs w:val="32"/>
          <w:lang w:val="en-US" w:eastAsia="zh-CN" w:bidi="ar-SA"/>
        </w:rPr>
        <w:t>优化消费环境。</w:t>
      </w:r>
      <w:r>
        <w:rPr>
          <w:rFonts w:hint="default" w:ascii="Times New Roman" w:hAnsi="Times New Roman" w:eastAsia="仿宋_GB2312" w:cs="Times New Roman"/>
          <w:color w:val="auto"/>
          <w:sz w:val="32"/>
          <w:szCs w:val="32"/>
          <w:lang w:val="en-US" w:eastAsia="zh-CN"/>
        </w:rPr>
        <w:t>开展“优化消费环境、激发消费活力”主题3·15国际消费者权益日宣传活动，全年培育放心消费示范商家1937家，发展线下七天无理由退货商家92家，开展长乐镇麻石古街省级放心消费新场景的创建工作，目前已成功入选全省十大放心消费示范新场景。畅通消费者权益保护渠道，“12315”、“12345”、“企业ODR”、来</w:t>
      </w:r>
      <w:r>
        <w:rPr>
          <w:rFonts w:hint="default" w:ascii="Times New Roman" w:hAnsi="Times New Roman" w:eastAsia="仿宋_GB2312" w:cs="Times New Roman"/>
          <w:kern w:val="0"/>
          <w:sz w:val="32"/>
          <w:szCs w:val="32"/>
          <w:lang w:val="en-US" w:eastAsia="zh-CN" w:bidi="ar"/>
        </w:rPr>
        <w:t>信来函投诉举报接转办同时并行，</w:t>
      </w:r>
      <w:r>
        <w:rPr>
          <w:rFonts w:hint="default" w:ascii="Times New Roman" w:hAnsi="Times New Roman" w:eastAsia="仿宋_GB2312" w:cs="Times New Roman"/>
          <w:color w:val="auto"/>
          <w:kern w:val="2"/>
          <w:sz w:val="32"/>
          <w:szCs w:val="32"/>
          <w:lang w:val="en-US" w:eastAsia="zh-CN" w:bidi="ar-SA"/>
        </w:rPr>
        <w:t>做到事事落实，及时回复，</w:t>
      </w:r>
      <w:r>
        <w:rPr>
          <w:rFonts w:hint="default" w:ascii="Times New Roman" w:hAnsi="Times New Roman" w:eastAsia="仿宋_GB2312" w:cs="Times New Roman"/>
          <w:kern w:val="0"/>
          <w:sz w:val="32"/>
          <w:szCs w:val="32"/>
          <w:lang w:val="en-US" w:eastAsia="zh-CN" w:bidi="ar"/>
        </w:rPr>
        <w:t>限期办结率100%，全年受理投诉举报3658件，为消费者挽回经济损失678万元。</w:t>
      </w:r>
    </w:p>
    <w:p w14:paraId="4C409525">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i w:val="0"/>
          <w:iCs w:val="0"/>
          <w:caps w:val="0"/>
          <w:color w:val="333333"/>
          <w:spacing w:val="0"/>
          <w:kern w:val="0"/>
          <w:sz w:val="32"/>
          <w:szCs w:val="32"/>
          <w:shd w:val="clear" w:fill="FFFFFF"/>
          <w:lang w:val="en-US" w:eastAsia="zh-CN" w:bidi="ar"/>
        </w:rPr>
        <w:t>（五）强化廉政建设，锻造市场铁军。</w:t>
      </w:r>
      <w:r>
        <w:rPr>
          <w:rFonts w:hint="default" w:ascii="Times New Roman" w:hAnsi="Times New Roman" w:eastAsia="仿宋_GB2312" w:cs="Times New Roman"/>
          <w:b/>
          <w:bCs/>
          <w:color w:val="auto"/>
          <w:kern w:val="2"/>
          <w:sz w:val="32"/>
          <w:szCs w:val="32"/>
          <w:lang w:val="en-US" w:eastAsia="zh-CN" w:bidi="ar-SA"/>
        </w:rPr>
        <w:t>从严落实管党治党责任。</w:t>
      </w:r>
      <w:r>
        <w:rPr>
          <w:rFonts w:hint="default" w:ascii="Times New Roman" w:hAnsi="Times New Roman" w:eastAsia="仿宋_GB2312" w:cs="Times New Roman"/>
          <w:sz w:val="32"/>
          <w:szCs w:val="32"/>
          <w:lang w:val="en-US" w:eastAsia="zh-CN"/>
        </w:rPr>
        <w:t>认真贯彻落实《党委（党组）落实全面从严治党主体责任规定》，做到年初有部署、年中有落实、年终有结果，半年一汇报， 全年有总结。强化制度建设，坚持用制度管权、管事、管人，让权力在阳光下运行，建立健全党组议事规则、财务管理、职级晋升、个人绩效考核、公务用车等制度7个，并且在实际执行过程中，严格按照具体承办人办理签字、部门负责人审核、分管领导把关、党组会议审议通过、结果上墙公示等环节，严格遵守和执行制度规定，切实提高各项工作执行力。</w:t>
      </w:r>
      <w:r>
        <w:rPr>
          <w:rFonts w:hint="default" w:ascii="Times New Roman" w:hAnsi="Times New Roman" w:eastAsia="仿宋_GB2312" w:cs="Times New Roman"/>
          <w:b/>
          <w:bCs/>
          <w:color w:val="auto"/>
          <w:kern w:val="2"/>
          <w:sz w:val="32"/>
          <w:szCs w:val="32"/>
          <w:lang w:val="en-US" w:eastAsia="zh-CN" w:bidi="ar-SA"/>
        </w:rPr>
        <w:t>开展群众身边不正之风和腐败问题集中整治。</w:t>
      </w:r>
      <w:r>
        <w:rPr>
          <w:rFonts w:hint="default" w:ascii="Times New Roman" w:hAnsi="Times New Roman" w:eastAsia="仿宋_GB2312" w:cs="Times New Roman"/>
          <w:sz w:val="32"/>
          <w:szCs w:val="32"/>
        </w:rPr>
        <w:t>先后召开</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次局党组（扩大）会议研究部署，传达贯彻中纪委、省委、省纪委监委和岳阳、汨罗市委、市纪委监委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群腐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集中整治工作精神，围绕重点解决群众反映强烈的突出问题，反复研究制定了《整治群众身边不正之风和腐败问题开展食品药品医疗器械特种设备产品质量价检计量安全领域集中整治行动工作方案》，成立以书记、局长任组长的双组长工作专班，加强调度督导，坚决惩治群众身边腐败问题。</w:t>
      </w:r>
      <w:r>
        <w:rPr>
          <w:rFonts w:hint="default"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rPr>
        <w:t>自查上报市纪委问题63个，整改完成63个，移送受理问题线索19条，</w:t>
      </w:r>
      <w:r>
        <w:rPr>
          <w:rFonts w:hint="default" w:ascii="Times New Roman" w:hAnsi="Times New Roman" w:eastAsia="仿宋_GB2312" w:cs="Times New Roman"/>
          <w:sz w:val="32"/>
          <w:szCs w:val="32"/>
          <w:lang w:val="en-US" w:eastAsia="zh-CN"/>
        </w:rPr>
        <w:t>完善制度机制3个，党纪政务处分1人。</w:t>
      </w:r>
      <w:r>
        <w:rPr>
          <w:rFonts w:hint="default" w:ascii="Times New Roman" w:hAnsi="Times New Roman" w:eastAsia="仿宋_GB2312" w:cs="Times New Roman"/>
          <w:sz w:val="32"/>
          <w:szCs w:val="32"/>
        </w:rPr>
        <w:t>深入落实基层“减负”措施，优化村（社区）干部“两个责任”包保工作机制，规范营业执照办理经营场所（场地使用）证明无需村（社区）盖章。</w:t>
      </w:r>
      <w:r>
        <w:rPr>
          <w:rFonts w:hint="default" w:ascii="Times New Roman" w:hAnsi="Times New Roman" w:eastAsia="仿宋_GB2312" w:cs="Times New Roman"/>
          <w:b/>
          <w:bCs/>
          <w:color w:val="auto"/>
          <w:kern w:val="2"/>
          <w:sz w:val="32"/>
          <w:szCs w:val="32"/>
          <w:lang w:val="en-US" w:eastAsia="zh-CN" w:bidi="ar-SA"/>
        </w:rPr>
        <w:t>树立正确选人用人导向。</w:t>
      </w:r>
      <w:r>
        <w:rPr>
          <w:rFonts w:hint="default" w:ascii="Times New Roman" w:hAnsi="Times New Roman" w:eastAsia="仿宋_GB2312" w:cs="Times New Roman"/>
          <w:sz w:val="32"/>
          <w:szCs w:val="32"/>
          <w:lang w:val="en-US" w:eastAsia="zh-CN"/>
        </w:rPr>
        <w:t>加强基层干部队伍建设，下大力优化干部队伍年龄结构，切实加大年轻干部培养力度。紧密围绕局事业发展需要，统筹各股、所、队用人需求，结合空编实际情况，科学设置职位，2024年录用4名公务员，接收军转干部1名。健全干部考核评价机制。进一步明确优化干部考核内容，明确干部考核标准，坚持实干导向，用好考核结果，发挥考核作用。</w:t>
      </w:r>
      <w:r>
        <w:rPr>
          <w:rFonts w:hint="default" w:ascii="Times New Roman" w:hAnsi="Times New Roman" w:eastAsia="仿宋_GB2312" w:cs="Times New Roman"/>
          <w:sz w:val="32"/>
          <w:szCs w:val="32"/>
        </w:rPr>
        <w:t>用好职级资源，注重实绩、兼顾资历、择优晋升，让想干事、能干事者上。坚持具体问题具体分析，让担当作为者放下包袱、轻装上阵。</w:t>
      </w:r>
    </w:p>
    <w:p w14:paraId="33D5D294">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黑体_GBK" w:cs="Times New Roman"/>
          <w:kern w:val="0"/>
          <w:sz w:val="32"/>
          <w:szCs w:val="32"/>
          <w:lang w:eastAsia="zh-CN"/>
        </w:rPr>
      </w:pPr>
      <w:r>
        <w:rPr>
          <w:rFonts w:hint="default" w:ascii="Times New Roman" w:hAnsi="Times New Roman" w:eastAsia="方正黑体_GBK" w:cs="Times New Roman"/>
          <w:kern w:val="0"/>
          <w:sz w:val="32"/>
          <w:szCs w:val="32"/>
          <w:lang w:eastAsia="zh-CN"/>
        </w:rPr>
        <w:t>五、存在的主要问题</w:t>
      </w:r>
    </w:p>
    <w:p w14:paraId="0296C367">
      <w:pPr>
        <w:keepNext w:val="0"/>
        <w:keepLines w:val="0"/>
        <w:pageBreakBefore w:val="0"/>
        <w:widowControl/>
        <w:wordWrap/>
        <w:overflowPunct/>
        <w:topLinePunct w:val="0"/>
        <w:bidi w:val="0"/>
        <w:spacing w:line="560" w:lineRule="exact"/>
        <w:ind w:firstLine="624" w:firstLineChars="200"/>
        <w:jc w:val="both"/>
        <w:rPr>
          <w:rFonts w:hint="default" w:ascii="Times New Roman" w:hAnsi="Times New Roman" w:eastAsia="仿宋" w:cs="Times New Roman"/>
          <w:bCs/>
          <w:spacing w:val="-4"/>
          <w:kern w:val="0"/>
          <w:sz w:val="32"/>
          <w:szCs w:val="32"/>
          <w:lang w:eastAsia="zh-CN"/>
        </w:rPr>
      </w:pPr>
      <w:r>
        <w:rPr>
          <w:rFonts w:hint="default" w:ascii="Times New Roman" w:hAnsi="Times New Roman" w:eastAsia="仿宋" w:cs="Times New Roman"/>
          <w:bCs/>
          <w:spacing w:val="-4"/>
          <w:kern w:val="0"/>
          <w:sz w:val="32"/>
          <w:szCs w:val="32"/>
          <w:lang w:val="en-US" w:eastAsia="zh-CN"/>
        </w:rPr>
        <w:t>1、</w:t>
      </w:r>
      <w:r>
        <w:rPr>
          <w:rFonts w:hint="default" w:ascii="Times New Roman" w:hAnsi="Times New Roman" w:eastAsia="仿宋" w:cs="Times New Roman"/>
          <w:bCs/>
          <w:spacing w:val="-4"/>
          <w:kern w:val="0"/>
          <w:sz w:val="32"/>
          <w:szCs w:val="32"/>
          <w:lang w:eastAsia="zh-CN"/>
        </w:rPr>
        <w:t xml:space="preserve">财务工作是一个单位的命脉，我局人员多，机构多，职能多，要求财务人员工作水平越来越高。 </w:t>
      </w:r>
    </w:p>
    <w:p w14:paraId="66A1BE48">
      <w:pPr>
        <w:keepNext w:val="0"/>
        <w:keepLines w:val="0"/>
        <w:pageBreakBefore w:val="0"/>
        <w:widowControl/>
        <w:wordWrap/>
        <w:overflowPunct/>
        <w:topLinePunct w:val="0"/>
        <w:bidi w:val="0"/>
        <w:spacing w:line="560" w:lineRule="exact"/>
        <w:ind w:firstLine="624" w:firstLineChars="200"/>
        <w:jc w:val="both"/>
        <w:rPr>
          <w:rFonts w:hint="default" w:ascii="Times New Roman" w:hAnsi="Times New Roman" w:eastAsia="仿宋" w:cs="Times New Roman"/>
          <w:bCs/>
          <w:spacing w:val="-4"/>
          <w:kern w:val="0"/>
          <w:sz w:val="32"/>
          <w:szCs w:val="32"/>
          <w:lang w:eastAsia="zh-CN"/>
        </w:rPr>
      </w:pPr>
      <w:r>
        <w:rPr>
          <w:rFonts w:hint="default" w:ascii="Times New Roman" w:hAnsi="Times New Roman" w:eastAsia="仿宋" w:cs="Times New Roman"/>
          <w:bCs/>
          <w:spacing w:val="-4"/>
          <w:kern w:val="0"/>
          <w:sz w:val="32"/>
          <w:szCs w:val="32"/>
          <w:lang w:eastAsia="zh-CN"/>
        </w:rPr>
        <w:t xml:space="preserve">2、会计基础工作需要不断完善，报表数据与实际情况存在小误差。                            </w:t>
      </w:r>
    </w:p>
    <w:p w14:paraId="47227F54">
      <w:pPr>
        <w:keepNext w:val="0"/>
        <w:keepLines w:val="0"/>
        <w:pageBreakBefore w:val="0"/>
        <w:widowControl/>
        <w:wordWrap/>
        <w:overflowPunct/>
        <w:topLinePunct w:val="0"/>
        <w:bidi w:val="0"/>
        <w:spacing w:line="560" w:lineRule="exact"/>
        <w:ind w:firstLine="624" w:firstLineChars="200"/>
        <w:jc w:val="both"/>
        <w:rPr>
          <w:rFonts w:hint="default" w:ascii="Times New Roman" w:hAnsi="Times New Roman" w:eastAsia="仿宋" w:cs="Times New Roman"/>
          <w:bCs/>
          <w:spacing w:val="-4"/>
          <w:kern w:val="0"/>
          <w:sz w:val="32"/>
          <w:szCs w:val="32"/>
          <w:lang w:eastAsia="zh-CN"/>
        </w:rPr>
      </w:pPr>
      <w:r>
        <w:rPr>
          <w:rFonts w:hint="default" w:ascii="Times New Roman" w:hAnsi="Times New Roman" w:eastAsia="仿宋" w:cs="Times New Roman"/>
          <w:bCs/>
          <w:spacing w:val="-4"/>
          <w:kern w:val="0"/>
          <w:sz w:val="32"/>
          <w:szCs w:val="32"/>
          <w:lang w:eastAsia="zh-CN"/>
        </w:rPr>
        <w:t>3、市场监管职能增强，食品、药品、特种设备等领域的隐患不容忽视，市场主体、消费者对市场监管部门期待很高，财政专项还需更加大财政投入。</w:t>
      </w: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538683E8">
      <w:pPr>
        <w:spacing w:line="600" w:lineRule="exact"/>
        <w:ind w:firstLine="640" w:firstLineChars="200"/>
        <w:jc w:val="both"/>
        <w:rPr>
          <w:rFonts w:hint="eastAsia" w:eastAsia="仿宋_GB2312"/>
          <w:kern w:val="0"/>
          <w:sz w:val="32"/>
          <w:szCs w:val="32"/>
          <w:lang w:eastAsia="zh-CN"/>
        </w:rPr>
      </w:pPr>
    </w:p>
    <w:p w14:paraId="4C2DE8EE">
      <w:pPr>
        <w:spacing w:line="600" w:lineRule="exact"/>
        <w:ind w:firstLine="640" w:firstLineChars="200"/>
        <w:jc w:val="both"/>
        <w:rPr>
          <w:rFonts w:hint="eastAsia" w:eastAsia="仿宋_GB2312"/>
          <w:kern w:val="0"/>
          <w:sz w:val="32"/>
          <w:szCs w:val="32"/>
          <w:lang w:eastAsia="zh-CN"/>
        </w:rPr>
      </w:pPr>
    </w:p>
    <w:p w14:paraId="7EF34BD9">
      <w:pPr>
        <w:spacing w:line="600" w:lineRule="exact"/>
        <w:ind w:firstLine="640" w:firstLineChars="200"/>
        <w:jc w:val="both"/>
        <w:rPr>
          <w:rFonts w:hint="eastAsia" w:eastAsia="仿宋_GB2312"/>
          <w:kern w:val="0"/>
          <w:sz w:val="32"/>
          <w:szCs w:val="32"/>
          <w:lang w:eastAsia="zh-CN"/>
        </w:rPr>
      </w:pPr>
    </w:p>
    <w:p w14:paraId="37A8DEC4">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38663552">
      <w:pPr>
        <w:spacing w:line="267" w:lineRule="auto"/>
        <w:ind w:firstLine="552"/>
        <w:jc w:val="both"/>
        <w:rPr>
          <w:rFonts w:hint="eastAsia" w:ascii="宋体" w:hAnsi="宋体" w:eastAsia="宋体" w:cs="宋体"/>
          <w:bCs/>
          <w:spacing w:val="-4"/>
          <w:kern w:val="0"/>
          <w:sz w:val="28"/>
          <w:szCs w:val="28"/>
          <w:lang w:eastAsia="zh-CN"/>
        </w:rPr>
      </w:pPr>
    </w:p>
    <w:p w14:paraId="705522DE">
      <w:pPr>
        <w:spacing w:line="267" w:lineRule="auto"/>
        <w:ind w:firstLine="552"/>
        <w:jc w:val="both"/>
        <w:rPr>
          <w:rFonts w:hint="eastAsia" w:ascii="宋体" w:hAnsi="宋体" w:eastAsia="宋体" w:cs="宋体"/>
          <w:bCs/>
          <w:spacing w:val="-4"/>
          <w:kern w:val="0"/>
          <w:sz w:val="28"/>
          <w:szCs w:val="28"/>
          <w:lang w:eastAsia="zh-CN"/>
        </w:rPr>
      </w:pPr>
    </w:p>
    <w:p w14:paraId="47380054">
      <w:pPr>
        <w:spacing w:line="267" w:lineRule="auto"/>
        <w:ind w:firstLine="552"/>
        <w:jc w:val="both"/>
        <w:rPr>
          <w:rFonts w:hint="eastAsia" w:ascii="宋体" w:hAnsi="宋体" w:eastAsia="宋体" w:cs="宋体"/>
          <w:bCs/>
          <w:spacing w:val="-4"/>
          <w:kern w:val="0"/>
          <w:sz w:val="28"/>
          <w:szCs w:val="28"/>
          <w:lang w:eastAsia="zh-CN"/>
        </w:rPr>
      </w:pPr>
    </w:p>
    <w:p w14:paraId="47658FDE">
      <w:pPr>
        <w:spacing w:line="267" w:lineRule="auto"/>
        <w:ind w:firstLine="552"/>
        <w:jc w:val="both"/>
        <w:rPr>
          <w:rFonts w:hint="eastAsia" w:ascii="宋体" w:hAnsi="宋体" w:eastAsia="宋体" w:cs="宋体"/>
          <w:bCs/>
          <w:spacing w:val="-4"/>
          <w:kern w:val="0"/>
          <w:sz w:val="28"/>
          <w:szCs w:val="28"/>
          <w:lang w:eastAsia="zh-CN"/>
        </w:rPr>
      </w:pPr>
    </w:p>
    <w:p w14:paraId="3A2A77A0">
      <w:pPr>
        <w:spacing w:line="267" w:lineRule="auto"/>
        <w:ind w:firstLine="552"/>
        <w:jc w:val="both"/>
        <w:rPr>
          <w:rFonts w:hint="eastAsia" w:ascii="宋体" w:hAnsi="宋体" w:eastAsia="宋体" w:cs="宋体"/>
          <w:bCs/>
          <w:spacing w:val="-4"/>
          <w:kern w:val="0"/>
          <w:sz w:val="28"/>
          <w:szCs w:val="28"/>
          <w:lang w:eastAsia="zh-CN"/>
        </w:rPr>
      </w:pPr>
    </w:p>
    <w:p w14:paraId="5D74CFA2">
      <w:pPr>
        <w:spacing w:line="267" w:lineRule="auto"/>
        <w:ind w:firstLine="552"/>
        <w:jc w:val="both"/>
        <w:rPr>
          <w:rFonts w:hint="eastAsia" w:ascii="宋体" w:hAnsi="宋体" w:eastAsia="宋体" w:cs="宋体"/>
          <w:bCs/>
          <w:spacing w:val="-4"/>
          <w:kern w:val="0"/>
          <w:sz w:val="28"/>
          <w:szCs w:val="28"/>
          <w:lang w:eastAsia="zh-CN"/>
        </w:rPr>
      </w:pPr>
    </w:p>
    <w:p w14:paraId="0464F4BD">
      <w:pPr>
        <w:spacing w:line="267" w:lineRule="auto"/>
        <w:ind w:firstLine="552"/>
        <w:jc w:val="both"/>
        <w:rPr>
          <w:rFonts w:hint="eastAsia" w:ascii="宋体" w:hAnsi="宋体" w:eastAsia="宋体" w:cs="宋体"/>
          <w:bCs/>
          <w:spacing w:val="-4"/>
          <w:kern w:val="0"/>
          <w:sz w:val="28"/>
          <w:szCs w:val="28"/>
          <w:lang w:eastAsia="zh-CN"/>
        </w:rPr>
      </w:pPr>
    </w:p>
    <w:p w14:paraId="16A39A5B">
      <w:pPr>
        <w:spacing w:line="267" w:lineRule="auto"/>
        <w:ind w:firstLine="552"/>
        <w:jc w:val="both"/>
        <w:rPr>
          <w:rFonts w:hint="eastAsia" w:ascii="宋体" w:hAnsi="宋体" w:eastAsia="宋体" w:cs="宋体"/>
          <w:bCs/>
          <w:spacing w:val="-4"/>
          <w:kern w:val="0"/>
          <w:sz w:val="28"/>
          <w:szCs w:val="28"/>
          <w:lang w:eastAsia="zh-CN"/>
        </w:rPr>
      </w:pPr>
    </w:p>
    <w:p w14:paraId="77489638">
      <w:pPr>
        <w:spacing w:line="267" w:lineRule="auto"/>
        <w:ind w:firstLine="552"/>
        <w:jc w:val="both"/>
        <w:rPr>
          <w:rFonts w:hint="eastAsia" w:ascii="宋体" w:hAnsi="宋体" w:eastAsia="宋体" w:cs="宋体"/>
          <w:bCs/>
          <w:spacing w:val="-4"/>
          <w:kern w:val="0"/>
          <w:sz w:val="28"/>
          <w:szCs w:val="28"/>
          <w:lang w:eastAsia="zh-CN"/>
        </w:rPr>
      </w:pPr>
    </w:p>
    <w:p w14:paraId="63AEAFE6">
      <w:pPr>
        <w:spacing w:line="267" w:lineRule="auto"/>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77825B19">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EF43FF6">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食品安全抽检</w:t>
      </w:r>
      <w:r>
        <w:rPr>
          <w:rFonts w:ascii="黑体" w:hAnsi="黑体" w:eastAsia="黑体" w:cs="黑体"/>
          <w:spacing w:val="15"/>
          <w:position w:val="10"/>
          <w:sz w:val="42"/>
          <w:szCs w:val="42"/>
        </w:rPr>
        <w:t>项目支出</w:t>
      </w:r>
    </w:p>
    <w:p w14:paraId="008089F6">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A329C19">
      <w:pPr>
        <w:spacing w:line="246" w:lineRule="auto"/>
        <w:rPr>
          <w:rFonts w:ascii="Arial"/>
          <w:sz w:val="21"/>
        </w:rPr>
      </w:pPr>
    </w:p>
    <w:p w14:paraId="64C54BD6">
      <w:pPr>
        <w:spacing w:line="246" w:lineRule="auto"/>
        <w:rPr>
          <w:rFonts w:ascii="Arial"/>
          <w:sz w:val="21"/>
        </w:rPr>
      </w:pPr>
    </w:p>
    <w:p w14:paraId="5F9CD800">
      <w:pPr>
        <w:spacing w:line="246" w:lineRule="auto"/>
        <w:rPr>
          <w:rFonts w:ascii="Arial"/>
          <w:sz w:val="21"/>
        </w:rPr>
      </w:pPr>
    </w:p>
    <w:p w14:paraId="73ED3C1E">
      <w:pPr>
        <w:spacing w:line="246" w:lineRule="auto"/>
        <w:rPr>
          <w:rFonts w:ascii="Arial"/>
          <w:sz w:val="21"/>
        </w:rPr>
      </w:pPr>
    </w:p>
    <w:p w14:paraId="46C7ED11">
      <w:pPr>
        <w:spacing w:line="246" w:lineRule="auto"/>
        <w:rPr>
          <w:rFonts w:ascii="Arial"/>
          <w:sz w:val="21"/>
        </w:rPr>
      </w:pPr>
    </w:p>
    <w:p w14:paraId="1114F918">
      <w:pPr>
        <w:spacing w:line="246" w:lineRule="auto"/>
        <w:rPr>
          <w:rFonts w:ascii="Arial"/>
          <w:sz w:val="21"/>
        </w:rPr>
      </w:pPr>
    </w:p>
    <w:p w14:paraId="451E4301">
      <w:pPr>
        <w:spacing w:line="246" w:lineRule="auto"/>
        <w:rPr>
          <w:rFonts w:ascii="Arial"/>
          <w:sz w:val="21"/>
        </w:rPr>
      </w:pPr>
    </w:p>
    <w:p w14:paraId="599EB412">
      <w:pPr>
        <w:spacing w:line="246" w:lineRule="auto"/>
        <w:rPr>
          <w:rFonts w:ascii="Arial"/>
          <w:sz w:val="21"/>
        </w:rPr>
      </w:pPr>
    </w:p>
    <w:p w14:paraId="057359AF">
      <w:pPr>
        <w:spacing w:line="246" w:lineRule="auto"/>
        <w:rPr>
          <w:rFonts w:ascii="Arial"/>
          <w:sz w:val="21"/>
        </w:rPr>
      </w:pPr>
    </w:p>
    <w:p w14:paraId="5124514F">
      <w:pPr>
        <w:spacing w:line="246" w:lineRule="auto"/>
        <w:rPr>
          <w:rFonts w:ascii="Arial"/>
          <w:sz w:val="21"/>
        </w:rPr>
      </w:pPr>
    </w:p>
    <w:p w14:paraId="316D180E">
      <w:pPr>
        <w:spacing w:line="246" w:lineRule="auto"/>
        <w:rPr>
          <w:rFonts w:ascii="Arial"/>
          <w:sz w:val="21"/>
        </w:rPr>
      </w:pPr>
    </w:p>
    <w:p w14:paraId="655ED79A">
      <w:pPr>
        <w:spacing w:line="246" w:lineRule="auto"/>
        <w:rPr>
          <w:rFonts w:ascii="Arial"/>
          <w:sz w:val="21"/>
        </w:rPr>
      </w:pPr>
    </w:p>
    <w:p w14:paraId="79C012AC">
      <w:pPr>
        <w:spacing w:line="246" w:lineRule="auto"/>
        <w:rPr>
          <w:rFonts w:ascii="Arial"/>
          <w:sz w:val="21"/>
        </w:rPr>
      </w:pPr>
    </w:p>
    <w:p w14:paraId="2F542AFD">
      <w:pPr>
        <w:spacing w:line="246" w:lineRule="auto"/>
        <w:rPr>
          <w:rFonts w:ascii="Arial"/>
          <w:sz w:val="21"/>
        </w:rPr>
      </w:pPr>
    </w:p>
    <w:p w14:paraId="5A0FEDC1">
      <w:pPr>
        <w:spacing w:line="246" w:lineRule="auto"/>
        <w:rPr>
          <w:rFonts w:ascii="Arial"/>
          <w:sz w:val="21"/>
        </w:rPr>
      </w:pPr>
    </w:p>
    <w:p w14:paraId="7385B613">
      <w:pPr>
        <w:spacing w:line="246" w:lineRule="auto"/>
        <w:rPr>
          <w:rFonts w:ascii="Arial"/>
          <w:sz w:val="21"/>
        </w:rPr>
      </w:pPr>
    </w:p>
    <w:p w14:paraId="1DAEB96D">
      <w:pPr>
        <w:spacing w:line="246" w:lineRule="auto"/>
        <w:rPr>
          <w:rFonts w:ascii="Arial"/>
          <w:sz w:val="21"/>
        </w:rPr>
      </w:pPr>
    </w:p>
    <w:p w14:paraId="63F6DDA5">
      <w:pPr>
        <w:spacing w:line="247" w:lineRule="auto"/>
        <w:rPr>
          <w:rFonts w:ascii="Arial"/>
          <w:sz w:val="21"/>
        </w:rPr>
      </w:pPr>
    </w:p>
    <w:p w14:paraId="34A15DFB">
      <w:pPr>
        <w:spacing w:line="247" w:lineRule="auto"/>
        <w:rPr>
          <w:rFonts w:ascii="Arial"/>
          <w:sz w:val="21"/>
        </w:rPr>
      </w:pPr>
    </w:p>
    <w:p w14:paraId="4C0760A3">
      <w:pPr>
        <w:spacing w:line="247" w:lineRule="auto"/>
        <w:rPr>
          <w:rFonts w:ascii="Arial"/>
          <w:sz w:val="21"/>
        </w:rPr>
      </w:pPr>
    </w:p>
    <w:p w14:paraId="7E214A21">
      <w:pPr>
        <w:spacing w:line="247" w:lineRule="auto"/>
        <w:rPr>
          <w:rFonts w:ascii="Arial"/>
          <w:sz w:val="21"/>
        </w:rPr>
      </w:pPr>
    </w:p>
    <w:p w14:paraId="3218547D">
      <w:pPr>
        <w:spacing w:line="247" w:lineRule="auto"/>
        <w:rPr>
          <w:rFonts w:ascii="Arial"/>
          <w:sz w:val="21"/>
        </w:rPr>
      </w:pPr>
    </w:p>
    <w:p w14:paraId="4E55CFFD">
      <w:pPr>
        <w:spacing w:line="247" w:lineRule="auto"/>
        <w:rPr>
          <w:rFonts w:ascii="Arial"/>
          <w:sz w:val="21"/>
        </w:rPr>
      </w:pPr>
    </w:p>
    <w:p w14:paraId="62AD1322">
      <w:pPr>
        <w:spacing w:line="247" w:lineRule="auto"/>
        <w:rPr>
          <w:rFonts w:ascii="Arial"/>
          <w:sz w:val="21"/>
        </w:rPr>
      </w:pPr>
    </w:p>
    <w:p w14:paraId="04EAAD47">
      <w:pPr>
        <w:spacing w:line="247" w:lineRule="auto"/>
        <w:rPr>
          <w:rFonts w:ascii="Arial"/>
          <w:sz w:val="21"/>
        </w:rPr>
      </w:pPr>
    </w:p>
    <w:p w14:paraId="1F2946D1">
      <w:pPr>
        <w:spacing w:line="247" w:lineRule="auto"/>
        <w:rPr>
          <w:rFonts w:ascii="Arial"/>
          <w:sz w:val="21"/>
        </w:rPr>
      </w:pPr>
    </w:p>
    <w:p w14:paraId="3494C942">
      <w:pPr>
        <w:spacing w:line="247" w:lineRule="auto"/>
        <w:rPr>
          <w:rFonts w:ascii="Arial"/>
          <w:sz w:val="21"/>
        </w:rPr>
      </w:pPr>
    </w:p>
    <w:p w14:paraId="09559FA7">
      <w:pPr>
        <w:spacing w:line="247" w:lineRule="auto"/>
        <w:rPr>
          <w:rFonts w:ascii="Arial"/>
          <w:sz w:val="21"/>
        </w:rPr>
      </w:pPr>
    </w:p>
    <w:p w14:paraId="61453565">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AFBA794">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065CC7C">
      <w:pPr>
        <w:pStyle w:val="2"/>
        <w:spacing w:before="1" w:line="223" w:lineRule="auto"/>
        <w:ind w:left="3560"/>
        <w:rPr>
          <w:sz w:val="24"/>
          <w:szCs w:val="24"/>
        </w:rPr>
      </w:pPr>
      <w:r>
        <w:rPr>
          <w:spacing w:val="7"/>
          <w:sz w:val="24"/>
          <w:szCs w:val="24"/>
        </w:rPr>
        <w:t>(此面为封面)</w:t>
      </w:r>
    </w:p>
    <w:p w14:paraId="5389DB7D">
      <w:pPr>
        <w:spacing w:line="223" w:lineRule="auto"/>
        <w:rPr>
          <w:sz w:val="24"/>
          <w:szCs w:val="24"/>
        </w:rPr>
        <w:sectPr>
          <w:footerReference r:id="rId9" w:type="default"/>
          <w:pgSz w:w="11900" w:h="16820"/>
          <w:pgMar w:top="1429" w:right="1782" w:bottom="1158" w:left="1450" w:header="0" w:footer="850" w:gutter="0"/>
          <w:cols w:space="720" w:num="1"/>
        </w:sectPr>
      </w:pPr>
    </w:p>
    <w:p w14:paraId="6475945A">
      <w:pPr>
        <w:spacing w:before="137" w:line="221" w:lineRule="auto"/>
        <w:jc w:val="center"/>
        <w:rPr>
          <w:rFonts w:ascii="黑体" w:hAnsi="黑体" w:eastAsia="黑体" w:cs="黑体"/>
          <w:sz w:val="42"/>
          <w:szCs w:val="42"/>
        </w:rPr>
      </w:pPr>
      <w:r>
        <w:rPr>
          <w:rFonts w:hint="eastAsia" w:ascii="黑体" w:hAnsi="黑体" w:eastAsia="黑体" w:cs="黑体"/>
          <w:b/>
          <w:bCs/>
          <w:spacing w:val="6"/>
          <w:sz w:val="42"/>
          <w:szCs w:val="42"/>
          <w:lang w:eastAsia="zh-CN"/>
        </w:rPr>
        <w:t>食品安全抽检</w:t>
      </w:r>
      <w:r>
        <w:rPr>
          <w:rFonts w:ascii="黑体" w:hAnsi="黑体" w:eastAsia="黑体" w:cs="黑体"/>
          <w:b/>
          <w:bCs/>
          <w:spacing w:val="6"/>
          <w:sz w:val="42"/>
          <w:szCs w:val="42"/>
        </w:rPr>
        <w:t>项目支出绩效评价报告</w:t>
      </w:r>
    </w:p>
    <w:p w14:paraId="7331CB14">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textAlignment w:val="baseline"/>
        <w:rPr>
          <w:rFonts w:hint="default" w:ascii="Times New Roman" w:hAnsi="Times New Roman" w:eastAsia="仿宋" w:cs="Times New Roman"/>
          <w:sz w:val="32"/>
          <w:szCs w:val="32"/>
        </w:rPr>
      </w:pPr>
    </w:p>
    <w:p w14:paraId="38B6C2A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b w:val="0"/>
          <w:bCs w:val="0"/>
          <w:snapToGrid w:val="0"/>
          <w:color w:val="000000"/>
          <w:spacing w:val="0"/>
          <w:kern w:val="0"/>
          <w:sz w:val="32"/>
          <w:szCs w:val="32"/>
          <w:highlight w:val="none"/>
          <w:lang w:val="en-US" w:eastAsia="zh-CN" w:bidi="ar-SA"/>
        </w:rPr>
        <w:t>根据《中共中央国务院关于全面实施预算绩效管理的意见》《项目支出绩效评价管理办法》（财预〔2020〕10号）等文件规定，按照《汨罗市预算绩效管理实施办法》（汨办发[2022]42号）等相关文件要求，</w:t>
      </w:r>
      <w:r>
        <w:rPr>
          <w:rFonts w:hint="default" w:ascii="Times New Roman" w:hAnsi="Times New Roman" w:eastAsia="仿宋" w:cs="Times New Roman"/>
          <w:b w:val="0"/>
          <w:bCs w:val="0"/>
          <w:sz w:val="32"/>
          <w:szCs w:val="32"/>
          <w:highlight w:val="none"/>
        </w:rPr>
        <w:t>现对汨罗市市场监督管理局202</w:t>
      </w:r>
      <w:r>
        <w:rPr>
          <w:rFonts w:hint="default" w:ascii="Times New Roman" w:hAnsi="Times New Roman" w:cs="Times New Roman"/>
          <w:b w:val="0"/>
          <w:bCs w:val="0"/>
          <w:sz w:val="32"/>
          <w:szCs w:val="32"/>
          <w:highlight w:val="none"/>
          <w:lang w:val="en-US" w:eastAsia="zh-CN"/>
        </w:rPr>
        <w:t>4</w:t>
      </w:r>
      <w:r>
        <w:rPr>
          <w:rFonts w:hint="default" w:ascii="Times New Roman" w:hAnsi="Times New Roman" w:eastAsia="仿宋" w:cs="Times New Roman"/>
          <w:b w:val="0"/>
          <w:bCs w:val="0"/>
          <w:sz w:val="32"/>
          <w:szCs w:val="32"/>
          <w:highlight w:val="none"/>
        </w:rPr>
        <w:t>年度的</w:t>
      </w:r>
      <w:r>
        <w:rPr>
          <w:rFonts w:hint="default" w:ascii="Times New Roman" w:hAnsi="Times New Roman" w:eastAsia="仿宋" w:cs="Times New Roman"/>
          <w:b w:val="0"/>
          <w:bCs w:val="0"/>
          <w:spacing w:val="6"/>
          <w:sz w:val="32"/>
          <w:szCs w:val="32"/>
          <w:highlight w:val="none"/>
          <w:lang w:eastAsia="zh-CN"/>
        </w:rPr>
        <w:t>食品安全抽检专项</w:t>
      </w:r>
      <w:r>
        <w:rPr>
          <w:rFonts w:hint="default" w:ascii="Times New Roman" w:hAnsi="Times New Roman" w:eastAsia="仿宋" w:cs="Times New Roman"/>
          <w:b w:val="0"/>
          <w:bCs w:val="0"/>
          <w:sz w:val="32"/>
          <w:szCs w:val="32"/>
          <w:highlight w:val="none"/>
        </w:rPr>
        <w:t>开展绩效自评，具体情况汇报如下：</w:t>
      </w:r>
    </w:p>
    <w:p w14:paraId="0089847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sz w:val="31"/>
          <w:szCs w:val="31"/>
        </w:rPr>
      </w:pPr>
      <w:r>
        <w:rPr>
          <w:rFonts w:hint="default" w:ascii="Times New Roman" w:hAnsi="Times New Roman" w:eastAsia="黑体" w:cs="Times New Roman"/>
          <w:b/>
          <w:bCs/>
          <w:spacing w:val="-15"/>
          <w:sz w:val="31"/>
          <w:szCs w:val="31"/>
        </w:rPr>
        <w:t>一</w:t>
      </w:r>
      <w:r>
        <w:rPr>
          <w:rFonts w:hint="default" w:ascii="Times New Roman" w:hAnsi="Times New Roman" w:eastAsia="黑体" w:cs="Times New Roman"/>
          <w:spacing w:val="-15"/>
          <w:sz w:val="31"/>
          <w:szCs w:val="31"/>
        </w:rPr>
        <w:t xml:space="preserve"> </w:t>
      </w:r>
      <w:r>
        <w:rPr>
          <w:rFonts w:hint="default" w:ascii="Times New Roman" w:hAnsi="Times New Roman" w:eastAsia="黑体" w:cs="Times New Roman"/>
          <w:b/>
          <w:bCs/>
          <w:spacing w:val="-15"/>
          <w:sz w:val="31"/>
          <w:szCs w:val="31"/>
        </w:rPr>
        <w:t>、项目基本情况</w:t>
      </w:r>
    </w:p>
    <w:p w14:paraId="546318DF">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left="0" w:leftChars="0" w:firstLine="562" w:firstLineChars="200"/>
        <w:textAlignment w:val="baseline"/>
        <w:rPr>
          <w:rFonts w:hint="default" w:ascii="Times New Roman" w:hAnsi="Times New Roman" w:eastAsia="仿宋" w:cs="Times New Roman"/>
          <w:sz w:val="32"/>
          <w:szCs w:val="32"/>
        </w:rPr>
      </w:pPr>
      <w:r>
        <w:rPr>
          <w:rFonts w:hint="default" w:ascii="Times New Roman" w:hAnsi="Times New Roman" w:eastAsia="黑体" w:cs="Times New Roman"/>
          <w:b/>
          <w:bCs/>
          <w:snapToGrid w:val="0"/>
          <w:color w:val="000000"/>
          <w:spacing w:val="-15"/>
          <w:kern w:val="0"/>
          <w:sz w:val="31"/>
          <w:szCs w:val="31"/>
          <w:lang w:val="en-US" w:eastAsia="zh-CN" w:bidi="ar-SA"/>
        </w:rPr>
        <w:t>1、</w:t>
      </w:r>
      <w:r>
        <w:rPr>
          <w:rFonts w:hint="default" w:ascii="Times New Roman" w:hAnsi="Times New Roman" w:eastAsia="黑体" w:cs="Times New Roman"/>
          <w:b/>
          <w:bCs/>
          <w:snapToGrid w:val="0"/>
          <w:color w:val="000000"/>
          <w:spacing w:val="-15"/>
          <w:kern w:val="0"/>
          <w:sz w:val="31"/>
          <w:szCs w:val="31"/>
          <w:lang w:val="en-US" w:eastAsia="en-US" w:bidi="ar-SA"/>
        </w:rPr>
        <w:t>项目立项依据</w:t>
      </w:r>
    </w:p>
    <w:p w14:paraId="7AFC2BDD">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textAlignment w:val="baseline"/>
        <w:rPr>
          <w:rFonts w:hint="default" w:ascii="Times New Roman" w:hAnsi="Times New Roman" w:eastAsia="仿宋" w:cs="Times New Roman"/>
          <w:sz w:val="32"/>
          <w:szCs w:val="32"/>
        </w:rPr>
      </w:pPr>
      <w:r>
        <w:rPr>
          <w:rFonts w:hint="default" w:ascii="Times New Roman" w:hAnsi="Times New Roman" w:cs="Times New Roman"/>
          <w:sz w:val="32"/>
          <w:szCs w:val="32"/>
        </w:rPr>
        <w:t>本项目依据</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中华人民共和国食品安全法》、《食品安全抽检检验工作规范》、《岳阳市2024年食品安全监督抽检计划》、《汨罗市2024年食品安全监督抽检计划》等</w:t>
      </w:r>
      <w:r>
        <w:rPr>
          <w:rFonts w:hint="default" w:ascii="Times New Roman" w:hAnsi="Times New Roman" w:cs="Times New Roman"/>
          <w:sz w:val="32"/>
          <w:szCs w:val="32"/>
        </w:rPr>
        <w:t>相关法律法规</w:t>
      </w:r>
      <w:r>
        <w:rPr>
          <w:rFonts w:hint="default" w:ascii="Times New Roman" w:hAnsi="Times New Roman" w:cs="Times New Roman"/>
          <w:sz w:val="32"/>
          <w:szCs w:val="32"/>
          <w:lang w:val="en-US" w:eastAsia="zh-CN"/>
        </w:rPr>
        <w:t>和通知文件</w:t>
      </w:r>
      <w:r>
        <w:rPr>
          <w:rFonts w:hint="default" w:ascii="Times New Roman" w:hAnsi="Times New Roman" w:cs="Times New Roman"/>
          <w:sz w:val="32"/>
          <w:szCs w:val="32"/>
        </w:rPr>
        <w:t>设立。</w:t>
      </w:r>
    </w:p>
    <w:p w14:paraId="7139D393">
      <w:pPr>
        <w:pStyle w:val="5"/>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left="0" w:leftChars="0" w:firstLine="562" w:firstLineChars="200"/>
        <w:textAlignment w:val="baseline"/>
        <w:rPr>
          <w:rFonts w:hint="default" w:ascii="Times New Roman" w:hAnsi="Times New Roman" w:eastAsia="黑体" w:cs="Times New Roman"/>
          <w:b/>
          <w:bCs/>
          <w:snapToGrid w:val="0"/>
          <w:color w:val="000000"/>
          <w:spacing w:val="-15"/>
          <w:kern w:val="0"/>
          <w:sz w:val="31"/>
          <w:szCs w:val="31"/>
          <w:lang w:val="en-US" w:eastAsia="zh-CN" w:bidi="ar-SA"/>
        </w:rPr>
      </w:pPr>
      <w:r>
        <w:rPr>
          <w:rFonts w:hint="default" w:ascii="Times New Roman" w:hAnsi="Times New Roman" w:eastAsia="黑体" w:cs="Times New Roman"/>
          <w:b/>
          <w:bCs/>
          <w:snapToGrid w:val="0"/>
          <w:color w:val="000000"/>
          <w:spacing w:val="-15"/>
          <w:kern w:val="0"/>
          <w:sz w:val="31"/>
          <w:szCs w:val="31"/>
          <w:lang w:val="en-US" w:eastAsia="zh-CN" w:bidi="ar-SA"/>
        </w:rPr>
        <w:t>2、项目绩效目标</w:t>
      </w:r>
    </w:p>
    <w:p w14:paraId="369EF1B7">
      <w:pPr>
        <w:pStyle w:val="5"/>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textAlignment w:val="baseline"/>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全市食品领域监督抽检全覆盖，保障人民群众“米袋子”“菜篮子”“果盘子”“肉案子”“油瓶子”食品安全，不断提高人民群众生活质量。</w:t>
      </w:r>
    </w:p>
    <w:p w14:paraId="6E94F082">
      <w:pPr>
        <w:pStyle w:val="5"/>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left="0" w:leftChars="0" w:firstLine="562" w:firstLineChars="200"/>
        <w:textAlignment w:val="baseline"/>
        <w:rPr>
          <w:rFonts w:hint="default" w:ascii="Times New Roman" w:hAnsi="Times New Roman" w:eastAsia="黑体" w:cs="Times New Roman"/>
          <w:b/>
          <w:bCs/>
          <w:snapToGrid w:val="0"/>
          <w:color w:val="000000"/>
          <w:spacing w:val="-15"/>
          <w:kern w:val="0"/>
          <w:sz w:val="31"/>
          <w:szCs w:val="31"/>
          <w:lang w:val="en-US" w:eastAsia="zh-CN" w:bidi="ar-SA"/>
        </w:rPr>
      </w:pPr>
      <w:r>
        <w:rPr>
          <w:rFonts w:hint="default" w:ascii="Times New Roman" w:hAnsi="Times New Roman" w:eastAsia="黑体" w:cs="Times New Roman"/>
          <w:b/>
          <w:bCs/>
          <w:snapToGrid w:val="0"/>
          <w:color w:val="000000"/>
          <w:spacing w:val="-15"/>
          <w:kern w:val="0"/>
          <w:sz w:val="31"/>
          <w:szCs w:val="31"/>
          <w:lang w:val="en-US" w:eastAsia="zh-CN" w:bidi="ar-SA"/>
        </w:rPr>
        <w:t>3、项目管理和使用情况</w:t>
      </w:r>
    </w:p>
    <w:p w14:paraId="7FC73DB2">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专项经费管理措施、制度建设情况。我局对于批复到位的经费，根据工作任务需要，统一管理核算。每年年初为保障项目经费的专款专用和及时到位，发挥好资金使用效率，制定财务制度，对专项经费专门列项，专题研究，专项预算，专项审批，专项开支。</w:t>
      </w:r>
    </w:p>
    <w:p w14:paraId="6DEFFC85">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（二）</w:t>
      </w:r>
      <w:r>
        <w:rPr>
          <w:rFonts w:hint="default" w:ascii="Times New Roman" w:hAnsi="Times New Roman" w:eastAsia="仿宋" w:cs="Times New Roman"/>
          <w:sz w:val="32"/>
          <w:szCs w:val="32"/>
        </w:rPr>
        <w:t xml:space="preserve">专项经费使用流程及监督检查情况。每一笔经费在核定的支出限额和支出范围内实行据实凭票报账制；严格财务程序，强化报销环节管理，认真落实经办人、经费使用单位负责人、财务管理人员责任，确保了经费支出的合规、到位。同时，严格监督专项经费专款专用，并通过党政负责人会议、工作群等不同形式，进行定期公开，确保了专项经费收支公开、透明。      </w:t>
      </w:r>
    </w:p>
    <w:p w14:paraId="4736EE19">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（三）管理和使用情况</w:t>
      </w:r>
    </w:p>
    <w:p w14:paraId="6681C9D4">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年度结合本局的实际情况，对照专项绩效预算目标要求，严格按照财务制度的规定，合理规范使用食品抽检的补助资金。202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年度</w:t>
      </w:r>
      <w:r>
        <w:rPr>
          <w:rFonts w:hint="default" w:ascii="Times New Roman" w:hAnsi="Times New Roman" w:eastAsia="仿宋" w:cs="Times New Roman"/>
          <w:sz w:val="32"/>
          <w:szCs w:val="32"/>
          <w:lang w:val="en-US" w:eastAsia="zh-CN"/>
        </w:rPr>
        <w:t>我市食品安全抽检专项资金为55万元，已</w:t>
      </w:r>
      <w:r>
        <w:rPr>
          <w:rFonts w:hint="default" w:ascii="Times New Roman" w:hAnsi="Times New Roman" w:eastAsia="仿宋" w:cs="Times New Roman"/>
          <w:sz w:val="32"/>
          <w:szCs w:val="32"/>
        </w:rPr>
        <w:t>全部下达。</w:t>
      </w:r>
    </w:p>
    <w:p w14:paraId="26BADC1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default" w:ascii="Times New Roman" w:hAnsi="Times New Roman" w:eastAsia="黑体" w:cs="Times New Roman"/>
          <w:sz w:val="31"/>
          <w:szCs w:val="31"/>
        </w:rPr>
      </w:pPr>
      <w:r>
        <w:rPr>
          <w:rFonts w:hint="default" w:ascii="Times New Roman" w:hAnsi="Times New Roman" w:eastAsia="黑体" w:cs="Times New Roman"/>
          <w:spacing w:val="-15"/>
          <w:sz w:val="31"/>
          <w:szCs w:val="31"/>
          <w:lang w:eastAsia="zh-CN"/>
        </w:rPr>
        <w:t>二</w:t>
      </w:r>
      <w:r>
        <w:rPr>
          <w:rFonts w:hint="default" w:ascii="Times New Roman" w:hAnsi="Times New Roman" w:eastAsia="黑体" w:cs="Times New Roman"/>
          <w:spacing w:val="-15"/>
          <w:sz w:val="31"/>
          <w:szCs w:val="31"/>
        </w:rPr>
        <w:t xml:space="preserve"> </w:t>
      </w:r>
      <w:r>
        <w:rPr>
          <w:rFonts w:hint="default" w:ascii="Times New Roman" w:hAnsi="Times New Roman" w:eastAsia="黑体" w:cs="Times New Roman"/>
          <w:b/>
          <w:bCs/>
          <w:spacing w:val="-15"/>
          <w:sz w:val="31"/>
          <w:szCs w:val="31"/>
        </w:rPr>
        <w:t>、绩效情况分析</w:t>
      </w:r>
    </w:p>
    <w:p w14:paraId="6C205E59">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根据省、市局202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年食品安全监督抽检计划文件精神及食品和食用农产品抽检数量不少于3.3批次/千人的要求，</w:t>
      </w:r>
      <w:r>
        <w:rPr>
          <w:rFonts w:hint="default" w:ascii="Times New Roman" w:hAnsi="Times New Roman" w:eastAsia="仿宋" w:cs="Times New Roman"/>
          <w:sz w:val="32"/>
          <w:szCs w:val="32"/>
          <w:lang w:val="en-US" w:eastAsia="zh-CN"/>
        </w:rPr>
        <w:t>2024年</w:t>
      </w:r>
      <w:r>
        <w:rPr>
          <w:rFonts w:hint="default" w:ascii="Times New Roman" w:hAnsi="Times New Roman" w:eastAsia="仿宋" w:cs="Times New Roman"/>
          <w:sz w:val="32"/>
          <w:szCs w:val="32"/>
        </w:rPr>
        <w:t>共计</w:t>
      </w:r>
      <w:r>
        <w:rPr>
          <w:rFonts w:hint="default" w:ascii="Times New Roman" w:hAnsi="Times New Roman" w:eastAsia="仿宋" w:cs="Times New Roman"/>
          <w:sz w:val="32"/>
          <w:szCs w:val="32"/>
          <w:lang w:val="en-US" w:eastAsia="zh-CN"/>
        </w:rPr>
        <w:t>需</w:t>
      </w:r>
      <w:r>
        <w:rPr>
          <w:rFonts w:hint="default" w:ascii="Times New Roman" w:hAnsi="Times New Roman" w:eastAsia="仿宋" w:cs="Times New Roman"/>
          <w:sz w:val="32"/>
          <w:szCs w:val="32"/>
        </w:rPr>
        <w:t>完成食品安全监督抽检2000批次，其中食品1300批次，食用农产品700批次，</w:t>
      </w:r>
      <w:r>
        <w:rPr>
          <w:rFonts w:hint="default" w:ascii="Times New Roman" w:hAnsi="Times New Roman" w:eastAsia="仿宋" w:cs="Times New Roman"/>
          <w:sz w:val="32"/>
          <w:szCs w:val="32"/>
          <w:lang w:val="en-US" w:eastAsia="zh-CN"/>
        </w:rPr>
        <w:t>实际完成2003批次，其中食品1303批次，食用农产品700批次；</w:t>
      </w:r>
      <w:r>
        <w:rPr>
          <w:rFonts w:hint="default" w:ascii="Times New Roman" w:hAnsi="Times New Roman" w:eastAsia="仿宋" w:cs="Times New Roman"/>
          <w:sz w:val="32"/>
          <w:szCs w:val="32"/>
        </w:rPr>
        <w:t>抽检场所包括</w:t>
      </w:r>
      <w:r>
        <w:rPr>
          <w:rFonts w:hint="default" w:ascii="Times New Roman" w:hAnsi="Times New Roman" w:eastAsia="仿宋" w:cs="Times New Roman"/>
          <w:sz w:val="32"/>
          <w:szCs w:val="32"/>
          <w:lang w:val="en-US" w:eastAsia="zh-CN"/>
        </w:rPr>
        <w:t>食品生产企业、食品加工生产小作坊、大（</w:t>
      </w:r>
      <w:r>
        <w:rPr>
          <w:rFonts w:hint="default" w:ascii="Times New Roman" w:hAnsi="Times New Roman" w:eastAsia="仿宋" w:cs="Times New Roman"/>
          <w:sz w:val="32"/>
          <w:szCs w:val="32"/>
        </w:rPr>
        <w:t>中</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型餐馆、农贸市场、超市、</w:t>
      </w:r>
      <w:r>
        <w:rPr>
          <w:rFonts w:hint="default" w:ascii="Times New Roman" w:hAnsi="Times New Roman" w:eastAsia="仿宋" w:cs="Times New Roman"/>
          <w:sz w:val="32"/>
          <w:szCs w:val="32"/>
          <w:lang w:val="en-US" w:eastAsia="zh-CN"/>
        </w:rPr>
        <w:t>学校食堂及校园周边商店、</w:t>
      </w:r>
      <w:r>
        <w:rPr>
          <w:rFonts w:hint="default" w:ascii="Times New Roman" w:hAnsi="Times New Roman" w:eastAsia="仿宋" w:cs="Times New Roman"/>
          <w:sz w:val="32"/>
          <w:szCs w:val="32"/>
        </w:rPr>
        <w:t>企事业单位食堂、小食杂店和其</w:t>
      </w:r>
      <w:r>
        <w:rPr>
          <w:rFonts w:hint="default" w:ascii="Times New Roman" w:hAnsi="Times New Roman" w:eastAsia="仿宋" w:cs="Times New Roman"/>
          <w:sz w:val="32"/>
          <w:szCs w:val="32"/>
          <w:lang w:val="en-US" w:eastAsia="zh-CN"/>
        </w:rPr>
        <w:t>他</w:t>
      </w:r>
      <w:r>
        <w:rPr>
          <w:rFonts w:hint="default" w:ascii="Times New Roman" w:hAnsi="Times New Roman" w:eastAsia="仿宋" w:cs="Times New Roman"/>
          <w:sz w:val="32"/>
          <w:szCs w:val="32"/>
        </w:rPr>
        <w:t>场所</w:t>
      </w:r>
      <w:r>
        <w:rPr>
          <w:rFonts w:hint="default" w:ascii="Times New Roman" w:hAnsi="Times New Roman" w:eastAsia="仿宋" w:cs="Times New Roman"/>
          <w:sz w:val="32"/>
          <w:szCs w:val="32"/>
          <w:lang w:val="en-US" w:eastAsia="zh-CN"/>
        </w:rPr>
        <w:t>；品种覆盖到了全部的33个食品大类；抽样环节包括生产、流通、餐饮三个环节，其中生产环节抽检307批次，流通环节抽检1330批次，餐饮环节抽检366批次。全年共检出不合格44批次，其中食品31批次，食用农产品13批次。</w:t>
      </w:r>
    </w:p>
    <w:p w14:paraId="32F153A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560" w:lineRule="exact"/>
        <w:ind w:firstLine="560" w:firstLineChars="200"/>
        <w:textAlignment w:val="baseline"/>
        <w:rPr>
          <w:rFonts w:hint="default" w:ascii="Times New Roman" w:hAnsi="Times New Roman" w:eastAsia="黑体" w:cs="Times New Roman"/>
          <w:sz w:val="31"/>
          <w:szCs w:val="31"/>
        </w:rPr>
      </w:pPr>
      <w:r>
        <w:rPr>
          <w:rFonts w:hint="default" w:ascii="Times New Roman" w:hAnsi="Times New Roman" w:eastAsia="黑体" w:cs="Times New Roman"/>
          <w:spacing w:val="-15"/>
          <w:sz w:val="31"/>
          <w:szCs w:val="31"/>
          <w:lang w:eastAsia="zh-CN"/>
        </w:rPr>
        <w:t>三</w:t>
      </w:r>
      <w:r>
        <w:rPr>
          <w:rFonts w:hint="default" w:ascii="Times New Roman" w:hAnsi="Times New Roman" w:eastAsia="黑体" w:cs="Times New Roman"/>
          <w:spacing w:val="-15"/>
          <w:sz w:val="31"/>
          <w:szCs w:val="31"/>
        </w:rPr>
        <w:t xml:space="preserve"> </w:t>
      </w:r>
      <w:r>
        <w:rPr>
          <w:rFonts w:hint="default" w:ascii="Times New Roman" w:hAnsi="Times New Roman" w:eastAsia="黑体" w:cs="Times New Roman"/>
          <w:b/>
          <w:bCs/>
          <w:spacing w:val="-15"/>
          <w:sz w:val="31"/>
          <w:szCs w:val="31"/>
        </w:rPr>
        <w:t>、</w:t>
      </w:r>
      <w:r>
        <w:rPr>
          <w:rFonts w:hint="default" w:ascii="Times New Roman" w:hAnsi="Times New Roman" w:eastAsia="黑体" w:cs="Times New Roman"/>
          <w:b/>
          <w:bCs/>
          <w:snapToGrid w:val="0"/>
          <w:color w:val="000000"/>
          <w:spacing w:val="-15"/>
          <w:kern w:val="0"/>
          <w:sz w:val="31"/>
          <w:szCs w:val="31"/>
          <w:lang w:val="en-US" w:eastAsia="zh-CN" w:bidi="ar-SA"/>
        </w:rPr>
        <w:t>主要做法</w:t>
      </w:r>
    </w:p>
    <w:p w14:paraId="5FABEA30">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根据省局《2024年全省食品安全承检机构考核情况的通报》情况，在严格遵循议价程序要求下，结合我市实际公开招标，我局2024年议价中标五家检验公司作为第三方承检机构，分别是钛和中谱检测技术（江苏）有限公司、湖南韬谱科技有限公司、江西华中检验检测科技有限公司、福建省福食安检测技术有限公司、湖南广绿检测有限公司，共承担抽检任务960批次，其中普通食品260批次，食用农产品700批次。每家承检机构我们都严格按照《食品安全抽样检验管理办法》、《食品安全抽样检验工作规范》《汨罗市2024年食品安全抽检监测工作计划》等要求，督促其履行应尽职责，认真组织其开展抽样、检验、复检、及时发布抽检信息等相关工作。</w:t>
      </w:r>
    </w:p>
    <w:p w14:paraId="0DC6576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560" w:lineRule="exact"/>
        <w:ind w:firstLine="560" w:firstLineChars="200"/>
        <w:textAlignment w:val="baseline"/>
        <w:rPr>
          <w:rFonts w:hint="default" w:ascii="Times New Roman" w:hAnsi="Times New Roman" w:eastAsia="仿宋" w:cs="Times New Roman"/>
          <w:sz w:val="32"/>
          <w:szCs w:val="32"/>
          <w:lang w:val="en-US" w:eastAsia="zh-CN"/>
        </w:rPr>
      </w:pPr>
      <w:r>
        <w:rPr>
          <w:rFonts w:hint="default" w:ascii="Times New Roman" w:hAnsi="Times New Roman" w:eastAsia="黑体" w:cs="Times New Roman"/>
          <w:spacing w:val="-15"/>
          <w:sz w:val="31"/>
          <w:szCs w:val="31"/>
          <w:lang w:eastAsia="zh-CN"/>
        </w:rPr>
        <w:t>四</w:t>
      </w:r>
      <w:r>
        <w:rPr>
          <w:rFonts w:hint="default" w:ascii="Times New Roman" w:hAnsi="Times New Roman" w:eastAsia="黑体" w:cs="Times New Roman"/>
          <w:b/>
          <w:bCs/>
          <w:spacing w:val="-15"/>
          <w:sz w:val="31"/>
          <w:szCs w:val="31"/>
        </w:rPr>
        <w:t>、</w:t>
      </w:r>
      <w:r>
        <w:rPr>
          <w:rFonts w:hint="default" w:ascii="Times New Roman" w:hAnsi="Times New Roman" w:eastAsia="黑体" w:cs="Times New Roman"/>
          <w:b/>
          <w:bCs/>
          <w:snapToGrid w:val="0"/>
          <w:color w:val="000000"/>
          <w:spacing w:val="-15"/>
          <w:kern w:val="0"/>
          <w:sz w:val="31"/>
          <w:szCs w:val="31"/>
          <w:lang w:val="en-US" w:eastAsia="zh-CN" w:bidi="ar-SA"/>
        </w:rPr>
        <w:t xml:space="preserve">存在问题及原因分析       </w:t>
      </w:r>
      <w:r>
        <w:rPr>
          <w:rFonts w:hint="default" w:ascii="Times New Roman" w:hAnsi="Times New Roman" w:eastAsia="仿宋" w:cs="Times New Roman"/>
          <w:sz w:val="32"/>
          <w:szCs w:val="32"/>
          <w:lang w:val="en-US" w:eastAsia="zh-CN"/>
        </w:rPr>
        <w:t xml:space="preserve">                 </w:t>
      </w:r>
    </w:p>
    <w:p w14:paraId="41D58F58">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受我局检验所检验项目的限制，致使普通食品19个食品大类中部分食品细类检验项目数量偏少，常见且风险较高的项目都无法检验。2024年我局检验所完成普通食品检验1040批次，检出不合格4批次，不合格率仅为0.38%，不合格率远低于全省的平均水平。</w:t>
      </w:r>
    </w:p>
    <w:p w14:paraId="331D0FA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560" w:lineRule="exact"/>
        <w:ind w:firstLine="560" w:firstLineChars="200"/>
        <w:textAlignment w:val="baseline"/>
        <w:rPr>
          <w:rFonts w:hint="default" w:ascii="Times New Roman" w:hAnsi="Times New Roman" w:eastAsia="黑体" w:cs="Times New Roman"/>
          <w:sz w:val="31"/>
          <w:szCs w:val="31"/>
        </w:rPr>
      </w:pPr>
      <w:r>
        <w:rPr>
          <w:rFonts w:hint="default" w:ascii="Times New Roman" w:hAnsi="Times New Roman" w:eastAsia="黑体" w:cs="Times New Roman"/>
          <w:spacing w:val="-15"/>
          <w:sz w:val="31"/>
          <w:szCs w:val="31"/>
          <w:lang w:eastAsia="zh-CN"/>
        </w:rPr>
        <w:t>五</w:t>
      </w:r>
      <w:r>
        <w:rPr>
          <w:rFonts w:hint="default" w:ascii="Times New Roman" w:hAnsi="Times New Roman" w:eastAsia="黑体" w:cs="Times New Roman"/>
          <w:spacing w:val="-15"/>
          <w:sz w:val="31"/>
          <w:szCs w:val="31"/>
        </w:rPr>
        <w:t xml:space="preserve"> </w:t>
      </w:r>
      <w:r>
        <w:rPr>
          <w:rFonts w:hint="default" w:ascii="Times New Roman" w:hAnsi="Times New Roman" w:eastAsia="黑体" w:cs="Times New Roman"/>
          <w:b/>
          <w:bCs/>
          <w:spacing w:val="-15"/>
          <w:sz w:val="31"/>
          <w:szCs w:val="31"/>
        </w:rPr>
        <w:t>、</w:t>
      </w:r>
      <w:r>
        <w:rPr>
          <w:rFonts w:hint="default" w:ascii="Times New Roman" w:hAnsi="Times New Roman" w:eastAsia="黑体" w:cs="Times New Roman"/>
          <w:b/>
          <w:bCs/>
          <w:snapToGrid w:val="0"/>
          <w:color w:val="000000"/>
          <w:spacing w:val="-15"/>
          <w:kern w:val="0"/>
          <w:sz w:val="31"/>
          <w:szCs w:val="31"/>
          <w:lang w:val="en-US" w:eastAsia="zh-CN" w:bidi="ar-SA"/>
        </w:rPr>
        <w:t>有关建议</w:t>
      </w:r>
    </w:p>
    <w:p w14:paraId="715C9954">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建议增加食品抽检经费投入，增加外包第三方承检机构的抽检批次。</w:t>
      </w:r>
    </w:p>
    <w:p w14:paraId="1EC7708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p>
    <w:p w14:paraId="3A6402C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p>
    <w:p w14:paraId="19B796C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p>
    <w:p w14:paraId="1BF74C4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p>
    <w:p w14:paraId="0EE3AB5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p>
    <w:p w14:paraId="088E8D35">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11A28A37">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创建省级食品安全示范县</w:t>
      </w:r>
      <w:r>
        <w:rPr>
          <w:rFonts w:ascii="黑体" w:hAnsi="黑体" w:eastAsia="黑体" w:cs="黑体"/>
          <w:spacing w:val="15"/>
          <w:position w:val="10"/>
          <w:sz w:val="42"/>
          <w:szCs w:val="42"/>
        </w:rPr>
        <w:t>项目支出</w:t>
      </w:r>
    </w:p>
    <w:p w14:paraId="3A36F525">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D0DDEBD">
      <w:pPr>
        <w:spacing w:line="246" w:lineRule="auto"/>
        <w:rPr>
          <w:rFonts w:ascii="Arial"/>
          <w:sz w:val="21"/>
        </w:rPr>
      </w:pPr>
    </w:p>
    <w:p w14:paraId="0FC90CF4">
      <w:pPr>
        <w:spacing w:line="246" w:lineRule="auto"/>
        <w:rPr>
          <w:rFonts w:ascii="Arial"/>
          <w:sz w:val="21"/>
        </w:rPr>
      </w:pPr>
    </w:p>
    <w:p w14:paraId="1DA383FD">
      <w:pPr>
        <w:spacing w:line="246" w:lineRule="auto"/>
        <w:rPr>
          <w:rFonts w:ascii="Arial"/>
          <w:sz w:val="21"/>
        </w:rPr>
      </w:pPr>
    </w:p>
    <w:p w14:paraId="2CA70EC2">
      <w:pPr>
        <w:spacing w:line="246" w:lineRule="auto"/>
        <w:rPr>
          <w:rFonts w:ascii="Arial"/>
          <w:sz w:val="21"/>
        </w:rPr>
      </w:pPr>
    </w:p>
    <w:p w14:paraId="41B2FEB5">
      <w:pPr>
        <w:spacing w:line="246" w:lineRule="auto"/>
        <w:rPr>
          <w:rFonts w:ascii="Arial"/>
          <w:sz w:val="21"/>
        </w:rPr>
      </w:pPr>
    </w:p>
    <w:p w14:paraId="1FF70BC8">
      <w:pPr>
        <w:spacing w:line="246" w:lineRule="auto"/>
        <w:rPr>
          <w:rFonts w:ascii="Arial"/>
          <w:sz w:val="21"/>
        </w:rPr>
      </w:pPr>
    </w:p>
    <w:p w14:paraId="4E4BB022">
      <w:pPr>
        <w:spacing w:line="246" w:lineRule="auto"/>
        <w:rPr>
          <w:rFonts w:ascii="Arial"/>
          <w:sz w:val="21"/>
        </w:rPr>
      </w:pPr>
    </w:p>
    <w:p w14:paraId="22AEC77F">
      <w:pPr>
        <w:spacing w:line="246" w:lineRule="auto"/>
        <w:rPr>
          <w:rFonts w:ascii="Arial"/>
          <w:sz w:val="21"/>
        </w:rPr>
      </w:pPr>
    </w:p>
    <w:p w14:paraId="57142177">
      <w:pPr>
        <w:spacing w:line="246" w:lineRule="auto"/>
        <w:rPr>
          <w:rFonts w:ascii="Arial"/>
          <w:sz w:val="21"/>
        </w:rPr>
      </w:pPr>
    </w:p>
    <w:p w14:paraId="36462079">
      <w:pPr>
        <w:spacing w:line="246" w:lineRule="auto"/>
        <w:rPr>
          <w:rFonts w:ascii="Arial"/>
          <w:sz w:val="21"/>
        </w:rPr>
      </w:pPr>
    </w:p>
    <w:p w14:paraId="5A933E2E">
      <w:pPr>
        <w:spacing w:line="246" w:lineRule="auto"/>
        <w:rPr>
          <w:rFonts w:ascii="Arial"/>
          <w:sz w:val="21"/>
        </w:rPr>
      </w:pPr>
    </w:p>
    <w:p w14:paraId="116A8D64">
      <w:pPr>
        <w:spacing w:line="246" w:lineRule="auto"/>
        <w:rPr>
          <w:rFonts w:ascii="Arial"/>
          <w:sz w:val="21"/>
        </w:rPr>
      </w:pPr>
    </w:p>
    <w:p w14:paraId="77EBB56E">
      <w:pPr>
        <w:spacing w:line="246" w:lineRule="auto"/>
        <w:rPr>
          <w:rFonts w:ascii="Arial"/>
          <w:sz w:val="21"/>
        </w:rPr>
      </w:pPr>
    </w:p>
    <w:p w14:paraId="3352E401">
      <w:pPr>
        <w:spacing w:line="246" w:lineRule="auto"/>
        <w:rPr>
          <w:rFonts w:ascii="Arial"/>
          <w:sz w:val="21"/>
        </w:rPr>
      </w:pPr>
    </w:p>
    <w:p w14:paraId="4F81BAF1">
      <w:pPr>
        <w:spacing w:line="246" w:lineRule="auto"/>
        <w:rPr>
          <w:rFonts w:ascii="Arial"/>
          <w:sz w:val="21"/>
        </w:rPr>
      </w:pPr>
    </w:p>
    <w:p w14:paraId="4CEE8F73">
      <w:pPr>
        <w:spacing w:line="246" w:lineRule="auto"/>
        <w:rPr>
          <w:rFonts w:ascii="Arial"/>
          <w:sz w:val="21"/>
        </w:rPr>
      </w:pPr>
    </w:p>
    <w:p w14:paraId="2BD45076">
      <w:pPr>
        <w:spacing w:line="246" w:lineRule="auto"/>
        <w:rPr>
          <w:rFonts w:ascii="Arial"/>
          <w:sz w:val="21"/>
        </w:rPr>
      </w:pPr>
    </w:p>
    <w:p w14:paraId="24C66080">
      <w:pPr>
        <w:spacing w:line="247" w:lineRule="auto"/>
        <w:rPr>
          <w:rFonts w:ascii="Arial"/>
          <w:sz w:val="21"/>
        </w:rPr>
      </w:pPr>
    </w:p>
    <w:p w14:paraId="4CD1B5B2">
      <w:pPr>
        <w:spacing w:line="247" w:lineRule="auto"/>
        <w:rPr>
          <w:rFonts w:ascii="Arial"/>
          <w:sz w:val="21"/>
        </w:rPr>
      </w:pPr>
    </w:p>
    <w:p w14:paraId="31F9406C">
      <w:pPr>
        <w:spacing w:line="247" w:lineRule="auto"/>
        <w:rPr>
          <w:rFonts w:ascii="Arial"/>
          <w:sz w:val="21"/>
        </w:rPr>
      </w:pPr>
    </w:p>
    <w:p w14:paraId="72695EFF">
      <w:pPr>
        <w:spacing w:line="247" w:lineRule="auto"/>
        <w:rPr>
          <w:rFonts w:ascii="Arial"/>
          <w:sz w:val="21"/>
        </w:rPr>
      </w:pPr>
    </w:p>
    <w:p w14:paraId="792049E7">
      <w:pPr>
        <w:spacing w:line="247" w:lineRule="auto"/>
        <w:rPr>
          <w:rFonts w:ascii="Arial"/>
          <w:sz w:val="21"/>
        </w:rPr>
      </w:pPr>
    </w:p>
    <w:p w14:paraId="486073C5">
      <w:pPr>
        <w:spacing w:line="247" w:lineRule="auto"/>
        <w:rPr>
          <w:rFonts w:ascii="Arial"/>
          <w:sz w:val="21"/>
        </w:rPr>
      </w:pPr>
    </w:p>
    <w:p w14:paraId="5CE981B2">
      <w:pPr>
        <w:spacing w:line="247" w:lineRule="auto"/>
        <w:rPr>
          <w:rFonts w:ascii="Arial"/>
          <w:sz w:val="21"/>
        </w:rPr>
      </w:pPr>
    </w:p>
    <w:p w14:paraId="544629AA">
      <w:pPr>
        <w:spacing w:line="247" w:lineRule="auto"/>
        <w:rPr>
          <w:rFonts w:ascii="Arial"/>
          <w:sz w:val="21"/>
        </w:rPr>
      </w:pPr>
    </w:p>
    <w:p w14:paraId="551BC209">
      <w:pPr>
        <w:spacing w:line="247" w:lineRule="auto"/>
        <w:rPr>
          <w:rFonts w:ascii="Arial"/>
          <w:sz w:val="21"/>
        </w:rPr>
      </w:pPr>
    </w:p>
    <w:p w14:paraId="1AB8BA80">
      <w:pPr>
        <w:spacing w:line="247" w:lineRule="auto"/>
        <w:rPr>
          <w:rFonts w:ascii="Arial"/>
          <w:sz w:val="21"/>
        </w:rPr>
      </w:pPr>
    </w:p>
    <w:p w14:paraId="4AF1182D">
      <w:pPr>
        <w:spacing w:line="247" w:lineRule="auto"/>
        <w:rPr>
          <w:rFonts w:ascii="Arial"/>
          <w:sz w:val="21"/>
        </w:rPr>
      </w:pPr>
    </w:p>
    <w:p w14:paraId="79C087BE">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C4F465D">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4EE6A0EF">
      <w:pPr>
        <w:pStyle w:val="2"/>
        <w:spacing w:before="1" w:line="223" w:lineRule="auto"/>
        <w:ind w:left="3560"/>
        <w:rPr>
          <w:sz w:val="24"/>
          <w:szCs w:val="24"/>
        </w:rPr>
      </w:pPr>
      <w:r>
        <w:rPr>
          <w:spacing w:val="7"/>
          <w:sz w:val="24"/>
          <w:szCs w:val="24"/>
        </w:rPr>
        <w:t>(此面为封面)</w:t>
      </w:r>
    </w:p>
    <w:p w14:paraId="204BFD1B">
      <w:pPr>
        <w:spacing w:line="223" w:lineRule="auto"/>
        <w:rPr>
          <w:sz w:val="24"/>
          <w:szCs w:val="24"/>
        </w:rPr>
        <w:sectPr>
          <w:footerReference r:id="rId10" w:type="default"/>
          <w:pgSz w:w="11900" w:h="16820"/>
          <w:pgMar w:top="1429" w:right="1782" w:bottom="1158" w:left="1450" w:header="0" w:footer="850" w:gutter="0"/>
          <w:cols w:space="720" w:num="1"/>
        </w:sectPr>
      </w:pPr>
    </w:p>
    <w:p w14:paraId="7DE0AE26">
      <w:pPr>
        <w:spacing w:before="137" w:line="221" w:lineRule="auto"/>
        <w:jc w:val="center"/>
        <w:rPr>
          <w:rFonts w:ascii="黑体" w:hAnsi="黑体" w:eastAsia="黑体" w:cs="黑体"/>
          <w:b/>
          <w:bCs/>
          <w:spacing w:val="6"/>
          <w:sz w:val="42"/>
          <w:szCs w:val="42"/>
        </w:rPr>
      </w:pPr>
      <w:r>
        <w:rPr>
          <w:rFonts w:hint="eastAsia" w:ascii="黑体" w:hAnsi="黑体" w:eastAsia="黑体" w:cs="黑体"/>
          <w:b/>
          <w:bCs/>
          <w:spacing w:val="6"/>
          <w:sz w:val="42"/>
          <w:szCs w:val="42"/>
        </w:rPr>
        <w:t>创建省级食品安全示范县</w:t>
      </w:r>
      <w:r>
        <w:rPr>
          <w:rFonts w:ascii="黑体" w:hAnsi="黑体" w:eastAsia="黑体" w:cs="黑体"/>
          <w:b/>
          <w:bCs/>
          <w:spacing w:val="6"/>
          <w:sz w:val="42"/>
          <w:szCs w:val="42"/>
        </w:rPr>
        <w:t>项目支出</w:t>
      </w:r>
    </w:p>
    <w:p w14:paraId="3335DC7C">
      <w:pPr>
        <w:spacing w:before="137" w:line="221" w:lineRule="auto"/>
        <w:jc w:val="center"/>
        <w:rPr>
          <w:rFonts w:ascii="黑体" w:hAnsi="黑体" w:eastAsia="黑体" w:cs="黑体"/>
          <w:b/>
          <w:bCs/>
          <w:spacing w:val="6"/>
          <w:sz w:val="42"/>
          <w:szCs w:val="42"/>
        </w:rPr>
      </w:pPr>
      <w:r>
        <w:rPr>
          <w:rFonts w:ascii="黑体" w:hAnsi="黑体" w:eastAsia="黑体" w:cs="黑体"/>
          <w:b/>
          <w:bCs/>
          <w:spacing w:val="6"/>
          <w:sz w:val="42"/>
          <w:szCs w:val="42"/>
        </w:rPr>
        <w:t>绩效评价报告</w:t>
      </w:r>
    </w:p>
    <w:p w14:paraId="698BBCCF">
      <w:pPr>
        <w:spacing w:before="137" w:line="221" w:lineRule="auto"/>
        <w:jc w:val="center"/>
        <w:rPr>
          <w:rFonts w:hint="eastAsia" w:ascii="黑体" w:hAnsi="黑体" w:eastAsia="黑体" w:cs="黑体"/>
          <w:b/>
          <w:bCs/>
          <w:spacing w:val="6"/>
          <w:sz w:val="42"/>
          <w:szCs w:val="42"/>
          <w:lang w:eastAsia="zh-CN"/>
        </w:rPr>
      </w:pPr>
    </w:p>
    <w:p w14:paraId="24158EF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val="0"/>
          <w:bCs w:val="0"/>
          <w:snapToGrid w:val="0"/>
          <w:color w:val="000000"/>
          <w:spacing w:val="0"/>
          <w:kern w:val="0"/>
          <w:sz w:val="32"/>
          <w:szCs w:val="32"/>
          <w:lang w:val="en-US" w:eastAsia="zh-CN" w:bidi="ar-SA"/>
        </w:rPr>
        <w:t>根据《中共中央国务院关于全面实施预算绩效管理的意见》《项目支出绩</w:t>
      </w:r>
      <w:r>
        <w:rPr>
          <w:rFonts w:hint="default" w:ascii="Times New Roman" w:hAnsi="Times New Roman" w:eastAsia="仿宋" w:cs="Times New Roman"/>
          <w:b w:val="0"/>
          <w:bCs w:val="0"/>
          <w:snapToGrid w:val="0"/>
          <w:color w:val="000000"/>
          <w:spacing w:val="0"/>
          <w:kern w:val="0"/>
          <w:sz w:val="32"/>
          <w:szCs w:val="32"/>
          <w:highlight w:val="none"/>
          <w:lang w:val="en-US" w:eastAsia="zh-CN" w:bidi="ar-SA"/>
        </w:rPr>
        <w:t>效评价管理办法》（财预〔2020〕10号）等文件规定，按照《汨罗市预算绩效管理实施办法》（汨办发[2022]42号）等相关文件要求，</w:t>
      </w:r>
      <w:r>
        <w:rPr>
          <w:rFonts w:hint="default" w:ascii="Times New Roman" w:hAnsi="Times New Roman" w:eastAsia="仿宋" w:cs="Times New Roman"/>
          <w:b w:val="0"/>
          <w:bCs w:val="0"/>
          <w:sz w:val="32"/>
          <w:szCs w:val="32"/>
          <w:highlight w:val="none"/>
        </w:rPr>
        <w:t>现对汨罗市市场监督管理局202</w:t>
      </w:r>
      <w:r>
        <w:rPr>
          <w:rFonts w:hint="eastAsia" w:ascii="Times New Roman" w:hAnsi="Times New Roman" w:cs="Times New Roman"/>
          <w:b w:val="0"/>
          <w:bCs w:val="0"/>
          <w:sz w:val="32"/>
          <w:szCs w:val="32"/>
          <w:highlight w:val="none"/>
          <w:lang w:val="en-US" w:eastAsia="zh-CN"/>
        </w:rPr>
        <w:t>4</w:t>
      </w:r>
      <w:r>
        <w:rPr>
          <w:rFonts w:hint="default" w:ascii="Times New Roman" w:hAnsi="Times New Roman" w:eastAsia="仿宋" w:cs="Times New Roman"/>
          <w:b w:val="0"/>
          <w:bCs w:val="0"/>
          <w:sz w:val="32"/>
          <w:szCs w:val="32"/>
          <w:highlight w:val="none"/>
        </w:rPr>
        <w:t>年度的创建省级食品安全示范县</w:t>
      </w:r>
      <w:r>
        <w:rPr>
          <w:rFonts w:hint="default" w:ascii="Times New Roman" w:hAnsi="Times New Roman" w:eastAsia="仿宋" w:cs="Times New Roman"/>
          <w:b w:val="0"/>
          <w:bCs w:val="0"/>
          <w:spacing w:val="6"/>
          <w:sz w:val="32"/>
          <w:szCs w:val="32"/>
          <w:highlight w:val="none"/>
          <w:lang w:eastAsia="zh-CN"/>
        </w:rPr>
        <w:t>专项</w:t>
      </w:r>
      <w:r>
        <w:rPr>
          <w:rFonts w:hint="default" w:ascii="Times New Roman" w:hAnsi="Times New Roman" w:eastAsia="仿宋" w:cs="Times New Roman"/>
          <w:b w:val="0"/>
          <w:bCs w:val="0"/>
          <w:sz w:val="32"/>
          <w:szCs w:val="32"/>
          <w:highlight w:val="none"/>
        </w:rPr>
        <w:t>开展绩效自评，具体情况汇报如下：</w:t>
      </w:r>
    </w:p>
    <w:p w14:paraId="578D2E9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黑体" w:hAnsi="黑体" w:eastAsia="黑体" w:cs="黑体"/>
          <w:b/>
          <w:bCs/>
          <w:spacing w:val="-15"/>
          <w:sz w:val="31"/>
          <w:szCs w:val="31"/>
        </w:rPr>
      </w:pPr>
      <w:r>
        <w:rPr>
          <w:rFonts w:hint="default" w:ascii="黑体" w:hAnsi="黑体" w:eastAsia="黑体" w:cs="黑体"/>
          <w:b/>
          <w:bCs/>
          <w:spacing w:val="-15"/>
          <w:sz w:val="31"/>
          <w:szCs w:val="31"/>
        </w:rPr>
        <w:t>一、项目基本情况</w:t>
      </w:r>
    </w:p>
    <w:p w14:paraId="7EF34A45">
      <w:pPr>
        <w:pStyle w:val="5"/>
        <w:keepNext w:val="0"/>
        <w:keepLines w:val="0"/>
        <w:pageBreakBefore w:val="0"/>
        <w:widowControl/>
        <w:wordWrap/>
        <w:overflowPunct/>
        <w:topLinePunct w:val="0"/>
        <w:bidi w:val="0"/>
        <w:spacing w:before="0" w:beforeAutospacing="0" w:after="0" w:afterAutospacing="0" w:line="560" w:lineRule="exact"/>
        <w:ind w:firstLine="480"/>
        <w:rPr>
          <w:rFonts w:hint="default" w:ascii="黑体" w:hAnsi="黑体" w:eastAsia="黑体" w:cs="黑体"/>
          <w:b/>
          <w:bCs/>
          <w:snapToGrid w:val="0"/>
          <w:color w:val="000000"/>
          <w:spacing w:val="-15"/>
          <w:kern w:val="0"/>
          <w:sz w:val="31"/>
          <w:szCs w:val="31"/>
          <w:lang w:val="en-US" w:eastAsia="en-US" w:bidi="ar-SA"/>
        </w:rPr>
      </w:pPr>
      <w:r>
        <w:rPr>
          <w:rFonts w:hint="default" w:ascii="黑体" w:hAnsi="黑体" w:eastAsia="黑体" w:cs="黑体"/>
          <w:b/>
          <w:bCs/>
          <w:snapToGrid w:val="0"/>
          <w:color w:val="000000"/>
          <w:spacing w:val="-15"/>
          <w:kern w:val="0"/>
          <w:sz w:val="31"/>
          <w:szCs w:val="31"/>
          <w:lang w:val="en-US" w:eastAsia="zh-CN" w:bidi="ar-SA"/>
        </w:rPr>
        <w:t>（一）</w:t>
      </w:r>
      <w:r>
        <w:rPr>
          <w:rFonts w:hint="default" w:ascii="黑体" w:hAnsi="黑体" w:eastAsia="黑体" w:cs="黑体"/>
          <w:b/>
          <w:bCs/>
          <w:snapToGrid w:val="0"/>
          <w:color w:val="000000"/>
          <w:spacing w:val="-15"/>
          <w:kern w:val="0"/>
          <w:sz w:val="31"/>
          <w:szCs w:val="31"/>
          <w:lang w:val="en-US" w:eastAsia="en-US" w:bidi="ar-SA"/>
        </w:rPr>
        <w:t>项目立项依据</w:t>
      </w:r>
    </w:p>
    <w:p w14:paraId="37DCD4E8">
      <w:pPr>
        <w:pStyle w:val="5"/>
        <w:keepNext w:val="0"/>
        <w:keepLines w:val="0"/>
        <w:pageBreakBefore w:val="0"/>
        <w:widowControl/>
        <w:wordWrap/>
        <w:overflowPunct/>
        <w:topLinePunct w:val="0"/>
        <w:bidi w:val="0"/>
        <w:spacing w:before="0" w:beforeAutospacing="0" w:after="0" w:afterAutospacing="0" w:line="560" w:lineRule="exact"/>
        <w:ind w:left="0" w:leftChars="0" w:firstLine="640" w:firstLineChars="200"/>
        <w:rPr>
          <w:rFonts w:hint="eastAsia" w:ascii="Times New Roman" w:hAnsi="Times New Roman" w:eastAsia="仿宋" w:cs="Times New Roman"/>
          <w:b w:val="0"/>
          <w:bCs w:val="0"/>
          <w:snapToGrid w:val="0"/>
          <w:color w:val="000000"/>
          <w:spacing w:val="0"/>
          <w:kern w:val="0"/>
          <w:sz w:val="32"/>
          <w:szCs w:val="32"/>
          <w:highlight w:val="none"/>
          <w:lang w:val="en-US" w:eastAsia="zh-CN" w:bidi="ar-SA"/>
        </w:rPr>
      </w:pPr>
      <w:r>
        <w:rPr>
          <w:rFonts w:hint="eastAsia" w:ascii="Times New Roman" w:hAnsi="Times New Roman" w:eastAsia="仿宋" w:cs="Times New Roman"/>
          <w:b w:val="0"/>
          <w:bCs w:val="0"/>
          <w:snapToGrid w:val="0"/>
          <w:color w:val="000000"/>
          <w:spacing w:val="0"/>
          <w:kern w:val="0"/>
          <w:sz w:val="32"/>
          <w:szCs w:val="32"/>
          <w:highlight w:val="none"/>
          <w:lang w:val="en-US" w:eastAsia="zh-CN" w:bidi="ar-SA"/>
        </w:rPr>
        <w:t>本项目依据食品监管相关法律法规设立。市委、市政府高度重视，严格按照习总书记关于食品安全“四个最严”要求，始终把食品安全工作放在第一位，把省级食品安全示范县（市）当做民生实事来推进，通过示范创建，全面提升汨罗市的食品安全水平。</w:t>
      </w:r>
    </w:p>
    <w:p w14:paraId="2DEBA689">
      <w:pPr>
        <w:pStyle w:val="5"/>
        <w:keepNext w:val="0"/>
        <w:keepLines w:val="0"/>
        <w:pageBreakBefore w:val="0"/>
        <w:widowControl/>
        <w:shd w:val="clear" w:color="auto" w:fill="FFFFFF"/>
        <w:wordWrap/>
        <w:overflowPunct/>
        <w:topLinePunct w:val="0"/>
        <w:bidi w:val="0"/>
        <w:spacing w:before="0" w:beforeAutospacing="0" w:after="0" w:afterAutospacing="0" w:line="560" w:lineRule="exact"/>
        <w:ind w:firstLine="480"/>
        <w:rPr>
          <w:rFonts w:hint="default" w:ascii="黑体" w:hAnsi="黑体" w:eastAsia="黑体" w:cs="黑体"/>
          <w:b/>
          <w:bCs/>
          <w:snapToGrid w:val="0"/>
          <w:color w:val="000000"/>
          <w:spacing w:val="-15"/>
          <w:kern w:val="0"/>
          <w:sz w:val="31"/>
          <w:szCs w:val="31"/>
          <w:lang w:val="en-US" w:eastAsia="zh-CN" w:bidi="ar-SA"/>
        </w:rPr>
      </w:pPr>
      <w:r>
        <w:rPr>
          <w:rFonts w:hint="default" w:ascii="黑体" w:hAnsi="黑体" w:eastAsia="黑体" w:cs="黑体"/>
          <w:b/>
          <w:bCs/>
          <w:snapToGrid w:val="0"/>
          <w:color w:val="000000"/>
          <w:spacing w:val="-15"/>
          <w:kern w:val="0"/>
          <w:sz w:val="31"/>
          <w:szCs w:val="31"/>
          <w:lang w:val="en-US" w:eastAsia="zh-CN" w:bidi="ar-SA"/>
        </w:rPr>
        <w:t>（二）项目绩效目标</w:t>
      </w:r>
    </w:p>
    <w:p w14:paraId="036D7CF7">
      <w:pPr>
        <w:pStyle w:val="5"/>
        <w:keepNext w:val="0"/>
        <w:keepLines w:val="0"/>
        <w:pageBreakBefore w:val="0"/>
        <w:widowControl/>
        <w:wordWrap/>
        <w:overflowPunct/>
        <w:topLinePunct w:val="0"/>
        <w:bidi w:val="0"/>
        <w:spacing w:before="0" w:beforeAutospacing="0" w:after="0" w:afterAutospacing="0" w:line="560" w:lineRule="exact"/>
        <w:ind w:firstLine="48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创建省级食品安全示范县(市）专项资金绩效</w:t>
      </w:r>
      <w:r>
        <w:rPr>
          <w:rFonts w:hint="eastAsia" w:ascii="仿宋" w:hAnsi="仿宋" w:eastAsia="仿宋" w:cs="仿宋"/>
          <w:sz w:val="32"/>
          <w:szCs w:val="32"/>
        </w:rPr>
        <w:t>目标为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在全市开展野生蘑菇中毒防控宣传工作，提高民众食品安全和野生毒蘑菇中毒防控意识；</w:t>
      </w:r>
      <w:r>
        <w:rPr>
          <w:rFonts w:hint="eastAsia" w:ascii="仿宋" w:hAnsi="仿宋" w:eastAsia="仿宋" w:cs="仿宋"/>
          <w:sz w:val="32"/>
          <w:szCs w:val="32"/>
          <w:lang w:val="en-US" w:eastAsia="zh-CN"/>
        </w:rPr>
        <w:t>2、</w:t>
      </w:r>
      <w:r>
        <w:rPr>
          <w:rFonts w:hint="eastAsia" w:ascii="仿宋" w:hAnsi="仿宋" w:eastAsia="仿宋" w:cs="仿宋"/>
          <w:sz w:val="32"/>
          <w:szCs w:val="32"/>
        </w:rPr>
        <w:t>开展全市食品安全宣传周活动，持续提升民众食品安全意识，营造食品安全人人有责、共治共享氛围；</w:t>
      </w:r>
      <w:r>
        <w:rPr>
          <w:rFonts w:hint="eastAsia" w:ascii="仿宋" w:hAnsi="仿宋" w:eastAsia="仿宋" w:cs="仿宋"/>
          <w:sz w:val="32"/>
          <w:szCs w:val="32"/>
          <w:lang w:val="en-US" w:eastAsia="zh-CN"/>
        </w:rPr>
        <w:t>3、</w:t>
      </w:r>
      <w:r>
        <w:rPr>
          <w:rFonts w:hint="eastAsia" w:ascii="仿宋" w:hAnsi="仿宋" w:eastAsia="仿宋" w:cs="仿宋"/>
          <w:sz w:val="32"/>
          <w:szCs w:val="32"/>
        </w:rPr>
        <w:t>2024年3-4月开展省级食品安全示范县创建宣传工作，逐步提高对食品安全示范县创建知晓率；</w:t>
      </w:r>
      <w:r>
        <w:rPr>
          <w:rFonts w:hint="eastAsia" w:ascii="仿宋" w:hAnsi="仿宋" w:eastAsia="仿宋" w:cs="仿宋"/>
          <w:sz w:val="32"/>
          <w:szCs w:val="32"/>
          <w:lang w:val="en-US" w:eastAsia="zh-CN"/>
        </w:rPr>
        <w:t>4、</w:t>
      </w:r>
      <w:r>
        <w:rPr>
          <w:rFonts w:hint="eastAsia" w:ascii="仿宋" w:hAnsi="仿宋" w:eastAsia="仿宋" w:cs="仿宋"/>
          <w:sz w:val="32"/>
          <w:szCs w:val="32"/>
        </w:rPr>
        <w:t>全力推进“互联网+智慧监管”系统建设；</w:t>
      </w:r>
      <w:r>
        <w:rPr>
          <w:rFonts w:hint="eastAsia" w:ascii="仿宋" w:hAnsi="仿宋" w:eastAsia="仿宋" w:cs="仿宋"/>
          <w:sz w:val="32"/>
          <w:szCs w:val="32"/>
          <w:lang w:val="en-US" w:eastAsia="zh-CN"/>
        </w:rPr>
        <w:t>5、</w:t>
      </w:r>
      <w:r>
        <w:rPr>
          <w:rFonts w:hint="eastAsia" w:ascii="仿宋" w:hAnsi="仿宋" w:eastAsia="仿宋" w:cs="仿宋"/>
          <w:sz w:val="32"/>
          <w:szCs w:val="32"/>
        </w:rPr>
        <w:t>开展“5.17野生蘑菇中毒防控宣传日”活动，提高民众野生蘑菇中毒防控意识。</w:t>
      </w:r>
    </w:p>
    <w:p w14:paraId="78E39A7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hint="default" w:ascii="黑体" w:hAnsi="黑体" w:eastAsia="黑体" w:cs="黑体"/>
          <w:b/>
          <w:bCs/>
          <w:spacing w:val="-15"/>
          <w:sz w:val="31"/>
          <w:szCs w:val="31"/>
          <w:lang w:val="en-US" w:eastAsia="zh-CN"/>
        </w:rPr>
      </w:pPr>
      <w:r>
        <w:rPr>
          <w:rFonts w:hint="default" w:ascii="黑体" w:hAnsi="黑体" w:eastAsia="黑体" w:cs="黑体"/>
          <w:b/>
          <w:bCs/>
          <w:spacing w:val="-15"/>
          <w:sz w:val="31"/>
          <w:szCs w:val="31"/>
          <w:lang w:val="en-US" w:eastAsia="zh-CN"/>
        </w:rPr>
        <w:t>项目管理和使用情况</w:t>
      </w:r>
    </w:p>
    <w:p w14:paraId="616582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一）专项经费管理措施、制度建设情况。我局对于批复到位的经费，根据工作任务需要，统一管理核算。每年年初为保障项目经费的专款专用和及时到位，发挥好资金使用效率，制定财务制度，对专项经费专门列项，</w:t>
      </w:r>
      <w:r>
        <w:rPr>
          <w:rFonts w:hint="default" w:ascii="Times New Roman" w:hAnsi="Times New Roman" w:eastAsia="仿宋" w:cs="Times New Roman"/>
          <w:color w:val="000000"/>
          <w:sz w:val="32"/>
          <w:szCs w:val="32"/>
        </w:rPr>
        <w:t>专题研究，专项预算，专项审批，专项开支。</w:t>
      </w:r>
    </w:p>
    <w:p w14:paraId="3E8F60A6">
      <w:pPr>
        <w:keepNext w:val="0"/>
        <w:keepLines w:val="0"/>
        <w:pageBreakBefore w:val="0"/>
        <w:widowControl/>
        <w:shd w:val="solid" w:color="FFFFFF" w:fill="auto"/>
        <w:wordWrap/>
        <w:overflowPunct/>
        <w:topLinePunct w:val="0"/>
        <w:autoSpaceDN w:val="0"/>
        <w:bidi w:val="0"/>
        <w:spacing w:line="560" w:lineRule="exact"/>
        <w:ind w:firstLine="640" w:firstLineChars="200"/>
        <w:rPr>
          <w:rFonts w:hint="eastAsia" w:ascii="Times New Roman" w:hAnsi="Times New Roman" w:eastAsia="仿宋" w:cs="Times New Roman"/>
          <w:sz w:val="32"/>
          <w:szCs w:val="32"/>
          <w:shd w:val="clear" w:color="auto" w:fill="FFFFFF"/>
          <w:lang w:eastAsia="zh-CN"/>
        </w:rPr>
      </w:pPr>
      <w:r>
        <w:rPr>
          <w:rFonts w:hint="default" w:ascii="Times New Roman" w:hAnsi="Times New Roman" w:eastAsia="仿宋" w:cs="Times New Roman"/>
          <w:sz w:val="32"/>
          <w:szCs w:val="32"/>
          <w:shd w:val="clear" w:color="auto" w:fill="FFFFFF"/>
        </w:rPr>
        <w:t>（二）专项经费使用流程及监督检查情况。每一笔经费在核定的支出限额和支出范围内实行据实凭票报账制；严格财务程序，强化报销环节管理，认真落实经办人、经费使用单位负责人、财务管理人员责任，确保了经费支出的合规、到位。同时，严格监督专项经费专款专用，并通过党政负责人会议、工作群等不同形式，进行定期公开，确保了专项经费收支公开、透明</w:t>
      </w:r>
      <w:r>
        <w:rPr>
          <w:rFonts w:hint="eastAsia" w:ascii="Times New Roman" w:hAnsi="Times New Roman" w:eastAsia="仿宋" w:cs="Times New Roman"/>
          <w:sz w:val="32"/>
          <w:szCs w:val="32"/>
          <w:shd w:val="clear" w:color="auto" w:fill="FFFFFF"/>
          <w:lang w:eastAsia="zh-CN"/>
        </w:rPr>
        <w:t>。</w:t>
      </w:r>
    </w:p>
    <w:p w14:paraId="2FFDE351">
      <w:pPr>
        <w:keepNext w:val="0"/>
        <w:keepLines w:val="0"/>
        <w:pageBreakBefore w:val="0"/>
        <w:widowControl/>
        <w:shd w:val="solid" w:color="FFFFFF" w:fill="auto"/>
        <w:wordWrap/>
        <w:overflowPunct/>
        <w:topLinePunct w:val="0"/>
        <w:autoSpaceDN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（三）管理和使用情况</w:t>
      </w:r>
    </w:p>
    <w:p w14:paraId="78100BE2">
      <w:pPr>
        <w:pStyle w:val="5"/>
        <w:keepNext w:val="0"/>
        <w:keepLines w:val="0"/>
        <w:pageBreakBefore w:val="0"/>
        <w:widowControl/>
        <w:wordWrap/>
        <w:overflowPunct/>
        <w:topLinePunct w:val="0"/>
        <w:bidi w:val="0"/>
        <w:spacing w:before="0" w:beforeAutospacing="0" w:after="0" w:afterAutospacing="0" w:line="560" w:lineRule="exact"/>
        <w:ind w:firstLine="707" w:firstLineChars="221"/>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w:t>
      </w:r>
      <w:r>
        <w:rPr>
          <w:rFonts w:hint="eastAsia" w:ascii="Times New Roman" w:eastAsia="仿宋" w:cs="Times New Roman"/>
          <w:sz w:val="32"/>
          <w:szCs w:val="32"/>
          <w:lang w:val="en-US" w:eastAsia="zh-CN"/>
        </w:rPr>
        <w:t>4</w:t>
      </w:r>
      <w:r>
        <w:rPr>
          <w:rFonts w:hint="default" w:ascii="Times New Roman" w:hAnsi="Times New Roman" w:eastAsia="仿宋" w:cs="Times New Roman"/>
          <w:sz w:val="32"/>
          <w:szCs w:val="32"/>
        </w:rPr>
        <w:t>年度结合本局的实际情况，对照专项绩效预算目标要求，严格按照财务制度的规定，合理使用</w:t>
      </w:r>
      <w:r>
        <w:rPr>
          <w:rFonts w:hint="default" w:ascii="Times New Roman" w:hAnsi="Times New Roman" w:eastAsia="仿宋" w:cs="Times New Roman"/>
          <w:sz w:val="32"/>
          <w:szCs w:val="32"/>
          <w:lang w:val="en-US" w:eastAsia="zh-CN"/>
        </w:rPr>
        <w:t>创建省级食品安全示范县(市）专项资金。</w:t>
      </w:r>
    </w:p>
    <w:p w14:paraId="6707D9EE">
      <w:pPr>
        <w:pStyle w:val="5"/>
        <w:keepNext w:val="0"/>
        <w:keepLines w:val="0"/>
        <w:pageBreakBefore w:val="0"/>
        <w:widowControl/>
        <w:wordWrap/>
        <w:overflowPunct/>
        <w:topLinePunct w:val="0"/>
        <w:bidi w:val="0"/>
        <w:spacing w:before="0" w:beforeAutospacing="0" w:after="0" w:afterAutospacing="0" w:line="560" w:lineRule="exact"/>
        <w:rPr>
          <w:rFonts w:hint="default" w:ascii="Times New Roman" w:hAnsi="Times New Roman" w:eastAsia="仿宋" w:cs="Times New Roman"/>
          <w:sz w:val="32"/>
          <w:szCs w:val="32"/>
        </w:rPr>
      </w:pPr>
      <w:r>
        <w:rPr>
          <w:rFonts w:hint="eastAsia" w:ascii="仿宋" w:hAnsi="仿宋" w:eastAsia="仿宋" w:cs="仿宋"/>
          <w:sz w:val="32"/>
          <w:szCs w:val="32"/>
          <w:lang w:val="en-US" w:eastAsia="zh-CN"/>
        </w:rPr>
        <w:t>创建省级食品安全示范县(市）专项</w:t>
      </w:r>
      <w:r>
        <w:rPr>
          <w:rFonts w:hint="eastAsia" w:ascii="仿宋" w:hAnsi="仿宋" w:eastAsia="仿宋" w:cs="仿宋"/>
          <w:sz w:val="32"/>
          <w:szCs w:val="32"/>
        </w:rPr>
        <w:t>资金为</w:t>
      </w:r>
      <w:r>
        <w:rPr>
          <w:rFonts w:hint="eastAsia" w:ascii="仿宋" w:hAnsi="仿宋" w:eastAsia="仿宋" w:cs="仿宋"/>
          <w:sz w:val="32"/>
          <w:szCs w:val="32"/>
          <w:lang w:val="en-US" w:eastAsia="zh-CN"/>
        </w:rPr>
        <w:t>123</w:t>
      </w:r>
      <w:r>
        <w:rPr>
          <w:rFonts w:hint="eastAsia" w:ascii="仿宋" w:hAnsi="仿宋" w:eastAsia="仿宋" w:cs="仿宋"/>
          <w:sz w:val="32"/>
          <w:szCs w:val="32"/>
        </w:rPr>
        <w:t>万元，</w:t>
      </w:r>
      <w:r>
        <w:rPr>
          <w:rFonts w:hint="eastAsia" w:ascii="仿宋" w:hAnsi="仿宋" w:eastAsia="仿宋" w:cs="仿宋"/>
          <w:sz w:val="32"/>
          <w:szCs w:val="32"/>
          <w:lang w:eastAsia="zh-CN"/>
        </w:rPr>
        <w:t>资金分配</w:t>
      </w:r>
      <w:r>
        <w:rPr>
          <w:rFonts w:hint="eastAsia" w:ascii="仿宋" w:hAnsi="仿宋" w:eastAsia="仿宋" w:cs="仿宋"/>
          <w:sz w:val="32"/>
          <w:szCs w:val="32"/>
        </w:rPr>
        <w:t>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在全市开展野生蘑菇中毒防控宣传工作，提高民众食品安全和野生毒蘑菇中毒防控意识；</w:t>
      </w:r>
      <w:r>
        <w:rPr>
          <w:rFonts w:hint="eastAsia" w:ascii="仿宋" w:hAnsi="仿宋" w:eastAsia="仿宋" w:cs="仿宋"/>
          <w:sz w:val="32"/>
          <w:szCs w:val="32"/>
          <w:lang w:val="en-US" w:eastAsia="zh-CN"/>
        </w:rPr>
        <w:t>2、</w:t>
      </w:r>
      <w:r>
        <w:rPr>
          <w:rFonts w:hint="eastAsia" w:ascii="仿宋" w:hAnsi="仿宋" w:eastAsia="仿宋" w:cs="仿宋"/>
          <w:sz w:val="32"/>
          <w:szCs w:val="32"/>
        </w:rPr>
        <w:t>开展全市食品安全宣传周活动，持续提升民众食品安全意识，营造食品安全人人有责、共治共享氛围；</w:t>
      </w:r>
      <w:r>
        <w:rPr>
          <w:rFonts w:hint="eastAsia" w:ascii="仿宋" w:hAnsi="仿宋" w:eastAsia="仿宋" w:cs="仿宋"/>
          <w:sz w:val="32"/>
          <w:szCs w:val="32"/>
          <w:lang w:val="en-US" w:eastAsia="zh-CN"/>
        </w:rPr>
        <w:t>3、</w:t>
      </w:r>
      <w:r>
        <w:rPr>
          <w:rFonts w:hint="eastAsia" w:ascii="仿宋" w:hAnsi="仿宋" w:eastAsia="仿宋" w:cs="仿宋"/>
          <w:sz w:val="32"/>
          <w:szCs w:val="32"/>
        </w:rPr>
        <w:t>2024年3-4月开展省级食品安全示范县创建宣传工作，逐步提高对食品安全示范县创建知晓率；</w:t>
      </w:r>
      <w:r>
        <w:rPr>
          <w:rFonts w:hint="eastAsia" w:ascii="仿宋" w:hAnsi="仿宋" w:eastAsia="仿宋" w:cs="仿宋"/>
          <w:sz w:val="32"/>
          <w:szCs w:val="32"/>
          <w:lang w:val="en-US" w:eastAsia="zh-CN"/>
        </w:rPr>
        <w:t>4、</w:t>
      </w:r>
      <w:r>
        <w:rPr>
          <w:rFonts w:hint="eastAsia" w:ascii="仿宋" w:hAnsi="仿宋" w:eastAsia="仿宋" w:cs="仿宋"/>
          <w:sz w:val="32"/>
          <w:szCs w:val="32"/>
        </w:rPr>
        <w:t>全力推进“互联网+智慧监管”系统建设；</w:t>
      </w:r>
      <w:r>
        <w:rPr>
          <w:rFonts w:hint="eastAsia" w:ascii="仿宋" w:hAnsi="仿宋" w:eastAsia="仿宋" w:cs="仿宋"/>
          <w:sz w:val="32"/>
          <w:szCs w:val="32"/>
          <w:lang w:val="en-US" w:eastAsia="zh-CN"/>
        </w:rPr>
        <w:t>5、</w:t>
      </w:r>
      <w:r>
        <w:rPr>
          <w:rFonts w:hint="eastAsia" w:ascii="仿宋" w:hAnsi="仿宋" w:eastAsia="仿宋" w:cs="仿宋"/>
          <w:sz w:val="32"/>
          <w:szCs w:val="32"/>
        </w:rPr>
        <w:t>开展“5.17野生蘑菇中毒防控宣传日”活动，提高民众野生蘑菇中毒防控意识。资金已全部下达。</w:t>
      </w:r>
    </w:p>
    <w:p w14:paraId="09C893A6">
      <w:pPr>
        <w:pStyle w:val="5"/>
        <w:keepNext w:val="0"/>
        <w:keepLines w:val="0"/>
        <w:pageBreakBefore w:val="0"/>
        <w:widowControl/>
        <w:numPr>
          <w:ilvl w:val="0"/>
          <w:numId w:val="0"/>
        </w:numPr>
        <w:wordWrap/>
        <w:overflowPunct/>
        <w:topLinePunct w:val="0"/>
        <w:bidi w:val="0"/>
        <w:spacing w:before="0" w:beforeAutospacing="0" w:after="0" w:afterAutospacing="0"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sz w:val="32"/>
          <w:szCs w:val="32"/>
        </w:rPr>
        <w:t>上述资金已全部按专项要求足额支出。主要是用于在全市开展野生蘑菇中毒防控宣传工作</w:t>
      </w:r>
      <w:r>
        <w:rPr>
          <w:rFonts w:hint="eastAsia" w:ascii="仿宋" w:hAnsi="仿宋" w:eastAsia="仿宋" w:cs="仿宋"/>
          <w:sz w:val="32"/>
          <w:szCs w:val="32"/>
          <w:lang w:eastAsia="zh-CN"/>
        </w:rPr>
        <w:t>、</w:t>
      </w:r>
      <w:r>
        <w:rPr>
          <w:rFonts w:hint="eastAsia" w:ascii="仿宋" w:hAnsi="仿宋" w:eastAsia="仿宋" w:cs="仿宋"/>
          <w:sz w:val="32"/>
          <w:szCs w:val="32"/>
        </w:rPr>
        <w:t>开展全市食品安全宣传周活动</w:t>
      </w:r>
      <w:r>
        <w:rPr>
          <w:rFonts w:hint="eastAsia" w:ascii="仿宋" w:hAnsi="仿宋" w:eastAsia="仿宋" w:cs="仿宋"/>
          <w:sz w:val="32"/>
          <w:szCs w:val="32"/>
          <w:lang w:val="en-US" w:eastAsia="zh-CN"/>
        </w:rPr>
        <w:t>、</w:t>
      </w:r>
      <w:r>
        <w:rPr>
          <w:rFonts w:hint="eastAsia" w:ascii="仿宋" w:hAnsi="仿宋" w:eastAsia="仿宋" w:cs="仿宋"/>
          <w:sz w:val="32"/>
          <w:szCs w:val="32"/>
        </w:rPr>
        <w:t>3-4月开展省级食品安全示范县创建宣传工作</w:t>
      </w:r>
      <w:r>
        <w:rPr>
          <w:rFonts w:hint="eastAsia" w:ascii="仿宋" w:hAnsi="仿宋" w:eastAsia="仿宋" w:cs="仿宋"/>
          <w:sz w:val="32"/>
          <w:szCs w:val="32"/>
          <w:lang w:val="en-US" w:eastAsia="zh-CN"/>
        </w:rPr>
        <w:t>、</w:t>
      </w:r>
      <w:r>
        <w:rPr>
          <w:rFonts w:hint="eastAsia" w:ascii="仿宋" w:hAnsi="仿宋" w:eastAsia="仿宋" w:cs="仿宋"/>
          <w:sz w:val="32"/>
          <w:szCs w:val="32"/>
        </w:rPr>
        <w:t>全力推进“互联网+智慧监管”系统建设</w:t>
      </w:r>
      <w:r>
        <w:rPr>
          <w:rFonts w:hint="eastAsia" w:ascii="仿宋" w:hAnsi="仿宋" w:eastAsia="仿宋" w:cs="仿宋"/>
          <w:sz w:val="32"/>
          <w:szCs w:val="32"/>
          <w:lang w:eastAsia="zh-CN"/>
        </w:rPr>
        <w:t>、</w:t>
      </w:r>
      <w:r>
        <w:rPr>
          <w:rFonts w:hint="eastAsia" w:ascii="仿宋" w:hAnsi="仿宋" w:eastAsia="仿宋" w:cs="仿宋"/>
          <w:sz w:val="32"/>
          <w:szCs w:val="32"/>
        </w:rPr>
        <w:t>开展“5.17野生蘑菇中毒防控宣传日”活动</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示范县创建其他日常工作</w:t>
      </w:r>
      <w:r>
        <w:rPr>
          <w:rFonts w:hint="eastAsia" w:ascii="仿宋" w:hAnsi="仿宋" w:eastAsia="仿宋" w:cs="仿宋"/>
          <w:color w:val="000000"/>
          <w:sz w:val="32"/>
          <w:szCs w:val="32"/>
          <w:lang w:val="en-US" w:eastAsia="zh-CN"/>
        </w:rPr>
        <w:t>经费</w:t>
      </w:r>
      <w:r>
        <w:rPr>
          <w:rFonts w:hint="eastAsia" w:ascii="仿宋" w:hAnsi="仿宋" w:eastAsia="仿宋" w:cs="仿宋"/>
          <w:color w:val="000000"/>
          <w:sz w:val="32"/>
          <w:szCs w:val="32"/>
        </w:rPr>
        <w:t>支出</w:t>
      </w:r>
      <w:r>
        <w:rPr>
          <w:rFonts w:hint="eastAsia" w:ascii="仿宋" w:hAnsi="仿宋" w:eastAsia="仿宋" w:cs="仿宋"/>
          <w:color w:val="000000"/>
          <w:kern w:val="0"/>
          <w:sz w:val="32"/>
          <w:szCs w:val="32"/>
        </w:rPr>
        <w:t>。</w:t>
      </w:r>
    </w:p>
    <w:p w14:paraId="2720B9ED">
      <w:pPr>
        <w:keepNext w:val="0"/>
        <w:keepLines w:val="0"/>
        <w:pageBreakBefore w:val="0"/>
        <w:widowControl/>
        <w:numPr>
          <w:ilvl w:val="0"/>
          <w:numId w:val="0"/>
        </w:numPr>
        <w:wordWrap/>
        <w:overflowPunct/>
        <w:topLinePunct w:val="0"/>
        <w:bidi w:val="0"/>
        <w:spacing w:line="560" w:lineRule="exact"/>
        <w:ind w:firstLine="562" w:firstLineChars="200"/>
        <w:rPr>
          <w:rFonts w:hint="default" w:ascii="Times New Roman" w:hAnsi="Times New Roman" w:eastAsia="仿宋" w:cs="Times New Roman"/>
          <w:sz w:val="32"/>
          <w:szCs w:val="32"/>
        </w:rPr>
      </w:pP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p>
    <w:p w14:paraId="49E5898A">
      <w:pPr>
        <w:keepNext w:val="0"/>
        <w:keepLines w:val="0"/>
        <w:pageBreakBefore w:val="0"/>
        <w:widowControl/>
        <w:numPr>
          <w:ilvl w:val="0"/>
          <w:numId w:val="0"/>
        </w:numPr>
        <w:wordWrap/>
        <w:overflowPunct/>
        <w:topLinePunct w:val="0"/>
        <w:bidi w:val="0"/>
        <w:spacing w:line="560" w:lineRule="exact"/>
        <w:ind w:firstLine="640" w:firstLineChars="200"/>
        <w:rPr>
          <w:rFonts w:hint="eastAsia" w:ascii="Times New Roman" w:hAnsi="Times New Roman" w:eastAsia="仿宋_GB2312" w:cs="Arial"/>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绩效总目标</w:t>
      </w:r>
      <w:r>
        <w:rPr>
          <w:rFonts w:hint="eastAsia" w:eastAsia="仿宋_GB2312" w:cs="Arial"/>
          <w:snapToGrid w:val="0"/>
          <w:color w:val="000000"/>
          <w:kern w:val="0"/>
          <w:sz w:val="32"/>
          <w:szCs w:val="32"/>
          <w:lang w:val="en-US" w:eastAsia="zh-CN" w:bidi="ar-SA"/>
        </w:rPr>
        <w:t>：</w:t>
      </w:r>
      <w:r>
        <w:rPr>
          <w:rFonts w:hint="eastAsia" w:ascii="Times New Roman" w:hAnsi="Times New Roman" w:eastAsia="仿宋_GB2312" w:cs="Arial"/>
          <w:color w:val="000000"/>
          <w:kern w:val="0"/>
          <w:sz w:val="32"/>
          <w:szCs w:val="32"/>
          <w:lang w:val="en-US" w:eastAsia="zh-CN" w:bidi="ar-SA"/>
        </w:rPr>
        <w:t>1、在全市开展野生蘑菇中毒防控宣传工作，提高民众食品安全和野生毒蘑菇中毒防控意识；2、开展全市食品安全宣传周活动，持续提升民众食品安全意识，营造食品安全人人有责、共治共享氛围；3、2024年3-4月开展省级食品安全示范县创建宣传工作，逐步提高对食品安全示范县创建知晓率；4、全力推进“互联网+智慧监管”系统建设；5、开展“5.17野生蘑菇中毒防控宣传日”活动，提高民众野生蘑菇中毒防控意识。</w:t>
      </w:r>
    </w:p>
    <w:p w14:paraId="2E68A3A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sz w:val="32"/>
          <w:szCs w:val="32"/>
          <w:lang w:val="en-US" w:eastAsia="zh-CN"/>
        </w:rPr>
      </w:pPr>
      <w:r>
        <w:rPr>
          <w:rFonts w:hint="eastAsia" w:ascii="Times New Roman" w:hAnsi="Times New Roman" w:eastAsia="仿宋_GB2312" w:cs="Arial"/>
          <w:color w:val="000000"/>
          <w:kern w:val="0"/>
          <w:sz w:val="32"/>
          <w:szCs w:val="32"/>
          <w:lang w:val="en-US" w:eastAsia="zh-CN" w:bidi="ar-SA"/>
        </w:rPr>
        <w:t>1、开展野生蘑菇中毒防控宣传。</w:t>
      </w:r>
      <w:r>
        <w:rPr>
          <w:rFonts w:hint="eastAsia" w:ascii="仿宋_GB2312" w:hAnsi="仿宋_GB2312" w:eastAsia="仿宋_GB2312" w:cs="仿宋_GB2312"/>
          <w:i w:val="0"/>
          <w:iCs w:val="0"/>
          <w:sz w:val="32"/>
          <w:szCs w:val="32"/>
          <w:lang w:val="en-US" w:eastAsia="zh-CN"/>
        </w:rPr>
        <w:t>4月对全市各中小学校（幼儿园）集中发放《野生蘑菇防护中毒告家长书》85000份，覆盖全市15个镇（街道），5月通过微信定向对全市15个镇（街道）重点地域重点人群投放野生蘑菇中毒防控公益广告17万条次，实现野生蘑菇宣讲科学投放精准防控风险。</w:t>
      </w:r>
    </w:p>
    <w:p w14:paraId="35CEDC7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olor w:val="000000"/>
          <w:kern w:val="0"/>
          <w:sz w:val="32"/>
          <w:szCs w:val="32"/>
          <w:lang w:val="en-US" w:eastAsia="zh-CN" w:bidi="ar-SA"/>
        </w:rPr>
      </w:pPr>
      <w:r>
        <w:rPr>
          <w:rFonts w:hint="eastAsia" w:ascii="仿宋" w:hAnsi="仿宋" w:eastAsia="仿宋" w:cs="仿宋"/>
          <w:sz w:val="32"/>
          <w:szCs w:val="32"/>
          <w:lang w:val="en-US" w:eastAsia="zh-CN"/>
        </w:rPr>
        <w:t>2、</w:t>
      </w:r>
      <w:r>
        <w:rPr>
          <w:rFonts w:hint="eastAsia" w:ascii="仿宋" w:hAnsi="仿宋" w:eastAsia="仿宋" w:cs="仿宋"/>
          <w:sz w:val="32"/>
          <w:szCs w:val="32"/>
        </w:rPr>
        <w:t>开展全市食品安全宣传周活动</w:t>
      </w:r>
      <w:r>
        <w:rPr>
          <w:rFonts w:hint="eastAsia" w:ascii="仿宋" w:hAnsi="仿宋" w:eastAsia="仿宋" w:cs="仿宋"/>
          <w:sz w:val="32"/>
          <w:szCs w:val="32"/>
          <w:lang w:eastAsia="zh-CN"/>
        </w:rPr>
        <w:t>。</w:t>
      </w:r>
      <w:r>
        <w:rPr>
          <w:rFonts w:hint="eastAsia" w:ascii="仿宋_GB2312" w:hAnsi="仿宋_GB2312" w:eastAsia="仿宋_GB2312" w:cs="仿宋_GB2312"/>
          <w:i w:val="0"/>
          <w:iCs w:val="0"/>
          <w:color w:val="000000"/>
          <w:kern w:val="0"/>
          <w:sz w:val="32"/>
          <w:szCs w:val="32"/>
          <w:lang w:val="en-US" w:eastAsia="zh-CN" w:bidi="ar-SA"/>
        </w:rPr>
        <w:t>10月12日，由市市场监管局、市公安局、市教体局、市工信局、市卫健局、市农业农村局、市林业局、市城管局、市商务粮食局9家食安委成员单位联合开展汨罗市2024年“食品药品安全宣传周”活动，现场悬挂宣传横幅，摆放宣传展板，发放宣传册，宣传厉行节约、践行绿色消费、防止毒蘑菇中毒等知识，营造浓厚的食品安全宣传氛围。</w:t>
      </w:r>
    </w:p>
    <w:p w14:paraId="4F0CC0A5">
      <w:pPr>
        <w:keepNext w:val="0"/>
        <w:keepLines w:val="0"/>
        <w:pageBreakBefore w:val="0"/>
        <w:widowControl/>
        <w:wordWrap/>
        <w:overflowPunct/>
        <w:topLinePunct w:val="0"/>
        <w:bidi w:val="0"/>
        <w:spacing w:line="560" w:lineRule="exact"/>
        <w:ind w:firstLine="640" w:firstLineChars="200"/>
        <w:jc w:val="left"/>
        <w:textAlignment w:val="center"/>
        <w:rPr>
          <w:rFonts w:hint="eastAsia" w:ascii="仿宋" w:hAnsi="仿宋" w:eastAsia="仿宋" w:cs="仿宋"/>
          <w:sz w:val="32"/>
          <w:szCs w:val="32"/>
          <w:lang w:val="en-US" w:eastAsia="zh-CN"/>
        </w:rPr>
      </w:pPr>
      <w:r>
        <w:rPr>
          <w:rFonts w:hint="eastAsia" w:ascii="Times New Roman" w:hAnsi="Times New Roman" w:eastAsia="仿宋_GB2312" w:cs="Arial"/>
          <w:color w:val="000000"/>
          <w:kern w:val="0"/>
          <w:sz w:val="32"/>
          <w:szCs w:val="32"/>
          <w:lang w:val="en-US" w:eastAsia="zh-CN" w:bidi="ar-SA"/>
        </w:rPr>
        <w:t>3、开展省级食品安全示范县创建宣传。3-4月，</w:t>
      </w:r>
      <w:r>
        <w:rPr>
          <w:rFonts w:hint="eastAsia" w:ascii="仿宋_GB2312" w:hAnsi="仿宋_GB2312" w:eastAsia="仿宋_GB2312" w:cs="仿宋_GB2312"/>
          <w:i w:val="0"/>
          <w:iCs w:val="0"/>
          <w:color w:val="000000"/>
          <w:kern w:val="0"/>
          <w:sz w:val="32"/>
          <w:szCs w:val="32"/>
          <w:lang w:val="en-US" w:eastAsia="zh-CN" w:bidi="ar-SA"/>
        </w:rPr>
        <w:t>通过门户网站、短视频、微信公众号、宣传海报、手册、横幅等媒介广泛开展示范创建“五进”宣传工作，加强食品安全知识宣贯普及，不断提升民众食品安全意识和示范创建知晓率。</w:t>
      </w:r>
      <w:r>
        <w:rPr>
          <w:rFonts w:hint="eastAsia" w:ascii="仿宋" w:hAnsi="仿宋" w:eastAsia="仿宋" w:cs="仿宋"/>
          <w:sz w:val="32"/>
          <w:szCs w:val="32"/>
          <w:lang w:val="en-US" w:eastAsia="zh-CN"/>
        </w:rPr>
        <w:t xml:space="preserve">          </w:t>
      </w:r>
    </w:p>
    <w:p w14:paraId="14988F76">
      <w:pPr>
        <w:keepNext w:val="0"/>
        <w:keepLines w:val="0"/>
        <w:pageBreakBefore w:val="0"/>
        <w:widowControl/>
        <w:wordWrap/>
        <w:overflowPunct/>
        <w:topLinePunct w:val="0"/>
        <w:bidi w:val="0"/>
        <w:spacing w:line="560" w:lineRule="exact"/>
        <w:ind w:firstLine="640" w:firstLineChars="200"/>
        <w:jc w:val="left"/>
        <w:textAlignment w:val="center"/>
        <w:rPr>
          <w:rFonts w:hint="eastAsia" w:ascii="仿宋" w:hAnsi="仿宋" w:eastAsia="仿宋" w:cs="仿宋"/>
          <w:sz w:val="32"/>
          <w:szCs w:val="32"/>
          <w:lang w:val="en-US" w:eastAsia="zh-CN"/>
        </w:rPr>
      </w:pPr>
      <w:r>
        <w:rPr>
          <w:rFonts w:hint="eastAsia" w:ascii="Times New Roman" w:hAnsi="Times New Roman" w:eastAsia="仿宋_GB2312" w:cs="Arial"/>
          <w:color w:val="000000"/>
          <w:kern w:val="0"/>
          <w:sz w:val="32"/>
          <w:szCs w:val="32"/>
          <w:lang w:val="en-US" w:eastAsia="zh-CN" w:bidi="ar-SA"/>
        </w:rPr>
        <w:t>4、全力推进“互联网+智慧监管”系统建设。</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i w:val="0"/>
          <w:iCs w:val="0"/>
          <w:sz w:val="32"/>
          <w:szCs w:val="32"/>
          <w:lang w:val="en-US" w:eastAsia="zh-CN"/>
        </w:rPr>
        <w:t>全面推进“互联网+明厨亮灶”建设，</w:t>
      </w:r>
      <w:r>
        <w:rPr>
          <w:rFonts w:hint="eastAsia" w:ascii="仿宋_GB2312" w:hAnsi="仿宋_GB2312" w:eastAsia="仿宋_GB2312" w:cs="仿宋_GB2312"/>
          <w:sz w:val="32"/>
          <w:szCs w:val="32"/>
          <w:lang w:val="en-US" w:eastAsia="zh-CN"/>
        </w:rPr>
        <w:t>实现对全</w:t>
      </w:r>
      <w:r>
        <w:rPr>
          <w:rFonts w:hint="eastAsia" w:ascii="仿宋_GB2312" w:hAnsi="仿宋_GB2312" w:eastAsia="仿宋_GB2312" w:cs="仿宋_GB2312"/>
          <w:spacing w:val="0"/>
          <w:kern w:val="0"/>
          <w:sz w:val="32"/>
          <w:szCs w:val="32"/>
          <w:u w:val="none"/>
          <w:lang w:val="en-US" w:eastAsia="zh-CN" w:bidi="ar"/>
        </w:rPr>
        <w:t>市校园食堂、重点企业生产加工全过程实时监控全覆盖</w:t>
      </w:r>
      <w:r>
        <w:rPr>
          <w:rFonts w:hint="eastAsia" w:ascii="仿宋_GB2312" w:hAnsi="仿宋_GB2312" w:eastAsia="仿宋_GB2312" w:cs="仿宋_GB2312"/>
          <w:i w:val="0"/>
          <w:iCs w:val="0"/>
          <w:sz w:val="32"/>
          <w:szCs w:val="32"/>
          <w:lang w:val="en-US" w:eastAsia="zh-CN"/>
        </w:rPr>
        <w:t>，通过信息化手段实现食品加工过程透明化。</w:t>
      </w:r>
      <w:r>
        <w:rPr>
          <w:rFonts w:hint="eastAsia" w:ascii="仿宋" w:hAnsi="仿宋" w:eastAsia="仿宋" w:cs="仿宋"/>
          <w:sz w:val="32"/>
          <w:szCs w:val="32"/>
          <w:lang w:val="en-US" w:eastAsia="zh-CN"/>
        </w:rPr>
        <w:t xml:space="preserve">   </w:t>
      </w:r>
    </w:p>
    <w:p w14:paraId="21CFDC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Times New Roman" w:hAnsi="Times New Roman" w:eastAsia="仿宋_GB2312" w:cs="Arial"/>
          <w:color w:val="000000"/>
          <w:kern w:val="0"/>
          <w:sz w:val="32"/>
          <w:szCs w:val="32"/>
          <w:lang w:val="en-US" w:eastAsia="zh-CN" w:bidi="ar-SA"/>
        </w:rPr>
        <w:t>5、开展“5.17野生蘑菇中毒防控宣传日”活动。联合市卫健局、市农业农村局、市林业局等相关部门单位、乡镇在汨罗市辖区内开展野生蘑菇中毒防控现场宣贯活动，工作人员在活动现场提醒广大群众：“ 毒蘑菇中毒潜伏期一般为2小时至24小时，有的仅为10分钟左右。它们有的毒素很高，如果误食毒蘑菇请及时催吐，并携带剩余蘑菇样品，立即就医。”旨在强化宣传引导，进一步做好野生蘑菇中毒防控工作，切实保障人民群众身体健康和生命安全。</w:t>
      </w:r>
      <w:r>
        <w:rPr>
          <w:rFonts w:hint="eastAsia" w:ascii="仿宋" w:hAnsi="仿宋" w:eastAsia="仿宋" w:cs="仿宋"/>
          <w:sz w:val="32"/>
          <w:szCs w:val="32"/>
          <w:lang w:val="en-US" w:eastAsia="zh-CN"/>
        </w:rPr>
        <w:t xml:space="preserve">  </w:t>
      </w:r>
    </w:p>
    <w:p w14:paraId="5A68332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bCs/>
          <w:spacing w:val="-15"/>
          <w:sz w:val="31"/>
          <w:szCs w:val="31"/>
          <w:lang w:eastAsia="zh-CN"/>
        </w:rPr>
      </w:pPr>
    </w:p>
    <w:p w14:paraId="7EB6F2F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6EDDA59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4B6099C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734ECD5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bCs/>
          <w:spacing w:val="-15"/>
          <w:sz w:val="31"/>
          <w:szCs w:val="31"/>
          <w:lang w:eastAsia="zh-CN"/>
        </w:rPr>
      </w:pPr>
    </w:p>
    <w:p w14:paraId="4B12044E">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A3D872D">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质量强市和质量考核</w:t>
      </w:r>
      <w:r>
        <w:rPr>
          <w:rFonts w:ascii="黑体" w:hAnsi="黑体" w:eastAsia="黑体" w:cs="黑体"/>
          <w:spacing w:val="15"/>
          <w:position w:val="10"/>
          <w:sz w:val="42"/>
          <w:szCs w:val="42"/>
        </w:rPr>
        <w:t>项目支出</w:t>
      </w:r>
    </w:p>
    <w:p w14:paraId="19D99782">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7B072197">
      <w:pPr>
        <w:spacing w:line="246" w:lineRule="auto"/>
        <w:rPr>
          <w:rFonts w:ascii="Arial"/>
          <w:sz w:val="21"/>
        </w:rPr>
      </w:pPr>
    </w:p>
    <w:p w14:paraId="59A75482">
      <w:pPr>
        <w:spacing w:line="246" w:lineRule="auto"/>
        <w:rPr>
          <w:rFonts w:ascii="Arial"/>
          <w:sz w:val="21"/>
        </w:rPr>
      </w:pPr>
    </w:p>
    <w:p w14:paraId="753A9001">
      <w:pPr>
        <w:spacing w:line="246" w:lineRule="auto"/>
        <w:rPr>
          <w:rFonts w:ascii="Arial"/>
          <w:sz w:val="21"/>
        </w:rPr>
      </w:pPr>
    </w:p>
    <w:p w14:paraId="66BE3A46">
      <w:pPr>
        <w:spacing w:line="246" w:lineRule="auto"/>
        <w:rPr>
          <w:rFonts w:ascii="Arial"/>
          <w:sz w:val="21"/>
        </w:rPr>
      </w:pPr>
    </w:p>
    <w:p w14:paraId="572C5E16">
      <w:pPr>
        <w:spacing w:line="246" w:lineRule="auto"/>
        <w:rPr>
          <w:rFonts w:ascii="Arial"/>
          <w:sz w:val="21"/>
        </w:rPr>
      </w:pPr>
    </w:p>
    <w:p w14:paraId="62202EA0">
      <w:pPr>
        <w:spacing w:line="246" w:lineRule="auto"/>
        <w:rPr>
          <w:rFonts w:ascii="Arial"/>
          <w:sz w:val="21"/>
        </w:rPr>
      </w:pPr>
    </w:p>
    <w:p w14:paraId="7BF7327D">
      <w:pPr>
        <w:spacing w:line="246" w:lineRule="auto"/>
        <w:rPr>
          <w:rFonts w:ascii="Arial"/>
          <w:sz w:val="21"/>
        </w:rPr>
      </w:pPr>
    </w:p>
    <w:p w14:paraId="56094A62">
      <w:pPr>
        <w:spacing w:line="246" w:lineRule="auto"/>
        <w:rPr>
          <w:rFonts w:ascii="Arial"/>
          <w:sz w:val="21"/>
        </w:rPr>
      </w:pPr>
    </w:p>
    <w:p w14:paraId="36F82A74">
      <w:pPr>
        <w:spacing w:line="246" w:lineRule="auto"/>
        <w:rPr>
          <w:rFonts w:ascii="Arial"/>
          <w:sz w:val="21"/>
        </w:rPr>
      </w:pPr>
    </w:p>
    <w:p w14:paraId="7440D947">
      <w:pPr>
        <w:spacing w:line="246" w:lineRule="auto"/>
        <w:rPr>
          <w:rFonts w:ascii="Arial"/>
          <w:sz w:val="21"/>
        </w:rPr>
      </w:pPr>
    </w:p>
    <w:p w14:paraId="738B0875">
      <w:pPr>
        <w:spacing w:line="246" w:lineRule="auto"/>
        <w:rPr>
          <w:rFonts w:ascii="Arial"/>
          <w:sz w:val="21"/>
        </w:rPr>
      </w:pPr>
    </w:p>
    <w:p w14:paraId="1F549257">
      <w:pPr>
        <w:spacing w:line="246" w:lineRule="auto"/>
        <w:rPr>
          <w:rFonts w:ascii="Arial"/>
          <w:sz w:val="21"/>
        </w:rPr>
      </w:pPr>
    </w:p>
    <w:p w14:paraId="04D32FBC">
      <w:pPr>
        <w:spacing w:line="246" w:lineRule="auto"/>
        <w:rPr>
          <w:rFonts w:ascii="Arial"/>
          <w:sz w:val="21"/>
        </w:rPr>
      </w:pPr>
    </w:p>
    <w:p w14:paraId="7DEA9014">
      <w:pPr>
        <w:spacing w:line="246" w:lineRule="auto"/>
        <w:rPr>
          <w:rFonts w:ascii="Arial"/>
          <w:sz w:val="21"/>
        </w:rPr>
      </w:pPr>
    </w:p>
    <w:p w14:paraId="6BD62C69">
      <w:pPr>
        <w:spacing w:line="246" w:lineRule="auto"/>
        <w:rPr>
          <w:rFonts w:ascii="Arial"/>
          <w:sz w:val="21"/>
        </w:rPr>
      </w:pPr>
    </w:p>
    <w:p w14:paraId="0EEB357D">
      <w:pPr>
        <w:spacing w:line="246" w:lineRule="auto"/>
        <w:rPr>
          <w:rFonts w:ascii="Arial"/>
          <w:sz w:val="21"/>
        </w:rPr>
      </w:pPr>
    </w:p>
    <w:p w14:paraId="1BB2EAFA">
      <w:pPr>
        <w:spacing w:line="246" w:lineRule="auto"/>
        <w:rPr>
          <w:rFonts w:ascii="Arial"/>
          <w:sz w:val="21"/>
        </w:rPr>
      </w:pPr>
    </w:p>
    <w:p w14:paraId="5E63FEDE">
      <w:pPr>
        <w:spacing w:line="247" w:lineRule="auto"/>
        <w:rPr>
          <w:rFonts w:ascii="Arial"/>
          <w:sz w:val="21"/>
        </w:rPr>
      </w:pPr>
    </w:p>
    <w:p w14:paraId="26CA3C13">
      <w:pPr>
        <w:spacing w:line="247" w:lineRule="auto"/>
        <w:rPr>
          <w:rFonts w:ascii="Arial"/>
          <w:sz w:val="21"/>
        </w:rPr>
      </w:pPr>
    </w:p>
    <w:p w14:paraId="05FAA4B1">
      <w:pPr>
        <w:spacing w:line="247" w:lineRule="auto"/>
        <w:rPr>
          <w:rFonts w:ascii="Arial"/>
          <w:sz w:val="21"/>
        </w:rPr>
      </w:pPr>
    </w:p>
    <w:p w14:paraId="2D8B6702">
      <w:pPr>
        <w:spacing w:line="247" w:lineRule="auto"/>
        <w:rPr>
          <w:rFonts w:ascii="Arial"/>
          <w:sz w:val="21"/>
        </w:rPr>
      </w:pPr>
    </w:p>
    <w:p w14:paraId="5CE942A3">
      <w:pPr>
        <w:spacing w:line="247" w:lineRule="auto"/>
        <w:rPr>
          <w:rFonts w:ascii="Arial"/>
          <w:sz w:val="21"/>
        </w:rPr>
      </w:pPr>
    </w:p>
    <w:p w14:paraId="2593CDD3">
      <w:pPr>
        <w:spacing w:line="247" w:lineRule="auto"/>
        <w:rPr>
          <w:rFonts w:ascii="Arial"/>
          <w:sz w:val="21"/>
        </w:rPr>
      </w:pPr>
    </w:p>
    <w:p w14:paraId="4046BC4D">
      <w:pPr>
        <w:spacing w:line="247" w:lineRule="auto"/>
        <w:rPr>
          <w:rFonts w:ascii="Arial"/>
          <w:sz w:val="21"/>
        </w:rPr>
      </w:pPr>
    </w:p>
    <w:p w14:paraId="39275486">
      <w:pPr>
        <w:spacing w:line="247" w:lineRule="auto"/>
        <w:rPr>
          <w:rFonts w:ascii="Arial"/>
          <w:sz w:val="21"/>
        </w:rPr>
      </w:pPr>
    </w:p>
    <w:p w14:paraId="6FD29409">
      <w:pPr>
        <w:spacing w:line="247" w:lineRule="auto"/>
        <w:rPr>
          <w:rFonts w:ascii="Arial"/>
          <w:sz w:val="21"/>
        </w:rPr>
      </w:pPr>
    </w:p>
    <w:p w14:paraId="03BF3DE7">
      <w:pPr>
        <w:spacing w:line="247" w:lineRule="auto"/>
        <w:rPr>
          <w:rFonts w:ascii="Arial"/>
          <w:sz w:val="21"/>
        </w:rPr>
      </w:pPr>
    </w:p>
    <w:p w14:paraId="2F5E966F">
      <w:pPr>
        <w:spacing w:line="247" w:lineRule="auto"/>
        <w:rPr>
          <w:rFonts w:ascii="Arial"/>
          <w:sz w:val="21"/>
        </w:rPr>
      </w:pPr>
    </w:p>
    <w:p w14:paraId="4D95DCDA">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7D66F62">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59C99B39">
      <w:pPr>
        <w:pStyle w:val="2"/>
        <w:spacing w:before="1" w:line="223" w:lineRule="auto"/>
        <w:ind w:left="3560"/>
        <w:rPr>
          <w:sz w:val="24"/>
          <w:szCs w:val="24"/>
        </w:rPr>
      </w:pPr>
      <w:r>
        <w:rPr>
          <w:spacing w:val="7"/>
          <w:sz w:val="24"/>
          <w:szCs w:val="24"/>
        </w:rPr>
        <w:t>(此面为封面)</w:t>
      </w:r>
    </w:p>
    <w:p w14:paraId="459A5520">
      <w:pPr>
        <w:spacing w:line="223" w:lineRule="auto"/>
        <w:rPr>
          <w:sz w:val="24"/>
          <w:szCs w:val="24"/>
        </w:rPr>
        <w:sectPr>
          <w:footerReference r:id="rId11" w:type="default"/>
          <w:pgSz w:w="11900" w:h="16820"/>
          <w:pgMar w:top="1429" w:right="1782" w:bottom="1158" w:left="1450" w:header="0" w:footer="850" w:gutter="0"/>
          <w:cols w:space="720" w:num="1"/>
        </w:sectPr>
      </w:pPr>
    </w:p>
    <w:p w14:paraId="57E61A54">
      <w:pPr>
        <w:spacing w:before="137" w:line="221" w:lineRule="auto"/>
        <w:jc w:val="center"/>
        <w:rPr>
          <w:rFonts w:ascii="黑体" w:hAnsi="黑体" w:eastAsia="黑体" w:cs="黑体"/>
          <w:sz w:val="42"/>
          <w:szCs w:val="42"/>
        </w:rPr>
      </w:pPr>
      <w:r>
        <w:rPr>
          <w:rFonts w:hint="eastAsia" w:ascii="黑体" w:hAnsi="黑体" w:eastAsia="黑体" w:cs="黑体"/>
          <w:b/>
          <w:bCs/>
          <w:spacing w:val="6"/>
          <w:sz w:val="42"/>
          <w:szCs w:val="42"/>
        </w:rPr>
        <w:t>质量强市和质量考核</w:t>
      </w:r>
      <w:r>
        <w:rPr>
          <w:rFonts w:ascii="黑体" w:hAnsi="黑体" w:eastAsia="黑体" w:cs="黑体"/>
          <w:b/>
          <w:bCs/>
          <w:spacing w:val="6"/>
          <w:sz w:val="42"/>
          <w:szCs w:val="42"/>
        </w:rPr>
        <w:t>项目支出绩效评价报告</w:t>
      </w:r>
    </w:p>
    <w:p w14:paraId="3B3CBA46">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eastAsia="仿宋" w:cs="Times New Roman"/>
          <w:sz w:val="32"/>
          <w:szCs w:val="32"/>
        </w:rPr>
      </w:pPr>
    </w:p>
    <w:p w14:paraId="1493F4C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sz w:val="32"/>
          <w:szCs w:val="32"/>
          <w:lang w:val="en-US" w:eastAsia="zh-CN"/>
        </w:rPr>
      </w:pPr>
      <w:r>
        <w:rPr>
          <w:rFonts w:hint="default" w:ascii="仿宋_GB2312" w:hAnsi="仿宋_GB2312" w:eastAsia="仿宋_GB2312" w:cs="仿宋_GB2312"/>
          <w:i w:val="0"/>
          <w:iCs w:val="0"/>
          <w:sz w:val="32"/>
          <w:szCs w:val="32"/>
          <w:lang w:val="en-US" w:eastAsia="zh-CN"/>
        </w:rPr>
        <w:t>根据《中共中央国务院关于全面实施预算绩效管理的意见》《项目支出绩效评价管理办法》（财预〔2020〕10号）等文件规定，按照《汨罗市预算绩效管理实施办法》（汨办发[2022]42号）等相关文件要求，现对汨罗市市场监督管理局2024年度的质量强市和质量考核专项开展绩效自评，具体情况汇报如下：</w:t>
      </w:r>
    </w:p>
    <w:p w14:paraId="070839D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rPr>
      </w:pPr>
      <w:r>
        <w:rPr>
          <w:rFonts w:hint="default" w:ascii="Times New Roman" w:hAnsi="Times New Roman" w:eastAsia="黑体" w:cs="Times New Roman"/>
          <w:b/>
          <w:bCs/>
          <w:spacing w:val="-15"/>
          <w:sz w:val="31"/>
          <w:szCs w:val="31"/>
        </w:rPr>
        <w:t>一、项目基本情况</w:t>
      </w:r>
    </w:p>
    <w:p w14:paraId="0E8620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sz w:val="32"/>
          <w:szCs w:val="32"/>
          <w:lang w:val="en-US" w:eastAsia="zh-CN"/>
        </w:rPr>
      </w:pPr>
      <w:r>
        <w:rPr>
          <w:rFonts w:hint="default" w:ascii="Times New Roman" w:hAnsi="Times New Roman" w:eastAsia="仿宋" w:cs="Times New Roman"/>
          <w:sz w:val="32"/>
          <w:szCs w:val="32"/>
        </w:rPr>
        <w:t>1、</w:t>
      </w:r>
      <w:r>
        <w:rPr>
          <w:rFonts w:hint="default" w:ascii="仿宋_GB2312" w:hAnsi="仿宋_GB2312" w:eastAsia="仿宋_GB2312" w:cs="仿宋_GB2312"/>
          <w:i w:val="0"/>
          <w:iCs w:val="0"/>
          <w:sz w:val="32"/>
          <w:szCs w:val="32"/>
          <w:lang w:val="en-US" w:eastAsia="zh-CN"/>
        </w:rPr>
        <w:t>项目立项依据湖南省市场监督管理局《2024年市场监管综合考核方案》（湘市监办函〔2024〕24号）。</w:t>
      </w:r>
    </w:p>
    <w:p w14:paraId="2FE7DCF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sz w:val="32"/>
          <w:szCs w:val="32"/>
          <w:lang w:val="en-US" w:eastAsia="zh-CN"/>
        </w:rPr>
      </w:pPr>
      <w:r>
        <w:rPr>
          <w:rFonts w:hint="default" w:ascii="仿宋_GB2312" w:hAnsi="仿宋_GB2312" w:eastAsia="仿宋_GB2312" w:cs="仿宋_GB2312"/>
          <w:i w:val="0"/>
          <w:iCs w:val="0"/>
          <w:sz w:val="32"/>
          <w:szCs w:val="32"/>
          <w:lang w:val="en-US" w:eastAsia="zh-CN"/>
        </w:rPr>
        <w:t>本项目依据文件设立。</w:t>
      </w:r>
    </w:p>
    <w:p w14:paraId="63513ED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sz w:val="32"/>
          <w:szCs w:val="32"/>
          <w:lang w:val="en-US" w:eastAsia="zh-CN"/>
        </w:rPr>
      </w:pPr>
      <w:r>
        <w:rPr>
          <w:rFonts w:hint="default" w:ascii="仿宋_GB2312" w:hAnsi="仿宋_GB2312" w:eastAsia="仿宋_GB2312" w:cs="仿宋_GB2312"/>
          <w:i w:val="0"/>
          <w:iCs w:val="0"/>
          <w:sz w:val="32"/>
          <w:szCs w:val="32"/>
          <w:lang w:val="en-US" w:eastAsia="zh-CN"/>
        </w:rPr>
        <w:t>2、项目绩效目标</w:t>
      </w:r>
    </w:p>
    <w:p w14:paraId="4710E62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sz w:val="32"/>
          <w:szCs w:val="32"/>
          <w:lang w:val="en-US" w:eastAsia="zh-CN"/>
        </w:rPr>
      </w:pPr>
      <w:r>
        <w:rPr>
          <w:rFonts w:hint="default" w:ascii="仿宋_GB2312" w:hAnsi="仿宋_GB2312" w:eastAsia="仿宋_GB2312" w:cs="仿宋_GB2312"/>
          <w:i w:val="0"/>
          <w:iCs w:val="0"/>
          <w:color w:val="000000"/>
          <w:kern w:val="0"/>
          <w:sz w:val="32"/>
          <w:szCs w:val="32"/>
          <w:lang w:val="en-US" w:eastAsia="zh-CN" w:bidi="ar-SA"/>
        </w:rPr>
        <w:t>2024年汨罗市质量强市资金目标为：质量体系有力优化。质量基础不断提升，汨罗获批湖南省质量基础设施“一站式”服务首批试点地。激励机制有效健全。综合监管体系日趋完善，安全防线不断加固。质量强市工作成效突出，质量工作机制完善，制度配套，质量工作责任制落实到位，在推进质量基础设施“一站式”服务平台建设和质量工作改革创新特色明显。</w:t>
      </w:r>
    </w:p>
    <w:p w14:paraId="3643994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sz w:val="32"/>
          <w:szCs w:val="32"/>
          <w:lang w:val="en-US" w:eastAsia="zh-CN"/>
        </w:rPr>
      </w:pPr>
      <w:r>
        <w:rPr>
          <w:rFonts w:hint="default" w:ascii="仿宋_GB2312" w:hAnsi="仿宋_GB2312" w:eastAsia="仿宋_GB2312" w:cs="仿宋_GB2312"/>
          <w:i w:val="0"/>
          <w:iCs w:val="0"/>
          <w:sz w:val="32"/>
          <w:szCs w:val="32"/>
          <w:lang w:val="en-US" w:eastAsia="zh-CN"/>
        </w:rPr>
        <w:t>3、项目管理和使用情况</w:t>
      </w:r>
    </w:p>
    <w:p w14:paraId="21B351A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sz w:val="32"/>
          <w:szCs w:val="32"/>
          <w:lang w:val="en-US" w:eastAsia="zh-CN"/>
        </w:rPr>
      </w:pPr>
      <w:r>
        <w:rPr>
          <w:rFonts w:hint="default" w:ascii="仿宋_GB2312" w:hAnsi="仿宋_GB2312" w:eastAsia="仿宋_GB2312" w:cs="仿宋_GB2312"/>
          <w:i w:val="0"/>
          <w:iCs w:val="0"/>
          <w:sz w:val="32"/>
          <w:szCs w:val="32"/>
          <w:lang w:val="en-US" w:eastAsia="zh-CN"/>
        </w:rPr>
        <w:t>（一）专项经费管理措施、制度建设情况。我局对于批复到位的经费，根据工作任务需要，统一管理核算。每年年初为保障项目经费的专款专用和及时到位，发挥好资金使用效率，制定财务制度，对专项经费专门列项，专题研究，专项预算，专项审批，专项开支。</w:t>
      </w:r>
    </w:p>
    <w:p w14:paraId="2EB268E8">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i w:val="0"/>
          <w:iCs w:val="0"/>
          <w:sz w:val="32"/>
          <w:szCs w:val="32"/>
          <w:lang w:val="en-US" w:eastAsia="zh-CN"/>
        </w:rPr>
      </w:pPr>
      <w:r>
        <w:rPr>
          <w:rFonts w:hint="default" w:ascii="Times New Roman" w:hAnsi="Times New Roman" w:eastAsia="黑体" w:cs="Times New Roman"/>
          <w:b/>
          <w:bCs/>
          <w:spacing w:val="-15"/>
          <w:sz w:val="31"/>
          <w:szCs w:val="31"/>
          <w:lang w:val="en-US" w:eastAsia="zh-CN"/>
        </w:rPr>
        <w:t>二</w:t>
      </w:r>
      <w:r>
        <w:rPr>
          <w:rFonts w:hint="eastAsia" w:ascii="Times New Roman" w:hAnsi="Times New Roman" w:eastAsia="黑体" w:cs="Times New Roman"/>
          <w:b/>
          <w:bCs/>
          <w:spacing w:val="-15"/>
          <w:sz w:val="31"/>
          <w:szCs w:val="31"/>
          <w:lang w:val="en-US" w:eastAsia="zh-CN"/>
        </w:rPr>
        <w:t>、</w:t>
      </w:r>
      <w:r>
        <w:rPr>
          <w:rFonts w:hint="default" w:ascii="Times New Roman" w:hAnsi="Times New Roman" w:eastAsia="黑体" w:cs="Times New Roman"/>
          <w:b/>
          <w:bCs/>
          <w:spacing w:val="-15"/>
          <w:sz w:val="31"/>
          <w:szCs w:val="31"/>
          <w:lang w:val="en-US" w:eastAsia="zh-CN"/>
        </w:rPr>
        <w:t>专项经费使用流程及监督检查情况。</w:t>
      </w:r>
      <w:r>
        <w:rPr>
          <w:rFonts w:hint="default" w:ascii="仿宋_GB2312" w:hAnsi="仿宋_GB2312" w:eastAsia="仿宋_GB2312" w:cs="仿宋_GB2312"/>
          <w:i w:val="0"/>
          <w:iCs w:val="0"/>
          <w:sz w:val="32"/>
          <w:szCs w:val="32"/>
          <w:lang w:val="en-US" w:eastAsia="zh-CN"/>
        </w:rPr>
        <w:t>每一笔经费在核定的支出限额和支出范围内实行据实凭票报账制；严格财务程序，强化报销环节管理，认真落实经办人、经费使用单位负责人、财务管理人员责任，确保了经费支出的合规、到位。同时，严格监督专项经费专款专用，并通过党政负责人会议、工作群等不同形式，进行定期公开，确保了专项经费收支公开、透明。</w:t>
      </w:r>
    </w:p>
    <w:p w14:paraId="5538351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lang w:val="en-US" w:eastAsia="zh-CN"/>
        </w:rPr>
      </w:pPr>
      <w:r>
        <w:rPr>
          <w:rFonts w:hint="default" w:ascii="Times New Roman" w:hAnsi="Times New Roman" w:eastAsia="黑体" w:cs="Times New Roman"/>
          <w:b/>
          <w:bCs/>
          <w:spacing w:val="-15"/>
          <w:sz w:val="31"/>
          <w:szCs w:val="31"/>
          <w:lang w:val="en-US" w:eastAsia="zh-CN"/>
        </w:rPr>
        <w:t>三</w:t>
      </w:r>
      <w:r>
        <w:rPr>
          <w:rFonts w:hint="eastAsia" w:ascii="Times New Roman" w:hAnsi="Times New Roman" w:eastAsia="黑体" w:cs="Times New Roman"/>
          <w:b/>
          <w:bCs/>
          <w:spacing w:val="-15"/>
          <w:sz w:val="31"/>
          <w:szCs w:val="31"/>
          <w:lang w:val="en-US" w:eastAsia="zh-CN"/>
        </w:rPr>
        <w:t>、</w:t>
      </w:r>
      <w:r>
        <w:rPr>
          <w:rFonts w:hint="default" w:ascii="Times New Roman" w:hAnsi="Times New Roman" w:eastAsia="黑体" w:cs="Times New Roman"/>
          <w:b/>
          <w:bCs/>
          <w:spacing w:val="-15"/>
          <w:sz w:val="31"/>
          <w:szCs w:val="31"/>
          <w:lang w:val="en-US" w:eastAsia="zh-CN"/>
        </w:rPr>
        <w:t>管理和使用情况</w:t>
      </w:r>
    </w:p>
    <w:p w14:paraId="4BEFF81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sz w:val="32"/>
          <w:szCs w:val="32"/>
          <w:lang w:val="en-US" w:eastAsia="zh-CN"/>
        </w:rPr>
      </w:pPr>
      <w:r>
        <w:rPr>
          <w:rFonts w:hint="default" w:ascii="仿宋_GB2312" w:hAnsi="仿宋_GB2312" w:eastAsia="仿宋_GB2312" w:cs="仿宋_GB2312"/>
          <w:i w:val="0"/>
          <w:iCs w:val="0"/>
          <w:sz w:val="32"/>
          <w:szCs w:val="32"/>
          <w:lang w:val="en-US" w:eastAsia="zh-CN"/>
        </w:rPr>
        <w:t>2024年度结合本局的实际情况，对照专项绩效预算目标要求，严格按照财务制度的规定，合理使用。</w:t>
      </w:r>
    </w:p>
    <w:p w14:paraId="3BAF0C0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sz w:val="32"/>
          <w:szCs w:val="32"/>
          <w:lang w:val="en-US" w:eastAsia="zh-CN"/>
        </w:rPr>
      </w:pPr>
      <w:r>
        <w:rPr>
          <w:rFonts w:hint="default" w:ascii="仿宋_GB2312" w:hAnsi="仿宋_GB2312" w:eastAsia="仿宋_GB2312" w:cs="仿宋_GB2312"/>
          <w:i w:val="0"/>
          <w:iCs w:val="0"/>
          <w:sz w:val="32"/>
          <w:szCs w:val="32"/>
          <w:lang w:val="en-US" w:eastAsia="zh-CN"/>
        </w:rPr>
        <w:t>2024年度省级质量强市和质量考核资金为100万元，资金已全部下达。</w:t>
      </w:r>
    </w:p>
    <w:p w14:paraId="0817813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sz w:val="32"/>
          <w:szCs w:val="32"/>
          <w:lang w:val="en-US" w:eastAsia="zh-CN"/>
        </w:rPr>
      </w:pPr>
      <w:r>
        <w:rPr>
          <w:rFonts w:hint="default" w:ascii="仿宋_GB2312" w:hAnsi="仿宋_GB2312" w:eastAsia="仿宋_GB2312" w:cs="仿宋_GB2312"/>
          <w:i w:val="0"/>
          <w:iCs w:val="0"/>
          <w:sz w:val="32"/>
          <w:szCs w:val="32"/>
          <w:lang w:val="en-US" w:eastAsia="zh-CN"/>
        </w:rPr>
        <w:t>上述资金已全部按专项要求足额支出。主要是用于2024年度加强质量基础设施“一站式”服务建设。</w:t>
      </w:r>
    </w:p>
    <w:p w14:paraId="6972819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Times New Roman" w:hAnsi="Times New Roman" w:eastAsia="黑体" w:cs="Times New Roman"/>
          <w:b/>
          <w:bCs/>
          <w:spacing w:val="-15"/>
          <w:sz w:val="31"/>
          <w:szCs w:val="31"/>
          <w:lang w:val="en-US" w:eastAsia="zh-CN"/>
        </w:rPr>
      </w:pPr>
      <w:r>
        <w:rPr>
          <w:rFonts w:hint="default" w:ascii="Times New Roman" w:hAnsi="Times New Roman" w:eastAsia="黑体" w:cs="Times New Roman"/>
          <w:b/>
          <w:bCs/>
          <w:spacing w:val="-15"/>
          <w:sz w:val="31"/>
          <w:szCs w:val="31"/>
          <w:lang w:val="en-US" w:eastAsia="zh-CN"/>
        </w:rPr>
        <w:t>四</w:t>
      </w:r>
      <w:r>
        <w:rPr>
          <w:rFonts w:hint="eastAsia" w:ascii="Times New Roman" w:hAnsi="Times New Roman" w:eastAsia="黑体" w:cs="Times New Roman"/>
          <w:b/>
          <w:bCs/>
          <w:spacing w:val="-15"/>
          <w:sz w:val="31"/>
          <w:szCs w:val="31"/>
          <w:lang w:val="en-US" w:eastAsia="zh-CN"/>
        </w:rPr>
        <w:t>、</w:t>
      </w:r>
      <w:r>
        <w:rPr>
          <w:rFonts w:hint="default" w:ascii="Times New Roman" w:hAnsi="Times New Roman" w:eastAsia="黑体" w:cs="Times New Roman"/>
          <w:b/>
          <w:bCs/>
          <w:spacing w:val="-15"/>
          <w:sz w:val="31"/>
          <w:szCs w:val="31"/>
          <w:lang w:val="en-US" w:eastAsia="zh-CN"/>
        </w:rPr>
        <w:t>绩效情况分析</w:t>
      </w:r>
    </w:p>
    <w:p w14:paraId="749041F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sz w:val="32"/>
          <w:szCs w:val="32"/>
          <w:lang w:val="en-US" w:eastAsia="zh-CN"/>
        </w:rPr>
      </w:pPr>
      <w:r>
        <w:rPr>
          <w:rFonts w:hint="default" w:ascii="仿宋_GB2312" w:hAnsi="仿宋_GB2312" w:eastAsia="仿宋_GB2312" w:cs="仿宋_GB2312"/>
          <w:i w:val="0"/>
          <w:iCs w:val="0"/>
          <w:sz w:val="32"/>
          <w:szCs w:val="32"/>
          <w:lang w:val="en-US" w:eastAsia="zh-CN"/>
        </w:rPr>
        <w:t>1、工作完成情况。</w:t>
      </w:r>
    </w:p>
    <w:p w14:paraId="3C8A9C9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sz w:val="32"/>
          <w:szCs w:val="32"/>
          <w:lang w:val="en-US" w:eastAsia="zh-CN"/>
        </w:rPr>
      </w:pPr>
      <w:r>
        <w:rPr>
          <w:rFonts w:hint="default" w:ascii="仿宋_GB2312" w:hAnsi="仿宋_GB2312" w:eastAsia="仿宋_GB2312" w:cs="仿宋_GB2312"/>
          <w:i w:val="0"/>
          <w:iCs w:val="0"/>
          <w:sz w:val="32"/>
          <w:szCs w:val="32"/>
          <w:lang w:val="en-US" w:eastAsia="zh-CN"/>
        </w:rPr>
        <w:t xml:space="preserve"> 一是质量基础不断提升，汨罗获批湖南省质量基础设施“一站式”服务首批试点地。激励机制有效健全，出台《汨罗市市长质量奖管理办法》、《汨罗市支持工业企业十条措施》、《关于中小微企业创新创业问题的会议纪要》等文件，建立了政府质量奖励机制。二是精准“把脉”开“良方” 对症施策促发展。由湖南省质量协会副会长杨凡球带队，省质量专家团队到汨罗长乐甜酒产业园开展中小企业质量诊断与提升公益活动。在汨罗长乐甜酒产业园，专家团队先后走访湖南金福食品科技有限公司、湖南誉湘农业科技有限公司、湖南坛坛香食品科技有限公司和湖南一碗陈记食品科技有限公司，详细了解企业生产经营及销售情况，为企业开展“一对一”深度巡诊。使企业质量品牌效应彰显，产品质量稳定提高，企业实现卓越绩效管理，采标制标水平明显提升，打造质量管理标杆企业。申报我市两家企业参加省市场监督管理局举办的2024湖南品牌故事大赛。湖南一碗陈记食品科技有限公司报名参加比赛的形式是演讲，湖南优冠体育材料有限公司报名参加比赛的形式是征文。讲好湖南品牌故事，提升湖南品牌影响力和美誉度，优化品牌培育路径，推动湖南品牌建设高质量发展。我局推送湖南龙智新材料科技有限公司参加省局举办的一期首席质量官培训班。为深入贯彻落实市场监管总局关于质量强企、强链、强县培育建设工作部署，我局已列入全国质量强县培育建设名单。立足自身定位和资源要素优势，制定实施质量发展战略，健全质量促进政策措施，深入实施质量提升行动，导入全面质量管理方法，推动城市管理理念、方法、模式创新，促进城市精细化、品质化、智能化发展，增强区域质量发展新优势，因地制宜服务发展新质生产力，加快建设质量强市。三是质量基础设施一站式服务工作，以园区所在地市监所为基础，以局相关股室为依托，设置了三个园区服务窗口，实现一窗口受理、一站式服务，同时将相关制度和联系方式在服务大厅上墙公示。服务窗口安排固定工作人员，统一受理企业质量服务需求信息，对在窗口无法解决的，及时流转至相关股室、各市场监管所、相关团体或机构开展工作。工作人员主动与被服务企业保持联系，跟进服务进度，协调解决服务中遇到的问题，在服务周期结束后，邀请企业进行服务满意度测评并提出服务建议。形成企业自觉抓质量提升的内动力和良好生态。持续深入开展“质量月”“质量官培训”“质量体检进企业”活动，广泛宣传培育先进质量文化。在“首席质量官之家”管理平台，完成我市企业首席质量官信息上传工作。</w:t>
      </w:r>
    </w:p>
    <w:p w14:paraId="1BB404E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sz w:val="32"/>
          <w:szCs w:val="32"/>
          <w:lang w:val="en-US" w:eastAsia="zh-CN"/>
        </w:rPr>
      </w:pPr>
      <w:r>
        <w:rPr>
          <w:rFonts w:hint="default" w:ascii="仿宋_GB2312" w:hAnsi="仿宋_GB2312" w:eastAsia="仿宋_GB2312" w:cs="仿宋_GB2312"/>
          <w:i w:val="0"/>
          <w:iCs w:val="0"/>
          <w:sz w:val="32"/>
          <w:szCs w:val="32"/>
          <w:lang w:val="en-US" w:eastAsia="zh-CN"/>
        </w:rPr>
        <w:t xml:space="preserve">2、效益完成情况。全市质量基础设施“一站式”直线服务乡镇试点服务能力持续增长，服务意识及服务水平不断提升。  </w:t>
      </w:r>
    </w:p>
    <w:p w14:paraId="084C4B4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sz w:val="32"/>
          <w:szCs w:val="32"/>
          <w:lang w:val="en-US" w:eastAsia="zh-CN"/>
        </w:rPr>
      </w:pPr>
      <w:r>
        <w:rPr>
          <w:rFonts w:hint="default" w:ascii="仿宋_GB2312" w:hAnsi="仿宋_GB2312" w:eastAsia="仿宋_GB2312" w:cs="仿宋_GB2312"/>
          <w:i w:val="0"/>
          <w:iCs w:val="0"/>
          <w:sz w:val="32"/>
          <w:szCs w:val="32"/>
          <w:lang w:val="en-US" w:eastAsia="zh-CN"/>
        </w:rPr>
        <w:t>3、满意度完成情况。通过调查，全市质量基础设施“一站式”服务满意度 ≥90%，并逐步提高。</w:t>
      </w:r>
    </w:p>
    <w:p w14:paraId="6BBCD63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sz w:val="32"/>
          <w:szCs w:val="32"/>
          <w:lang w:val="en-US" w:eastAsia="zh-CN"/>
        </w:rPr>
      </w:pPr>
    </w:p>
    <w:sectPr>
      <w:footerReference r:id="rId12" w:type="default"/>
      <w:pgSz w:w="11900" w:h="16820"/>
      <w:pgMar w:top="1429" w:right="1780" w:bottom="1157" w:left="145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317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D50E75A">
        <w:pPr>
          <w:pStyle w:val="3"/>
          <w:jc w:val="right"/>
          <w:rPr>
            <w:rFonts w:asciiTheme="minorEastAsia" w:hAnsiTheme="minorEastAsia" w:eastAsiaTheme="minorEastAsia"/>
            <w:kern w:val="0"/>
          </w:rPr>
        </w:pPr>
      </w:p>
    </w:sdtContent>
  </w:sdt>
  <w:p w14:paraId="67AEA6AE">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047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6C3FB48">
        <w:pPr>
          <w:pStyle w:val="3"/>
          <w:jc w:val="right"/>
          <w:rPr>
            <w:rFonts w:asciiTheme="minorEastAsia" w:hAnsiTheme="minorEastAsia" w:eastAsiaTheme="minorEastAsia"/>
            <w:kern w:val="0"/>
          </w:rPr>
        </w:pPr>
      </w:p>
    </w:sdtContent>
  </w:sdt>
  <w:p w14:paraId="63FBD115">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C7D34">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B442B">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39607">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5F6CD"/>
    <w:multiLevelType w:val="singleLevel"/>
    <w:tmpl w:val="0DC5F6CD"/>
    <w:lvl w:ilvl="0" w:tentative="0">
      <w:start w:val="4"/>
      <w:numFmt w:val="chineseCounting"/>
      <w:suff w:val="nothing"/>
      <w:lvlText w:val="%1、"/>
      <w:lvlJc w:val="left"/>
      <w:rPr>
        <w:rFonts w:hint="eastAsia"/>
      </w:rPr>
    </w:lvl>
  </w:abstractNum>
  <w:abstractNum w:abstractNumId="1">
    <w:nsid w:val="3283A29A"/>
    <w:multiLevelType w:val="singleLevel"/>
    <w:tmpl w:val="3283A29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6BA4FEF"/>
    <w:rsid w:val="07DD49A7"/>
    <w:rsid w:val="086E756B"/>
    <w:rsid w:val="0ACF37E5"/>
    <w:rsid w:val="0B400BC6"/>
    <w:rsid w:val="0E68228D"/>
    <w:rsid w:val="0EA6787F"/>
    <w:rsid w:val="15276E52"/>
    <w:rsid w:val="178B0954"/>
    <w:rsid w:val="17FF76E5"/>
    <w:rsid w:val="19D32FBC"/>
    <w:rsid w:val="1AE35FDC"/>
    <w:rsid w:val="1E6A4395"/>
    <w:rsid w:val="23C454E8"/>
    <w:rsid w:val="25557A3D"/>
    <w:rsid w:val="26EA5ED7"/>
    <w:rsid w:val="276C4FA7"/>
    <w:rsid w:val="27A93B82"/>
    <w:rsid w:val="29B9024C"/>
    <w:rsid w:val="2AE00186"/>
    <w:rsid w:val="308216BE"/>
    <w:rsid w:val="34FE1149"/>
    <w:rsid w:val="352D4FC3"/>
    <w:rsid w:val="390C65EA"/>
    <w:rsid w:val="3A550786"/>
    <w:rsid w:val="3AEA70D7"/>
    <w:rsid w:val="3B7A130F"/>
    <w:rsid w:val="3F586A9E"/>
    <w:rsid w:val="422E5823"/>
    <w:rsid w:val="494A1329"/>
    <w:rsid w:val="4C12586E"/>
    <w:rsid w:val="4EAF5772"/>
    <w:rsid w:val="4F8B6063"/>
    <w:rsid w:val="52FA3F96"/>
    <w:rsid w:val="55850F17"/>
    <w:rsid w:val="55CF657E"/>
    <w:rsid w:val="57AE6D93"/>
    <w:rsid w:val="58E04635"/>
    <w:rsid w:val="5C155795"/>
    <w:rsid w:val="5E3C4FFE"/>
    <w:rsid w:val="5FB623A7"/>
    <w:rsid w:val="638574BB"/>
    <w:rsid w:val="6BB1387F"/>
    <w:rsid w:val="6D075A1F"/>
    <w:rsid w:val="6E3851B0"/>
    <w:rsid w:val="7247777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hd w:val="clear" w:color="auto" w:fill="FFFFFF"/>
      <w:spacing w:line="600" w:lineRule="exact"/>
      <w:ind w:firstLine="645"/>
    </w:pPr>
    <w:rPr>
      <w:rFonts w:ascii="仿宋_GB2312" w:hAnsi="Times New Roman" w:eastAsia="仿宋_GB2312" w:cs="仿宋_GB2312"/>
      <w:kern w:val="0"/>
      <w:sz w:val="32"/>
      <w:szCs w:val="32"/>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1">
    <w:name w:val="font31"/>
    <w:basedOn w:val="7"/>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9938</Words>
  <Characters>10859</Characters>
  <TotalTime>131</TotalTime>
  <ScaleCrop>false</ScaleCrop>
  <LinksUpToDate>false</LinksUpToDate>
  <CharactersWithSpaces>11198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山珊淇</cp:lastModifiedBy>
  <cp:lastPrinted>2024-05-21T14:05:00Z</cp:lastPrinted>
  <dcterms:modified xsi:type="dcterms:W3CDTF">2025-09-25T03:17:15Z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C50C13B7C18E4FEBA762C2428C01EC45_13</vt:lpwstr>
  </property>
  <property fmtid="{D5CDD505-2E9C-101B-9397-08002B2CF9AE}" pid="7" name="KSOTemplateDocerSaveRecord">
    <vt:lpwstr>eyJoZGlkIjoiMmJmOTNkNzJkNzk5NzQ1OTg0NzUxNTZiNDFjZWUyODEiLCJ1c2VySWQiOiIxNzMyNjE0MTM5In0=</vt:lpwstr>
  </property>
</Properties>
</file>